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6"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spacing w:line="277" w:lineRule="auto"/>
        <w:rPr>
          <w:rFonts w:ascii="Arial"/>
          <w:color w:val="auto"/>
          <w:sz w:val="21"/>
          <w:highlight w:val="none"/>
        </w:rPr>
      </w:pPr>
    </w:p>
    <w:p>
      <w:pPr>
        <w:pStyle w:val="3"/>
        <w:spacing w:before="182" w:line="259" w:lineRule="auto"/>
        <w:ind w:left="3810" w:hanging="3810"/>
        <w:jc w:val="center"/>
        <w:rPr>
          <w:rFonts w:hint="eastAsia" w:eastAsia="宋体"/>
          <w:color w:val="auto"/>
          <w:highlight w:val="none"/>
          <w:lang w:eastAsia="zh-CN"/>
        </w:rPr>
      </w:pPr>
      <w:r>
        <w:rPr>
          <w:rFonts w:hint="eastAsia"/>
          <w:b/>
          <w:bCs/>
          <w:color w:val="auto"/>
          <w:spacing w:val="-38"/>
          <w:highlight w:val="none"/>
          <w:lang w:eastAsia="zh-CN"/>
        </w:rPr>
        <w:t>广西泰新工程信息咨询有限公司</w:t>
      </w:r>
    </w:p>
    <w:p>
      <w:pPr>
        <w:spacing w:line="257" w:lineRule="auto"/>
        <w:rPr>
          <w:rFonts w:ascii="Arial"/>
          <w:color w:val="auto"/>
          <w:sz w:val="21"/>
          <w:highlight w:val="none"/>
        </w:rPr>
      </w:pPr>
    </w:p>
    <w:p>
      <w:pPr>
        <w:spacing w:line="257"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3"/>
        <w:spacing w:before="423" w:line="219" w:lineRule="auto"/>
        <w:ind w:left="1700"/>
        <w:rPr>
          <w:color w:val="auto"/>
          <w:sz w:val="130"/>
          <w:szCs w:val="130"/>
          <w:highlight w:val="none"/>
        </w:rPr>
      </w:pPr>
      <w:r>
        <w:rPr>
          <w:b/>
          <w:bCs/>
          <w:color w:val="auto"/>
          <w:spacing w:val="71"/>
          <w:sz w:val="130"/>
          <w:szCs w:val="130"/>
          <w:highlight w:val="none"/>
        </w:rPr>
        <w:t>招标文件</w:t>
      </w:r>
    </w:p>
    <w:p>
      <w:pPr>
        <w:spacing w:line="297" w:lineRule="auto"/>
        <w:rPr>
          <w:rFonts w:ascii="Arial"/>
          <w:color w:val="auto"/>
          <w:sz w:val="21"/>
          <w:highlight w:val="none"/>
        </w:rPr>
      </w:pPr>
    </w:p>
    <w:p>
      <w:pPr>
        <w:spacing w:line="297" w:lineRule="auto"/>
        <w:rPr>
          <w:rFonts w:ascii="Arial"/>
          <w:color w:val="auto"/>
          <w:sz w:val="21"/>
          <w:highlight w:val="none"/>
        </w:rPr>
      </w:pPr>
    </w:p>
    <w:p>
      <w:pPr>
        <w:spacing w:line="298" w:lineRule="auto"/>
        <w:rPr>
          <w:rFonts w:ascii="Arial"/>
          <w:color w:val="auto"/>
          <w:sz w:val="21"/>
          <w:highlight w:val="none"/>
        </w:rPr>
      </w:pPr>
    </w:p>
    <w:p>
      <w:pPr>
        <w:spacing w:line="298" w:lineRule="auto"/>
        <w:rPr>
          <w:rFonts w:ascii="Arial"/>
          <w:color w:val="auto"/>
          <w:sz w:val="21"/>
          <w:highlight w:val="none"/>
        </w:rPr>
      </w:pPr>
    </w:p>
    <w:p>
      <w:pPr>
        <w:pStyle w:val="3"/>
        <w:spacing w:before="101" w:line="219" w:lineRule="auto"/>
        <w:ind w:left="1786"/>
        <w:rPr>
          <w:rFonts w:hint="eastAsia" w:eastAsia="宋体"/>
          <w:color w:val="auto"/>
          <w:sz w:val="31"/>
          <w:szCs w:val="31"/>
          <w:highlight w:val="none"/>
          <w:lang w:eastAsia="zh-CN"/>
        </w:rPr>
      </w:pPr>
      <w:r>
        <w:rPr>
          <w:b/>
          <w:bCs/>
          <w:color w:val="auto"/>
          <w:spacing w:val="-6"/>
          <w:sz w:val="31"/>
          <w:szCs w:val="31"/>
          <w:highlight w:val="none"/>
        </w:rPr>
        <w:t>项目名称：</w:t>
      </w:r>
      <w:r>
        <w:rPr>
          <w:rFonts w:hint="eastAsia"/>
          <w:b/>
          <w:bCs/>
          <w:color w:val="auto"/>
          <w:spacing w:val="-6"/>
          <w:sz w:val="31"/>
          <w:szCs w:val="31"/>
          <w:highlight w:val="none"/>
          <w:lang w:eastAsia="zh-CN"/>
        </w:rPr>
        <w:t>秀峰区区属学校、幼儿园校园保安服务</w:t>
      </w:r>
    </w:p>
    <w:p>
      <w:pPr>
        <w:pStyle w:val="3"/>
        <w:spacing w:before="34" w:line="219" w:lineRule="auto"/>
        <w:ind w:left="1766"/>
        <w:rPr>
          <w:rFonts w:hint="eastAsia" w:ascii="Times New Roman" w:hAnsi="Times New Roman" w:eastAsia="宋体" w:cs="Times New Roman"/>
          <w:color w:val="auto"/>
          <w:sz w:val="31"/>
          <w:szCs w:val="31"/>
          <w:highlight w:val="none"/>
          <w:lang w:eastAsia="zh-CN"/>
        </w:rPr>
      </w:pPr>
      <w:r>
        <w:rPr>
          <w:b/>
          <w:bCs/>
          <w:color w:val="auto"/>
          <w:spacing w:val="-11"/>
          <w:sz w:val="31"/>
          <w:szCs w:val="31"/>
          <w:highlight w:val="none"/>
        </w:rPr>
        <w:t>项目编号：</w:t>
      </w:r>
      <w:r>
        <w:rPr>
          <w:rFonts w:hint="eastAsia" w:ascii="Times New Roman" w:hAnsi="Times New Roman" w:eastAsia="宋体" w:cs="Times New Roman"/>
          <w:b/>
          <w:bCs/>
          <w:color w:val="auto"/>
          <w:spacing w:val="-11"/>
          <w:sz w:val="31"/>
          <w:szCs w:val="31"/>
          <w:highlight w:val="none"/>
          <w:lang w:eastAsia="zh-CN"/>
        </w:rPr>
        <w:t>GLZC2025-G3-990646-TXZX</w:t>
      </w:r>
    </w:p>
    <w:p>
      <w:pPr>
        <w:spacing w:line="257"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3"/>
        <w:spacing w:before="117" w:line="219" w:lineRule="auto"/>
        <w:ind w:left="687"/>
        <w:rPr>
          <w:rFonts w:hint="eastAsia" w:eastAsia="宋体"/>
          <w:color w:val="auto"/>
          <w:sz w:val="36"/>
          <w:szCs w:val="36"/>
          <w:highlight w:val="none"/>
          <w:lang w:eastAsia="zh-CN"/>
        </w:rPr>
      </w:pPr>
      <w:r>
        <w:rPr>
          <w:b/>
          <w:bCs/>
          <w:color w:val="auto"/>
          <w:spacing w:val="6"/>
          <w:sz w:val="36"/>
          <w:szCs w:val="36"/>
          <w:highlight w:val="none"/>
        </w:rPr>
        <w:t>采购代理机构：</w:t>
      </w:r>
      <w:r>
        <w:rPr>
          <w:rFonts w:hint="eastAsia"/>
          <w:b/>
          <w:bCs/>
          <w:color w:val="auto"/>
          <w:spacing w:val="6"/>
          <w:sz w:val="36"/>
          <w:szCs w:val="36"/>
          <w:highlight w:val="none"/>
          <w:lang w:eastAsia="zh-CN"/>
        </w:rPr>
        <w:t>广西泰新工程信息咨询有限公司</w:t>
      </w:r>
    </w:p>
    <w:p>
      <w:pPr>
        <w:pStyle w:val="3"/>
        <w:spacing w:before="105" w:line="219" w:lineRule="auto"/>
        <w:ind w:left="4207"/>
        <w:rPr>
          <w:color w:val="auto"/>
          <w:sz w:val="36"/>
          <w:szCs w:val="36"/>
          <w:highlight w:val="none"/>
        </w:rPr>
      </w:pPr>
      <w:r>
        <w:rPr>
          <w:b/>
          <w:bCs/>
          <w:color w:val="auto"/>
          <w:spacing w:val="-7"/>
          <w:sz w:val="36"/>
          <w:szCs w:val="36"/>
          <w:highlight w:val="none"/>
        </w:rPr>
        <w:t>2025年</w:t>
      </w:r>
    </w:p>
    <w:p>
      <w:pPr>
        <w:spacing w:line="219" w:lineRule="auto"/>
        <w:rPr>
          <w:color w:val="auto"/>
          <w:sz w:val="36"/>
          <w:szCs w:val="36"/>
          <w:highlight w:val="none"/>
        </w:rPr>
        <w:sectPr>
          <w:footerReference r:id="rId5" w:type="default"/>
          <w:pgSz w:w="11900" w:h="16830"/>
          <w:pgMar w:top="1430" w:right="1547" w:bottom="1506" w:left="1418" w:header="0" w:footer="1353" w:gutter="0"/>
          <w:cols w:space="720" w:num="1"/>
        </w:sect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sdt>
      <w:sdtPr>
        <w:rPr>
          <w:rFonts w:ascii="宋体" w:hAnsi="宋体" w:eastAsia="宋体" w:cs="宋体"/>
          <w:color w:val="auto"/>
          <w:sz w:val="35"/>
          <w:szCs w:val="35"/>
          <w:highlight w:val="none"/>
        </w:rPr>
        <w:id w:val="147452303"/>
        <w:docPartObj>
          <w:docPartGallery w:val="Table of Contents"/>
          <w:docPartUnique/>
        </w:docPartObj>
      </w:sdtPr>
      <w:sdtEndPr>
        <w:rPr>
          <w:rFonts w:ascii="Times New Roman" w:hAnsi="Times New Roman" w:eastAsia="Times New Roman" w:cs="Times New Roman"/>
          <w:color w:val="auto"/>
          <w:sz w:val="28"/>
          <w:szCs w:val="28"/>
          <w:highlight w:val="none"/>
        </w:rPr>
      </w:sdtEndPr>
      <w:sdtContent>
        <w:p>
          <w:pPr>
            <w:pStyle w:val="3"/>
            <w:spacing w:before="114" w:line="221" w:lineRule="auto"/>
            <w:ind w:left="3250"/>
            <w:rPr>
              <w:color w:val="auto"/>
              <w:sz w:val="35"/>
              <w:szCs w:val="35"/>
              <w:highlight w:val="none"/>
            </w:rPr>
          </w:pPr>
          <w:bookmarkStart w:id="0" w:name="bookmark1"/>
          <w:bookmarkEnd w:id="0"/>
          <w:r>
            <w:rPr>
              <w:b/>
              <w:bCs/>
              <w:color w:val="auto"/>
              <w:spacing w:val="-44"/>
              <w:sz w:val="35"/>
              <w:szCs w:val="35"/>
              <w:highlight w:val="none"/>
            </w:rPr>
            <w:t>目</w:t>
          </w:r>
          <w:r>
            <w:rPr>
              <w:color w:val="auto"/>
              <w:spacing w:val="28"/>
              <w:sz w:val="35"/>
              <w:szCs w:val="35"/>
              <w:highlight w:val="none"/>
            </w:rPr>
            <w:t xml:space="preserve">      </w:t>
          </w:r>
          <w:r>
            <w:rPr>
              <w:b/>
              <w:bCs/>
              <w:color w:val="auto"/>
              <w:spacing w:val="-44"/>
              <w:sz w:val="35"/>
              <w:szCs w:val="35"/>
              <w:highlight w:val="none"/>
            </w:rPr>
            <w:t>录</w:t>
          </w:r>
        </w:p>
        <w:p>
          <w:pPr>
            <w:spacing w:line="378" w:lineRule="auto"/>
            <w:rPr>
              <w:rFonts w:ascii="Arial"/>
              <w:color w:val="auto"/>
              <w:sz w:val="21"/>
              <w:highlight w:val="none"/>
            </w:rPr>
          </w:pPr>
        </w:p>
        <w:p>
          <w:pPr>
            <w:pStyle w:val="3"/>
            <w:tabs>
              <w:tab w:val="right" w:leader="dot" w:pos="8352"/>
            </w:tabs>
            <w:spacing w:before="91" w:line="218" w:lineRule="auto"/>
            <w:ind w:left="249"/>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"bookmark1" </w:instrText>
          </w:r>
          <w:r>
            <w:rPr>
              <w:color w:val="auto"/>
              <w:highlight w:val="none"/>
            </w:rPr>
            <w:fldChar w:fldCharType="separate"/>
          </w:r>
          <w:r>
            <w:rPr>
              <w:b/>
              <w:bCs/>
              <w:color w:val="auto"/>
              <w:spacing w:val="10"/>
              <w:sz w:val="28"/>
              <w:szCs w:val="28"/>
              <w:highlight w:val="none"/>
            </w:rPr>
            <w:t>第一章</w:t>
          </w:r>
          <w:r>
            <w:rPr>
              <w:color w:val="auto"/>
              <w:spacing w:val="10"/>
              <w:sz w:val="28"/>
              <w:szCs w:val="28"/>
              <w:highlight w:val="none"/>
            </w:rPr>
            <w:t xml:space="preserve"> </w:t>
          </w:r>
          <w:r>
            <w:rPr>
              <w:b/>
              <w:bCs/>
              <w:color w:val="auto"/>
              <w:spacing w:val="10"/>
              <w:sz w:val="28"/>
              <w:szCs w:val="28"/>
              <w:highlight w:val="none"/>
            </w:rPr>
            <w:t>公开招标公告</w:t>
          </w:r>
          <w:r>
            <w:rPr>
              <w:color w:val="auto"/>
              <w:spacing w:val="-122"/>
              <w:sz w:val="28"/>
              <w:szCs w:val="28"/>
              <w:highlight w:val="none"/>
            </w:rPr>
            <w:t xml:space="preserve"> </w:t>
          </w:r>
          <w:r>
            <w:rPr>
              <w:color w:val="auto"/>
              <w:sz w:val="28"/>
              <w:szCs w:val="28"/>
              <w:highlight w:val="none"/>
            </w:rPr>
            <w:tab/>
          </w:r>
          <w:r>
            <w:rPr>
              <w:rFonts w:ascii="Times New Roman" w:hAnsi="Times New Roman" w:eastAsia="Times New Roman" w:cs="Times New Roman"/>
              <w:color w:val="auto"/>
              <w:sz w:val="28"/>
              <w:szCs w:val="28"/>
              <w:highlight w:val="none"/>
            </w:rPr>
            <w:t>3</w:t>
          </w:r>
          <w:r>
            <w:rPr>
              <w:rFonts w:ascii="Times New Roman" w:hAnsi="Times New Roman" w:eastAsia="Times New Roman" w:cs="Times New Roman"/>
              <w:color w:val="auto"/>
              <w:sz w:val="28"/>
              <w:szCs w:val="28"/>
              <w:highlight w:val="none"/>
            </w:rPr>
            <w:fldChar w:fldCharType="end"/>
          </w:r>
        </w:p>
        <w:p>
          <w:pPr>
            <w:pStyle w:val="3"/>
            <w:tabs>
              <w:tab w:val="right" w:leader="dot" w:pos="8344"/>
            </w:tabs>
            <w:spacing w:before="150" w:line="219" w:lineRule="auto"/>
            <w:ind w:left="249"/>
            <w:rPr>
              <w:rFonts w:ascii="Times New Roman" w:hAnsi="Times New Roman" w:eastAsia="Times New Roman" w:cs="Times New Roman"/>
              <w:color w:val="auto"/>
              <w:sz w:val="28"/>
              <w:szCs w:val="28"/>
              <w:highlight w:val="none"/>
            </w:rPr>
          </w:pPr>
          <w:r>
            <w:rPr>
              <w:color w:val="auto"/>
              <w:highlight w:val="none"/>
            </w:rPr>
            <w:fldChar w:fldCharType="begin"/>
          </w:r>
          <w:r>
            <w:rPr>
              <w:color w:val="auto"/>
              <w:highlight w:val="none"/>
            </w:rPr>
            <w:instrText xml:space="preserve"> HYPERLINK \l "bookmark2" </w:instrText>
          </w:r>
          <w:r>
            <w:rPr>
              <w:color w:val="auto"/>
              <w:highlight w:val="none"/>
            </w:rPr>
            <w:fldChar w:fldCharType="separate"/>
          </w:r>
          <w:r>
            <w:rPr>
              <w:b/>
              <w:bCs/>
              <w:color w:val="auto"/>
              <w:spacing w:val="10"/>
              <w:sz w:val="28"/>
              <w:szCs w:val="28"/>
              <w:highlight w:val="none"/>
            </w:rPr>
            <w:t>第二章</w:t>
          </w:r>
          <w:r>
            <w:rPr>
              <w:color w:val="auto"/>
              <w:spacing w:val="39"/>
              <w:sz w:val="28"/>
              <w:szCs w:val="28"/>
              <w:highlight w:val="none"/>
            </w:rPr>
            <w:t xml:space="preserve"> </w:t>
          </w:r>
          <w:r>
            <w:rPr>
              <w:b/>
              <w:bCs/>
              <w:color w:val="auto"/>
              <w:spacing w:val="10"/>
              <w:sz w:val="28"/>
              <w:szCs w:val="28"/>
              <w:highlight w:val="none"/>
            </w:rPr>
            <w:t>投标人须知</w:t>
          </w:r>
          <w:r>
            <w:rPr>
              <w:b/>
              <w:bCs/>
              <w:color w:val="auto"/>
              <w:sz w:val="28"/>
              <w:szCs w:val="28"/>
              <w:highlight w:val="none"/>
            </w:rPr>
            <w:tab/>
          </w:r>
          <w:r>
            <w:rPr>
              <w:rFonts w:ascii="Times New Roman" w:hAnsi="Times New Roman" w:eastAsia="Times New Roman" w:cs="Times New Roman"/>
              <w:b/>
              <w:bCs/>
              <w:color w:val="auto"/>
              <w:sz w:val="28"/>
              <w:szCs w:val="28"/>
              <w:highlight w:val="none"/>
            </w:rPr>
            <w:t>6</w:t>
          </w:r>
          <w:r>
            <w:rPr>
              <w:rFonts w:ascii="Times New Roman" w:hAnsi="Times New Roman" w:eastAsia="Times New Roman" w:cs="Times New Roman"/>
              <w:b/>
              <w:bCs/>
              <w:color w:val="auto"/>
              <w:sz w:val="28"/>
              <w:szCs w:val="28"/>
              <w:highlight w:val="none"/>
            </w:rPr>
            <w:fldChar w:fldCharType="end"/>
          </w:r>
        </w:p>
        <w:p>
          <w:pPr>
            <w:pStyle w:val="3"/>
            <w:tabs>
              <w:tab w:val="right" w:leader="dot" w:pos="8342"/>
            </w:tabs>
            <w:spacing w:before="191" w:line="219" w:lineRule="auto"/>
            <w:ind w:left="245"/>
            <w:rPr>
              <w:rFonts w:ascii="Times New Roman" w:hAnsi="Times New Roman" w:eastAsia="Times New Roman" w:cs="Times New Roman"/>
              <w:b/>
              <w:bCs/>
              <w:color w:val="auto"/>
              <w:sz w:val="28"/>
              <w:szCs w:val="28"/>
              <w:highlight w:val="none"/>
            </w:rPr>
          </w:pPr>
          <w:r>
            <w:rPr>
              <w:b/>
              <w:bCs/>
              <w:color w:val="auto"/>
              <w:highlight w:val="none"/>
            </w:rPr>
            <w:fldChar w:fldCharType="begin"/>
          </w:r>
          <w:r>
            <w:rPr>
              <w:b/>
              <w:bCs/>
              <w:color w:val="auto"/>
              <w:highlight w:val="none"/>
            </w:rPr>
            <w:instrText xml:space="preserve"> HYPERLINK \l "bookmark3" </w:instrText>
          </w:r>
          <w:r>
            <w:rPr>
              <w:b/>
              <w:bCs/>
              <w:color w:val="auto"/>
              <w:highlight w:val="none"/>
            </w:rPr>
            <w:fldChar w:fldCharType="separate"/>
          </w:r>
          <w:r>
            <w:rPr>
              <w:b/>
              <w:bCs/>
              <w:color w:val="auto"/>
              <w:spacing w:val="14"/>
              <w:sz w:val="28"/>
              <w:szCs w:val="28"/>
              <w:highlight w:val="none"/>
            </w:rPr>
            <w:t>第三章</w:t>
          </w:r>
          <w:r>
            <w:rPr>
              <w:b/>
              <w:bCs/>
              <w:color w:val="auto"/>
              <w:spacing w:val="54"/>
              <w:sz w:val="28"/>
              <w:szCs w:val="28"/>
              <w:highlight w:val="none"/>
            </w:rPr>
            <w:t xml:space="preserve"> </w:t>
          </w:r>
          <w:r>
            <w:rPr>
              <w:b/>
              <w:bCs/>
              <w:color w:val="auto"/>
              <w:spacing w:val="14"/>
              <w:sz w:val="28"/>
              <w:szCs w:val="28"/>
              <w:highlight w:val="none"/>
            </w:rPr>
            <w:t>项目需求</w:t>
          </w:r>
          <w:r>
            <w:rPr>
              <w:b/>
              <w:bCs/>
              <w:color w:val="auto"/>
              <w:spacing w:val="-124"/>
              <w:sz w:val="28"/>
              <w:szCs w:val="28"/>
              <w:highlight w:val="none"/>
            </w:rPr>
            <w:t xml:space="preserve"> </w:t>
          </w:r>
          <w:r>
            <w:rPr>
              <w:b/>
              <w:bCs/>
              <w:color w:val="auto"/>
              <w:sz w:val="28"/>
              <w:szCs w:val="28"/>
              <w:highlight w:val="none"/>
            </w:rPr>
            <w:tab/>
          </w:r>
          <w:r>
            <w:rPr>
              <w:rFonts w:ascii="Times New Roman" w:hAnsi="Times New Roman" w:eastAsia="Times New Roman" w:cs="Times New Roman"/>
              <w:b/>
              <w:bCs/>
              <w:color w:val="auto"/>
              <w:spacing w:val="-5"/>
              <w:sz w:val="28"/>
              <w:szCs w:val="28"/>
              <w:highlight w:val="none"/>
            </w:rPr>
            <w:t>31</w:t>
          </w:r>
          <w:r>
            <w:rPr>
              <w:rFonts w:ascii="Times New Roman" w:hAnsi="Times New Roman" w:eastAsia="Times New Roman" w:cs="Times New Roman"/>
              <w:b/>
              <w:bCs/>
              <w:color w:val="auto"/>
              <w:spacing w:val="-5"/>
              <w:sz w:val="28"/>
              <w:szCs w:val="28"/>
              <w:highlight w:val="none"/>
            </w:rPr>
            <w:fldChar w:fldCharType="end"/>
          </w:r>
        </w:p>
        <w:p>
          <w:pPr>
            <w:pStyle w:val="3"/>
            <w:tabs>
              <w:tab w:val="right" w:leader="dot" w:pos="8332"/>
            </w:tabs>
            <w:spacing w:before="197" w:line="219" w:lineRule="auto"/>
            <w:ind w:left="245"/>
            <w:rPr>
              <w:rFonts w:ascii="Times New Roman" w:hAnsi="Times New Roman" w:eastAsia="Times New Roman" w:cs="Times New Roman"/>
              <w:b/>
              <w:bCs/>
              <w:color w:val="auto"/>
              <w:sz w:val="28"/>
              <w:szCs w:val="28"/>
              <w:highlight w:val="none"/>
            </w:rPr>
          </w:pPr>
          <w:r>
            <w:rPr>
              <w:b/>
              <w:bCs/>
              <w:color w:val="auto"/>
              <w:highlight w:val="none"/>
            </w:rPr>
            <w:fldChar w:fldCharType="begin"/>
          </w:r>
          <w:r>
            <w:rPr>
              <w:b/>
              <w:bCs/>
              <w:color w:val="auto"/>
              <w:highlight w:val="none"/>
            </w:rPr>
            <w:instrText xml:space="preserve"> HYPERLINK \l "bookmark4" </w:instrText>
          </w:r>
          <w:r>
            <w:rPr>
              <w:b/>
              <w:bCs/>
              <w:color w:val="auto"/>
              <w:highlight w:val="none"/>
            </w:rPr>
            <w:fldChar w:fldCharType="separate"/>
          </w:r>
          <w:r>
            <w:rPr>
              <w:b/>
              <w:bCs/>
              <w:color w:val="auto"/>
              <w:spacing w:val="17"/>
              <w:sz w:val="28"/>
              <w:szCs w:val="28"/>
              <w:highlight w:val="none"/>
            </w:rPr>
            <w:t>第四章</w:t>
          </w:r>
          <w:r>
            <w:rPr>
              <w:b/>
              <w:bCs/>
              <w:color w:val="auto"/>
              <w:spacing w:val="49"/>
              <w:sz w:val="28"/>
              <w:szCs w:val="28"/>
              <w:highlight w:val="none"/>
            </w:rPr>
            <w:t xml:space="preserve"> </w:t>
          </w:r>
          <w:r>
            <w:rPr>
              <w:b/>
              <w:bCs/>
              <w:color w:val="auto"/>
              <w:spacing w:val="17"/>
              <w:sz w:val="28"/>
              <w:szCs w:val="28"/>
              <w:highlight w:val="none"/>
            </w:rPr>
            <w:t>评标办法</w:t>
          </w:r>
          <w:r>
            <w:rPr>
              <w:b/>
              <w:bCs/>
              <w:color w:val="auto"/>
              <w:spacing w:val="-119"/>
              <w:sz w:val="28"/>
              <w:szCs w:val="28"/>
              <w:highlight w:val="none"/>
            </w:rPr>
            <w:t xml:space="preserve"> </w:t>
          </w:r>
          <w:r>
            <w:rPr>
              <w:b/>
              <w:bCs/>
              <w:color w:val="auto"/>
              <w:sz w:val="28"/>
              <w:szCs w:val="28"/>
              <w:highlight w:val="none"/>
            </w:rPr>
            <w:tab/>
          </w:r>
          <w:r>
            <w:rPr>
              <w:rFonts w:ascii="Times New Roman" w:hAnsi="Times New Roman" w:eastAsia="Times New Roman" w:cs="Times New Roman"/>
              <w:b/>
              <w:bCs/>
              <w:color w:val="auto"/>
              <w:spacing w:val="-4"/>
              <w:sz w:val="28"/>
              <w:szCs w:val="28"/>
              <w:highlight w:val="none"/>
            </w:rPr>
            <w:t>38</w:t>
          </w:r>
          <w:r>
            <w:rPr>
              <w:rFonts w:ascii="Times New Roman" w:hAnsi="Times New Roman" w:eastAsia="Times New Roman" w:cs="Times New Roman"/>
              <w:b/>
              <w:bCs/>
              <w:color w:val="auto"/>
              <w:spacing w:val="-4"/>
              <w:sz w:val="28"/>
              <w:szCs w:val="28"/>
              <w:highlight w:val="none"/>
            </w:rPr>
            <w:fldChar w:fldCharType="end"/>
          </w:r>
        </w:p>
        <w:p>
          <w:pPr>
            <w:pStyle w:val="3"/>
            <w:tabs>
              <w:tab w:val="right" w:leader="dot" w:pos="8360"/>
            </w:tabs>
            <w:spacing w:before="188" w:line="219" w:lineRule="auto"/>
            <w:ind w:left="245"/>
            <w:rPr>
              <w:rFonts w:ascii="Times New Roman" w:hAnsi="Times New Roman" w:eastAsia="Times New Roman" w:cs="Times New Roman"/>
              <w:b/>
              <w:bCs/>
              <w:color w:val="auto"/>
              <w:sz w:val="28"/>
              <w:szCs w:val="28"/>
              <w:highlight w:val="none"/>
            </w:rPr>
          </w:pPr>
          <w:r>
            <w:rPr>
              <w:b/>
              <w:bCs/>
              <w:color w:val="auto"/>
              <w:highlight w:val="none"/>
            </w:rPr>
            <w:fldChar w:fldCharType="begin"/>
          </w:r>
          <w:r>
            <w:rPr>
              <w:b/>
              <w:bCs/>
              <w:color w:val="auto"/>
              <w:highlight w:val="none"/>
            </w:rPr>
            <w:instrText xml:space="preserve"> HYPERLINK \l "bookmark5" </w:instrText>
          </w:r>
          <w:r>
            <w:rPr>
              <w:b/>
              <w:bCs/>
              <w:color w:val="auto"/>
              <w:highlight w:val="none"/>
            </w:rPr>
            <w:fldChar w:fldCharType="separate"/>
          </w:r>
          <w:r>
            <w:rPr>
              <w:b/>
              <w:bCs/>
              <w:color w:val="auto"/>
              <w:spacing w:val="17"/>
              <w:sz w:val="28"/>
              <w:szCs w:val="28"/>
              <w:highlight w:val="none"/>
            </w:rPr>
            <w:t xml:space="preserve">第五章 </w:t>
          </w:r>
          <w:r>
            <w:rPr>
              <w:rFonts w:hint="eastAsia"/>
              <w:b/>
              <w:bCs/>
              <w:color w:val="auto"/>
              <w:spacing w:val="17"/>
              <w:sz w:val="28"/>
              <w:szCs w:val="28"/>
              <w:highlight w:val="none"/>
              <w:lang w:val="en-US" w:eastAsia="zh-CN"/>
            </w:rPr>
            <w:t>拟签订的</w:t>
          </w:r>
          <w:r>
            <w:rPr>
              <w:b/>
              <w:bCs/>
              <w:color w:val="auto"/>
              <w:spacing w:val="17"/>
              <w:sz w:val="28"/>
              <w:szCs w:val="28"/>
              <w:highlight w:val="none"/>
            </w:rPr>
            <w:t>政府采购合同(合同主要条款及格式)</w:t>
          </w:r>
          <w:r>
            <w:rPr>
              <w:b/>
              <w:bCs/>
              <w:color w:val="auto"/>
              <w:sz w:val="28"/>
              <w:szCs w:val="28"/>
              <w:highlight w:val="none"/>
            </w:rPr>
            <w:tab/>
          </w:r>
          <w:r>
            <w:rPr>
              <w:b/>
              <w:bCs/>
              <w:color w:val="auto"/>
              <w:spacing w:val="-18"/>
              <w:sz w:val="28"/>
              <w:szCs w:val="28"/>
              <w:highlight w:val="none"/>
            </w:rPr>
            <w:t xml:space="preserve"> </w:t>
          </w:r>
          <w:r>
            <w:rPr>
              <w:rFonts w:ascii="Times New Roman" w:hAnsi="Times New Roman" w:eastAsia="Times New Roman" w:cs="Times New Roman"/>
              <w:b/>
              <w:bCs/>
              <w:color w:val="auto"/>
              <w:spacing w:val="-3"/>
              <w:sz w:val="28"/>
              <w:szCs w:val="28"/>
              <w:highlight w:val="none"/>
            </w:rPr>
            <w:t>42</w:t>
          </w:r>
          <w:r>
            <w:rPr>
              <w:rFonts w:ascii="Times New Roman" w:hAnsi="Times New Roman" w:eastAsia="Times New Roman" w:cs="Times New Roman"/>
              <w:b/>
              <w:bCs/>
              <w:color w:val="auto"/>
              <w:spacing w:val="-3"/>
              <w:sz w:val="28"/>
              <w:szCs w:val="28"/>
              <w:highlight w:val="none"/>
            </w:rPr>
            <w:fldChar w:fldCharType="end"/>
          </w:r>
        </w:p>
        <w:p>
          <w:pPr>
            <w:pStyle w:val="3"/>
            <w:tabs>
              <w:tab w:val="right" w:leader="dot" w:pos="8330"/>
            </w:tabs>
            <w:spacing w:before="188" w:line="219" w:lineRule="auto"/>
            <w:ind w:left="245"/>
            <w:rPr>
              <w:rFonts w:ascii="Times New Roman" w:hAnsi="Times New Roman" w:eastAsia="Times New Roman" w:cs="Times New Roman"/>
              <w:color w:val="auto"/>
              <w:sz w:val="28"/>
              <w:szCs w:val="28"/>
              <w:highlight w:val="none"/>
            </w:rPr>
          </w:pPr>
          <w:r>
            <w:rPr>
              <w:b/>
              <w:bCs/>
              <w:color w:val="auto"/>
              <w:highlight w:val="none"/>
            </w:rPr>
            <w:fldChar w:fldCharType="begin"/>
          </w:r>
          <w:r>
            <w:rPr>
              <w:b/>
              <w:bCs/>
              <w:color w:val="auto"/>
              <w:highlight w:val="none"/>
            </w:rPr>
            <w:instrText xml:space="preserve"> HYPERLINK \l "bookmark6" </w:instrText>
          </w:r>
          <w:r>
            <w:rPr>
              <w:b/>
              <w:bCs/>
              <w:color w:val="auto"/>
              <w:highlight w:val="none"/>
            </w:rPr>
            <w:fldChar w:fldCharType="separate"/>
          </w:r>
          <w:r>
            <w:rPr>
              <w:b/>
              <w:bCs/>
              <w:color w:val="auto"/>
              <w:spacing w:val="28"/>
              <w:sz w:val="28"/>
              <w:szCs w:val="28"/>
              <w:highlight w:val="none"/>
            </w:rPr>
            <w:t>第六章</w:t>
          </w:r>
          <w:r>
            <w:rPr>
              <w:b/>
              <w:bCs/>
              <w:color w:val="auto"/>
              <w:spacing w:val="42"/>
              <w:sz w:val="28"/>
              <w:szCs w:val="28"/>
              <w:highlight w:val="none"/>
            </w:rPr>
            <w:t xml:space="preserve"> </w:t>
          </w:r>
          <w:r>
            <w:rPr>
              <w:b/>
              <w:bCs/>
              <w:color w:val="auto"/>
              <w:spacing w:val="28"/>
              <w:sz w:val="28"/>
              <w:szCs w:val="28"/>
              <w:highlight w:val="none"/>
            </w:rPr>
            <w:t>投标文件(格式)</w:t>
          </w:r>
          <w:r>
            <w:rPr>
              <w:b/>
              <w:bCs/>
              <w:color w:val="auto"/>
              <w:sz w:val="28"/>
              <w:szCs w:val="28"/>
              <w:highlight w:val="none"/>
            </w:rPr>
            <w:tab/>
          </w:r>
          <w:r>
            <w:rPr>
              <w:b/>
              <w:bCs/>
              <w:color w:val="auto"/>
              <w:spacing w:val="-38"/>
              <w:sz w:val="28"/>
              <w:szCs w:val="28"/>
              <w:highlight w:val="none"/>
            </w:rPr>
            <w:t xml:space="preserve"> </w:t>
          </w:r>
          <w:r>
            <w:rPr>
              <w:rFonts w:ascii="Times New Roman" w:hAnsi="Times New Roman" w:eastAsia="Times New Roman" w:cs="Times New Roman"/>
              <w:b/>
              <w:bCs/>
              <w:color w:val="auto"/>
              <w:spacing w:val="-2"/>
              <w:sz w:val="28"/>
              <w:szCs w:val="28"/>
              <w:highlight w:val="none"/>
            </w:rPr>
            <w:t>44</w:t>
          </w:r>
          <w:r>
            <w:rPr>
              <w:rFonts w:ascii="Times New Roman" w:hAnsi="Times New Roman" w:eastAsia="Times New Roman" w:cs="Times New Roman"/>
              <w:b/>
              <w:bCs/>
              <w:color w:val="auto"/>
              <w:spacing w:val="-2"/>
              <w:sz w:val="28"/>
              <w:szCs w:val="28"/>
              <w:highlight w:val="none"/>
            </w:rPr>
            <w:fldChar w:fldCharType="end"/>
          </w:r>
        </w:p>
      </w:sdtContent>
    </w:sdt>
    <w:p>
      <w:pPr>
        <w:spacing w:line="219" w:lineRule="auto"/>
        <w:rPr>
          <w:rFonts w:ascii="Times New Roman" w:hAnsi="Times New Roman" w:eastAsia="Times New Roman" w:cs="Times New Roman"/>
          <w:color w:val="auto"/>
          <w:sz w:val="28"/>
          <w:szCs w:val="28"/>
          <w:highlight w:val="none"/>
        </w:rPr>
        <w:sectPr>
          <w:headerReference r:id="rId6" w:type="default"/>
          <w:footerReference r:id="rId7" w:type="default"/>
          <w:pgSz w:w="11900" w:h="16830"/>
          <w:pgMar w:top="400" w:right="1754" w:bottom="850" w:left="1785" w:header="0" w:footer="642" w:gutter="0"/>
          <w:cols w:space="720" w:num="1"/>
        </w:sectPr>
      </w:pPr>
    </w:p>
    <w:p>
      <w:pPr>
        <w:spacing w:line="319" w:lineRule="auto"/>
        <w:rPr>
          <w:rFonts w:ascii="Arial"/>
          <w:color w:val="auto"/>
          <w:sz w:val="21"/>
          <w:highlight w:val="none"/>
        </w:rPr>
      </w:pPr>
    </w:p>
    <w:p>
      <w:pPr>
        <w:spacing w:line="320" w:lineRule="auto"/>
        <w:rPr>
          <w:rFonts w:ascii="Arial"/>
          <w:color w:val="auto"/>
          <w:sz w:val="21"/>
          <w:highlight w:val="none"/>
        </w:rPr>
      </w:pPr>
    </w:p>
    <w:p>
      <w:pPr>
        <w:spacing w:line="320" w:lineRule="auto"/>
        <w:rPr>
          <w:rFonts w:ascii="Arial"/>
          <w:color w:val="auto"/>
          <w:sz w:val="21"/>
          <w:highlight w:val="none"/>
        </w:rPr>
      </w:pPr>
    </w:p>
    <w:p>
      <w:pPr>
        <w:pStyle w:val="3"/>
        <w:spacing w:before="143" w:line="218" w:lineRule="auto"/>
        <w:ind w:left="2801"/>
        <w:outlineLvl w:val="0"/>
        <w:rPr>
          <w:color w:val="auto"/>
          <w:sz w:val="44"/>
          <w:szCs w:val="44"/>
          <w:highlight w:val="none"/>
        </w:rPr>
      </w:pPr>
      <w:bookmarkStart w:id="1" w:name="bookmark1"/>
      <w:bookmarkEnd w:id="1"/>
      <w:r>
        <w:rPr>
          <w:b/>
          <w:bCs/>
          <w:color w:val="auto"/>
          <w:spacing w:val="-6"/>
          <w:sz w:val="44"/>
          <w:szCs w:val="44"/>
          <w:highlight w:val="none"/>
        </w:rPr>
        <w:t>第一章</w:t>
      </w:r>
      <w:r>
        <w:rPr>
          <w:color w:val="auto"/>
          <w:spacing w:val="209"/>
          <w:sz w:val="44"/>
          <w:szCs w:val="44"/>
          <w:highlight w:val="none"/>
        </w:rPr>
        <w:t xml:space="preserve"> </w:t>
      </w:r>
      <w:r>
        <w:rPr>
          <w:b/>
          <w:bCs/>
          <w:color w:val="auto"/>
          <w:spacing w:val="-6"/>
          <w:sz w:val="44"/>
          <w:szCs w:val="44"/>
          <w:highlight w:val="none"/>
        </w:rPr>
        <w:t>公开招标公告</w:t>
      </w:r>
    </w:p>
    <w:p>
      <w:pPr>
        <w:spacing w:before="35"/>
        <w:rPr>
          <w:color w:val="auto"/>
          <w:highlight w:val="none"/>
        </w:rPr>
      </w:pPr>
    </w:p>
    <w:tbl>
      <w:tblPr>
        <w:tblStyle w:val="8"/>
        <w:tblW w:w="9849" w:type="dxa"/>
        <w:tblInd w:w="5"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0" w:type="dxa"/>
          <w:bottom w:w="0" w:type="dxa"/>
          <w:right w:w="0" w:type="dxa"/>
        </w:tblCellMar>
      </w:tblPr>
      <w:tblGrid>
        <w:gridCol w:w="9849"/>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0" w:type="dxa"/>
            <w:bottom w:w="0" w:type="dxa"/>
            <w:right w:w="0" w:type="dxa"/>
          </w:tblCellMar>
        </w:tblPrEx>
        <w:trPr>
          <w:trHeight w:val="1210" w:hRule="atLeast"/>
        </w:trPr>
        <w:tc>
          <w:tcPr>
            <w:tcW w:w="9849" w:type="dxa"/>
            <w:vAlign w:val="top"/>
          </w:tcPr>
          <w:p>
            <w:pPr>
              <w:spacing w:before="14" w:line="219" w:lineRule="auto"/>
              <w:ind w:left="44"/>
              <w:rPr>
                <w:rFonts w:ascii="宋体" w:hAnsi="宋体" w:eastAsia="宋体" w:cs="宋体"/>
                <w:color w:val="auto"/>
                <w:sz w:val="23"/>
                <w:szCs w:val="23"/>
                <w:highlight w:val="none"/>
              </w:rPr>
            </w:pPr>
            <w:r>
              <w:rPr>
                <w:rFonts w:ascii="宋体" w:hAnsi="宋体" w:eastAsia="宋体" w:cs="宋体"/>
                <w:color w:val="auto"/>
                <w:spacing w:val="2"/>
                <w:sz w:val="23"/>
                <w:szCs w:val="23"/>
                <w:highlight w:val="none"/>
              </w:rPr>
              <w:t>项目概况</w:t>
            </w:r>
          </w:p>
          <w:p>
            <w:pPr>
              <w:spacing w:before="125" w:line="316" w:lineRule="auto"/>
              <w:ind w:left="44" w:right="1" w:firstLine="560"/>
              <w:rPr>
                <w:rFonts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u w:val="single"/>
                <w:lang w:eastAsia="zh-CN"/>
              </w:rPr>
              <w:t>秀峰区区属学校、幼儿园校园保安服务</w:t>
            </w:r>
            <w:r>
              <w:rPr>
                <w:rFonts w:ascii="宋体" w:hAnsi="宋体" w:eastAsia="宋体" w:cs="宋体"/>
                <w:color w:val="auto"/>
                <w:spacing w:val="-10"/>
                <w:sz w:val="23"/>
                <w:szCs w:val="23"/>
                <w:highlight w:val="none"/>
              </w:rPr>
              <w:t>的潜在投标人应在广西政府采购云</w:t>
            </w:r>
            <w:r>
              <w:rPr>
                <w:rFonts w:ascii="宋体" w:hAnsi="宋体" w:eastAsia="宋体" w:cs="宋体"/>
                <w:color w:val="auto"/>
                <w:spacing w:val="-11"/>
                <w:sz w:val="23"/>
                <w:szCs w:val="23"/>
                <w:highlight w:val="none"/>
              </w:rPr>
              <w:t>平台线上获取招标文</w:t>
            </w:r>
            <w:r>
              <w:rPr>
                <w:rFonts w:ascii="宋体" w:hAnsi="宋体" w:eastAsia="宋体" w:cs="宋体"/>
                <w:color w:val="auto"/>
                <w:sz w:val="23"/>
                <w:szCs w:val="23"/>
                <w:highlight w:val="none"/>
              </w:rPr>
              <w:t xml:space="preserve"> 件，并于</w:t>
            </w:r>
            <w:r>
              <w:rPr>
                <w:rFonts w:hint="eastAsia" w:ascii="宋体" w:hAnsi="宋体" w:eastAsia="宋体" w:cs="宋体"/>
                <w:color w:val="auto"/>
                <w:sz w:val="23"/>
                <w:szCs w:val="23"/>
                <w:highlight w:val="none"/>
                <w:lang w:eastAsia="zh-CN"/>
              </w:rPr>
              <w:t>2025年12月24日</w:t>
            </w:r>
            <w:r>
              <w:rPr>
                <w:rFonts w:ascii="宋体" w:hAnsi="宋体" w:eastAsia="宋体" w:cs="宋体"/>
                <w:color w:val="auto"/>
                <w:sz w:val="23"/>
                <w:szCs w:val="23"/>
                <w:highlight w:val="none"/>
              </w:rPr>
              <w:t>09:30(北京时间)前递</w:t>
            </w:r>
            <w:r>
              <w:rPr>
                <w:rFonts w:ascii="宋体" w:hAnsi="宋体" w:eastAsia="宋体" w:cs="宋体"/>
                <w:color w:val="auto"/>
                <w:spacing w:val="-1"/>
                <w:sz w:val="23"/>
                <w:szCs w:val="23"/>
                <w:highlight w:val="none"/>
              </w:rPr>
              <w:t>交投标文件。</w:t>
            </w:r>
          </w:p>
        </w:tc>
      </w:tr>
    </w:tbl>
    <w:p>
      <w:pPr>
        <w:pStyle w:val="3"/>
        <w:spacing w:before="9" w:line="219" w:lineRule="auto"/>
        <w:ind w:left="498"/>
        <w:rPr>
          <w:color w:val="auto"/>
          <w:sz w:val="22"/>
          <w:szCs w:val="22"/>
          <w:highlight w:val="none"/>
        </w:rPr>
      </w:pPr>
      <w:r>
        <w:rPr>
          <w:b/>
          <w:bCs/>
          <w:color w:val="auto"/>
          <w:spacing w:val="-5"/>
          <w:sz w:val="22"/>
          <w:szCs w:val="22"/>
          <w:highlight w:val="none"/>
        </w:rPr>
        <w:t>一、顶目基本情况</w:t>
      </w:r>
    </w:p>
    <w:p>
      <w:pPr>
        <w:pStyle w:val="3"/>
        <w:spacing w:before="181" w:line="221" w:lineRule="auto"/>
        <w:ind w:left="485"/>
        <w:rPr>
          <w:rFonts w:hint="eastAsia" w:eastAsia="黑体"/>
          <w:color w:val="auto"/>
          <w:sz w:val="21"/>
          <w:szCs w:val="21"/>
          <w:highlight w:val="none"/>
          <w:lang w:eastAsia="zh-CN"/>
        </w:rPr>
      </w:pPr>
      <w:r>
        <w:rPr>
          <w:rFonts w:ascii="黑体" w:hAnsi="黑体" w:eastAsia="黑体" w:cs="黑体"/>
          <w:color w:val="auto"/>
          <w:spacing w:val="-1"/>
          <w:sz w:val="21"/>
          <w:szCs w:val="21"/>
          <w:highlight w:val="none"/>
        </w:rPr>
        <w:t>项目编号：</w:t>
      </w:r>
      <w:r>
        <w:rPr>
          <w:rFonts w:hint="eastAsia" w:eastAsia="黑体"/>
          <w:color w:val="auto"/>
          <w:spacing w:val="-1"/>
          <w:sz w:val="21"/>
          <w:szCs w:val="21"/>
          <w:highlight w:val="none"/>
          <w:lang w:eastAsia="zh-CN"/>
        </w:rPr>
        <w:t>GLZC2025-G3-990646-TXZX</w:t>
      </w:r>
    </w:p>
    <w:p>
      <w:pPr>
        <w:spacing w:before="158" w:line="221" w:lineRule="auto"/>
        <w:ind w:left="485"/>
        <w:rPr>
          <w:rFonts w:hint="eastAsia" w:ascii="黑体" w:hAnsi="黑体" w:eastAsia="黑体" w:cs="黑体"/>
          <w:color w:val="auto"/>
          <w:sz w:val="21"/>
          <w:szCs w:val="21"/>
          <w:highlight w:val="none"/>
          <w:lang w:eastAsia="zh-CN"/>
        </w:rPr>
      </w:pPr>
      <w:r>
        <w:rPr>
          <w:rFonts w:ascii="黑体" w:hAnsi="黑体" w:eastAsia="黑体" w:cs="黑体"/>
          <w:color w:val="auto"/>
          <w:sz w:val="21"/>
          <w:szCs w:val="21"/>
          <w:highlight w:val="none"/>
        </w:rPr>
        <w:t>项目名称：</w:t>
      </w:r>
      <w:r>
        <w:rPr>
          <w:rFonts w:hint="eastAsia" w:ascii="黑体" w:hAnsi="黑体" w:eastAsia="黑体" w:cs="黑体"/>
          <w:color w:val="auto"/>
          <w:sz w:val="21"/>
          <w:szCs w:val="21"/>
          <w:highlight w:val="none"/>
          <w:lang w:eastAsia="zh-CN"/>
        </w:rPr>
        <w:t>秀峰区区属学校、幼儿园校园保安服务</w:t>
      </w:r>
    </w:p>
    <w:p>
      <w:pPr>
        <w:pStyle w:val="3"/>
        <w:spacing w:before="149" w:line="222" w:lineRule="auto"/>
        <w:ind w:left="485"/>
        <w:rPr>
          <w:rFonts w:ascii="黑体" w:hAnsi="黑体" w:eastAsia="黑体" w:cs="黑体"/>
          <w:color w:val="auto"/>
          <w:sz w:val="21"/>
          <w:szCs w:val="21"/>
          <w:highlight w:val="none"/>
        </w:rPr>
      </w:pPr>
      <w:r>
        <w:rPr>
          <w:rFonts w:ascii="黑体" w:hAnsi="黑体" w:eastAsia="黑体" w:cs="黑体"/>
          <w:color w:val="auto"/>
          <w:spacing w:val="15"/>
          <w:sz w:val="21"/>
          <w:szCs w:val="21"/>
          <w:highlight w:val="none"/>
        </w:rPr>
        <w:t>预算金额(元):</w:t>
      </w:r>
      <w:r>
        <w:rPr>
          <w:rFonts w:hint="eastAsia" w:ascii="黑体" w:hAnsi="黑体" w:eastAsia="黑体" w:cs="黑体"/>
          <w:color w:val="auto"/>
          <w:spacing w:val="15"/>
          <w:sz w:val="21"/>
          <w:szCs w:val="21"/>
          <w:highlight w:val="none"/>
          <w:lang w:eastAsia="zh-CN"/>
        </w:rPr>
        <w:t>4851000.00</w:t>
      </w:r>
      <w:r>
        <w:rPr>
          <w:rFonts w:ascii="黑体" w:hAnsi="黑体" w:eastAsia="黑体" w:cs="黑体"/>
          <w:color w:val="auto"/>
          <w:spacing w:val="15"/>
          <w:sz w:val="21"/>
          <w:szCs w:val="21"/>
          <w:highlight w:val="none"/>
        </w:rPr>
        <w:t>元。</w:t>
      </w:r>
    </w:p>
    <w:p>
      <w:pPr>
        <w:spacing w:before="148" w:line="222" w:lineRule="auto"/>
        <w:ind w:left="485"/>
        <w:rPr>
          <w:rFonts w:ascii="黑体" w:hAnsi="黑体" w:eastAsia="黑体" w:cs="黑体"/>
          <w:color w:val="auto"/>
          <w:sz w:val="21"/>
          <w:szCs w:val="21"/>
          <w:highlight w:val="none"/>
        </w:rPr>
      </w:pPr>
      <w:r>
        <w:rPr>
          <w:rFonts w:ascii="黑体" w:hAnsi="黑体" w:eastAsia="黑体" w:cs="黑体"/>
          <w:color w:val="auto"/>
          <w:sz w:val="21"/>
          <w:szCs w:val="21"/>
          <w:highlight w:val="none"/>
        </w:rPr>
        <w:t>最高限价：无。</w:t>
      </w:r>
    </w:p>
    <w:p>
      <w:pPr>
        <w:spacing w:before="149" w:line="223" w:lineRule="auto"/>
        <w:ind w:left="48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采购需求：</w:t>
      </w:r>
    </w:p>
    <w:p>
      <w:pPr>
        <w:spacing w:before="164" w:line="221" w:lineRule="auto"/>
        <w:ind w:left="485"/>
        <w:rPr>
          <w:rFonts w:hint="eastAsia" w:ascii="黑体" w:hAnsi="黑体" w:eastAsia="黑体" w:cs="黑体"/>
          <w:color w:val="auto"/>
          <w:sz w:val="21"/>
          <w:szCs w:val="21"/>
          <w:highlight w:val="none"/>
          <w:lang w:eastAsia="zh-CN"/>
        </w:rPr>
      </w:pPr>
      <w:r>
        <w:rPr>
          <w:rFonts w:ascii="黑体" w:hAnsi="黑体" w:eastAsia="黑体" w:cs="黑体"/>
          <w:color w:val="auto"/>
          <w:spacing w:val="-4"/>
          <w:sz w:val="21"/>
          <w:szCs w:val="21"/>
          <w:highlight w:val="none"/>
        </w:rPr>
        <w:t>标项名称：</w:t>
      </w:r>
      <w:r>
        <w:rPr>
          <w:rFonts w:hint="eastAsia" w:ascii="黑体" w:hAnsi="黑体" w:eastAsia="黑体" w:cs="黑体"/>
          <w:color w:val="auto"/>
          <w:spacing w:val="-4"/>
          <w:sz w:val="21"/>
          <w:szCs w:val="21"/>
          <w:highlight w:val="none"/>
          <w:lang w:eastAsia="zh-CN"/>
        </w:rPr>
        <w:t>秀峰区区属学校、幼儿园校园保安服务</w:t>
      </w:r>
    </w:p>
    <w:p>
      <w:pPr>
        <w:spacing w:before="170" w:line="222" w:lineRule="auto"/>
        <w:ind w:left="485"/>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数量：1</w:t>
      </w:r>
    </w:p>
    <w:p>
      <w:pPr>
        <w:spacing w:before="146" w:line="222" w:lineRule="auto"/>
        <w:ind w:left="485"/>
        <w:rPr>
          <w:rFonts w:ascii="黑体" w:hAnsi="黑体" w:eastAsia="黑体" w:cs="黑体"/>
          <w:color w:val="auto"/>
          <w:sz w:val="21"/>
          <w:szCs w:val="21"/>
          <w:highlight w:val="none"/>
        </w:rPr>
      </w:pPr>
      <w:r>
        <w:rPr>
          <w:rFonts w:ascii="黑体" w:hAnsi="黑体" w:eastAsia="黑体" w:cs="黑体"/>
          <w:color w:val="auto"/>
          <w:spacing w:val="19"/>
          <w:sz w:val="21"/>
          <w:szCs w:val="21"/>
          <w:highlight w:val="none"/>
        </w:rPr>
        <w:t>预算金额(元):</w:t>
      </w:r>
      <w:r>
        <w:rPr>
          <w:rFonts w:hint="eastAsia" w:ascii="黑体" w:hAnsi="黑体" w:eastAsia="黑体" w:cs="黑体"/>
          <w:color w:val="auto"/>
          <w:spacing w:val="19"/>
          <w:sz w:val="21"/>
          <w:szCs w:val="21"/>
          <w:highlight w:val="none"/>
          <w:lang w:eastAsia="zh-CN"/>
        </w:rPr>
        <w:t>4851000.00</w:t>
      </w:r>
      <w:r>
        <w:rPr>
          <w:rFonts w:ascii="黑体" w:hAnsi="黑体" w:eastAsia="黑体" w:cs="黑体"/>
          <w:color w:val="auto"/>
          <w:spacing w:val="19"/>
          <w:sz w:val="21"/>
          <w:szCs w:val="21"/>
          <w:highlight w:val="none"/>
        </w:rPr>
        <w:t>元</w:t>
      </w:r>
    </w:p>
    <w:p>
      <w:pPr>
        <w:spacing w:before="157" w:line="221" w:lineRule="auto"/>
        <w:ind w:left="48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简要规格描述或项目基本概况介绍、用途：详见招标文件</w:t>
      </w:r>
    </w:p>
    <w:p>
      <w:pPr>
        <w:spacing w:before="150" w:line="222" w:lineRule="auto"/>
        <w:ind w:left="485"/>
        <w:rPr>
          <w:rFonts w:ascii="黑体" w:hAnsi="黑体" w:eastAsia="黑体" w:cs="黑体"/>
          <w:color w:val="auto"/>
          <w:sz w:val="21"/>
          <w:szCs w:val="21"/>
          <w:highlight w:val="none"/>
        </w:rPr>
      </w:pPr>
      <w:r>
        <w:rPr>
          <w:rFonts w:ascii="黑体" w:hAnsi="黑体" w:eastAsia="黑体" w:cs="黑体"/>
          <w:color w:val="auto"/>
          <w:spacing w:val="18"/>
          <w:sz w:val="21"/>
          <w:szCs w:val="21"/>
          <w:highlight w:val="none"/>
        </w:rPr>
        <w:t>最高限价(如有):</w:t>
      </w:r>
      <w:r>
        <w:rPr>
          <w:rFonts w:hint="eastAsia" w:ascii="黑体" w:hAnsi="黑体" w:eastAsia="黑体" w:cs="黑体"/>
          <w:color w:val="auto"/>
          <w:spacing w:val="18"/>
          <w:sz w:val="21"/>
          <w:szCs w:val="21"/>
          <w:highlight w:val="none"/>
          <w:lang w:eastAsia="zh-CN"/>
        </w:rPr>
        <w:t>4851000.00</w:t>
      </w:r>
      <w:r>
        <w:rPr>
          <w:rFonts w:ascii="黑体" w:hAnsi="黑体" w:eastAsia="黑体" w:cs="黑体"/>
          <w:color w:val="auto"/>
          <w:spacing w:val="18"/>
          <w:sz w:val="21"/>
          <w:szCs w:val="21"/>
          <w:highlight w:val="none"/>
        </w:rPr>
        <w:t>元</w:t>
      </w:r>
    </w:p>
    <w:p>
      <w:pPr>
        <w:spacing w:before="147" w:line="221" w:lineRule="auto"/>
        <w:ind w:left="48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合同履约期限：详见招标文件</w:t>
      </w:r>
    </w:p>
    <w:p>
      <w:pPr>
        <w:spacing w:before="149" w:line="222" w:lineRule="auto"/>
        <w:ind w:left="485"/>
        <w:rPr>
          <w:rFonts w:ascii="黑体" w:hAnsi="黑体" w:eastAsia="黑体" w:cs="黑体"/>
          <w:color w:val="auto"/>
          <w:sz w:val="21"/>
          <w:szCs w:val="21"/>
          <w:highlight w:val="none"/>
        </w:rPr>
      </w:pPr>
      <w:r>
        <w:rPr>
          <w:rFonts w:ascii="黑体" w:hAnsi="黑体" w:eastAsia="黑体" w:cs="黑体"/>
          <w:color w:val="auto"/>
          <w:spacing w:val="15"/>
          <w:sz w:val="21"/>
          <w:szCs w:val="21"/>
          <w:highlight w:val="none"/>
        </w:rPr>
        <w:t>本标项(否)接受联合体投标</w:t>
      </w:r>
    </w:p>
    <w:p>
      <w:pPr>
        <w:spacing w:before="174" w:line="222" w:lineRule="auto"/>
        <w:ind w:left="488"/>
        <w:rPr>
          <w:rFonts w:ascii="黑体" w:hAnsi="黑体" w:eastAsia="黑体" w:cs="黑体"/>
          <w:color w:val="auto"/>
          <w:sz w:val="21"/>
          <w:szCs w:val="21"/>
          <w:highlight w:val="none"/>
        </w:rPr>
      </w:pPr>
      <w:r>
        <w:rPr>
          <w:rFonts w:ascii="黑体" w:hAnsi="黑体" w:eastAsia="黑体" w:cs="黑体"/>
          <w:b/>
          <w:bCs/>
          <w:color w:val="auto"/>
          <w:sz w:val="21"/>
          <w:szCs w:val="21"/>
          <w:highlight w:val="none"/>
        </w:rPr>
        <w:t>备注：</w:t>
      </w:r>
    </w:p>
    <w:p>
      <w:pPr>
        <w:spacing w:before="148" w:line="222" w:lineRule="auto"/>
        <w:ind w:left="488"/>
        <w:rPr>
          <w:rFonts w:ascii="黑体" w:hAnsi="黑体" w:eastAsia="黑体" w:cs="黑体"/>
          <w:color w:val="auto"/>
          <w:sz w:val="21"/>
          <w:szCs w:val="21"/>
          <w:highlight w:val="none"/>
        </w:rPr>
      </w:pPr>
      <w:r>
        <w:rPr>
          <w:rFonts w:ascii="黑体" w:hAnsi="黑体" w:eastAsia="黑体" w:cs="黑体"/>
          <w:b/>
          <w:bCs/>
          <w:color w:val="auto"/>
          <w:spacing w:val="-7"/>
          <w:sz w:val="21"/>
          <w:szCs w:val="21"/>
          <w:highlight w:val="none"/>
        </w:rPr>
        <w:t>二</w:t>
      </w:r>
      <w:r>
        <w:rPr>
          <w:rFonts w:ascii="黑体" w:hAnsi="黑体" w:eastAsia="黑体" w:cs="黑体"/>
          <w:color w:val="auto"/>
          <w:spacing w:val="-55"/>
          <w:sz w:val="21"/>
          <w:szCs w:val="21"/>
          <w:highlight w:val="none"/>
        </w:rPr>
        <w:t xml:space="preserve"> </w:t>
      </w:r>
      <w:r>
        <w:rPr>
          <w:rFonts w:ascii="黑体" w:hAnsi="黑体" w:eastAsia="黑体" w:cs="黑体"/>
          <w:b/>
          <w:bCs/>
          <w:color w:val="auto"/>
          <w:spacing w:val="-7"/>
          <w:sz w:val="21"/>
          <w:szCs w:val="21"/>
          <w:highlight w:val="none"/>
        </w:rPr>
        <w:t>、申请人的资格要求：</w:t>
      </w:r>
    </w:p>
    <w:p>
      <w:pPr>
        <w:pStyle w:val="3"/>
        <w:spacing w:before="171" w:line="213" w:lineRule="auto"/>
        <w:ind w:left="485"/>
        <w:rPr>
          <w:rFonts w:ascii="黑体" w:hAnsi="黑体" w:eastAsia="黑体" w:cs="黑体"/>
          <w:color w:val="auto"/>
          <w:sz w:val="21"/>
          <w:szCs w:val="21"/>
          <w:highlight w:val="none"/>
        </w:rPr>
      </w:pPr>
      <w:r>
        <w:rPr>
          <w:color w:val="auto"/>
          <w:spacing w:val="-1"/>
          <w:sz w:val="21"/>
          <w:szCs w:val="21"/>
          <w:highlight w:val="none"/>
        </w:rPr>
        <w:t>1.</w:t>
      </w:r>
      <w:r>
        <w:rPr>
          <w:rFonts w:ascii="黑体" w:hAnsi="黑体" w:eastAsia="黑体" w:cs="黑体"/>
          <w:color w:val="auto"/>
          <w:spacing w:val="-1"/>
          <w:sz w:val="21"/>
          <w:szCs w:val="21"/>
          <w:highlight w:val="none"/>
        </w:rPr>
        <w:t>满足《中华人民共和国政府采购法》第二十二条规定；</w:t>
      </w:r>
    </w:p>
    <w:p>
      <w:pPr>
        <w:pStyle w:val="3"/>
        <w:spacing w:before="148" w:line="311" w:lineRule="auto"/>
        <w:ind w:left="75" w:right="133" w:firstLine="409"/>
        <w:rPr>
          <w:rFonts w:hint="eastAsia" w:ascii="黑体" w:hAnsi="黑体" w:eastAsia="黑体" w:cs="黑体"/>
          <w:color w:val="auto"/>
          <w:sz w:val="21"/>
          <w:szCs w:val="21"/>
          <w:highlight w:val="none"/>
          <w:lang w:eastAsia="zh-CN"/>
        </w:rPr>
      </w:pPr>
      <w:r>
        <w:rPr>
          <w:color w:val="auto"/>
          <w:spacing w:val="2"/>
          <w:sz w:val="21"/>
          <w:szCs w:val="21"/>
          <w:highlight w:val="none"/>
        </w:rPr>
        <w:t>2.</w:t>
      </w:r>
      <w:r>
        <w:rPr>
          <w:rFonts w:ascii="黑体" w:hAnsi="黑体" w:eastAsia="黑体" w:cs="黑体"/>
          <w:color w:val="auto"/>
          <w:spacing w:val="2"/>
          <w:sz w:val="21"/>
          <w:szCs w:val="21"/>
          <w:highlight w:val="none"/>
        </w:rPr>
        <w:t>落实政府采购政策需满足的资格要求：本项目</w:t>
      </w:r>
      <w:r>
        <w:rPr>
          <w:rFonts w:hint="eastAsia" w:ascii="黑体" w:hAnsi="黑体" w:eastAsia="黑体" w:cs="黑体"/>
          <w:color w:val="auto"/>
          <w:spacing w:val="2"/>
          <w:sz w:val="21"/>
          <w:szCs w:val="21"/>
          <w:highlight w:val="none"/>
          <w:lang w:val="en-US" w:eastAsia="zh-CN"/>
        </w:rPr>
        <w:t>非</w:t>
      </w:r>
      <w:r>
        <w:rPr>
          <w:rFonts w:ascii="黑体" w:hAnsi="黑体" w:eastAsia="黑体" w:cs="黑体"/>
          <w:color w:val="auto"/>
          <w:spacing w:val="2"/>
          <w:sz w:val="21"/>
          <w:szCs w:val="21"/>
          <w:highlight w:val="none"/>
        </w:rPr>
        <w:t>专门面向中小企业采购</w:t>
      </w:r>
      <w:r>
        <w:rPr>
          <w:rFonts w:hint="eastAsia" w:ascii="黑体" w:hAnsi="黑体" w:eastAsia="黑体" w:cs="黑体"/>
          <w:color w:val="auto"/>
          <w:spacing w:val="2"/>
          <w:sz w:val="21"/>
          <w:szCs w:val="21"/>
          <w:highlight w:val="none"/>
          <w:lang w:eastAsia="zh-CN"/>
        </w:rPr>
        <w:t>；</w:t>
      </w:r>
    </w:p>
    <w:p>
      <w:pPr>
        <w:spacing w:before="176" w:line="283" w:lineRule="auto"/>
        <w:ind w:left="75" w:right="137" w:firstLine="409"/>
        <w:rPr>
          <w:rFonts w:hint="eastAsia" w:ascii="黑体" w:hAnsi="黑体" w:eastAsia="黑体" w:cs="黑体"/>
          <w:color w:val="auto"/>
          <w:sz w:val="21"/>
          <w:szCs w:val="21"/>
          <w:highlight w:val="none"/>
          <w:lang w:val="en-US" w:eastAsia="zh-CN"/>
        </w:rPr>
      </w:pPr>
      <w:r>
        <w:rPr>
          <w:rFonts w:ascii="黑体" w:hAnsi="黑体" w:eastAsia="黑体" w:cs="黑体"/>
          <w:color w:val="auto"/>
          <w:spacing w:val="5"/>
          <w:sz w:val="21"/>
          <w:szCs w:val="21"/>
          <w:highlight w:val="none"/>
        </w:rPr>
        <w:t>3.本项目的特定资格要求：</w:t>
      </w:r>
      <w:r>
        <w:rPr>
          <w:rFonts w:hint="eastAsia" w:ascii="黑体" w:hAnsi="黑体" w:eastAsia="黑体" w:cs="黑体"/>
          <w:color w:val="auto"/>
          <w:spacing w:val="5"/>
          <w:sz w:val="21"/>
          <w:szCs w:val="21"/>
          <w:highlight w:val="none"/>
          <w:lang w:val="en-US" w:eastAsia="zh-CN"/>
        </w:rPr>
        <w:t>无</w:t>
      </w:r>
    </w:p>
    <w:p>
      <w:pPr>
        <w:spacing w:before="174" w:line="221" w:lineRule="auto"/>
        <w:ind w:left="488"/>
        <w:rPr>
          <w:rFonts w:ascii="黑体" w:hAnsi="黑体" w:eastAsia="黑体" w:cs="黑体"/>
          <w:color w:val="auto"/>
          <w:sz w:val="21"/>
          <w:szCs w:val="21"/>
          <w:highlight w:val="none"/>
        </w:rPr>
      </w:pPr>
      <w:r>
        <w:rPr>
          <w:rFonts w:ascii="黑体" w:hAnsi="黑体" w:eastAsia="黑体" w:cs="黑体"/>
          <w:b/>
          <w:bCs/>
          <w:color w:val="auto"/>
          <w:spacing w:val="-7"/>
          <w:sz w:val="21"/>
          <w:szCs w:val="21"/>
          <w:highlight w:val="none"/>
        </w:rPr>
        <w:t>三</w:t>
      </w:r>
      <w:r>
        <w:rPr>
          <w:rFonts w:ascii="黑体" w:hAnsi="黑体" w:eastAsia="黑体" w:cs="黑体"/>
          <w:color w:val="auto"/>
          <w:spacing w:val="-34"/>
          <w:sz w:val="21"/>
          <w:szCs w:val="21"/>
          <w:highlight w:val="none"/>
        </w:rPr>
        <w:t xml:space="preserve"> </w:t>
      </w:r>
      <w:r>
        <w:rPr>
          <w:rFonts w:ascii="黑体" w:hAnsi="黑体" w:eastAsia="黑体" w:cs="黑体"/>
          <w:b/>
          <w:bCs/>
          <w:color w:val="auto"/>
          <w:spacing w:val="-7"/>
          <w:sz w:val="21"/>
          <w:szCs w:val="21"/>
          <w:highlight w:val="none"/>
        </w:rPr>
        <w:t>、获取招标文件</w:t>
      </w:r>
    </w:p>
    <w:p>
      <w:pPr>
        <w:spacing w:before="144" w:line="366" w:lineRule="auto"/>
        <w:ind w:left="75" w:right="136" w:firstLine="409"/>
        <w:rPr>
          <w:rFonts w:ascii="黑体" w:hAnsi="黑体" w:eastAsia="黑体" w:cs="黑体"/>
          <w:color w:val="auto"/>
          <w:sz w:val="21"/>
          <w:szCs w:val="21"/>
          <w:highlight w:val="none"/>
        </w:rPr>
      </w:pPr>
      <w:r>
        <w:rPr>
          <w:rFonts w:ascii="黑体" w:hAnsi="黑体" w:eastAsia="黑体" w:cs="黑体"/>
          <w:color w:val="auto"/>
          <w:spacing w:val="18"/>
          <w:sz w:val="21"/>
          <w:szCs w:val="21"/>
          <w:highlight w:val="none"/>
        </w:rPr>
        <w:t>时间：2025年</w:t>
      </w:r>
      <w:r>
        <w:rPr>
          <w:rFonts w:hint="eastAsia" w:ascii="黑体" w:hAnsi="黑体" w:eastAsia="黑体" w:cs="黑体"/>
          <w:color w:val="auto"/>
          <w:spacing w:val="18"/>
          <w:sz w:val="21"/>
          <w:szCs w:val="21"/>
          <w:highlight w:val="none"/>
          <w:lang w:val="en-US" w:eastAsia="zh-CN"/>
        </w:rPr>
        <w:t>12</w:t>
      </w:r>
      <w:r>
        <w:rPr>
          <w:rFonts w:ascii="黑体" w:hAnsi="黑体" w:eastAsia="黑体" w:cs="黑体"/>
          <w:color w:val="auto"/>
          <w:spacing w:val="18"/>
          <w:sz w:val="21"/>
          <w:szCs w:val="21"/>
          <w:highlight w:val="none"/>
        </w:rPr>
        <w:t>月</w:t>
      </w:r>
      <w:r>
        <w:rPr>
          <w:rFonts w:hint="eastAsia" w:ascii="黑体" w:hAnsi="黑体" w:eastAsia="黑体" w:cs="黑体"/>
          <w:color w:val="auto"/>
          <w:spacing w:val="18"/>
          <w:sz w:val="21"/>
          <w:szCs w:val="21"/>
          <w:highlight w:val="none"/>
          <w:lang w:val="en-US" w:eastAsia="zh-CN"/>
        </w:rPr>
        <w:t>3</w:t>
      </w:r>
      <w:r>
        <w:rPr>
          <w:rFonts w:ascii="黑体" w:hAnsi="黑体" w:eastAsia="黑体" w:cs="黑体"/>
          <w:color w:val="auto"/>
          <w:spacing w:val="18"/>
          <w:sz w:val="21"/>
          <w:szCs w:val="21"/>
          <w:highlight w:val="none"/>
        </w:rPr>
        <w:t>日至</w:t>
      </w:r>
      <w:r>
        <w:rPr>
          <w:rFonts w:hint="eastAsia" w:ascii="黑体" w:hAnsi="黑体" w:eastAsia="黑体" w:cs="黑体"/>
          <w:color w:val="auto"/>
          <w:spacing w:val="18"/>
          <w:sz w:val="21"/>
          <w:szCs w:val="21"/>
          <w:highlight w:val="none"/>
          <w:lang w:eastAsia="zh-CN"/>
        </w:rPr>
        <w:t>2025年12月24日</w:t>
      </w:r>
      <w:r>
        <w:rPr>
          <w:rFonts w:ascii="黑体" w:hAnsi="黑体" w:eastAsia="黑体" w:cs="黑体"/>
          <w:color w:val="auto"/>
          <w:spacing w:val="18"/>
          <w:sz w:val="21"/>
          <w:szCs w:val="21"/>
          <w:highlight w:val="none"/>
        </w:rPr>
        <w:t>，每天上午00:00至12:00,下午12:01至23:59(北京时</w:t>
      </w:r>
      <w:r>
        <w:rPr>
          <w:rFonts w:ascii="黑体" w:hAnsi="黑体" w:eastAsia="黑体" w:cs="黑体"/>
          <w:color w:val="auto"/>
          <w:spacing w:val="15"/>
          <w:sz w:val="21"/>
          <w:szCs w:val="21"/>
          <w:highlight w:val="none"/>
        </w:rPr>
        <w:t xml:space="preserve"> </w:t>
      </w:r>
      <w:r>
        <w:rPr>
          <w:rFonts w:ascii="黑体" w:hAnsi="黑体" w:eastAsia="黑体" w:cs="黑体"/>
          <w:color w:val="auto"/>
          <w:spacing w:val="4"/>
          <w:sz w:val="21"/>
          <w:szCs w:val="21"/>
          <w:highlight w:val="none"/>
        </w:rPr>
        <w:t>间，法定节假日除外)</w:t>
      </w:r>
    </w:p>
    <w:p>
      <w:pPr>
        <w:pStyle w:val="3"/>
        <w:spacing w:before="1" w:line="216" w:lineRule="auto"/>
        <w:ind w:left="485"/>
        <w:rPr>
          <w:color w:val="auto"/>
          <w:sz w:val="21"/>
          <w:szCs w:val="21"/>
          <w:highlight w:val="none"/>
        </w:rPr>
      </w:pPr>
      <w:r>
        <w:rPr>
          <w:rFonts w:ascii="黑体" w:hAnsi="黑体" w:eastAsia="黑体" w:cs="黑体"/>
          <w:color w:val="auto"/>
          <w:spacing w:val="12"/>
          <w:sz w:val="21"/>
          <w:szCs w:val="21"/>
          <w:highlight w:val="none"/>
        </w:rPr>
        <w:t>地点(网址):广西政府采购云平台</w:t>
      </w:r>
      <w:r>
        <w:rPr>
          <w:color w:val="auto"/>
          <w:spacing w:val="12"/>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color w:val="auto"/>
          <w:sz w:val="21"/>
          <w:szCs w:val="21"/>
          <w:highlight w:val="none"/>
        </w:rPr>
        <w:t>https</w:t>
      </w:r>
      <w:r>
        <w:rPr>
          <w:color w:val="auto"/>
          <w:spacing w:val="12"/>
          <w:sz w:val="21"/>
          <w:szCs w:val="21"/>
          <w:highlight w:val="none"/>
        </w:rPr>
        <w:t>://</w:t>
      </w:r>
      <w:r>
        <w:rPr>
          <w:color w:val="auto"/>
          <w:sz w:val="21"/>
          <w:szCs w:val="21"/>
          <w:highlight w:val="none"/>
        </w:rPr>
        <w:t>www</w:t>
      </w:r>
      <w:r>
        <w:rPr>
          <w:color w:val="auto"/>
          <w:spacing w:val="11"/>
          <w:sz w:val="21"/>
          <w:szCs w:val="21"/>
          <w:highlight w:val="none"/>
        </w:rPr>
        <w:t>.</w:t>
      </w:r>
      <w:r>
        <w:rPr>
          <w:color w:val="auto"/>
          <w:sz w:val="21"/>
          <w:szCs w:val="21"/>
          <w:highlight w:val="none"/>
        </w:rPr>
        <w:t>gcy</w:t>
      </w:r>
      <w:r>
        <w:rPr>
          <w:color w:val="auto"/>
          <w:spacing w:val="11"/>
          <w:sz w:val="21"/>
          <w:szCs w:val="21"/>
          <w:highlight w:val="none"/>
        </w:rPr>
        <w:t>.</w:t>
      </w:r>
      <w:r>
        <w:rPr>
          <w:color w:val="auto"/>
          <w:sz w:val="21"/>
          <w:szCs w:val="21"/>
          <w:highlight w:val="none"/>
        </w:rPr>
        <w:t>zfcg</w:t>
      </w:r>
      <w:r>
        <w:rPr>
          <w:color w:val="auto"/>
          <w:spacing w:val="11"/>
          <w:sz w:val="21"/>
          <w:szCs w:val="21"/>
          <w:highlight w:val="none"/>
        </w:rPr>
        <w:t>.</w:t>
      </w:r>
      <w:r>
        <w:rPr>
          <w:color w:val="auto"/>
          <w:sz w:val="21"/>
          <w:szCs w:val="21"/>
          <w:highlight w:val="none"/>
        </w:rPr>
        <w:t>gxzf</w:t>
      </w:r>
      <w:r>
        <w:rPr>
          <w:color w:val="auto"/>
          <w:spacing w:val="11"/>
          <w:sz w:val="21"/>
          <w:szCs w:val="21"/>
          <w:highlight w:val="none"/>
        </w:rPr>
        <w:t>.</w:t>
      </w:r>
      <w:r>
        <w:rPr>
          <w:color w:val="auto"/>
          <w:sz w:val="21"/>
          <w:szCs w:val="21"/>
          <w:highlight w:val="none"/>
        </w:rPr>
        <w:t>gov</w:t>
      </w:r>
      <w:r>
        <w:rPr>
          <w:color w:val="auto"/>
          <w:spacing w:val="11"/>
          <w:sz w:val="21"/>
          <w:szCs w:val="21"/>
          <w:highlight w:val="none"/>
        </w:rPr>
        <w:t>.</w:t>
      </w:r>
      <w:r>
        <w:rPr>
          <w:color w:val="auto"/>
          <w:sz w:val="21"/>
          <w:szCs w:val="21"/>
          <w:highlight w:val="none"/>
        </w:rPr>
        <w:t>cn</w:t>
      </w:r>
      <w:r>
        <w:rPr>
          <w:color w:val="auto"/>
          <w:spacing w:val="11"/>
          <w:sz w:val="21"/>
          <w:szCs w:val="21"/>
          <w:highlight w:val="none"/>
        </w:rPr>
        <w:t>/)。</w:t>
      </w:r>
      <w:r>
        <w:rPr>
          <w:color w:val="auto"/>
          <w:spacing w:val="11"/>
          <w:sz w:val="21"/>
          <w:szCs w:val="21"/>
          <w:highlight w:val="none"/>
        </w:rPr>
        <w:fldChar w:fldCharType="end"/>
      </w:r>
    </w:p>
    <w:p>
      <w:pPr>
        <w:spacing w:before="156" w:line="212" w:lineRule="auto"/>
        <w:jc w:val="center"/>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方式：投标人应在广西政府采购云平台</w:t>
      </w:r>
      <w:r>
        <w:rPr>
          <w:rFonts w:ascii="Times New Roman" w:hAnsi="Times New Roman" w:eastAsia="Times New Roman" w:cs="Times New Roman"/>
          <w:color w:val="auto"/>
          <w:spacing w:val="2"/>
          <w:sz w:val="21"/>
          <w:szCs w:val="21"/>
          <w:highlight w:val="none"/>
        </w:rPr>
        <w:t>(</w:t>
      </w:r>
      <w:r>
        <w:rPr>
          <w:color w:val="auto"/>
          <w:highlight w:val="none"/>
        </w:rPr>
        <w:fldChar w:fldCharType="begin"/>
      </w:r>
      <w:r>
        <w:rPr>
          <w:color w:val="auto"/>
          <w:highlight w:val="none"/>
        </w:rPr>
        <w:instrText xml:space="preserve"> HYPERLINK "https://www.gcy.zfcg.gxzf.gov.cn/" </w:instrText>
      </w:r>
      <w:r>
        <w:rPr>
          <w:color w:val="auto"/>
          <w:highlight w:val="none"/>
        </w:rPr>
        <w:fldChar w:fldCharType="separate"/>
      </w:r>
      <w:r>
        <w:rPr>
          <w:rFonts w:ascii="Times New Roman" w:hAnsi="Times New Roman" w:eastAsia="Times New Roman" w:cs="Times New Roman"/>
          <w:color w:val="auto"/>
          <w:sz w:val="21"/>
          <w:szCs w:val="21"/>
          <w:highlight w:val="none"/>
        </w:rPr>
        <w:t>https</w:t>
      </w:r>
      <w:r>
        <w:rPr>
          <w:rFonts w:ascii="Times New Roman" w:hAnsi="Times New Roman" w:eastAsia="Times New Roman" w:cs="Times New Roman"/>
          <w:color w:val="auto"/>
          <w:spacing w:val="2"/>
          <w:sz w:val="21"/>
          <w:szCs w:val="21"/>
          <w:highlight w:val="none"/>
        </w:rPr>
        <w:t>:/</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www</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gcy</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zfcg</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gxzf</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gov</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z w:val="21"/>
          <w:szCs w:val="21"/>
          <w:highlight w:val="none"/>
        </w:rPr>
        <w:t>cn</w:t>
      </w:r>
      <w:r>
        <w:rPr>
          <w:rFonts w:ascii="Times New Roman" w:hAnsi="Times New Roman" w:eastAsia="Times New Roman" w:cs="Times New Roman"/>
          <w:color w:val="auto"/>
          <w:spacing w:val="1"/>
          <w:sz w:val="21"/>
          <w:szCs w:val="21"/>
          <w:highlight w:val="none"/>
        </w:rPr>
        <w:t>/</w:t>
      </w:r>
      <w:r>
        <w:rPr>
          <w:rFonts w:ascii="Times New Roman" w:hAnsi="Times New Roman" w:eastAsia="Times New Roman" w:cs="Times New Roman"/>
          <w:color w:val="auto"/>
          <w:spacing w:val="1"/>
          <w:sz w:val="21"/>
          <w:szCs w:val="21"/>
          <w:highlight w:val="none"/>
        </w:rPr>
        <w:fldChar w:fldCharType="end"/>
      </w:r>
      <w:r>
        <w:rPr>
          <w:rFonts w:ascii="Times New Roman" w:hAnsi="Times New Roman" w:eastAsia="Times New Roman" w:cs="Times New Roman"/>
          <w:color w:val="auto"/>
          <w:spacing w:val="1"/>
          <w:sz w:val="21"/>
          <w:szCs w:val="21"/>
          <w:highlight w:val="none"/>
        </w:rPr>
        <w:t xml:space="preserve">)  </w:t>
      </w:r>
      <w:r>
        <w:rPr>
          <w:rFonts w:ascii="黑体" w:hAnsi="黑体" w:eastAsia="黑体" w:cs="黑体"/>
          <w:color w:val="auto"/>
          <w:spacing w:val="1"/>
          <w:sz w:val="21"/>
          <w:szCs w:val="21"/>
          <w:highlight w:val="none"/>
        </w:rPr>
        <w:t>下载招标文件电子版。</w:t>
      </w:r>
    </w:p>
    <w:p>
      <w:pPr>
        <w:spacing w:before="182" w:line="222" w:lineRule="auto"/>
        <w:ind w:left="485"/>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售</w:t>
      </w:r>
      <w:r>
        <w:rPr>
          <w:rFonts w:ascii="黑体" w:hAnsi="黑体" w:eastAsia="黑体" w:cs="黑体"/>
          <w:color w:val="auto"/>
          <w:spacing w:val="-39"/>
          <w:sz w:val="21"/>
          <w:szCs w:val="21"/>
          <w:highlight w:val="none"/>
        </w:rPr>
        <w:t xml:space="preserve"> </w:t>
      </w:r>
      <w:r>
        <w:rPr>
          <w:rFonts w:ascii="黑体" w:hAnsi="黑体" w:eastAsia="黑体" w:cs="黑体"/>
          <w:color w:val="auto"/>
          <w:spacing w:val="-17"/>
          <w:sz w:val="21"/>
          <w:szCs w:val="21"/>
          <w:highlight w:val="none"/>
        </w:rPr>
        <w:t>价</w:t>
      </w:r>
      <w:r>
        <w:rPr>
          <w:rFonts w:ascii="黑体" w:hAnsi="黑体" w:eastAsia="黑体" w:cs="黑体"/>
          <w:color w:val="auto"/>
          <w:sz w:val="21"/>
          <w:szCs w:val="21"/>
          <w:highlight w:val="none"/>
        </w:rPr>
        <w:t xml:space="preserve"> </w:t>
      </w:r>
      <w:r>
        <w:rPr>
          <w:rFonts w:ascii="黑体" w:hAnsi="黑体" w:eastAsia="黑体" w:cs="黑体"/>
          <w:color w:val="auto"/>
          <w:spacing w:val="-17"/>
          <w:sz w:val="21"/>
          <w:szCs w:val="21"/>
          <w:highlight w:val="none"/>
        </w:rPr>
        <w:t>(</w:t>
      </w:r>
      <w:r>
        <w:rPr>
          <w:rFonts w:ascii="黑体" w:hAnsi="黑体" w:eastAsia="黑体" w:cs="黑体"/>
          <w:color w:val="auto"/>
          <w:spacing w:val="-35"/>
          <w:sz w:val="21"/>
          <w:szCs w:val="21"/>
          <w:highlight w:val="none"/>
        </w:rPr>
        <w:t xml:space="preserve"> </w:t>
      </w:r>
      <w:r>
        <w:rPr>
          <w:rFonts w:ascii="黑体" w:hAnsi="黑体" w:eastAsia="黑体" w:cs="黑体"/>
          <w:color w:val="auto"/>
          <w:spacing w:val="-17"/>
          <w:sz w:val="21"/>
          <w:szCs w:val="21"/>
          <w:highlight w:val="none"/>
        </w:rPr>
        <w:t>元</w:t>
      </w:r>
      <w:r>
        <w:rPr>
          <w:rFonts w:ascii="黑体" w:hAnsi="黑体" w:eastAsia="黑体" w:cs="黑体"/>
          <w:color w:val="auto"/>
          <w:spacing w:val="-43"/>
          <w:sz w:val="21"/>
          <w:szCs w:val="21"/>
          <w:highlight w:val="none"/>
        </w:rPr>
        <w:t xml:space="preserve"> </w:t>
      </w:r>
      <w:r>
        <w:rPr>
          <w:rFonts w:ascii="黑体" w:hAnsi="黑体" w:eastAsia="黑体" w:cs="黑体"/>
          <w:color w:val="auto"/>
          <w:spacing w:val="-17"/>
          <w:sz w:val="21"/>
          <w:szCs w:val="21"/>
          <w:highlight w:val="none"/>
        </w:rPr>
        <w:t>) :</w:t>
      </w:r>
      <w:r>
        <w:rPr>
          <w:rFonts w:ascii="黑体" w:hAnsi="黑体" w:eastAsia="黑体" w:cs="黑体"/>
          <w:color w:val="auto"/>
          <w:spacing w:val="-42"/>
          <w:sz w:val="21"/>
          <w:szCs w:val="21"/>
          <w:highlight w:val="none"/>
        </w:rPr>
        <w:t xml:space="preserve"> </w:t>
      </w:r>
      <w:r>
        <w:rPr>
          <w:rFonts w:ascii="黑体" w:hAnsi="黑体" w:eastAsia="黑体" w:cs="黑体"/>
          <w:color w:val="auto"/>
          <w:spacing w:val="-17"/>
          <w:sz w:val="21"/>
          <w:szCs w:val="21"/>
          <w:highlight w:val="none"/>
        </w:rPr>
        <w:t>0</w:t>
      </w:r>
    </w:p>
    <w:p>
      <w:pPr>
        <w:spacing w:before="136" w:line="220" w:lineRule="auto"/>
        <w:ind w:left="485"/>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四</w:t>
      </w:r>
      <w:r>
        <w:rPr>
          <w:rFonts w:ascii="黑体" w:hAnsi="黑体" w:eastAsia="黑体" w:cs="黑体"/>
          <w:color w:val="auto"/>
          <w:spacing w:val="-38"/>
          <w:sz w:val="21"/>
          <w:szCs w:val="21"/>
          <w:highlight w:val="none"/>
        </w:rPr>
        <w:t xml:space="preserve"> </w:t>
      </w:r>
      <w:r>
        <w:rPr>
          <w:rFonts w:ascii="黑体" w:hAnsi="黑体" w:eastAsia="黑体" w:cs="黑体"/>
          <w:color w:val="auto"/>
          <w:spacing w:val="-3"/>
          <w:sz w:val="21"/>
          <w:szCs w:val="21"/>
          <w:highlight w:val="none"/>
        </w:rPr>
        <w:t>、提交投标文件截止时间、开标时间和地点：</w:t>
      </w:r>
    </w:p>
    <w:p>
      <w:pPr>
        <w:spacing w:before="180" w:line="220" w:lineRule="auto"/>
        <w:ind w:left="485"/>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提交投标文件截止时间：</w:t>
      </w:r>
      <w:r>
        <w:rPr>
          <w:rFonts w:hint="eastAsia" w:ascii="黑体" w:hAnsi="黑体" w:eastAsia="黑体" w:cs="黑体"/>
          <w:color w:val="auto"/>
          <w:spacing w:val="14"/>
          <w:sz w:val="21"/>
          <w:szCs w:val="21"/>
          <w:highlight w:val="none"/>
          <w:lang w:eastAsia="zh-CN"/>
        </w:rPr>
        <w:t>2025年12月24日</w:t>
      </w:r>
      <w:r>
        <w:rPr>
          <w:rFonts w:ascii="黑体" w:hAnsi="黑体" w:eastAsia="黑体" w:cs="黑体"/>
          <w:color w:val="auto"/>
          <w:spacing w:val="14"/>
          <w:sz w:val="21"/>
          <w:szCs w:val="21"/>
          <w:highlight w:val="none"/>
        </w:rPr>
        <w:t>上午09:30(北京时间)</w:t>
      </w:r>
    </w:p>
    <w:p>
      <w:pPr>
        <w:spacing w:line="220" w:lineRule="auto"/>
        <w:rPr>
          <w:rFonts w:ascii="黑体" w:hAnsi="黑体" w:eastAsia="黑体" w:cs="黑体"/>
          <w:color w:val="auto"/>
          <w:sz w:val="21"/>
          <w:szCs w:val="21"/>
          <w:highlight w:val="none"/>
        </w:rPr>
        <w:sectPr>
          <w:footerReference r:id="rId8" w:type="default"/>
          <w:pgSz w:w="11900" w:h="16830"/>
          <w:pgMar w:top="400" w:right="965" w:bottom="809" w:left="974" w:header="0" w:footer="691" w:gutter="0"/>
          <w:cols w:space="720" w:num="1"/>
        </w:sect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before="68" w:line="219" w:lineRule="auto"/>
        <w:ind w:left="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投标地点：通过“广西政府采购云平台”在线投标。</w:t>
      </w:r>
    </w:p>
    <w:p>
      <w:pPr>
        <w:spacing w:before="163" w:line="222" w:lineRule="auto"/>
        <w:ind w:left="409"/>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开标时间：</w:t>
      </w:r>
      <w:r>
        <w:rPr>
          <w:rFonts w:hint="eastAsia" w:ascii="黑体" w:hAnsi="黑体" w:eastAsia="黑体" w:cs="黑体"/>
          <w:color w:val="auto"/>
          <w:spacing w:val="17"/>
          <w:sz w:val="21"/>
          <w:szCs w:val="21"/>
          <w:highlight w:val="none"/>
          <w:lang w:eastAsia="zh-CN"/>
        </w:rPr>
        <w:t>2025年12月24日</w:t>
      </w:r>
      <w:r>
        <w:rPr>
          <w:rFonts w:ascii="黑体" w:hAnsi="黑体" w:eastAsia="黑体" w:cs="黑体"/>
          <w:color w:val="auto"/>
          <w:spacing w:val="17"/>
          <w:sz w:val="21"/>
          <w:szCs w:val="21"/>
          <w:highlight w:val="none"/>
        </w:rPr>
        <w:t>上午09:30(北京时间)</w:t>
      </w:r>
    </w:p>
    <w:p>
      <w:pPr>
        <w:spacing w:before="144" w:line="219" w:lineRule="auto"/>
        <w:ind w:left="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开标地点：通过“广西政府采购云平台”在线解密开启。</w:t>
      </w:r>
    </w:p>
    <w:p>
      <w:pPr>
        <w:spacing w:before="172" w:line="224" w:lineRule="auto"/>
        <w:ind w:left="412"/>
        <w:rPr>
          <w:rFonts w:ascii="黑体" w:hAnsi="黑体" w:eastAsia="黑体" w:cs="黑体"/>
          <w:color w:val="auto"/>
          <w:sz w:val="21"/>
          <w:szCs w:val="21"/>
          <w:highlight w:val="none"/>
        </w:rPr>
      </w:pPr>
      <w:r>
        <w:rPr>
          <w:rFonts w:ascii="黑体" w:hAnsi="黑体" w:eastAsia="黑体" w:cs="黑体"/>
          <w:b/>
          <w:bCs/>
          <w:color w:val="auto"/>
          <w:spacing w:val="-11"/>
          <w:sz w:val="21"/>
          <w:szCs w:val="21"/>
          <w:highlight w:val="none"/>
        </w:rPr>
        <w:t>五</w:t>
      </w:r>
      <w:r>
        <w:rPr>
          <w:rFonts w:ascii="黑体" w:hAnsi="黑体" w:eastAsia="黑体" w:cs="黑体"/>
          <w:color w:val="auto"/>
          <w:spacing w:val="-33"/>
          <w:sz w:val="21"/>
          <w:szCs w:val="21"/>
          <w:highlight w:val="none"/>
        </w:rPr>
        <w:t xml:space="preserve"> </w:t>
      </w:r>
      <w:r>
        <w:rPr>
          <w:rFonts w:ascii="黑体" w:hAnsi="黑体" w:eastAsia="黑体" w:cs="黑体"/>
          <w:b/>
          <w:bCs/>
          <w:color w:val="auto"/>
          <w:spacing w:val="-11"/>
          <w:sz w:val="21"/>
          <w:szCs w:val="21"/>
          <w:highlight w:val="none"/>
        </w:rPr>
        <w:t>、公告期限</w:t>
      </w:r>
    </w:p>
    <w:p>
      <w:pPr>
        <w:spacing w:before="135" w:line="221" w:lineRule="auto"/>
        <w:ind w:left="40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自本公告发布之日起5个工作日。</w:t>
      </w:r>
    </w:p>
    <w:p>
      <w:pPr>
        <w:spacing w:before="157" w:line="222" w:lineRule="auto"/>
        <w:ind w:left="412"/>
        <w:rPr>
          <w:rFonts w:ascii="黑体" w:hAnsi="黑体" w:eastAsia="黑体" w:cs="黑体"/>
          <w:color w:val="auto"/>
          <w:sz w:val="21"/>
          <w:szCs w:val="21"/>
          <w:highlight w:val="none"/>
        </w:rPr>
      </w:pPr>
      <w:r>
        <w:rPr>
          <w:rFonts w:ascii="黑体" w:hAnsi="黑体" w:eastAsia="黑体" w:cs="黑体"/>
          <w:b/>
          <w:bCs/>
          <w:color w:val="auto"/>
          <w:spacing w:val="-5"/>
          <w:sz w:val="21"/>
          <w:szCs w:val="21"/>
          <w:highlight w:val="none"/>
        </w:rPr>
        <w:t>六</w:t>
      </w:r>
      <w:r>
        <w:rPr>
          <w:rFonts w:ascii="黑体" w:hAnsi="黑体" w:eastAsia="黑体" w:cs="黑体"/>
          <w:color w:val="auto"/>
          <w:spacing w:val="-33"/>
          <w:sz w:val="21"/>
          <w:szCs w:val="21"/>
          <w:highlight w:val="none"/>
        </w:rPr>
        <w:t xml:space="preserve"> </w:t>
      </w:r>
      <w:r>
        <w:rPr>
          <w:rFonts w:ascii="黑体" w:hAnsi="黑体" w:eastAsia="黑体" w:cs="黑体"/>
          <w:b/>
          <w:bCs/>
          <w:color w:val="auto"/>
          <w:spacing w:val="-5"/>
          <w:sz w:val="21"/>
          <w:szCs w:val="21"/>
          <w:highlight w:val="none"/>
        </w:rPr>
        <w:t>、其他补充事宜</w:t>
      </w:r>
    </w:p>
    <w:p>
      <w:pPr>
        <w:pStyle w:val="3"/>
        <w:spacing w:before="154" w:line="283" w:lineRule="auto"/>
        <w:ind w:left="99" w:right="27" w:firstLine="309"/>
        <w:rPr>
          <w:color w:val="auto"/>
          <w:sz w:val="21"/>
          <w:szCs w:val="21"/>
          <w:highlight w:val="none"/>
        </w:rPr>
      </w:pPr>
      <w:r>
        <w:rPr>
          <w:color w:val="auto"/>
          <w:spacing w:val="9"/>
          <w:sz w:val="21"/>
          <w:szCs w:val="21"/>
          <w:highlight w:val="none"/>
        </w:rPr>
        <w:t>1.</w:t>
      </w:r>
      <w:r>
        <w:rPr>
          <w:rFonts w:ascii="黑体" w:hAnsi="黑体" w:eastAsia="黑体" w:cs="黑体"/>
          <w:color w:val="auto"/>
          <w:spacing w:val="9"/>
          <w:sz w:val="21"/>
          <w:szCs w:val="21"/>
          <w:highlight w:val="none"/>
        </w:rPr>
        <w:t>信息公告发布媒体：中国政府采购网</w:t>
      </w:r>
      <w:r>
        <w:rPr>
          <w:color w:val="auto"/>
          <w:spacing w:val="9"/>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9"/>
          <w:sz w:val="21"/>
          <w:szCs w:val="21"/>
          <w:highlight w:val="none"/>
        </w:rPr>
        <w:t>://</w:t>
      </w:r>
      <w:r>
        <w:rPr>
          <w:color w:val="auto"/>
          <w:sz w:val="21"/>
          <w:szCs w:val="21"/>
          <w:highlight w:val="none"/>
        </w:rPr>
        <w:t>www</w:t>
      </w:r>
      <w:r>
        <w:rPr>
          <w:color w:val="auto"/>
          <w:spacing w:val="9"/>
          <w:sz w:val="21"/>
          <w:szCs w:val="21"/>
          <w:highlight w:val="none"/>
        </w:rPr>
        <w:t>.</w:t>
      </w:r>
      <w:r>
        <w:rPr>
          <w:color w:val="auto"/>
          <w:sz w:val="21"/>
          <w:szCs w:val="21"/>
          <w:highlight w:val="none"/>
        </w:rPr>
        <w:t>ccgp</w:t>
      </w:r>
      <w:r>
        <w:rPr>
          <w:color w:val="auto"/>
          <w:spacing w:val="9"/>
          <w:sz w:val="21"/>
          <w:szCs w:val="21"/>
          <w:highlight w:val="none"/>
        </w:rPr>
        <w:t>.</w:t>
      </w:r>
      <w:r>
        <w:rPr>
          <w:color w:val="auto"/>
          <w:sz w:val="21"/>
          <w:szCs w:val="21"/>
          <w:highlight w:val="none"/>
        </w:rPr>
        <w:t>gov</w:t>
      </w:r>
      <w:r>
        <w:rPr>
          <w:color w:val="auto"/>
          <w:spacing w:val="9"/>
          <w:sz w:val="21"/>
          <w:szCs w:val="21"/>
          <w:highlight w:val="none"/>
        </w:rPr>
        <w:t>.</w:t>
      </w:r>
      <w:r>
        <w:rPr>
          <w:color w:val="auto"/>
          <w:sz w:val="21"/>
          <w:szCs w:val="21"/>
          <w:highlight w:val="none"/>
        </w:rPr>
        <w:t>cn</w:t>
      </w:r>
      <w:r>
        <w:rPr>
          <w:color w:val="auto"/>
          <w:sz w:val="21"/>
          <w:szCs w:val="21"/>
          <w:highlight w:val="none"/>
        </w:rPr>
        <w:fldChar w:fldCharType="end"/>
      </w:r>
      <w:r>
        <w:rPr>
          <w:color w:val="auto"/>
          <w:spacing w:val="9"/>
          <w:sz w:val="21"/>
          <w:szCs w:val="21"/>
          <w:highlight w:val="none"/>
        </w:rPr>
        <w:t>)、</w:t>
      </w:r>
      <w:r>
        <w:rPr>
          <w:color w:val="auto"/>
          <w:spacing w:val="90"/>
          <w:sz w:val="21"/>
          <w:szCs w:val="21"/>
          <w:highlight w:val="none"/>
        </w:rPr>
        <w:t xml:space="preserve"> </w:t>
      </w:r>
      <w:r>
        <w:rPr>
          <w:rFonts w:ascii="黑体" w:hAnsi="黑体" w:eastAsia="黑体" w:cs="黑体"/>
          <w:color w:val="auto"/>
          <w:spacing w:val="9"/>
          <w:sz w:val="21"/>
          <w:szCs w:val="21"/>
          <w:highlight w:val="none"/>
        </w:rPr>
        <w:t>广西壮族自治区政府采购网</w:t>
      </w:r>
      <w:r>
        <w:rPr>
          <w:rFonts w:ascii="黑体" w:hAnsi="黑体" w:eastAsia="黑体" w:cs="黑体"/>
          <w:color w:val="auto"/>
          <w:sz w:val="21"/>
          <w:szCs w:val="21"/>
          <w:highlight w:val="none"/>
        </w:rPr>
        <w:t xml:space="preserve"> </w:t>
      </w:r>
      <w:r>
        <w:rPr>
          <w:rFonts w:ascii="Times New Roman" w:hAnsi="Times New Roman" w:eastAsia="Times New Roman" w:cs="Times New Roman"/>
          <w:color w:val="auto"/>
          <w:sz w:val="21"/>
          <w:szCs w:val="21"/>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ascii="Times New Roman" w:hAnsi="Times New Roman" w:eastAsia="Times New Roman" w:cs="Times New Roman"/>
          <w:color w:val="auto"/>
          <w:sz w:val="21"/>
          <w:szCs w:val="21"/>
          <w:highlight w:val="none"/>
        </w:rPr>
        <w:t>http://zfcg.gxzf.gov.cn/</w:t>
      </w:r>
      <w:r>
        <w:rPr>
          <w:rFonts w:ascii="Times New Roman" w:hAnsi="Times New Roman" w:eastAsia="Times New Roman" w:cs="Times New Roman"/>
          <w:color w:val="auto"/>
          <w:sz w:val="21"/>
          <w:szCs w:val="21"/>
          <w:highlight w:val="none"/>
        </w:rPr>
        <w:fldChar w:fldCharType="end"/>
      </w:r>
      <w:r>
        <w:rPr>
          <w:rFonts w:ascii="Times New Roman" w:hAnsi="Times New Roman" w:eastAsia="Times New Roman" w:cs="Times New Roman"/>
          <w:color w:val="auto"/>
          <w:sz w:val="21"/>
          <w:szCs w:val="21"/>
          <w:highlight w:val="none"/>
        </w:rPr>
        <w:t>)</w:t>
      </w:r>
      <w:r>
        <w:rPr>
          <w:color w:val="auto"/>
          <w:sz w:val="21"/>
          <w:szCs w:val="21"/>
          <w:highlight w:val="none"/>
        </w:rPr>
        <w:t>、</w:t>
      </w:r>
      <w:r>
        <w:rPr>
          <w:rFonts w:ascii="黑体" w:hAnsi="黑体" w:eastAsia="黑体" w:cs="黑体"/>
          <w:color w:val="auto"/>
          <w:sz w:val="21"/>
          <w:szCs w:val="21"/>
          <w:highlight w:val="none"/>
        </w:rPr>
        <w:t>桂林市政府采购网</w:t>
      </w:r>
      <w:r>
        <w:rPr>
          <w:rFonts w:ascii="黑体" w:hAnsi="黑体" w:eastAsia="黑体" w:cs="黑体"/>
          <w:color w:val="auto"/>
          <w:spacing w:val="-38"/>
          <w:sz w:val="21"/>
          <w:szCs w:val="21"/>
          <w:highlight w:val="none"/>
        </w:rPr>
        <w:t xml:space="preserve"> </w:t>
      </w:r>
      <w:r>
        <w:rPr>
          <w:rFonts w:ascii="Times New Roman" w:hAnsi="Times New Roman" w:eastAsia="Times New Roman" w:cs="Times New Roman"/>
          <w:color w:val="auto"/>
          <w:sz w:val="21"/>
          <w:szCs w:val="21"/>
          <w:highlight w:val="none"/>
        </w:rPr>
        <w:t>(</w:t>
      </w:r>
      <w:r>
        <w:rPr>
          <w:color w:val="auto"/>
          <w:highlight w:val="none"/>
        </w:rPr>
        <w:fldChar w:fldCharType="begin"/>
      </w:r>
      <w:r>
        <w:rPr>
          <w:color w:val="auto"/>
          <w:highlight w:val="none"/>
        </w:rPr>
        <w:instrText xml:space="preserve"> HYPERLINK "http://zfcg.czj.guilin.gov.cn/)。" </w:instrText>
      </w:r>
      <w:r>
        <w:rPr>
          <w:color w:val="auto"/>
          <w:highlight w:val="none"/>
        </w:rPr>
        <w:fldChar w:fldCharType="separate"/>
      </w:r>
      <w:r>
        <w:rPr>
          <w:rFonts w:ascii="Times New Roman" w:hAnsi="Times New Roman" w:eastAsia="Times New Roman" w:cs="Times New Roman"/>
          <w:color w:val="auto"/>
          <w:sz w:val="21"/>
          <w:szCs w:val="21"/>
          <w:highlight w:val="none"/>
        </w:rPr>
        <w:t>http://zfcg.czj.guilin.gov.cn/)</w:t>
      </w:r>
      <w:r>
        <w:rPr>
          <w:color w:val="auto"/>
          <w:sz w:val="21"/>
          <w:szCs w:val="21"/>
          <w:highlight w:val="none"/>
        </w:rPr>
        <w:t>。</w:t>
      </w:r>
      <w:r>
        <w:rPr>
          <w:color w:val="auto"/>
          <w:sz w:val="21"/>
          <w:szCs w:val="21"/>
          <w:highlight w:val="none"/>
        </w:rPr>
        <w:fldChar w:fldCharType="end"/>
      </w:r>
    </w:p>
    <w:p>
      <w:pPr>
        <w:pStyle w:val="3"/>
        <w:spacing w:before="182" w:line="317" w:lineRule="auto"/>
        <w:ind w:right="30" w:firstLine="409"/>
        <w:rPr>
          <w:rFonts w:ascii="黑体" w:hAnsi="黑体" w:eastAsia="黑体" w:cs="黑体"/>
          <w:color w:val="auto"/>
          <w:sz w:val="21"/>
          <w:szCs w:val="21"/>
          <w:highlight w:val="none"/>
        </w:rPr>
      </w:pPr>
      <w:r>
        <w:rPr>
          <w:color w:val="auto"/>
          <w:spacing w:val="3"/>
          <w:sz w:val="21"/>
          <w:szCs w:val="21"/>
          <w:highlight w:val="none"/>
        </w:rPr>
        <w:t>2.</w:t>
      </w:r>
      <w:r>
        <w:rPr>
          <w:rFonts w:ascii="黑体" w:hAnsi="黑体" w:eastAsia="黑体" w:cs="黑体"/>
          <w:color w:val="auto"/>
          <w:spacing w:val="3"/>
          <w:sz w:val="21"/>
          <w:szCs w:val="21"/>
          <w:highlight w:val="none"/>
        </w:rPr>
        <w:t>投标人认为招标文件使自己的合法权益受到损害的，应当在本项目公</w:t>
      </w:r>
      <w:r>
        <w:rPr>
          <w:rFonts w:ascii="黑体" w:hAnsi="黑体" w:eastAsia="黑体" w:cs="黑体"/>
          <w:color w:val="auto"/>
          <w:spacing w:val="2"/>
          <w:sz w:val="21"/>
          <w:szCs w:val="21"/>
          <w:highlight w:val="none"/>
        </w:rPr>
        <w:t>告期限届满之日起七个工作日</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内以书面形式向采购代理机构提出质疑；投标人认为招标过程或中标结果使自己的合法权益受到损害的，</w:t>
      </w:r>
      <w:r>
        <w:rPr>
          <w:rFonts w:ascii="黑体" w:hAnsi="黑体" w:eastAsia="黑体" w:cs="黑体"/>
          <w:color w:val="auto"/>
          <w:spacing w:val="1"/>
          <w:sz w:val="21"/>
          <w:szCs w:val="21"/>
          <w:highlight w:val="none"/>
        </w:rPr>
        <w:t xml:space="preserve"> </w:t>
      </w:r>
      <w:r>
        <w:rPr>
          <w:rFonts w:ascii="黑体" w:hAnsi="黑体" w:eastAsia="黑体" w:cs="黑体"/>
          <w:color w:val="auto"/>
          <w:spacing w:val="2"/>
          <w:sz w:val="21"/>
          <w:szCs w:val="21"/>
          <w:highlight w:val="none"/>
        </w:rPr>
        <w:t>应当在各采购程序环节结束之日或中标公告期限届满之日起七个工作日内，以书面形式向采购代理机构提</w:t>
      </w:r>
      <w:r>
        <w:rPr>
          <w:rFonts w:ascii="黑体" w:hAnsi="黑体" w:eastAsia="黑体" w:cs="黑体"/>
          <w:color w:val="auto"/>
          <w:spacing w:val="15"/>
          <w:sz w:val="21"/>
          <w:szCs w:val="21"/>
          <w:highlight w:val="none"/>
        </w:rPr>
        <w:t xml:space="preserve"> </w:t>
      </w:r>
      <w:r>
        <w:rPr>
          <w:rFonts w:ascii="黑体" w:hAnsi="黑体" w:eastAsia="黑体" w:cs="黑体"/>
          <w:color w:val="auto"/>
          <w:sz w:val="21"/>
          <w:szCs w:val="21"/>
          <w:highlight w:val="none"/>
        </w:rPr>
        <w:t>出质疑。否则，采购代理机构有权拒收。</w:t>
      </w:r>
    </w:p>
    <w:p>
      <w:pPr>
        <w:pStyle w:val="3"/>
        <w:spacing w:before="197" w:line="222" w:lineRule="auto"/>
        <w:ind w:left="409"/>
        <w:rPr>
          <w:rFonts w:ascii="黑体" w:hAnsi="黑体" w:eastAsia="黑体" w:cs="黑体"/>
          <w:color w:val="auto"/>
          <w:sz w:val="21"/>
          <w:szCs w:val="21"/>
          <w:highlight w:val="none"/>
        </w:rPr>
      </w:pPr>
      <w:r>
        <w:rPr>
          <w:color w:val="auto"/>
          <w:spacing w:val="-1"/>
          <w:sz w:val="21"/>
          <w:szCs w:val="21"/>
          <w:highlight w:val="none"/>
        </w:rPr>
        <w:t>3.</w:t>
      </w:r>
      <w:r>
        <w:rPr>
          <w:rFonts w:ascii="黑体" w:hAnsi="黑体" w:eastAsia="黑体" w:cs="黑体"/>
          <w:color w:val="auto"/>
          <w:spacing w:val="-1"/>
          <w:sz w:val="21"/>
          <w:szCs w:val="21"/>
          <w:highlight w:val="none"/>
        </w:rPr>
        <w:t>本项目需要落实的政府采购政策</w:t>
      </w:r>
    </w:p>
    <w:p>
      <w:pPr>
        <w:spacing w:before="157" w:line="221"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(1)政府采购促进中小企业发展。</w:t>
      </w:r>
    </w:p>
    <w:p>
      <w:pPr>
        <w:spacing w:before="138" w:line="221"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(2)政府采购支持监狱企业发展。</w:t>
      </w:r>
    </w:p>
    <w:p>
      <w:pPr>
        <w:spacing w:before="164" w:line="217"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(3)政府采购促进残疾人就业政策。</w:t>
      </w:r>
    </w:p>
    <w:p>
      <w:pPr>
        <w:spacing w:before="178" w:line="221" w:lineRule="auto"/>
        <w:ind w:left="519"/>
        <w:rPr>
          <w:rFonts w:hint="eastAsia" w:ascii="黑体" w:hAnsi="黑体" w:eastAsia="黑体" w:cs="黑体"/>
          <w:color w:val="auto"/>
          <w:sz w:val="21"/>
          <w:szCs w:val="21"/>
          <w:highlight w:val="none"/>
          <w:lang w:eastAsia="zh-CN"/>
        </w:rPr>
      </w:pPr>
      <w:r>
        <w:rPr>
          <w:rFonts w:ascii="黑体" w:hAnsi="黑体" w:eastAsia="黑体" w:cs="黑体"/>
          <w:color w:val="auto"/>
          <w:spacing w:val="6"/>
          <w:sz w:val="21"/>
          <w:szCs w:val="21"/>
          <w:highlight w:val="none"/>
        </w:rPr>
        <w:t>(4)本项目所属行业：</w:t>
      </w:r>
      <w:r>
        <w:rPr>
          <w:rFonts w:hint="eastAsia" w:ascii="黑体" w:hAnsi="黑体" w:eastAsia="黑体" w:cs="黑体"/>
          <w:color w:val="auto"/>
          <w:spacing w:val="6"/>
          <w:sz w:val="21"/>
          <w:szCs w:val="21"/>
          <w:highlight w:val="none"/>
          <w:lang w:eastAsia="zh-CN"/>
        </w:rPr>
        <w:t>租赁和商务服务业</w:t>
      </w:r>
    </w:p>
    <w:p>
      <w:pPr>
        <w:pStyle w:val="3"/>
        <w:spacing w:before="139" w:line="221" w:lineRule="auto"/>
        <w:ind w:left="409"/>
        <w:rPr>
          <w:rFonts w:ascii="黑体" w:hAnsi="黑体" w:eastAsia="黑体" w:cs="黑体"/>
          <w:color w:val="auto"/>
          <w:sz w:val="21"/>
          <w:szCs w:val="21"/>
          <w:highlight w:val="none"/>
        </w:rPr>
      </w:pPr>
      <w:r>
        <w:rPr>
          <w:color w:val="auto"/>
          <w:spacing w:val="-3"/>
          <w:sz w:val="21"/>
          <w:szCs w:val="21"/>
          <w:highlight w:val="none"/>
        </w:rPr>
        <w:t>4.</w:t>
      </w:r>
      <w:r>
        <w:rPr>
          <w:rFonts w:ascii="黑体" w:hAnsi="黑体" w:eastAsia="黑体" w:cs="黑体"/>
          <w:color w:val="auto"/>
          <w:spacing w:val="-3"/>
          <w:sz w:val="21"/>
          <w:szCs w:val="21"/>
          <w:highlight w:val="none"/>
        </w:rPr>
        <w:t>资格条件特别说明：</w:t>
      </w:r>
    </w:p>
    <w:p>
      <w:pPr>
        <w:spacing w:before="140" w:line="317" w:lineRule="auto"/>
        <w:ind w:right="31" w:firstLine="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(1)单位负责人为同一人或者存在直接控股、管理关系的</w:t>
      </w:r>
      <w:r>
        <w:rPr>
          <w:rFonts w:ascii="黑体" w:hAnsi="黑体" w:eastAsia="黑体" w:cs="黑体"/>
          <w:color w:val="auto"/>
          <w:spacing w:val="2"/>
          <w:sz w:val="21"/>
          <w:szCs w:val="21"/>
          <w:highlight w:val="none"/>
        </w:rPr>
        <w:t>不同供应商，不得参加同一合同项下的政府</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采购活动。为本项目提供过规范编制或者项</w:t>
      </w:r>
      <w:r>
        <w:rPr>
          <w:rFonts w:ascii="黑体" w:hAnsi="黑体" w:eastAsia="黑体" w:cs="黑体"/>
          <w:color w:val="auto"/>
          <w:spacing w:val="2"/>
          <w:sz w:val="21"/>
          <w:szCs w:val="21"/>
          <w:highlight w:val="none"/>
        </w:rPr>
        <w:t>目管理等服务的供应商，不得再参加本项目上述服务以外的其</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他采购活动；</w:t>
      </w:r>
    </w:p>
    <w:p>
      <w:pPr>
        <w:pStyle w:val="3"/>
        <w:spacing w:before="152" w:line="327" w:lineRule="auto"/>
        <w:ind w:right="9" w:firstLine="5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( 2 ) 对 在 “ 信 用 中 国 ” 网 站</w:t>
      </w:r>
      <w:r>
        <w:rPr>
          <w:rFonts w:ascii="黑体" w:hAnsi="黑体" w:eastAsia="黑体" w:cs="黑体"/>
          <w:color w:val="auto"/>
          <w:spacing w:val="-26"/>
          <w:sz w:val="21"/>
          <w:szCs w:val="21"/>
          <w:highlight w:val="none"/>
        </w:rPr>
        <w:t xml:space="preserve"> </w:t>
      </w:r>
      <w:r>
        <w:rPr>
          <w:color w:val="auto"/>
          <w:spacing w:val="-5"/>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5"/>
          <w:sz w:val="21"/>
          <w:szCs w:val="21"/>
          <w:highlight w:val="none"/>
        </w:rPr>
        <w:t>http://www.creditchina.gov.cn</w:t>
      </w:r>
      <w:r>
        <w:rPr>
          <w:color w:val="auto"/>
          <w:spacing w:val="-5"/>
          <w:sz w:val="21"/>
          <w:szCs w:val="21"/>
          <w:highlight w:val="none"/>
        </w:rPr>
        <w:fldChar w:fldCharType="end"/>
      </w:r>
      <w:r>
        <w:rPr>
          <w:color w:val="auto"/>
          <w:spacing w:val="-5"/>
          <w:sz w:val="21"/>
          <w:szCs w:val="21"/>
          <w:highlight w:val="none"/>
        </w:rPr>
        <w:t xml:space="preserve">)、   </w:t>
      </w:r>
      <w:r>
        <w:rPr>
          <w:rFonts w:ascii="黑体" w:hAnsi="黑体" w:eastAsia="黑体" w:cs="黑体"/>
          <w:color w:val="auto"/>
          <w:spacing w:val="-6"/>
          <w:sz w:val="21"/>
          <w:szCs w:val="21"/>
          <w:highlight w:val="none"/>
        </w:rPr>
        <w:t>中 国 政 府 采 购 网</w:t>
      </w:r>
      <w:r>
        <w:rPr>
          <w:rFonts w:ascii="黑体" w:hAnsi="黑体" w:eastAsia="黑体" w:cs="黑体"/>
          <w:color w:val="auto"/>
          <w:sz w:val="21"/>
          <w:szCs w:val="21"/>
          <w:highlight w:val="none"/>
        </w:rPr>
        <w:t xml:space="preserve"> </w:t>
      </w:r>
      <w:r>
        <w:rPr>
          <w:color w:val="auto"/>
          <w:spacing w:val="4"/>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4"/>
          <w:sz w:val="21"/>
          <w:szCs w:val="21"/>
          <w:highlight w:val="none"/>
        </w:rPr>
        <w:t>://</w:t>
      </w:r>
      <w:r>
        <w:rPr>
          <w:color w:val="auto"/>
          <w:sz w:val="21"/>
          <w:szCs w:val="21"/>
          <w:highlight w:val="none"/>
        </w:rPr>
        <w:t>www</w:t>
      </w:r>
      <w:r>
        <w:rPr>
          <w:color w:val="auto"/>
          <w:spacing w:val="4"/>
          <w:sz w:val="21"/>
          <w:szCs w:val="21"/>
          <w:highlight w:val="none"/>
        </w:rPr>
        <w:t>.</w:t>
      </w:r>
      <w:r>
        <w:rPr>
          <w:color w:val="auto"/>
          <w:sz w:val="21"/>
          <w:szCs w:val="21"/>
          <w:highlight w:val="none"/>
        </w:rPr>
        <w:t>ccgp</w:t>
      </w:r>
      <w:r>
        <w:rPr>
          <w:color w:val="auto"/>
          <w:spacing w:val="4"/>
          <w:sz w:val="21"/>
          <w:szCs w:val="21"/>
          <w:highlight w:val="none"/>
        </w:rPr>
        <w:t>.</w:t>
      </w:r>
      <w:r>
        <w:rPr>
          <w:color w:val="auto"/>
          <w:sz w:val="21"/>
          <w:szCs w:val="21"/>
          <w:highlight w:val="none"/>
        </w:rPr>
        <w:t>gov</w:t>
      </w:r>
      <w:r>
        <w:rPr>
          <w:color w:val="auto"/>
          <w:spacing w:val="4"/>
          <w:sz w:val="21"/>
          <w:szCs w:val="21"/>
          <w:highlight w:val="none"/>
        </w:rPr>
        <w:t>.</w:t>
      </w:r>
      <w:r>
        <w:rPr>
          <w:color w:val="auto"/>
          <w:sz w:val="21"/>
          <w:szCs w:val="21"/>
          <w:highlight w:val="none"/>
        </w:rPr>
        <w:t>cn</w:t>
      </w:r>
      <w:r>
        <w:rPr>
          <w:color w:val="auto"/>
          <w:sz w:val="21"/>
          <w:szCs w:val="21"/>
          <w:highlight w:val="none"/>
        </w:rPr>
        <w:fldChar w:fldCharType="end"/>
      </w:r>
      <w:r>
        <w:rPr>
          <w:color w:val="auto"/>
          <w:spacing w:val="4"/>
          <w:sz w:val="21"/>
          <w:szCs w:val="21"/>
          <w:highlight w:val="none"/>
        </w:rPr>
        <w:t>)</w:t>
      </w:r>
      <w:r>
        <w:rPr>
          <w:color w:val="auto"/>
          <w:spacing w:val="41"/>
          <w:sz w:val="21"/>
          <w:szCs w:val="21"/>
          <w:highlight w:val="none"/>
        </w:rPr>
        <w:t xml:space="preserve"> </w:t>
      </w:r>
      <w:r>
        <w:rPr>
          <w:rFonts w:ascii="黑体" w:hAnsi="黑体" w:eastAsia="黑体" w:cs="黑体"/>
          <w:color w:val="auto"/>
          <w:spacing w:val="4"/>
          <w:sz w:val="21"/>
          <w:szCs w:val="21"/>
          <w:highlight w:val="none"/>
        </w:rPr>
        <w:t>被列入失信被执行人、重大税收违法失信主体、政府采购严重违法失</w:t>
      </w:r>
      <w:r>
        <w:rPr>
          <w:rFonts w:ascii="黑体" w:hAnsi="黑体" w:eastAsia="黑体" w:cs="黑体"/>
          <w:color w:val="auto"/>
          <w:spacing w:val="3"/>
          <w:sz w:val="21"/>
          <w:szCs w:val="21"/>
          <w:highlight w:val="none"/>
        </w:rPr>
        <w:t>信行为</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记录名单及其他不符合《中华人民共和国政府采购法》第二十二条规定条件的供应商，不得参与</w:t>
      </w:r>
      <w:r>
        <w:rPr>
          <w:rFonts w:ascii="黑体" w:hAnsi="黑体" w:eastAsia="黑体" w:cs="黑体"/>
          <w:color w:val="auto"/>
          <w:spacing w:val="2"/>
          <w:sz w:val="21"/>
          <w:szCs w:val="21"/>
          <w:highlight w:val="none"/>
        </w:rPr>
        <w:t>政府采购</w:t>
      </w:r>
      <w:r>
        <w:rPr>
          <w:rFonts w:ascii="黑体" w:hAnsi="黑体" w:eastAsia="黑体" w:cs="黑体"/>
          <w:color w:val="auto"/>
          <w:sz w:val="21"/>
          <w:szCs w:val="21"/>
          <w:highlight w:val="none"/>
        </w:rPr>
        <w:t xml:space="preserve"> </w:t>
      </w:r>
      <w:r>
        <w:rPr>
          <w:rFonts w:ascii="黑体" w:hAnsi="黑体" w:eastAsia="黑体" w:cs="黑体"/>
          <w:color w:val="auto"/>
          <w:spacing w:val="4"/>
          <w:sz w:val="21"/>
          <w:szCs w:val="21"/>
          <w:highlight w:val="none"/>
        </w:rPr>
        <w:t>活动。</w:t>
      </w:r>
    </w:p>
    <w:p>
      <w:pPr>
        <w:spacing w:before="154" w:line="221" w:lineRule="auto"/>
        <w:ind w:left="412"/>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5.“广西政府采购云平台”电子投标相关事宜说明：</w:t>
      </w:r>
    </w:p>
    <w:p>
      <w:pPr>
        <w:pStyle w:val="3"/>
        <w:spacing w:before="163" w:line="317" w:lineRule="auto"/>
        <w:ind w:firstLine="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(1)本项目实行全流程电子化采购，投标人通过“广西</w:t>
      </w:r>
      <w:r>
        <w:rPr>
          <w:rFonts w:ascii="黑体" w:hAnsi="黑体" w:eastAsia="黑体" w:cs="黑体"/>
          <w:color w:val="auto"/>
          <w:spacing w:val="2"/>
          <w:sz w:val="21"/>
          <w:szCs w:val="21"/>
          <w:highlight w:val="none"/>
        </w:rPr>
        <w:t>政府采购云平台”平台参与电子投标，并应做</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好以下相关准备工作：①在“广西政府采购云平台”注册成为正式供应商</w:t>
      </w:r>
      <w:r>
        <w:rPr>
          <w:rFonts w:ascii="黑体" w:hAnsi="黑体" w:eastAsia="黑体" w:cs="黑体"/>
          <w:color w:val="auto"/>
          <w:spacing w:val="4"/>
          <w:sz w:val="21"/>
          <w:szCs w:val="21"/>
          <w:highlight w:val="none"/>
        </w:rPr>
        <w:t>(操作方法详见广西壮族自治区</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政府采购网一办事服务一办事指南);②完成</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8"/>
          <w:sz w:val="21"/>
          <w:szCs w:val="21"/>
          <w:highlight w:val="none"/>
        </w:rPr>
        <w:t>证书申领</w:t>
      </w:r>
      <w:r>
        <w:rPr>
          <w:rFonts w:ascii="黑体" w:hAnsi="黑体" w:eastAsia="黑体" w:cs="黑体"/>
          <w:color w:val="auto"/>
          <w:spacing w:val="7"/>
          <w:sz w:val="21"/>
          <w:szCs w:val="21"/>
          <w:highlight w:val="none"/>
        </w:rPr>
        <w:t>和绑定(费用由投标人自行承担，办理流程详见</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广西壮族自治区政府采购网一办事服务一下载专区，完成</w:t>
      </w:r>
      <w:r>
        <w:rPr>
          <w:color w:val="auto"/>
          <w:spacing w:val="-3"/>
          <w:sz w:val="21"/>
          <w:szCs w:val="21"/>
          <w:highlight w:val="none"/>
        </w:rPr>
        <w:t>CA</w:t>
      </w:r>
      <w:r>
        <w:rPr>
          <w:color w:val="auto"/>
          <w:spacing w:val="-25"/>
          <w:sz w:val="21"/>
          <w:szCs w:val="21"/>
          <w:highlight w:val="none"/>
        </w:rPr>
        <w:t xml:space="preserve"> </w:t>
      </w:r>
      <w:r>
        <w:rPr>
          <w:rFonts w:ascii="黑体" w:hAnsi="黑体" w:eastAsia="黑体" w:cs="黑体"/>
          <w:color w:val="auto"/>
          <w:spacing w:val="-3"/>
          <w:sz w:val="21"/>
          <w:szCs w:val="21"/>
          <w:highlight w:val="none"/>
        </w:rPr>
        <w:t>证书办理预计一周左右，建议供应商尽快办理);</w:t>
      </w:r>
    </w:p>
    <w:p>
      <w:pPr>
        <w:spacing w:before="166" w:line="315" w:lineRule="auto"/>
        <w:ind w:right="35"/>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③下载“广西壮族自治区全流程电子招投标项目管理系统-一供应商客户端”(操作方法详见广西壮族自治</w:t>
      </w:r>
      <w:r>
        <w:rPr>
          <w:rFonts w:ascii="黑体" w:hAnsi="黑体" w:eastAsia="黑体" w:cs="黑体"/>
          <w:color w:val="auto"/>
          <w:spacing w:val="13"/>
          <w:sz w:val="21"/>
          <w:szCs w:val="21"/>
          <w:highlight w:val="none"/>
        </w:rPr>
        <w:t xml:space="preserve"> </w:t>
      </w:r>
      <w:r>
        <w:rPr>
          <w:rFonts w:ascii="黑体" w:hAnsi="黑体" w:eastAsia="黑体" w:cs="黑体"/>
          <w:color w:val="auto"/>
          <w:spacing w:val="5"/>
          <w:sz w:val="21"/>
          <w:szCs w:val="21"/>
          <w:highlight w:val="none"/>
        </w:rPr>
        <w:t>区政府采购网一办事服务一下载专区，以下称“电子投标客</w:t>
      </w:r>
      <w:r>
        <w:rPr>
          <w:rFonts w:ascii="黑体" w:hAnsi="黑体" w:eastAsia="黑体" w:cs="黑体"/>
          <w:color w:val="auto"/>
          <w:spacing w:val="4"/>
          <w:sz w:val="21"/>
          <w:szCs w:val="21"/>
          <w:highlight w:val="none"/>
        </w:rPr>
        <w:t>户端”)并安装成功，投标人应当在提交投标</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文件截止时间前在“广西政府采购云平台”完成的身份认证，确保能够对相关数据电文进行加密和使用电</w:t>
      </w:r>
      <w:r>
        <w:rPr>
          <w:rFonts w:ascii="黑体" w:hAnsi="黑体" w:eastAsia="黑体" w:cs="黑体"/>
          <w:color w:val="auto"/>
          <w:spacing w:val="15"/>
          <w:sz w:val="21"/>
          <w:szCs w:val="21"/>
          <w:highlight w:val="none"/>
        </w:rPr>
        <w:t xml:space="preserve"> </w:t>
      </w:r>
      <w:r>
        <w:rPr>
          <w:rFonts w:ascii="黑体" w:hAnsi="黑体" w:eastAsia="黑体" w:cs="黑体"/>
          <w:color w:val="auto"/>
          <w:spacing w:val="5"/>
          <w:sz w:val="21"/>
          <w:szCs w:val="21"/>
          <w:highlight w:val="none"/>
        </w:rPr>
        <w:t>子签章；④自备计算机和网络设备并确保能接入互联网(费用由</w:t>
      </w:r>
      <w:r>
        <w:rPr>
          <w:rFonts w:ascii="黑体" w:hAnsi="黑体" w:eastAsia="黑体" w:cs="黑体"/>
          <w:color w:val="auto"/>
          <w:spacing w:val="4"/>
          <w:sz w:val="21"/>
          <w:szCs w:val="21"/>
          <w:highlight w:val="none"/>
        </w:rPr>
        <w:t>投标人自行承担，设备确保可进行视频通</w:t>
      </w:r>
    </w:p>
    <w:p>
      <w:pPr>
        <w:spacing w:line="315" w:lineRule="auto"/>
        <w:rPr>
          <w:rFonts w:ascii="黑体" w:hAnsi="黑体" w:eastAsia="黑体" w:cs="黑体"/>
          <w:color w:val="auto"/>
          <w:sz w:val="21"/>
          <w:szCs w:val="21"/>
          <w:highlight w:val="none"/>
        </w:rPr>
        <w:sectPr>
          <w:footerReference r:id="rId9" w:type="default"/>
          <w:pgSz w:w="11900" w:h="16830"/>
          <w:pgMar w:top="400" w:right="1045" w:bottom="799" w:left="1050" w:header="0" w:footer="657" w:gutter="0"/>
          <w:cols w:space="720" w:num="1"/>
        </w:sect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before="68" w:line="350" w:lineRule="auto"/>
        <w:rPr>
          <w:rFonts w:ascii="黑体" w:hAnsi="黑体" w:eastAsia="黑体" w:cs="黑体"/>
          <w:color w:val="auto"/>
          <w:sz w:val="21"/>
          <w:szCs w:val="21"/>
          <w:highlight w:val="none"/>
        </w:rPr>
      </w:pPr>
      <w:bookmarkStart w:id="2" w:name="bookmark7"/>
      <w:bookmarkEnd w:id="2"/>
      <w:r>
        <w:rPr>
          <w:rFonts w:ascii="黑体" w:hAnsi="黑体" w:eastAsia="黑体" w:cs="黑体"/>
          <w:color w:val="auto"/>
          <w:spacing w:val="3"/>
          <w:sz w:val="21"/>
          <w:szCs w:val="21"/>
          <w:highlight w:val="none"/>
        </w:rPr>
        <w:t>话和读取广西政府采购云</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3"/>
          <w:sz w:val="21"/>
          <w:szCs w:val="21"/>
          <w:highlight w:val="none"/>
        </w:rPr>
        <w:t xml:space="preserve">证书)。因投标人未做好相关准备工作等自身原因导致无法参加本项目电子投 </w:t>
      </w:r>
      <w:r>
        <w:rPr>
          <w:rFonts w:ascii="黑体" w:hAnsi="黑体" w:eastAsia="黑体" w:cs="黑体"/>
          <w:color w:val="auto"/>
          <w:sz w:val="21"/>
          <w:szCs w:val="21"/>
          <w:highlight w:val="none"/>
        </w:rPr>
        <w:t>标或投标失败的，造成的一切后果，由投标人</w:t>
      </w:r>
      <w:r>
        <w:rPr>
          <w:rFonts w:ascii="黑体" w:hAnsi="黑体" w:eastAsia="黑体" w:cs="黑体"/>
          <w:color w:val="auto"/>
          <w:spacing w:val="-1"/>
          <w:sz w:val="21"/>
          <w:szCs w:val="21"/>
          <w:highlight w:val="none"/>
        </w:rPr>
        <w:t>自行承担。</w:t>
      </w:r>
    </w:p>
    <w:p>
      <w:pPr>
        <w:spacing w:before="14" w:line="300" w:lineRule="auto"/>
        <w:ind w:right="13" w:firstLine="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(2)电子投标具体操作流程参考《政府采购项目电子交易管理操作指南-供应商》(详见桂林市政府</w:t>
      </w:r>
      <w:r>
        <w:rPr>
          <w:rFonts w:ascii="黑体" w:hAnsi="黑体" w:eastAsia="黑体" w:cs="黑体"/>
          <w:color w:val="auto"/>
          <w:spacing w:val="1"/>
          <w:sz w:val="21"/>
          <w:szCs w:val="21"/>
          <w:highlight w:val="none"/>
        </w:rPr>
        <w:t xml:space="preserve"> </w:t>
      </w:r>
      <w:r>
        <w:rPr>
          <w:rFonts w:ascii="黑体" w:hAnsi="黑体" w:eastAsia="黑体" w:cs="黑体"/>
          <w:color w:val="auto"/>
          <w:spacing w:val="9"/>
          <w:sz w:val="21"/>
          <w:szCs w:val="21"/>
          <w:highlight w:val="none"/>
        </w:rPr>
        <w:t>采购网一采购资讯一重要通知);如遇平台技术</w:t>
      </w:r>
      <w:r>
        <w:rPr>
          <w:rFonts w:ascii="黑体" w:hAnsi="黑体" w:eastAsia="黑体" w:cs="黑体"/>
          <w:color w:val="auto"/>
          <w:spacing w:val="8"/>
          <w:sz w:val="21"/>
          <w:szCs w:val="21"/>
          <w:highlight w:val="none"/>
        </w:rPr>
        <w:t>问题详询95763。</w:t>
      </w:r>
    </w:p>
    <w:p>
      <w:pPr>
        <w:spacing w:before="156" w:line="221" w:lineRule="auto"/>
        <w:ind w:left="51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(3)电子投标文件的制作、加密、提交、解密等相关事宜详见第二章“投标人须知”。</w:t>
      </w:r>
    </w:p>
    <w:p>
      <w:pPr>
        <w:spacing w:before="147" w:line="222" w:lineRule="auto"/>
        <w:ind w:left="422"/>
        <w:rPr>
          <w:rFonts w:ascii="黑体" w:hAnsi="黑体" w:eastAsia="黑体" w:cs="黑体"/>
          <w:color w:val="auto"/>
          <w:sz w:val="21"/>
          <w:szCs w:val="21"/>
          <w:highlight w:val="none"/>
        </w:rPr>
      </w:pPr>
      <w:r>
        <w:rPr>
          <w:rFonts w:ascii="黑体" w:hAnsi="黑体" w:eastAsia="黑体" w:cs="黑体"/>
          <w:b/>
          <w:bCs/>
          <w:color w:val="auto"/>
          <w:spacing w:val="-4"/>
          <w:sz w:val="21"/>
          <w:szCs w:val="21"/>
          <w:highlight w:val="none"/>
        </w:rPr>
        <w:t>七、本次投标联系事项：</w:t>
      </w:r>
    </w:p>
    <w:p>
      <w:pPr>
        <w:pStyle w:val="3"/>
        <w:spacing w:before="152" w:line="223" w:lineRule="auto"/>
        <w:ind w:left="519"/>
        <w:rPr>
          <w:rFonts w:ascii="黑体" w:hAnsi="黑体" w:eastAsia="黑体" w:cs="黑体"/>
          <w:color w:val="auto"/>
          <w:sz w:val="21"/>
          <w:szCs w:val="21"/>
          <w:highlight w:val="none"/>
        </w:rPr>
      </w:pPr>
      <w:r>
        <w:rPr>
          <w:color w:val="auto"/>
          <w:spacing w:val="1"/>
          <w:sz w:val="21"/>
          <w:szCs w:val="21"/>
          <w:highlight w:val="none"/>
        </w:rPr>
        <w:t>1.</w:t>
      </w:r>
      <w:r>
        <w:rPr>
          <w:rFonts w:ascii="黑体" w:hAnsi="黑体" w:eastAsia="黑体" w:cs="黑体"/>
          <w:color w:val="auto"/>
          <w:spacing w:val="1"/>
          <w:sz w:val="21"/>
          <w:szCs w:val="21"/>
          <w:highlight w:val="none"/>
        </w:rPr>
        <w:t>采购人信息</w:t>
      </w:r>
    </w:p>
    <w:p>
      <w:pPr>
        <w:spacing w:before="164" w:line="222" w:lineRule="auto"/>
        <w:ind w:left="419"/>
        <w:rPr>
          <w:rFonts w:hint="eastAsia" w:ascii="黑体" w:hAnsi="黑体" w:eastAsia="黑体" w:cs="黑体"/>
          <w:color w:val="auto"/>
          <w:sz w:val="21"/>
          <w:szCs w:val="21"/>
          <w:highlight w:val="none"/>
          <w:lang w:eastAsia="zh-CN"/>
        </w:rPr>
      </w:pPr>
      <w:r>
        <w:rPr>
          <w:rFonts w:ascii="黑体" w:hAnsi="黑体" w:eastAsia="黑体" w:cs="黑体"/>
          <w:color w:val="auto"/>
          <w:spacing w:val="1"/>
          <w:sz w:val="21"/>
          <w:szCs w:val="21"/>
          <w:highlight w:val="none"/>
        </w:rPr>
        <w:t>名</w:t>
      </w:r>
      <w:r>
        <w:rPr>
          <w:rFonts w:ascii="黑体" w:hAnsi="黑体" w:eastAsia="黑体" w:cs="黑体"/>
          <w:color w:val="auto"/>
          <w:spacing w:val="24"/>
          <w:sz w:val="21"/>
          <w:szCs w:val="21"/>
          <w:highlight w:val="none"/>
        </w:rPr>
        <w:t xml:space="preserve">    </w:t>
      </w:r>
      <w:r>
        <w:rPr>
          <w:rFonts w:ascii="黑体" w:hAnsi="黑体" w:eastAsia="黑体" w:cs="黑体"/>
          <w:color w:val="auto"/>
          <w:spacing w:val="1"/>
          <w:sz w:val="21"/>
          <w:szCs w:val="21"/>
          <w:highlight w:val="none"/>
        </w:rPr>
        <w:t>称：</w:t>
      </w:r>
      <w:r>
        <w:rPr>
          <w:rFonts w:hint="eastAsia" w:ascii="黑体" w:hAnsi="黑体" w:eastAsia="黑体" w:cs="黑体"/>
          <w:color w:val="auto"/>
          <w:spacing w:val="1"/>
          <w:sz w:val="21"/>
          <w:szCs w:val="21"/>
          <w:highlight w:val="none"/>
          <w:lang w:eastAsia="zh-CN"/>
        </w:rPr>
        <w:t>桂林市秀峰区教育局</w:t>
      </w:r>
    </w:p>
    <w:p>
      <w:pPr>
        <w:spacing w:before="159" w:line="222" w:lineRule="auto"/>
        <w:ind w:left="419"/>
        <w:rPr>
          <w:rFonts w:hint="eastAsia" w:ascii="黑体" w:hAnsi="黑体" w:eastAsia="黑体" w:cs="黑体"/>
          <w:color w:val="auto"/>
          <w:spacing w:val="7"/>
          <w:sz w:val="21"/>
          <w:szCs w:val="21"/>
          <w:highlight w:val="none"/>
          <w:lang w:eastAsia="zh-CN"/>
        </w:rPr>
      </w:pPr>
      <w:r>
        <w:rPr>
          <w:rFonts w:ascii="黑体" w:hAnsi="黑体" w:eastAsia="黑体" w:cs="黑体"/>
          <w:color w:val="auto"/>
          <w:spacing w:val="7"/>
          <w:sz w:val="21"/>
          <w:szCs w:val="21"/>
          <w:highlight w:val="none"/>
        </w:rPr>
        <w:t>地</w:t>
      </w:r>
      <w:r>
        <w:rPr>
          <w:rFonts w:ascii="黑体" w:hAnsi="黑体" w:eastAsia="黑体" w:cs="黑体"/>
          <w:color w:val="auto"/>
          <w:spacing w:val="4"/>
          <w:sz w:val="21"/>
          <w:szCs w:val="21"/>
          <w:highlight w:val="none"/>
        </w:rPr>
        <w:t xml:space="preserve">     </w:t>
      </w:r>
      <w:r>
        <w:rPr>
          <w:rFonts w:ascii="黑体" w:hAnsi="黑体" w:eastAsia="黑体" w:cs="黑体"/>
          <w:color w:val="auto"/>
          <w:spacing w:val="7"/>
          <w:sz w:val="21"/>
          <w:szCs w:val="21"/>
          <w:highlight w:val="none"/>
        </w:rPr>
        <w:t>址：</w:t>
      </w:r>
      <w:r>
        <w:rPr>
          <w:rFonts w:hint="eastAsia" w:ascii="黑体" w:hAnsi="黑体" w:eastAsia="黑体" w:cs="黑体"/>
          <w:color w:val="auto"/>
          <w:spacing w:val="7"/>
          <w:sz w:val="21"/>
          <w:szCs w:val="21"/>
          <w:highlight w:val="none"/>
          <w:lang w:eastAsia="zh-CN"/>
        </w:rPr>
        <w:t>桂林市秀峰区中隐路31-2号 孵化中心A座三楼</w:t>
      </w:r>
    </w:p>
    <w:p>
      <w:pPr>
        <w:pStyle w:val="3"/>
        <w:spacing w:before="189" w:line="222" w:lineRule="auto"/>
        <w:ind w:firstLine="416" w:firstLineChars="200"/>
        <w:rPr>
          <w:rFonts w:hint="eastAsia" w:ascii="黑体" w:hAnsi="黑体" w:eastAsia="黑体" w:cs="黑体"/>
          <w:color w:val="auto"/>
          <w:spacing w:val="-1"/>
          <w:sz w:val="21"/>
          <w:szCs w:val="21"/>
          <w:highlight w:val="none"/>
          <w:lang w:eastAsia="zh-CN"/>
        </w:rPr>
      </w:pPr>
      <w:r>
        <w:rPr>
          <w:rFonts w:ascii="黑体" w:hAnsi="黑体" w:eastAsia="黑体" w:cs="黑体"/>
          <w:color w:val="auto"/>
          <w:spacing w:val="-1"/>
          <w:sz w:val="21"/>
          <w:szCs w:val="21"/>
          <w:highlight w:val="none"/>
        </w:rPr>
        <w:t>联系方式：</w:t>
      </w:r>
      <w:r>
        <w:rPr>
          <w:rFonts w:hint="eastAsia" w:ascii="黑体" w:hAnsi="黑体" w:eastAsia="黑体" w:cs="黑体"/>
          <w:color w:val="auto"/>
          <w:spacing w:val="-1"/>
          <w:sz w:val="21"/>
          <w:szCs w:val="21"/>
          <w:highlight w:val="none"/>
          <w:lang w:val="en-US" w:eastAsia="zh-CN"/>
        </w:rPr>
        <w:t>宋老师</w:t>
      </w:r>
      <w:r>
        <w:rPr>
          <w:rFonts w:ascii="黑体" w:hAnsi="黑体" w:eastAsia="黑体" w:cs="黑体"/>
          <w:color w:val="auto"/>
          <w:spacing w:val="-1"/>
          <w:sz w:val="21"/>
          <w:szCs w:val="21"/>
          <w:highlight w:val="none"/>
        </w:rPr>
        <w:t>，</w:t>
      </w:r>
      <w:r>
        <w:rPr>
          <w:rFonts w:hint="eastAsia" w:ascii="黑体" w:hAnsi="黑体" w:eastAsia="黑体" w:cs="黑体"/>
          <w:color w:val="auto"/>
          <w:spacing w:val="-1"/>
          <w:sz w:val="21"/>
          <w:szCs w:val="21"/>
          <w:highlight w:val="none"/>
          <w:lang w:eastAsia="zh-CN"/>
        </w:rPr>
        <w:t>0773-2836347</w:t>
      </w:r>
    </w:p>
    <w:p>
      <w:pPr>
        <w:pStyle w:val="3"/>
        <w:spacing w:before="189" w:line="222" w:lineRule="auto"/>
        <w:ind w:left="519"/>
        <w:rPr>
          <w:rFonts w:ascii="黑体" w:hAnsi="黑体" w:eastAsia="黑体" w:cs="黑体"/>
          <w:color w:val="auto"/>
          <w:sz w:val="21"/>
          <w:szCs w:val="21"/>
          <w:highlight w:val="none"/>
        </w:rPr>
      </w:pPr>
      <w:r>
        <w:rPr>
          <w:color w:val="auto"/>
          <w:spacing w:val="-1"/>
          <w:sz w:val="21"/>
          <w:szCs w:val="21"/>
          <w:highlight w:val="none"/>
        </w:rPr>
        <w:t>2.</w:t>
      </w:r>
      <w:r>
        <w:rPr>
          <w:rFonts w:ascii="黑体" w:hAnsi="黑体" w:eastAsia="黑体" w:cs="黑体"/>
          <w:color w:val="auto"/>
          <w:spacing w:val="-1"/>
          <w:sz w:val="21"/>
          <w:szCs w:val="21"/>
          <w:highlight w:val="none"/>
        </w:rPr>
        <w:t>采购代理机构信息</w:t>
      </w:r>
    </w:p>
    <w:p>
      <w:pPr>
        <w:spacing w:before="156" w:line="222" w:lineRule="auto"/>
        <w:ind w:left="519"/>
        <w:rPr>
          <w:rFonts w:hint="eastAsia" w:ascii="黑体" w:hAnsi="黑体" w:eastAsia="黑体" w:cs="黑体"/>
          <w:color w:val="auto"/>
          <w:sz w:val="21"/>
          <w:szCs w:val="21"/>
          <w:highlight w:val="none"/>
          <w:lang w:eastAsia="zh-CN"/>
        </w:rPr>
      </w:pPr>
      <w:r>
        <w:rPr>
          <w:rFonts w:ascii="黑体" w:hAnsi="黑体" w:eastAsia="黑体" w:cs="黑体"/>
          <w:color w:val="auto"/>
          <w:spacing w:val="1"/>
          <w:sz w:val="21"/>
          <w:szCs w:val="21"/>
          <w:highlight w:val="none"/>
        </w:rPr>
        <w:t>名</w:t>
      </w:r>
      <w:r>
        <w:rPr>
          <w:rFonts w:ascii="黑体" w:hAnsi="黑体" w:eastAsia="黑体" w:cs="黑体"/>
          <w:color w:val="auto"/>
          <w:spacing w:val="46"/>
          <w:sz w:val="21"/>
          <w:szCs w:val="21"/>
          <w:highlight w:val="none"/>
        </w:rPr>
        <w:t xml:space="preserve">  </w:t>
      </w:r>
      <w:r>
        <w:rPr>
          <w:rFonts w:ascii="黑体" w:hAnsi="黑体" w:eastAsia="黑体" w:cs="黑体"/>
          <w:color w:val="auto"/>
          <w:spacing w:val="1"/>
          <w:sz w:val="21"/>
          <w:szCs w:val="21"/>
          <w:highlight w:val="none"/>
        </w:rPr>
        <w:t>称：</w:t>
      </w:r>
      <w:r>
        <w:rPr>
          <w:rFonts w:hint="eastAsia" w:ascii="黑体" w:hAnsi="黑体" w:eastAsia="黑体" w:cs="黑体"/>
          <w:color w:val="auto"/>
          <w:spacing w:val="1"/>
          <w:sz w:val="21"/>
          <w:szCs w:val="21"/>
          <w:highlight w:val="none"/>
          <w:lang w:eastAsia="zh-CN"/>
        </w:rPr>
        <w:t>广西泰新工程信息咨询有限公司</w:t>
      </w:r>
    </w:p>
    <w:p>
      <w:pPr>
        <w:pStyle w:val="3"/>
        <w:spacing w:before="157" w:line="221" w:lineRule="auto"/>
        <w:ind w:left="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地   址：</w:t>
      </w:r>
      <w:r>
        <w:rPr>
          <w:rFonts w:hint="eastAsia" w:ascii="黑体" w:hAnsi="黑体" w:eastAsia="黑体" w:cs="黑体"/>
          <w:color w:val="auto"/>
          <w:spacing w:val="7"/>
          <w:sz w:val="21"/>
          <w:szCs w:val="21"/>
          <w:highlight w:val="none"/>
          <w:lang w:eastAsia="zh-CN"/>
        </w:rPr>
        <w:t>桂林市秀峰区红岭路1号桂林华润中心项目南区4栋C栋C座9-07办公</w:t>
      </w:r>
    </w:p>
    <w:p>
      <w:pPr>
        <w:spacing w:before="149" w:line="213" w:lineRule="auto"/>
        <w:ind w:left="519"/>
        <w:rPr>
          <w:rFonts w:hint="default" w:ascii="黑体" w:hAnsi="黑体" w:eastAsia="黑体" w:cs="黑体"/>
          <w:color w:val="auto"/>
          <w:sz w:val="21"/>
          <w:szCs w:val="21"/>
          <w:highlight w:val="none"/>
          <w:lang w:val="en-US" w:eastAsia="zh-CN"/>
        </w:rPr>
      </w:pPr>
      <w:r>
        <w:rPr>
          <w:rFonts w:ascii="黑体" w:hAnsi="黑体" w:eastAsia="黑体" w:cs="黑体"/>
          <w:color w:val="auto"/>
          <w:spacing w:val="-1"/>
          <w:sz w:val="21"/>
          <w:szCs w:val="21"/>
          <w:highlight w:val="none"/>
        </w:rPr>
        <w:t>项目联系人：</w:t>
      </w:r>
      <w:r>
        <w:rPr>
          <w:rFonts w:hint="eastAsia" w:ascii="黑体" w:hAnsi="黑体" w:eastAsia="黑体" w:cs="黑体"/>
          <w:color w:val="auto"/>
          <w:spacing w:val="-1"/>
          <w:sz w:val="21"/>
          <w:szCs w:val="21"/>
          <w:highlight w:val="none"/>
          <w:lang w:val="en-US" w:eastAsia="zh-CN"/>
        </w:rPr>
        <w:t>董工</w:t>
      </w:r>
    </w:p>
    <w:p>
      <w:pPr>
        <w:spacing w:before="177" w:line="221" w:lineRule="auto"/>
        <w:ind w:left="519"/>
        <w:rPr>
          <w:rFonts w:hint="default" w:ascii="黑体" w:hAnsi="黑体" w:eastAsia="黑体" w:cs="黑体"/>
          <w:color w:val="auto"/>
          <w:sz w:val="21"/>
          <w:szCs w:val="21"/>
          <w:highlight w:val="none"/>
          <w:lang w:val="en-US" w:eastAsia="zh-CN"/>
        </w:rPr>
      </w:pPr>
      <w:r>
        <w:rPr>
          <w:rFonts w:ascii="黑体" w:hAnsi="黑体" w:eastAsia="黑体" w:cs="黑体"/>
          <w:color w:val="auto"/>
          <w:spacing w:val="1"/>
          <w:sz w:val="21"/>
          <w:szCs w:val="21"/>
          <w:highlight w:val="none"/>
        </w:rPr>
        <w:t>联系方式：</w:t>
      </w:r>
      <w:r>
        <w:rPr>
          <w:rFonts w:hint="eastAsia" w:ascii="黑体" w:hAnsi="黑体" w:eastAsia="黑体" w:cs="黑体"/>
          <w:color w:val="auto"/>
          <w:spacing w:val="1"/>
          <w:sz w:val="21"/>
          <w:szCs w:val="21"/>
          <w:highlight w:val="none"/>
          <w:lang w:val="en-US" w:eastAsia="zh-CN"/>
        </w:rPr>
        <w:t>15907877089</w:t>
      </w:r>
    </w:p>
    <w:p>
      <w:pPr>
        <w:spacing w:line="221" w:lineRule="auto"/>
        <w:rPr>
          <w:rFonts w:ascii="黑体" w:hAnsi="黑体" w:eastAsia="黑体" w:cs="黑体"/>
          <w:color w:val="auto"/>
          <w:sz w:val="21"/>
          <w:szCs w:val="21"/>
          <w:highlight w:val="none"/>
        </w:rPr>
        <w:sectPr>
          <w:footerReference r:id="rId10" w:type="default"/>
          <w:pgSz w:w="11900" w:h="16830"/>
          <w:pgMar w:top="400" w:right="1073" w:bottom="801" w:left="1050" w:header="0" w:footer="657" w:gutter="0"/>
          <w:cols w:space="720" w:num="1"/>
        </w:sect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3"/>
        <w:spacing w:before="143" w:line="219" w:lineRule="auto"/>
        <w:ind w:left="3271"/>
        <w:outlineLvl w:val="0"/>
        <w:rPr>
          <w:color w:val="auto"/>
          <w:sz w:val="44"/>
          <w:szCs w:val="44"/>
          <w:highlight w:val="none"/>
        </w:rPr>
      </w:pPr>
      <w:bookmarkStart w:id="3" w:name="bookmark2"/>
      <w:bookmarkEnd w:id="3"/>
      <w:r>
        <w:rPr>
          <w:b/>
          <w:bCs/>
          <w:color w:val="auto"/>
          <w:spacing w:val="-3"/>
          <w:sz w:val="44"/>
          <w:szCs w:val="44"/>
          <w:highlight w:val="none"/>
        </w:rPr>
        <w:t>第二章</w:t>
      </w:r>
      <w:r>
        <w:rPr>
          <w:color w:val="auto"/>
          <w:spacing w:val="-3"/>
          <w:sz w:val="44"/>
          <w:szCs w:val="44"/>
          <w:highlight w:val="none"/>
        </w:rPr>
        <w:t xml:space="preserve">  </w:t>
      </w:r>
      <w:r>
        <w:rPr>
          <w:b/>
          <w:bCs/>
          <w:color w:val="auto"/>
          <w:spacing w:val="-3"/>
          <w:sz w:val="44"/>
          <w:szCs w:val="44"/>
          <w:highlight w:val="none"/>
        </w:rPr>
        <w:t>投标人须知</w:t>
      </w:r>
    </w:p>
    <w:p>
      <w:pPr>
        <w:spacing w:line="281" w:lineRule="auto"/>
        <w:rPr>
          <w:rFonts w:ascii="Arial"/>
          <w:color w:val="auto"/>
          <w:sz w:val="21"/>
          <w:highlight w:val="none"/>
        </w:rPr>
      </w:pPr>
    </w:p>
    <w:p>
      <w:pPr>
        <w:pStyle w:val="3"/>
        <w:spacing w:before="81" w:line="219" w:lineRule="auto"/>
        <w:ind w:left="4288"/>
        <w:rPr>
          <w:color w:val="auto"/>
          <w:sz w:val="25"/>
          <w:szCs w:val="25"/>
          <w:highlight w:val="none"/>
        </w:rPr>
      </w:pPr>
      <w:r>
        <w:rPr>
          <w:b/>
          <w:bCs/>
          <w:color w:val="auto"/>
          <w:spacing w:val="-5"/>
          <w:sz w:val="25"/>
          <w:szCs w:val="25"/>
          <w:highlight w:val="none"/>
        </w:rPr>
        <w:t>投标人须知前附表</w:t>
      </w:r>
    </w:p>
    <w:p>
      <w:pPr>
        <w:spacing w:line="33" w:lineRule="exact"/>
        <w:rPr>
          <w:color w:val="auto"/>
          <w:highlight w:val="none"/>
        </w:rPr>
      </w:pPr>
    </w:p>
    <w:tbl>
      <w:tblPr>
        <w:tblStyle w:val="8"/>
        <w:tblW w:w="1016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869"/>
        <w:gridCol w:w="1399"/>
        <w:gridCol w:w="7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trPr>
        <w:tc>
          <w:tcPr>
            <w:tcW w:w="634" w:type="dxa"/>
            <w:vAlign w:val="top"/>
          </w:tcPr>
          <w:p>
            <w:pPr>
              <w:pStyle w:val="9"/>
              <w:spacing w:before="85" w:line="221" w:lineRule="auto"/>
              <w:ind w:left="85"/>
              <w:rPr>
                <w:color w:val="auto"/>
                <w:highlight w:val="none"/>
              </w:rPr>
            </w:pPr>
            <w:r>
              <w:rPr>
                <w:color w:val="auto"/>
                <w:spacing w:val="6"/>
                <w:highlight w:val="none"/>
              </w:rPr>
              <w:t>序号</w:t>
            </w:r>
          </w:p>
        </w:tc>
        <w:tc>
          <w:tcPr>
            <w:tcW w:w="869" w:type="dxa"/>
            <w:vAlign w:val="top"/>
          </w:tcPr>
          <w:p>
            <w:pPr>
              <w:pStyle w:val="9"/>
              <w:spacing w:before="84" w:line="219" w:lineRule="auto"/>
              <w:ind w:left="91"/>
              <w:rPr>
                <w:color w:val="auto"/>
                <w:highlight w:val="none"/>
              </w:rPr>
            </w:pPr>
            <w:r>
              <w:rPr>
                <w:color w:val="auto"/>
                <w:spacing w:val="4"/>
                <w:highlight w:val="none"/>
              </w:rPr>
              <w:t>条款号</w:t>
            </w:r>
          </w:p>
        </w:tc>
        <w:tc>
          <w:tcPr>
            <w:tcW w:w="1399" w:type="dxa"/>
            <w:vAlign w:val="top"/>
          </w:tcPr>
          <w:p>
            <w:pPr>
              <w:pStyle w:val="9"/>
              <w:spacing w:before="84" w:line="219" w:lineRule="auto"/>
              <w:ind w:left="252"/>
              <w:rPr>
                <w:color w:val="auto"/>
                <w:highlight w:val="none"/>
              </w:rPr>
            </w:pPr>
            <w:r>
              <w:rPr>
                <w:color w:val="auto"/>
                <w:spacing w:val="2"/>
                <w:highlight w:val="none"/>
              </w:rPr>
              <w:t>条款名称</w:t>
            </w:r>
          </w:p>
        </w:tc>
        <w:tc>
          <w:tcPr>
            <w:tcW w:w="7264" w:type="dxa"/>
            <w:vAlign w:val="top"/>
          </w:tcPr>
          <w:p>
            <w:pPr>
              <w:pStyle w:val="9"/>
              <w:spacing w:before="84" w:line="219" w:lineRule="auto"/>
              <w:ind w:left="3062"/>
              <w:rPr>
                <w:color w:val="auto"/>
                <w:highlight w:val="none"/>
              </w:rPr>
            </w:pPr>
            <w:r>
              <w:rPr>
                <w:color w:val="auto"/>
                <w:spacing w:val="2"/>
                <w:highlight w:val="none"/>
              </w:rPr>
              <w:t>内容、要求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9" w:hRule="atLeast"/>
        </w:trPr>
        <w:tc>
          <w:tcPr>
            <w:tcW w:w="634" w:type="dxa"/>
            <w:vAlign w:val="top"/>
          </w:tcPr>
          <w:p>
            <w:pPr>
              <w:spacing w:line="257" w:lineRule="auto"/>
              <w:rPr>
                <w:rFonts w:ascii="Arial"/>
                <w:color w:val="auto"/>
                <w:sz w:val="21"/>
                <w:highlight w:val="none"/>
              </w:rPr>
            </w:pPr>
          </w:p>
          <w:p>
            <w:pPr>
              <w:pStyle w:val="9"/>
              <w:spacing w:before="72" w:line="241" w:lineRule="auto"/>
              <w:ind w:left="255"/>
              <w:rPr>
                <w:color w:val="auto"/>
                <w:highlight w:val="none"/>
              </w:rPr>
            </w:pPr>
            <w:r>
              <w:rPr>
                <w:color w:val="auto"/>
                <w:highlight w:val="none"/>
              </w:rPr>
              <w:t>1</w:t>
            </w:r>
          </w:p>
        </w:tc>
        <w:tc>
          <w:tcPr>
            <w:tcW w:w="869" w:type="dxa"/>
            <w:vAlign w:val="top"/>
          </w:tcPr>
          <w:p>
            <w:pPr>
              <w:spacing w:line="257" w:lineRule="auto"/>
              <w:rPr>
                <w:rFonts w:ascii="Arial"/>
                <w:color w:val="auto"/>
                <w:sz w:val="21"/>
                <w:highlight w:val="none"/>
              </w:rPr>
            </w:pPr>
          </w:p>
          <w:p>
            <w:pPr>
              <w:pStyle w:val="9"/>
              <w:spacing w:before="72" w:line="241" w:lineRule="auto"/>
              <w:ind w:left="371"/>
              <w:rPr>
                <w:color w:val="auto"/>
                <w:highlight w:val="none"/>
              </w:rPr>
            </w:pPr>
            <w:r>
              <w:rPr>
                <w:color w:val="auto"/>
                <w:highlight w:val="none"/>
              </w:rPr>
              <w:t>1</w:t>
            </w:r>
          </w:p>
        </w:tc>
        <w:tc>
          <w:tcPr>
            <w:tcW w:w="1399" w:type="dxa"/>
            <w:vAlign w:val="top"/>
          </w:tcPr>
          <w:p>
            <w:pPr>
              <w:pStyle w:val="9"/>
              <w:spacing w:before="130" w:line="289" w:lineRule="auto"/>
              <w:ind w:left="251" w:right="134" w:hanging="109"/>
              <w:rPr>
                <w:color w:val="auto"/>
                <w:highlight w:val="none"/>
              </w:rPr>
            </w:pPr>
            <w:r>
              <w:rPr>
                <w:color w:val="auto"/>
                <w:spacing w:val="2"/>
                <w:highlight w:val="none"/>
              </w:rPr>
              <w:t>项目名称及</w:t>
            </w:r>
            <w:r>
              <w:rPr>
                <w:color w:val="auto"/>
                <w:spacing w:val="1"/>
                <w:highlight w:val="none"/>
              </w:rPr>
              <w:t xml:space="preserve"> </w:t>
            </w:r>
            <w:r>
              <w:rPr>
                <w:color w:val="auto"/>
                <w:spacing w:val="3"/>
                <w:highlight w:val="none"/>
              </w:rPr>
              <w:t>项目编号</w:t>
            </w:r>
          </w:p>
        </w:tc>
        <w:tc>
          <w:tcPr>
            <w:tcW w:w="7264" w:type="dxa"/>
            <w:vAlign w:val="top"/>
          </w:tcPr>
          <w:p>
            <w:pPr>
              <w:pStyle w:val="9"/>
              <w:spacing w:before="147" w:line="219" w:lineRule="auto"/>
              <w:ind w:left="92"/>
              <w:rPr>
                <w:rFonts w:hint="eastAsia" w:eastAsia="宋体"/>
                <w:color w:val="auto"/>
                <w:highlight w:val="none"/>
                <w:lang w:eastAsia="zh-CN"/>
              </w:rPr>
            </w:pPr>
            <w:r>
              <w:rPr>
                <w:color w:val="auto"/>
                <w:highlight w:val="none"/>
              </w:rPr>
              <w:t>项目名称：</w:t>
            </w:r>
            <w:r>
              <w:rPr>
                <w:rFonts w:hint="eastAsia"/>
                <w:color w:val="auto"/>
                <w:highlight w:val="none"/>
                <w:lang w:eastAsia="zh-CN"/>
              </w:rPr>
              <w:t>秀峰区区属学校、幼儿园校园保安服务</w:t>
            </w:r>
          </w:p>
          <w:p>
            <w:pPr>
              <w:pStyle w:val="9"/>
              <w:spacing w:before="88" w:line="218" w:lineRule="auto"/>
              <w:ind w:left="82"/>
              <w:rPr>
                <w:rFonts w:hint="eastAsia" w:eastAsia="宋体"/>
                <w:color w:val="auto"/>
                <w:highlight w:val="none"/>
                <w:lang w:eastAsia="zh-CN"/>
              </w:rPr>
            </w:pPr>
            <w:r>
              <w:rPr>
                <w:color w:val="auto"/>
                <w:highlight w:val="none"/>
              </w:rPr>
              <w:t>项目编号：</w:t>
            </w:r>
            <w:r>
              <w:rPr>
                <w:rFonts w:hint="eastAsia"/>
                <w:color w:val="auto"/>
                <w:highlight w:val="none"/>
                <w:lang w:eastAsia="zh-CN"/>
              </w:rPr>
              <w:t>GLZC2025-G3-990646-TXZX</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48" w:hRule="atLeast"/>
        </w:trPr>
        <w:tc>
          <w:tcPr>
            <w:tcW w:w="634" w:type="dxa"/>
            <w:vAlign w:val="top"/>
          </w:tcPr>
          <w:p>
            <w:pPr>
              <w:spacing w:line="304" w:lineRule="auto"/>
              <w:rPr>
                <w:rFonts w:ascii="Arial"/>
                <w:color w:val="auto"/>
                <w:sz w:val="21"/>
                <w:highlight w:val="none"/>
              </w:rPr>
            </w:pPr>
          </w:p>
          <w:p>
            <w:pPr>
              <w:spacing w:line="305" w:lineRule="auto"/>
              <w:rPr>
                <w:rFonts w:ascii="Arial"/>
                <w:color w:val="auto"/>
                <w:sz w:val="21"/>
                <w:highlight w:val="none"/>
              </w:rPr>
            </w:pPr>
          </w:p>
          <w:p>
            <w:pPr>
              <w:spacing w:line="305" w:lineRule="auto"/>
              <w:rPr>
                <w:rFonts w:ascii="Arial"/>
                <w:color w:val="auto"/>
                <w:sz w:val="21"/>
                <w:highlight w:val="none"/>
              </w:rPr>
            </w:pPr>
          </w:p>
          <w:p>
            <w:pPr>
              <w:pStyle w:val="9"/>
              <w:spacing w:before="72" w:line="241" w:lineRule="auto"/>
              <w:ind w:left="255"/>
              <w:rPr>
                <w:color w:val="auto"/>
                <w:highlight w:val="none"/>
              </w:rPr>
            </w:pPr>
            <w:r>
              <w:rPr>
                <w:color w:val="auto"/>
                <w:highlight w:val="none"/>
              </w:rPr>
              <w:t>2</w:t>
            </w:r>
          </w:p>
        </w:tc>
        <w:tc>
          <w:tcPr>
            <w:tcW w:w="869" w:type="dxa"/>
            <w:vAlign w:val="top"/>
          </w:tcPr>
          <w:p>
            <w:pPr>
              <w:spacing w:line="304" w:lineRule="auto"/>
              <w:rPr>
                <w:rFonts w:ascii="Arial"/>
                <w:color w:val="auto"/>
                <w:sz w:val="21"/>
                <w:highlight w:val="none"/>
              </w:rPr>
            </w:pPr>
          </w:p>
          <w:p>
            <w:pPr>
              <w:spacing w:line="305" w:lineRule="auto"/>
              <w:rPr>
                <w:rFonts w:ascii="Arial"/>
                <w:color w:val="auto"/>
                <w:sz w:val="21"/>
                <w:highlight w:val="none"/>
              </w:rPr>
            </w:pPr>
          </w:p>
          <w:p>
            <w:pPr>
              <w:spacing w:line="305" w:lineRule="auto"/>
              <w:rPr>
                <w:rFonts w:ascii="Arial"/>
                <w:color w:val="auto"/>
                <w:sz w:val="21"/>
                <w:highlight w:val="none"/>
              </w:rPr>
            </w:pPr>
          </w:p>
          <w:p>
            <w:pPr>
              <w:pStyle w:val="9"/>
              <w:spacing w:before="72" w:line="239" w:lineRule="auto"/>
              <w:ind w:left="260"/>
              <w:rPr>
                <w:color w:val="auto"/>
                <w:highlight w:val="none"/>
              </w:rPr>
            </w:pPr>
            <w:r>
              <w:rPr>
                <w:color w:val="auto"/>
                <w:spacing w:val="-3"/>
                <w:highlight w:val="none"/>
              </w:rPr>
              <w:t>3.6</w:t>
            </w:r>
          </w:p>
        </w:tc>
        <w:tc>
          <w:tcPr>
            <w:tcW w:w="1399" w:type="dxa"/>
            <w:vAlign w:val="top"/>
          </w:tcPr>
          <w:p>
            <w:pPr>
              <w:spacing w:line="277" w:lineRule="auto"/>
              <w:rPr>
                <w:rFonts w:ascii="Arial"/>
                <w:color w:val="auto"/>
                <w:sz w:val="21"/>
                <w:highlight w:val="none"/>
              </w:rPr>
            </w:pPr>
          </w:p>
          <w:p>
            <w:pPr>
              <w:spacing w:line="278" w:lineRule="auto"/>
              <w:rPr>
                <w:rFonts w:ascii="Arial"/>
                <w:color w:val="auto"/>
                <w:sz w:val="21"/>
                <w:highlight w:val="none"/>
              </w:rPr>
            </w:pPr>
          </w:p>
          <w:p>
            <w:pPr>
              <w:pStyle w:val="9"/>
              <w:spacing w:before="71" w:line="219" w:lineRule="auto"/>
              <w:jc w:val="right"/>
              <w:rPr>
                <w:color w:val="auto"/>
                <w:highlight w:val="none"/>
              </w:rPr>
            </w:pPr>
            <w:r>
              <w:rPr>
                <w:color w:val="auto"/>
                <w:spacing w:val="6"/>
                <w:highlight w:val="none"/>
              </w:rPr>
              <w:t>法定代表人、</w:t>
            </w:r>
          </w:p>
          <w:p>
            <w:pPr>
              <w:pStyle w:val="9"/>
              <w:spacing w:before="89" w:line="219" w:lineRule="auto"/>
              <w:ind w:left="32"/>
              <w:rPr>
                <w:color w:val="auto"/>
                <w:highlight w:val="none"/>
              </w:rPr>
            </w:pPr>
            <w:r>
              <w:rPr>
                <w:color w:val="auto"/>
                <w:spacing w:val="1"/>
                <w:highlight w:val="none"/>
              </w:rPr>
              <w:t>负责人、自然</w:t>
            </w:r>
          </w:p>
          <w:p>
            <w:pPr>
              <w:pStyle w:val="9"/>
              <w:spacing w:before="112" w:line="222" w:lineRule="auto"/>
              <w:ind w:left="581"/>
              <w:rPr>
                <w:color w:val="auto"/>
                <w:highlight w:val="none"/>
              </w:rPr>
            </w:pPr>
            <w:r>
              <w:rPr>
                <w:color w:val="auto"/>
                <w:highlight w:val="none"/>
              </w:rPr>
              <w:t>人</w:t>
            </w:r>
          </w:p>
        </w:tc>
        <w:tc>
          <w:tcPr>
            <w:tcW w:w="7264" w:type="dxa"/>
            <w:vAlign w:val="top"/>
          </w:tcPr>
          <w:p>
            <w:pPr>
              <w:pStyle w:val="9"/>
              <w:spacing w:before="78" w:line="288" w:lineRule="auto"/>
              <w:ind w:left="13"/>
              <w:jc w:val="both"/>
              <w:rPr>
                <w:color w:val="auto"/>
                <w:highlight w:val="none"/>
              </w:rPr>
            </w:pPr>
            <w:r>
              <w:rPr>
                <w:color w:val="auto"/>
                <w:spacing w:val="-1"/>
                <w:highlight w:val="none"/>
              </w:rPr>
              <w:t>投标人为其他组织或者自然人时，本招标文件规定的法定代表人指其他组织</w:t>
            </w:r>
            <w:r>
              <w:rPr>
                <w:color w:val="auto"/>
                <w:spacing w:val="12"/>
                <w:highlight w:val="none"/>
              </w:rPr>
              <w:t xml:space="preserve"> </w:t>
            </w:r>
            <w:r>
              <w:rPr>
                <w:color w:val="auto"/>
                <w:spacing w:val="-1"/>
                <w:highlight w:val="none"/>
              </w:rPr>
              <w:t>的负责人或者自然人本人。本招标文件所称负责人是指参加投标的</w:t>
            </w:r>
            <w:r>
              <w:rPr>
                <w:color w:val="auto"/>
                <w:spacing w:val="-2"/>
                <w:highlight w:val="none"/>
              </w:rPr>
              <w:t>其他组织</w:t>
            </w:r>
            <w:r>
              <w:rPr>
                <w:color w:val="auto"/>
                <w:highlight w:val="none"/>
              </w:rPr>
              <w:t xml:space="preserve"> </w:t>
            </w:r>
            <w:r>
              <w:rPr>
                <w:color w:val="auto"/>
                <w:spacing w:val="-1"/>
                <w:highlight w:val="none"/>
              </w:rPr>
              <w:t>营业执照或者执业许可证等证照上的负责人；本招标文件所称自然人指参与</w:t>
            </w:r>
            <w:r>
              <w:rPr>
                <w:color w:val="auto"/>
                <w:spacing w:val="8"/>
                <w:highlight w:val="none"/>
              </w:rPr>
              <w:t xml:space="preserve"> </w:t>
            </w:r>
            <w:r>
              <w:rPr>
                <w:color w:val="auto"/>
                <w:spacing w:val="-1"/>
                <w:highlight w:val="none"/>
              </w:rPr>
              <w:t>投标的自然人本人，且应具备独立承担民事责任能力，自然人应当为年满18</w:t>
            </w:r>
            <w:r>
              <w:rPr>
                <w:color w:val="auto"/>
                <w:spacing w:val="13"/>
                <w:highlight w:val="none"/>
              </w:rPr>
              <w:t xml:space="preserve"> </w:t>
            </w:r>
            <w:r>
              <w:rPr>
                <w:color w:val="auto"/>
                <w:spacing w:val="1"/>
                <w:highlight w:val="none"/>
              </w:rPr>
              <w:t>岁以上成年人(十六周岁以上的未成年人，以自己的劳动收入为主要</w:t>
            </w:r>
            <w:r>
              <w:rPr>
                <w:color w:val="auto"/>
                <w:highlight w:val="none"/>
              </w:rPr>
              <w:t xml:space="preserve">生活来 </w:t>
            </w:r>
            <w:r>
              <w:rPr>
                <w:color w:val="auto"/>
                <w:spacing w:val="4"/>
                <w:highlight w:val="none"/>
              </w:rPr>
              <w:t>源的，视为完全民事行为能力人)。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2" w:hRule="atLeast"/>
        </w:trPr>
        <w:tc>
          <w:tcPr>
            <w:tcW w:w="634" w:type="dxa"/>
            <w:vAlign w:val="top"/>
          </w:tcPr>
          <w:p>
            <w:pPr>
              <w:spacing w:line="305" w:lineRule="auto"/>
              <w:rPr>
                <w:rFonts w:ascii="Arial"/>
                <w:color w:val="auto"/>
                <w:sz w:val="21"/>
                <w:highlight w:val="none"/>
              </w:rPr>
            </w:pPr>
          </w:p>
          <w:p>
            <w:pPr>
              <w:spacing w:line="305" w:lineRule="auto"/>
              <w:rPr>
                <w:rFonts w:ascii="Arial"/>
                <w:color w:val="auto"/>
                <w:sz w:val="21"/>
                <w:highlight w:val="none"/>
              </w:rPr>
            </w:pPr>
          </w:p>
          <w:p>
            <w:pPr>
              <w:spacing w:line="306" w:lineRule="auto"/>
              <w:rPr>
                <w:rFonts w:ascii="Arial"/>
                <w:color w:val="auto"/>
                <w:sz w:val="21"/>
                <w:highlight w:val="none"/>
              </w:rPr>
            </w:pPr>
          </w:p>
          <w:p>
            <w:pPr>
              <w:pStyle w:val="9"/>
              <w:spacing w:before="71"/>
              <w:ind w:left="255"/>
              <w:rPr>
                <w:color w:val="auto"/>
                <w:highlight w:val="none"/>
              </w:rPr>
            </w:pPr>
            <w:r>
              <w:rPr>
                <w:color w:val="auto"/>
                <w:highlight w:val="none"/>
              </w:rPr>
              <w:t>3</w:t>
            </w:r>
          </w:p>
        </w:tc>
        <w:tc>
          <w:tcPr>
            <w:tcW w:w="869" w:type="dxa"/>
            <w:vAlign w:val="top"/>
          </w:tcPr>
          <w:p>
            <w:pPr>
              <w:spacing w:line="305" w:lineRule="auto"/>
              <w:rPr>
                <w:rFonts w:ascii="Arial"/>
                <w:color w:val="auto"/>
                <w:sz w:val="21"/>
                <w:highlight w:val="none"/>
              </w:rPr>
            </w:pPr>
          </w:p>
          <w:p>
            <w:pPr>
              <w:spacing w:line="305" w:lineRule="auto"/>
              <w:rPr>
                <w:rFonts w:ascii="Arial"/>
                <w:color w:val="auto"/>
                <w:sz w:val="21"/>
                <w:highlight w:val="none"/>
              </w:rPr>
            </w:pPr>
          </w:p>
          <w:p>
            <w:pPr>
              <w:spacing w:line="306" w:lineRule="auto"/>
              <w:rPr>
                <w:rFonts w:ascii="Arial"/>
                <w:color w:val="auto"/>
                <w:sz w:val="21"/>
                <w:highlight w:val="none"/>
              </w:rPr>
            </w:pPr>
          </w:p>
          <w:p>
            <w:pPr>
              <w:pStyle w:val="9"/>
              <w:spacing w:before="72" w:line="239" w:lineRule="auto"/>
              <w:ind w:left="260"/>
              <w:rPr>
                <w:color w:val="auto"/>
                <w:highlight w:val="none"/>
              </w:rPr>
            </w:pPr>
            <w:r>
              <w:rPr>
                <w:color w:val="auto"/>
                <w:spacing w:val="-3"/>
                <w:highlight w:val="none"/>
              </w:rPr>
              <w:t>5.1</w:t>
            </w:r>
          </w:p>
        </w:tc>
        <w:tc>
          <w:tcPr>
            <w:tcW w:w="1399" w:type="dxa"/>
            <w:vAlign w:val="top"/>
          </w:tcPr>
          <w:p>
            <w:pPr>
              <w:spacing w:line="298" w:lineRule="auto"/>
              <w:rPr>
                <w:rFonts w:ascii="Arial"/>
                <w:color w:val="auto"/>
                <w:sz w:val="21"/>
                <w:highlight w:val="none"/>
              </w:rPr>
            </w:pPr>
          </w:p>
          <w:p>
            <w:pPr>
              <w:spacing w:line="298" w:lineRule="auto"/>
              <w:rPr>
                <w:rFonts w:ascii="Arial"/>
                <w:color w:val="auto"/>
                <w:sz w:val="21"/>
                <w:highlight w:val="none"/>
              </w:rPr>
            </w:pPr>
          </w:p>
          <w:p>
            <w:pPr>
              <w:spacing w:line="299" w:lineRule="auto"/>
              <w:rPr>
                <w:rFonts w:ascii="Arial"/>
                <w:color w:val="auto"/>
                <w:sz w:val="21"/>
                <w:highlight w:val="none"/>
              </w:rPr>
            </w:pPr>
          </w:p>
          <w:p>
            <w:pPr>
              <w:pStyle w:val="9"/>
              <w:spacing w:before="71" w:line="219" w:lineRule="auto"/>
              <w:ind w:left="142"/>
              <w:rPr>
                <w:color w:val="auto"/>
                <w:highlight w:val="none"/>
              </w:rPr>
            </w:pPr>
            <w:r>
              <w:rPr>
                <w:color w:val="auto"/>
                <w:spacing w:val="1"/>
                <w:highlight w:val="none"/>
              </w:rPr>
              <w:t>投标人资格</w:t>
            </w:r>
          </w:p>
        </w:tc>
        <w:tc>
          <w:tcPr>
            <w:tcW w:w="7264" w:type="dxa"/>
            <w:vAlign w:val="top"/>
          </w:tcPr>
          <w:p>
            <w:pPr>
              <w:pStyle w:val="9"/>
              <w:spacing w:before="80" w:line="219" w:lineRule="auto"/>
              <w:ind w:left="173"/>
              <w:rPr>
                <w:color w:val="auto"/>
                <w:highlight w:val="none"/>
              </w:rPr>
            </w:pPr>
            <w:r>
              <w:rPr>
                <w:color w:val="auto"/>
                <w:spacing w:val="4"/>
                <w:highlight w:val="none"/>
              </w:rPr>
              <w:t>(1)满足《中华人民共和国政府采购法》第二十二条规定；</w:t>
            </w:r>
          </w:p>
          <w:p>
            <w:pPr>
              <w:pStyle w:val="9"/>
              <w:spacing w:before="100" w:line="260" w:lineRule="auto"/>
              <w:ind w:left="13" w:firstLine="79"/>
              <w:rPr>
                <w:rFonts w:hint="eastAsia" w:eastAsia="宋体"/>
                <w:color w:val="auto"/>
                <w:highlight w:val="none"/>
                <w:lang w:eastAsia="zh-CN"/>
              </w:rPr>
            </w:pPr>
            <w:r>
              <w:rPr>
                <w:color w:val="auto"/>
                <w:highlight w:val="none"/>
              </w:rPr>
              <w:t>(2)落实政府采购政策需满足的资格要求：本项</w:t>
            </w:r>
            <w:r>
              <w:rPr>
                <w:color w:val="auto"/>
                <w:spacing w:val="-1"/>
                <w:highlight w:val="none"/>
              </w:rPr>
              <w:t>目</w:t>
            </w:r>
            <w:r>
              <w:rPr>
                <w:rFonts w:hint="eastAsia"/>
                <w:color w:val="auto"/>
                <w:spacing w:val="-1"/>
                <w:highlight w:val="none"/>
                <w:lang w:val="en-US" w:eastAsia="zh-CN"/>
              </w:rPr>
              <w:t>非</w:t>
            </w:r>
            <w:r>
              <w:rPr>
                <w:color w:val="auto"/>
                <w:spacing w:val="-1"/>
                <w:highlight w:val="none"/>
              </w:rPr>
              <w:t>专门面向中小企业</w:t>
            </w:r>
            <w:r>
              <w:rPr>
                <w:rFonts w:hint="eastAsia"/>
                <w:color w:val="auto"/>
                <w:spacing w:val="-1"/>
                <w:highlight w:val="none"/>
                <w:lang w:eastAsia="zh-CN"/>
              </w:rPr>
              <w:t>；</w:t>
            </w:r>
          </w:p>
          <w:p>
            <w:pPr>
              <w:pStyle w:val="9"/>
              <w:spacing w:before="97" w:line="259" w:lineRule="auto"/>
              <w:ind w:left="212" w:right="10" w:hanging="120"/>
              <w:rPr>
                <w:color w:val="auto"/>
                <w:highlight w:val="none"/>
              </w:rPr>
            </w:pPr>
            <w:r>
              <w:rPr>
                <w:color w:val="auto"/>
                <w:highlight w:val="none"/>
              </w:rPr>
              <w:t>(3)本项目的特定资格要求：</w:t>
            </w:r>
            <w:r>
              <w:rPr>
                <w:rFonts w:hint="eastAsia"/>
                <w:color w:val="auto"/>
                <w:highlight w:val="none"/>
                <w:lang w:val="en-US" w:eastAsia="zh-CN"/>
              </w:rPr>
              <w:t>无</w:t>
            </w:r>
            <w:r>
              <w:rPr>
                <w:color w:val="auto"/>
                <w:spacing w:val="-1"/>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5" w:hRule="atLeast"/>
        </w:trPr>
        <w:tc>
          <w:tcPr>
            <w:tcW w:w="634"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pStyle w:val="9"/>
              <w:spacing w:before="72" w:line="241" w:lineRule="auto"/>
              <w:ind w:left="255"/>
              <w:rPr>
                <w:color w:val="auto"/>
                <w:highlight w:val="none"/>
              </w:rPr>
            </w:pPr>
            <w:r>
              <w:rPr>
                <w:color w:val="auto"/>
                <w:highlight w:val="none"/>
              </w:rPr>
              <w:t>4</w:t>
            </w:r>
          </w:p>
        </w:tc>
        <w:tc>
          <w:tcPr>
            <w:tcW w:w="869" w:type="dxa"/>
            <w:vAlign w:val="top"/>
          </w:tcPr>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pStyle w:val="9"/>
              <w:spacing w:before="71"/>
              <w:ind w:left="371"/>
              <w:rPr>
                <w:color w:val="auto"/>
                <w:highlight w:val="none"/>
              </w:rPr>
            </w:pPr>
            <w:r>
              <w:rPr>
                <w:color w:val="auto"/>
                <w:highlight w:val="none"/>
              </w:rPr>
              <w:t>6</w:t>
            </w:r>
          </w:p>
        </w:tc>
        <w:tc>
          <w:tcPr>
            <w:tcW w:w="1399"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line="220" w:lineRule="auto"/>
              <w:ind w:left="142"/>
              <w:rPr>
                <w:color w:val="auto"/>
                <w:highlight w:val="none"/>
              </w:rPr>
            </w:pPr>
            <w:r>
              <w:rPr>
                <w:color w:val="auto"/>
                <w:spacing w:val="-2"/>
                <w:highlight w:val="none"/>
              </w:rPr>
              <w:t>参与电子投</w:t>
            </w:r>
          </w:p>
          <w:p>
            <w:pPr>
              <w:pStyle w:val="9"/>
              <w:spacing w:before="127" w:line="220" w:lineRule="auto"/>
              <w:ind w:left="142"/>
              <w:rPr>
                <w:color w:val="auto"/>
                <w:highlight w:val="none"/>
              </w:rPr>
            </w:pPr>
            <w:r>
              <w:rPr>
                <w:color w:val="auto"/>
                <w:spacing w:val="2"/>
                <w:highlight w:val="none"/>
              </w:rPr>
              <w:t>标的准备工</w:t>
            </w:r>
          </w:p>
          <w:p>
            <w:pPr>
              <w:pStyle w:val="9"/>
              <w:spacing w:before="87" w:line="220" w:lineRule="auto"/>
              <w:ind w:left="581"/>
              <w:rPr>
                <w:color w:val="auto"/>
                <w:highlight w:val="none"/>
              </w:rPr>
            </w:pPr>
            <w:r>
              <w:rPr>
                <w:color w:val="auto"/>
                <w:highlight w:val="none"/>
              </w:rPr>
              <w:t>作</w:t>
            </w:r>
          </w:p>
        </w:tc>
        <w:tc>
          <w:tcPr>
            <w:tcW w:w="7264" w:type="dxa"/>
            <w:vAlign w:val="top"/>
          </w:tcPr>
          <w:p>
            <w:pPr>
              <w:pStyle w:val="9"/>
              <w:spacing w:before="106" w:line="296" w:lineRule="auto"/>
              <w:ind w:left="13" w:firstLine="69"/>
              <w:rPr>
                <w:color w:val="auto"/>
                <w:highlight w:val="none"/>
              </w:rPr>
            </w:pPr>
            <w:r>
              <w:rPr>
                <w:color w:val="auto"/>
                <w:spacing w:val="-7"/>
                <w:highlight w:val="none"/>
              </w:rPr>
              <w:t>6.1本项目实行全流程电子化采购，投标人通过“广西政府采</w:t>
            </w:r>
            <w:r>
              <w:rPr>
                <w:color w:val="auto"/>
                <w:spacing w:val="-8"/>
                <w:highlight w:val="none"/>
              </w:rPr>
              <w:t>购云平台”参与</w:t>
            </w:r>
            <w:r>
              <w:rPr>
                <w:color w:val="auto"/>
                <w:highlight w:val="none"/>
              </w:rPr>
              <w:t xml:space="preserve"> </w:t>
            </w:r>
            <w:r>
              <w:rPr>
                <w:color w:val="auto"/>
                <w:spacing w:val="-2"/>
                <w:highlight w:val="none"/>
              </w:rPr>
              <w:t>电子投标，并应做好以下相关准备工作：①在</w:t>
            </w:r>
            <w:r>
              <w:rPr>
                <w:color w:val="auto"/>
                <w:spacing w:val="-3"/>
                <w:highlight w:val="none"/>
              </w:rPr>
              <w:t>“广西政府采购云平台”注册</w:t>
            </w:r>
            <w:r>
              <w:rPr>
                <w:color w:val="auto"/>
                <w:highlight w:val="none"/>
              </w:rPr>
              <w:t xml:space="preserve"> 成为正式供应商(操作方法详见广西壮族自治区政府采购网</w:t>
            </w:r>
            <w:r>
              <w:rPr>
                <w:color w:val="auto"/>
                <w:spacing w:val="-1"/>
                <w:highlight w:val="none"/>
              </w:rPr>
              <w:t>一办事服务一办</w:t>
            </w:r>
            <w:r>
              <w:rPr>
                <w:color w:val="auto"/>
                <w:highlight w:val="none"/>
              </w:rPr>
              <w:t xml:space="preserve">  </w:t>
            </w:r>
            <w:r>
              <w:rPr>
                <w:color w:val="auto"/>
                <w:spacing w:val="3"/>
                <w:highlight w:val="none"/>
              </w:rPr>
              <w:t>事指南);②完成</w:t>
            </w:r>
            <w:r>
              <w:rPr>
                <w:color w:val="auto"/>
                <w:highlight w:val="none"/>
              </w:rPr>
              <w:t>CA</w:t>
            </w:r>
            <w:r>
              <w:rPr>
                <w:color w:val="auto"/>
                <w:spacing w:val="3"/>
                <w:highlight w:val="none"/>
              </w:rPr>
              <w:t>证书申领和绑定(费用由投标人自行承担，办理流程详</w:t>
            </w:r>
            <w:r>
              <w:rPr>
                <w:color w:val="auto"/>
                <w:spacing w:val="2"/>
                <w:highlight w:val="none"/>
              </w:rPr>
              <w:t xml:space="preserve">   </w:t>
            </w:r>
            <w:r>
              <w:rPr>
                <w:color w:val="auto"/>
                <w:spacing w:val="-2"/>
                <w:highlight w:val="none"/>
              </w:rPr>
              <w:t>见广西壮族自治区政府采购网一办事服务一下载</w:t>
            </w:r>
            <w:r>
              <w:rPr>
                <w:color w:val="auto"/>
                <w:spacing w:val="-3"/>
                <w:highlight w:val="none"/>
              </w:rPr>
              <w:t>专区，完成CA证书办理预计</w:t>
            </w:r>
            <w:r>
              <w:rPr>
                <w:color w:val="auto"/>
                <w:highlight w:val="none"/>
              </w:rPr>
              <w:t xml:space="preserve"> </w:t>
            </w:r>
            <w:r>
              <w:rPr>
                <w:color w:val="auto"/>
                <w:spacing w:val="1"/>
                <w:highlight w:val="none"/>
              </w:rPr>
              <w:t>一周左右，建议供应商尽快办理);③下载“广西壮族自治区全流程电子招</w:t>
            </w:r>
            <w:r>
              <w:rPr>
                <w:color w:val="auto"/>
                <w:spacing w:val="7"/>
                <w:highlight w:val="none"/>
              </w:rPr>
              <w:t xml:space="preserve">  </w:t>
            </w:r>
            <w:r>
              <w:rPr>
                <w:color w:val="auto"/>
                <w:spacing w:val="-6"/>
                <w:highlight w:val="none"/>
              </w:rPr>
              <w:t>投标项目管理系统一一供应商客户端”(操作方法详见广西壮族自治区政府采</w:t>
            </w:r>
            <w:r>
              <w:rPr>
                <w:color w:val="auto"/>
                <w:spacing w:val="13"/>
                <w:highlight w:val="none"/>
              </w:rPr>
              <w:t xml:space="preserve"> </w:t>
            </w:r>
            <w:r>
              <w:rPr>
                <w:color w:val="auto"/>
                <w:spacing w:val="-1"/>
                <w:highlight w:val="none"/>
              </w:rPr>
              <w:t>购网一办事服务一下载专区，以下称“电子投标客户端”)并安装成功，投</w:t>
            </w:r>
            <w:r>
              <w:rPr>
                <w:color w:val="auto"/>
                <w:spacing w:val="3"/>
                <w:highlight w:val="none"/>
              </w:rPr>
              <w:t xml:space="preserve">  </w:t>
            </w:r>
            <w:r>
              <w:rPr>
                <w:color w:val="auto"/>
                <w:spacing w:val="-2"/>
                <w:highlight w:val="none"/>
              </w:rPr>
              <w:t>标人应当在提交投标文件截止时间前在“广西政府采购云平台”平台完成的</w:t>
            </w:r>
            <w:r>
              <w:rPr>
                <w:color w:val="auto"/>
                <w:spacing w:val="6"/>
                <w:highlight w:val="none"/>
              </w:rPr>
              <w:t xml:space="preserve"> </w:t>
            </w:r>
            <w:r>
              <w:rPr>
                <w:color w:val="auto"/>
                <w:spacing w:val="-2"/>
                <w:highlight w:val="none"/>
              </w:rPr>
              <w:t>身份认证，确保能够对相关数据电文进行加密和使用电子签章；④自备计算</w:t>
            </w:r>
            <w:r>
              <w:rPr>
                <w:color w:val="auto"/>
                <w:spacing w:val="1"/>
                <w:highlight w:val="none"/>
              </w:rPr>
              <w:t xml:space="preserve"> </w:t>
            </w:r>
            <w:r>
              <w:rPr>
                <w:color w:val="auto"/>
                <w:spacing w:val="-1"/>
                <w:highlight w:val="none"/>
              </w:rPr>
              <w:t>机和网络设备并确保能接入互联网(费用由投标人自行承担，设备确保可进</w:t>
            </w:r>
            <w:r>
              <w:rPr>
                <w:color w:val="auto"/>
                <w:spacing w:val="2"/>
                <w:highlight w:val="none"/>
              </w:rPr>
              <w:t xml:space="preserve">  </w:t>
            </w:r>
            <w:r>
              <w:rPr>
                <w:color w:val="auto"/>
                <w:highlight w:val="none"/>
              </w:rPr>
              <w:t>行视频通话和读取广西政府采购云CA证书)。因投标人未做好</w:t>
            </w:r>
            <w:r>
              <w:rPr>
                <w:color w:val="auto"/>
                <w:spacing w:val="-1"/>
                <w:highlight w:val="none"/>
              </w:rPr>
              <w:t>相关准备工作</w:t>
            </w:r>
            <w:r>
              <w:rPr>
                <w:color w:val="auto"/>
                <w:highlight w:val="none"/>
              </w:rPr>
              <w:t xml:space="preserve">  </w:t>
            </w:r>
            <w:r>
              <w:rPr>
                <w:color w:val="auto"/>
                <w:spacing w:val="-1"/>
                <w:highlight w:val="none"/>
              </w:rPr>
              <w:t>等自身原因导致无法参加本项目电子投标或投标失败的，造成的一切后果，</w:t>
            </w:r>
            <w:r>
              <w:rPr>
                <w:color w:val="auto"/>
                <w:spacing w:val="12"/>
                <w:highlight w:val="none"/>
              </w:rPr>
              <w:t xml:space="preserve"> </w:t>
            </w:r>
            <w:r>
              <w:rPr>
                <w:color w:val="auto"/>
                <w:spacing w:val="6"/>
                <w:highlight w:val="none"/>
              </w:rPr>
              <w:t>由投标人自行承担。</w:t>
            </w:r>
          </w:p>
          <w:p>
            <w:pPr>
              <w:pStyle w:val="9"/>
              <w:spacing w:before="96" w:line="275" w:lineRule="auto"/>
              <w:ind w:left="72" w:right="11" w:hanging="59"/>
              <w:rPr>
                <w:color w:val="auto"/>
                <w:highlight w:val="none"/>
              </w:rPr>
            </w:pPr>
            <w:r>
              <w:rPr>
                <w:color w:val="auto"/>
                <w:spacing w:val="-1"/>
                <w:highlight w:val="none"/>
              </w:rPr>
              <w:t>6.2电子投标具体操作流程参考《政府采购项目电子交易管理操作指南-供应</w:t>
            </w:r>
            <w:r>
              <w:rPr>
                <w:color w:val="auto"/>
                <w:spacing w:val="3"/>
                <w:highlight w:val="none"/>
              </w:rPr>
              <w:t xml:space="preserve"> 商》(详见桂林市政府采购网一采购资讯一重要通知)</w:t>
            </w:r>
            <w:r>
              <w:rPr>
                <w:color w:val="auto"/>
                <w:spacing w:val="2"/>
                <w:highlight w:val="none"/>
              </w:rPr>
              <w:t>;如遇平台技术问题</w:t>
            </w:r>
            <w:r>
              <w:rPr>
                <w:color w:val="auto"/>
                <w:highlight w:val="none"/>
              </w:rPr>
              <w:t xml:space="preserve">  </w:t>
            </w:r>
            <w:r>
              <w:rPr>
                <w:color w:val="auto"/>
                <w:spacing w:val="-1"/>
                <w:highlight w:val="none"/>
              </w:rPr>
              <w:t>详询95763。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trPr>
        <w:tc>
          <w:tcPr>
            <w:tcW w:w="634" w:type="dxa"/>
            <w:vAlign w:val="top"/>
          </w:tcPr>
          <w:p>
            <w:pPr>
              <w:spacing w:line="267" w:lineRule="auto"/>
              <w:rPr>
                <w:rFonts w:ascii="Arial"/>
                <w:color w:val="auto"/>
                <w:sz w:val="21"/>
                <w:highlight w:val="none"/>
              </w:rPr>
            </w:pPr>
          </w:p>
          <w:p>
            <w:pPr>
              <w:pStyle w:val="9"/>
              <w:spacing w:before="71"/>
              <w:ind w:left="255"/>
              <w:rPr>
                <w:color w:val="auto"/>
                <w:highlight w:val="none"/>
              </w:rPr>
            </w:pPr>
            <w:r>
              <w:rPr>
                <w:color w:val="auto"/>
                <w:highlight w:val="none"/>
              </w:rPr>
              <w:t>5</w:t>
            </w:r>
          </w:p>
        </w:tc>
        <w:tc>
          <w:tcPr>
            <w:tcW w:w="869" w:type="dxa"/>
            <w:vAlign w:val="top"/>
          </w:tcPr>
          <w:p>
            <w:pPr>
              <w:spacing w:line="277" w:lineRule="auto"/>
              <w:rPr>
                <w:rFonts w:ascii="Arial"/>
                <w:color w:val="auto"/>
                <w:sz w:val="21"/>
                <w:highlight w:val="none"/>
              </w:rPr>
            </w:pPr>
          </w:p>
          <w:p>
            <w:pPr>
              <w:pStyle w:val="9"/>
              <w:spacing w:before="71"/>
              <w:ind w:left="311"/>
              <w:rPr>
                <w:color w:val="auto"/>
                <w:highlight w:val="none"/>
              </w:rPr>
            </w:pPr>
            <w:r>
              <w:rPr>
                <w:color w:val="auto"/>
                <w:spacing w:val="-7"/>
                <w:highlight w:val="none"/>
              </w:rPr>
              <w:t>15</w:t>
            </w:r>
          </w:p>
        </w:tc>
        <w:tc>
          <w:tcPr>
            <w:tcW w:w="1399" w:type="dxa"/>
            <w:vAlign w:val="top"/>
          </w:tcPr>
          <w:p>
            <w:pPr>
              <w:pStyle w:val="9"/>
              <w:spacing w:before="247" w:line="218" w:lineRule="auto"/>
              <w:ind w:left="252"/>
              <w:rPr>
                <w:color w:val="auto"/>
                <w:highlight w:val="none"/>
              </w:rPr>
            </w:pPr>
            <w:r>
              <w:rPr>
                <w:color w:val="auto"/>
                <w:spacing w:val="2"/>
                <w:highlight w:val="none"/>
              </w:rPr>
              <w:t>投标报价</w:t>
            </w:r>
          </w:p>
        </w:tc>
        <w:tc>
          <w:tcPr>
            <w:tcW w:w="7264" w:type="dxa"/>
            <w:vAlign w:val="top"/>
          </w:tcPr>
          <w:p>
            <w:pPr>
              <w:pStyle w:val="9"/>
              <w:spacing w:before="96" w:line="247" w:lineRule="auto"/>
              <w:ind w:left="43" w:right="51" w:firstLine="49"/>
              <w:rPr>
                <w:color w:val="auto"/>
                <w:highlight w:val="none"/>
              </w:rPr>
            </w:pPr>
            <w:r>
              <w:rPr>
                <w:color w:val="auto"/>
                <w:spacing w:val="1"/>
                <w:highlight w:val="none"/>
              </w:rPr>
              <w:t>15.1投标报价必须按招标文件中第六章“投标文件(格式)”填写，本项目</w:t>
            </w:r>
            <w:r>
              <w:rPr>
                <w:color w:val="auto"/>
                <w:spacing w:val="5"/>
                <w:highlight w:val="none"/>
              </w:rPr>
              <w:t xml:space="preserve"> </w:t>
            </w:r>
            <w:r>
              <w:rPr>
                <w:color w:val="auto"/>
                <w:spacing w:val="3"/>
                <w:highlight w:val="none"/>
              </w:rPr>
              <w:t>政府采购预算：</w:t>
            </w:r>
            <w:r>
              <w:rPr>
                <w:rFonts w:hint="eastAsia"/>
                <w:color w:val="auto"/>
                <w:spacing w:val="3"/>
                <w:highlight w:val="none"/>
                <w:u w:val="single"/>
                <w:lang w:eastAsia="zh-CN"/>
              </w:rPr>
              <w:t>肆佰捌拾伍万壹仟元整</w:t>
            </w:r>
            <w:r>
              <w:rPr>
                <w:color w:val="auto"/>
                <w:spacing w:val="3"/>
                <w:highlight w:val="none"/>
                <w:u w:val="single"/>
              </w:rPr>
              <w:t>(¥</w:t>
            </w:r>
            <w:r>
              <w:rPr>
                <w:rFonts w:hint="eastAsia"/>
                <w:color w:val="auto"/>
                <w:spacing w:val="3"/>
                <w:highlight w:val="none"/>
                <w:u w:val="single"/>
                <w:lang w:eastAsia="zh-CN"/>
              </w:rPr>
              <w:t>4851000.00</w:t>
            </w:r>
            <w:r>
              <w:rPr>
                <w:color w:val="auto"/>
                <w:spacing w:val="3"/>
                <w:highlight w:val="none"/>
                <w:u w:val="single"/>
              </w:rPr>
              <w:t>元)</w:t>
            </w:r>
            <w:r>
              <w:rPr>
                <w:color w:val="auto"/>
                <w:spacing w:val="3"/>
                <w:highlight w:val="none"/>
              </w:rPr>
              <w:t>,投标人投标综合</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1" w:type="default"/>
          <w:pgSz w:w="11900" w:h="16830"/>
          <w:pgMar w:top="400" w:right="1018" w:bottom="812" w:left="704" w:header="0" w:footer="705" w:gutter="0"/>
          <w:cols w:space="720" w:num="1"/>
        </w:sect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tbl>
      <w:tblPr>
        <w:tblStyle w:val="8"/>
        <w:tblW w:w="10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869"/>
        <w:gridCol w:w="1399"/>
        <w:gridCol w:w="7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634" w:type="dxa"/>
            <w:vAlign w:val="top"/>
          </w:tcPr>
          <w:p>
            <w:pPr>
              <w:rPr>
                <w:rFonts w:ascii="Arial"/>
                <w:color w:val="auto"/>
                <w:sz w:val="21"/>
                <w:highlight w:val="none"/>
              </w:rPr>
            </w:pPr>
          </w:p>
        </w:tc>
        <w:tc>
          <w:tcPr>
            <w:tcW w:w="869" w:type="dxa"/>
            <w:vAlign w:val="top"/>
          </w:tcPr>
          <w:p>
            <w:pPr>
              <w:rPr>
                <w:rFonts w:ascii="Arial"/>
                <w:color w:val="auto"/>
                <w:sz w:val="21"/>
                <w:highlight w:val="none"/>
              </w:rPr>
            </w:pPr>
          </w:p>
        </w:tc>
        <w:tc>
          <w:tcPr>
            <w:tcW w:w="1399" w:type="dxa"/>
            <w:vAlign w:val="top"/>
          </w:tcPr>
          <w:p>
            <w:pPr>
              <w:rPr>
                <w:rFonts w:ascii="Arial"/>
                <w:color w:val="auto"/>
                <w:sz w:val="21"/>
                <w:highlight w:val="none"/>
              </w:rPr>
            </w:pPr>
          </w:p>
        </w:tc>
        <w:tc>
          <w:tcPr>
            <w:tcW w:w="7237" w:type="dxa"/>
            <w:vAlign w:val="top"/>
          </w:tcPr>
          <w:p>
            <w:pPr>
              <w:pStyle w:val="9"/>
              <w:spacing w:before="80" w:line="218" w:lineRule="auto"/>
              <w:ind w:left="82"/>
              <w:rPr>
                <w:color w:val="auto"/>
                <w:highlight w:val="none"/>
              </w:rPr>
            </w:pPr>
            <w:r>
              <w:rPr>
                <w:color w:val="auto"/>
                <w:spacing w:val="-2"/>
                <w:highlight w:val="none"/>
              </w:rPr>
              <w:t>报价超出采购预算金额的，</w:t>
            </w:r>
            <w:r>
              <w:rPr>
                <w:b/>
                <w:bCs/>
                <w:color w:val="auto"/>
                <w:spacing w:val="-2"/>
                <w:highlight w:val="none"/>
              </w:rPr>
              <w:t>投标文件按无效处理。</w:t>
            </w:r>
          </w:p>
          <w:p>
            <w:pPr>
              <w:pStyle w:val="9"/>
              <w:spacing w:before="92" w:line="280" w:lineRule="auto"/>
              <w:ind w:left="13" w:right="1"/>
              <w:jc w:val="both"/>
              <w:rPr>
                <w:color w:val="auto"/>
                <w:highlight w:val="none"/>
              </w:rPr>
            </w:pPr>
            <w:r>
              <w:rPr>
                <w:color w:val="auto"/>
                <w:spacing w:val="-2"/>
                <w:highlight w:val="none"/>
              </w:rPr>
              <w:t>15.2投标人必须就“采购需求”中所投分标内容作完整唯一报价，否则，其</w:t>
            </w:r>
            <w:r>
              <w:rPr>
                <w:color w:val="auto"/>
                <w:spacing w:val="18"/>
                <w:highlight w:val="none"/>
              </w:rPr>
              <w:t xml:space="preserve"> </w:t>
            </w:r>
            <w:r>
              <w:rPr>
                <w:color w:val="auto"/>
                <w:spacing w:val="-2"/>
                <w:highlight w:val="none"/>
              </w:rPr>
              <w:t>投标将被拒绝；投标文件只允许有一个报价，有选择的或有条件的报价将不</w:t>
            </w:r>
            <w:r>
              <w:rPr>
                <w:color w:val="auto"/>
                <w:spacing w:val="17"/>
                <w:highlight w:val="none"/>
              </w:rPr>
              <w:t xml:space="preserve"> 予接受。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0" w:hRule="atLeast"/>
        </w:trPr>
        <w:tc>
          <w:tcPr>
            <w:tcW w:w="634" w:type="dxa"/>
            <w:vAlign w:val="top"/>
          </w:tcPr>
          <w:p>
            <w:pPr>
              <w:pStyle w:val="9"/>
              <w:spacing w:before="201"/>
              <w:ind w:left="255"/>
              <w:rPr>
                <w:color w:val="auto"/>
                <w:highlight w:val="none"/>
              </w:rPr>
            </w:pPr>
            <w:r>
              <w:rPr>
                <w:color w:val="auto"/>
                <w:highlight w:val="none"/>
              </w:rPr>
              <w:t>6</w:t>
            </w:r>
          </w:p>
        </w:tc>
        <w:tc>
          <w:tcPr>
            <w:tcW w:w="869" w:type="dxa"/>
            <w:vAlign w:val="top"/>
          </w:tcPr>
          <w:p>
            <w:pPr>
              <w:pStyle w:val="9"/>
              <w:spacing w:before="201" w:line="239" w:lineRule="auto"/>
              <w:ind w:left="201"/>
              <w:rPr>
                <w:color w:val="auto"/>
                <w:highlight w:val="none"/>
              </w:rPr>
            </w:pPr>
            <w:r>
              <w:rPr>
                <w:color w:val="auto"/>
                <w:spacing w:val="-5"/>
                <w:highlight w:val="none"/>
              </w:rPr>
              <w:t>16.1</w:t>
            </w:r>
          </w:p>
        </w:tc>
        <w:tc>
          <w:tcPr>
            <w:tcW w:w="1399" w:type="dxa"/>
            <w:vAlign w:val="top"/>
          </w:tcPr>
          <w:p>
            <w:pPr>
              <w:pStyle w:val="9"/>
              <w:spacing w:before="180" w:line="220" w:lineRule="auto"/>
              <w:ind w:left="142"/>
              <w:rPr>
                <w:color w:val="auto"/>
                <w:highlight w:val="none"/>
              </w:rPr>
            </w:pPr>
            <w:r>
              <w:rPr>
                <w:color w:val="auto"/>
                <w:spacing w:val="2"/>
                <w:highlight w:val="none"/>
              </w:rPr>
              <w:t>投标有效期</w:t>
            </w:r>
          </w:p>
        </w:tc>
        <w:tc>
          <w:tcPr>
            <w:tcW w:w="7237" w:type="dxa"/>
            <w:vAlign w:val="top"/>
          </w:tcPr>
          <w:p>
            <w:pPr>
              <w:pStyle w:val="9"/>
              <w:spacing w:before="180" w:line="220" w:lineRule="auto"/>
              <w:ind w:left="82"/>
              <w:rPr>
                <w:color w:val="auto"/>
                <w:highlight w:val="none"/>
              </w:rPr>
            </w:pPr>
            <w:r>
              <w:rPr>
                <w:color w:val="auto"/>
                <w:highlight w:val="none"/>
              </w:rPr>
              <w:t>投标截止时间之日起90天。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42" w:hRule="atLeast"/>
        </w:trPr>
        <w:tc>
          <w:tcPr>
            <w:tcW w:w="634"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ind w:left="255"/>
              <w:rPr>
                <w:color w:val="auto"/>
                <w:highlight w:val="none"/>
              </w:rPr>
            </w:pPr>
            <w:r>
              <w:rPr>
                <w:color w:val="auto"/>
                <w:highlight w:val="none"/>
              </w:rPr>
              <w:t>7</w:t>
            </w:r>
          </w:p>
        </w:tc>
        <w:tc>
          <w:tcPr>
            <w:tcW w:w="869" w:type="dxa"/>
            <w:vAlign w:val="top"/>
          </w:tcPr>
          <w:p>
            <w:pPr>
              <w:spacing w:line="251" w:lineRule="auto"/>
              <w:rPr>
                <w:rFonts w:ascii="Arial"/>
                <w:color w:val="auto"/>
                <w:sz w:val="21"/>
                <w:highlight w:val="none"/>
              </w:rPr>
            </w:pPr>
          </w:p>
          <w:p>
            <w:pPr>
              <w:spacing w:line="251"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ind w:left="311"/>
              <w:rPr>
                <w:color w:val="auto"/>
                <w:highlight w:val="none"/>
              </w:rPr>
            </w:pPr>
            <w:r>
              <w:rPr>
                <w:color w:val="auto"/>
                <w:spacing w:val="-7"/>
                <w:highlight w:val="none"/>
              </w:rPr>
              <w:t>18</w:t>
            </w:r>
          </w:p>
        </w:tc>
        <w:tc>
          <w:tcPr>
            <w:tcW w:w="1399"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spacing w:line="247" w:lineRule="auto"/>
              <w:rPr>
                <w:rFonts w:ascii="Arial"/>
                <w:color w:val="auto"/>
                <w:sz w:val="21"/>
                <w:highlight w:val="none"/>
              </w:rPr>
            </w:pPr>
          </w:p>
          <w:p>
            <w:pPr>
              <w:pStyle w:val="9"/>
              <w:spacing w:before="71" w:line="220" w:lineRule="auto"/>
              <w:ind w:left="142"/>
              <w:rPr>
                <w:color w:val="auto"/>
                <w:highlight w:val="none"/>
              </w:rPr>
            </w:pPr>
            <w:r>
              <w:rPr>
                <w:color w:val="auto"/>
                <w:spacing w:val="2"/>
                <w:highlight w:val="none"/>
              </w:rPr>
              <w:t>电子投标文</w:t>
            </w:r>
          </w:p>
          <w:p>
            <w:pPr>
              <w:pStyle w:val="9"/>
              <w:spacing w:before="87" w:line="219" w:lineRule="auto"/>
              <w:ind w:left="32"/>
              <w:rPr>
                <w:color w:val="auto"/>
                <w:highlight w:val="none"/>
              </w:rPr>
            </w:pPr>
            <w:r>
              <w:rPr>
                <w:color w:val="auto"/>
                <w:spacing w:val="2"/>
                <w:highlight w:val="none"/>
              </w:rPr>
              <w:t>件的制作、加</w:t>
            </w:r>
          </w:p>
          <w:p>
            <w:pPr>
              <w:pStyle w:val="9"/>
              <w:spacing w:before="100" w:line="221" w:lineRule="auto"/>
              <w:ind w:left="362"/>
              <w:rPr>
                <w:color w:val="auto"/>
                <w:highlight w:val="none"/>
              </w:rPr>
            </w:pPr>
            <w:r>
              <w:rPr>
                <w:color w:val="auto"/>
                <w:spacing w:val="-3"/>
                <w:highlight w:val="none"/>
              </w:rPr>
              <w:t>密要求</w:t>
            </w:r>
          </w:p>
        </w:tc>
        <w:tc>
          <w:tcPr>
            <w:tcW w:w="7237" w:type="dxa"/>
            <w:vAlign w:val="top"/>
          </w:tcPr>
          <w:p>
            <w:pPr>
              <w:pStyle w:val="9"/>
              <w:spacing w:before="89" w:line="283" w:lineRule="auto"/>
              <w:ind w:left="33" w:right="2" w:firstLine="70"/>
              <w:rPr>
                <w:color w:val="auto"/>
                <w:highlight w:val="none"/>
              </w:rPr>
            </w:pPr>
            <w:r>
              <w:rPr>
                <w:color w:val="auto"/>
                <w:spacing w:val="-4"/>
                <w:highlight w:val="none"/>
              </w:rPr>
              <w:t>18.1投标人制作电子投标文件前，应登录“广西政府采购云平台”平台进行</w:t>
            </w:r>
            <w:r>
              <w:rPr>
                <w:color w:val="auto"/>
                <w:highlight w:val="none"/>
              </w:rPr>
              <w:t xml:space="preserve"> </w:t>
            </w:r>
            <w:r>
              <w:rPr>
                <w:color w:val="auto"/>
                <w:spacing w:val="-2"/>
                <w:highlight w:val="none"/>
              </w:rPr>
              <w:t>“申请获取采购文件”操作，否则，有可能导致无法在线编制投</w:t>
            </w:r>
            <w:r>
              <w:rPr>
                <w:color w:val="auto"/>
                <w:spacing w:val="-3"/>
                <w:highlight w:val="none"/>
              </w:rPr>
              <w:t>标文件并参</w:t>
            </w:r>
            <w:r>
              <w:rPr>
                <w:color w:val="auto"/>
                <w:highlight w:val="none"/>
              </w:rPr>
              <w:t xml:space="preserve"> </w:t>
            </w:r>
            <w:r>
              <w:rPr>
                <w:color w:val="auto"/>
                <w:spacing w:val="3"/>
                <w:highlight w:val="none"/>
              </w:rPr>
              <w:t>与投标，其不利后果由投标人自行承担。</w:t>
            </w:r>
          </w:p>
          <w:p>
            <w:pPr>
              <w:pStyle w:val="9"/>
              <w:spacing w:before="65" w:line="281" w:lineRule="auto"/>
              <w:ind w:left="33"/>
              <w:rPr>
                <w:color w:val="auto"/>
                <w:highlight w:val="none"/>
              </w:rPr>
            </w:pPr>
            <w:r>
              <w:rPr>
                <w:color w:val="auto"/>
                <w:spacing w:val="-2"/>
                <w:highlight w:val="none"/>
              </w:rPr>
              <w:t>18.2投标人下载或获取招标文件后，登录“电子投标客户端”,按照本招标</w:t>
            </w:r>
            <w:r>
              <w:rPr>
                <w:color w:val="auto"/>
                <w:spacing w:val="6"/>
                <w:highlight w:val="none"/>
              </w:rPr>
              <w:t xml:space="preserve">  </w:t>
            </w:r>
            <w:r>
              <w:rPr>
                <w:color w:val="auto"/>
                <w:spacing w:val="-2"/>
                <w:highlight w:val="none"/>
              </w:rPr>
              <w:t>文件规定的投标文件格式、顺序以及“广西政府采购云平台”平台的要</w:t>
            </w:r>
            <w:r>
              <w:rPr>
                <w:color w:val="auto"/>
                <w:spacing w:val="-3"/>
                <w:highlight w:val="none"/>
              </w:rPr>
              <w:t>求，</w:t>
            </w:r>
            <w:r>
              <w:rPr>
                <w:color w:val="auto"/>
                <w:highlight w:val="none"/>
              </w:rPr>
              <w:t xml:space="preserve"> </w:t>
            </w:r>
            <w:r>
              <w:rPr>
                <w:color w:val="auto"/>
                <w:spacing w:val="1"/>
                <w:highlight w:val="none"/>
              </w:rPr>
              <w:t>通过“电子投标客户端”编制电子投标文件。</w:t>
            </w:r>
          </w:p>
          <w:p>
            <w:pPr>
              <w:pStyle w:val="9"/>
              <w:spacing w:before="75" w:line="286" w:lineRule="auto"/>
              <w:ind w:left="13" w:firstLine="89"/>
              <w:rPr>
                <w:color w:val="auto"/>
                <w:highlight w:val="none"/>
              </w:rPr>
            </w:pPr>
            <w:r>
              <w:rPr>
                <w:color w:val="auto"/>
                <w:spacing w:val="-4"/>
                <w:highlight w:val="none"/>
              </w:rPr>
              <w:t>18.3投标人应按“电子投标客户端”载明的</w:t>
            </w:r>
            <w:r>
              <w:rPr>
                <w:color w:val="auto"/>
                <w:spacing w:val="-5"/>
                <w:highlight w:val="none"/>
              </w:rPr>
              <w:t>“标书关联”功能进行电子投标</w:t>
            </w:r>
            <w:r>
              <w:rPr>
                <w:color w:val="auto"/>
                <w:highlight w:val="none"/>
              </w:rPr>
              <w:t xml:space="preserve"> </w:t>
            </w:r>
            <w:r>
              <w:rPr>
                <w:color w:val="auto"/>
                <w:spacing w:val="-2"/>
                <w:highlight w:val="none"/>
              </w:rPr>
              <w:t>文件相应内容的关联定位，以便在评审时点击相应评审项可直接定位到该评</w:t>
            </w:r>
            <w:r>
              <w:rPr>
                <w:color w:val="auto"/>
                <w:spacing w:val="2"/>
                <w:highlight w:val="none"/>
              </w:rPr>
              <w:t xml:space="preserve"> </w:t>
            </w:r>
            <w:r>
              <w:rPr>
                <w:color w:val="auto"/>
                <w:spacing w:val="-2"/>
                <w:highlight w:val="none"/>
              </w:rPr>
              <w:t>审内容；如投标人的电子投标文件未能关联定位相应内容，或者关联定位的</w:t>
            </w:r>
            <w:r>
              <w:rPr>
                <w:color w:val="auto"/>
                <w:spacing w:val="11"/>
                <w:highlight w:val="none"/>
              </w:rPr>
              <w:t xml:space="preserve"> </w:t>
            </w:r>
            <w:r>
              <w:rPr>
                <w:color w:val="auto"/>
                <w:spacing w:val="-2"/>
                <w:highlight w:val="none"/>
              </w:rPr>
              <w:t>内容与该评审项不符，导致无法查询并做出对投标人不利的资格审查或评审</w:t>
            </w:r>
            <w:r>
              <w:rPr>
                <w:color w:val="auto"/>
                <w:spacing w:val="18"/>
                <w:highlight w:val="none"/>
              </w:rPr>
              <w:t xml:space="preserve"> </w:t>
            </w:r>
            <w:r>
              <w:rPr>
                <w:color w:val="auto"/>
                <w:spacing w:val="4"/>
                <w:highlight w:val="none"/>
              </w:rPr>
              <w:t>结果，相关后果由投标人自行承担。</w:t>
            </w:r>
          </w:p>
          <w:p>
            <w:pPr>
              <w:pStyle w:val="9"/>
              <w:spacing w:before="107" w:line="284" w:lineRule="auto"/>
              <w:ind w:left="13" w:firstLine="89"/>
              <w:rPr>
                <w:color w:val="auto"/>
                <w:highlight w:val="none"/>
              </w:rPr>
            </w:pPr>
            <w:r>
              <w:rPr>
                <w:color w:val="auto"/>
                <w:spacing w:val="-6"/>
                <w:highlight w:val="none"/>
              </w:rPr>
              <w:t>18.4电子投标文件不得涂改，若有修改错漏处，须由法定代表人或授权委托</w:t>
            </w:r>
            <w:r>
              <w:rPr>
                <w:color w:val="auto"/>
                <w:spacing w:val="2"/>
                <w:highlight w:val="none"/>
              </w:rPr>
              <w:t xml:space="preserve"> </w:t>
            </w:r>
            <w:r>
              <w:rPr>
                <w:color w:val="auto"/>
                <w:highlight w:val="none"/>
              </w:rPr>
              <w:t>代理人签字(或者电子签名)。电子投标文件按本须知载明的投标</w:t>
            </w:r>
            <w:r>
              <w:rPr>
                <w:color w:val="auto"/>
                <w:spacing w:val="-1"/>
                <w:highlight w:val="none"/>
              </w:rPr>
              <w:t>文件组成</w:t>
            </w:r>
            <w:r>
              <w:rPr>
                <w:color w:val="auto"/>
                <w:highlight w:val="none"/>
              </w:rPr>
              <w:t xml:space="preserve">  </w:t>
            </w:r>
            <w:r>
              <w:rPr>
                <w:color w:val="auto"/>
                <w:spacing w:val="-4"/>
                <w:highlight w:val="none"/>
              </w:rPr>
              <w:t>及要求进行编排，因投标文件字迹潦草、表达不清、内容不完整、或投标文</w:t>
            </w:r>
            <w:r>
              <w:rPr>
                <w:color w:val="auto"/>
                <w:spacing w:val="17"/>
                <w:highlight w:val="none"/>
              </w:rPr>
              <w:t xml:space="preserve"> </w:t>
            </w:r>
            <w:r>
              <w:rPr>
                <w:color w:val="auto"/>
                <w:spacing w:val="-4"/>
                <w:highlight w:val="none"/>
              </w:rPr>
              <w:t>件相应内容未按要求编排、编排混乱导致投标文件被误读、漏读、或者在按</w:t>
            </w:r>
            <w:r>
              <w:rPr>
                <w:color w:val="auto"/>
                <w:spacing w:val="17"/>
                <w:highlight w:val="none"/>
              </w:rPr>
              <w:t xml:space="preserve"> </w:t>
            </w:r>
            <w:r>
              <w:rPr>
                <w:color w:val="auto"/>
                <w:spacing w:val="-2"/>
                <w:highlight w:val="none"/>
              </w:rPr>
              <w:t>招标文件规定的部位查找不到相关内容的，其不利后果由投标人自行承担。</w:t>
            </w:r>
          </w:p>
          <w:p>
            <w:pPr>
              <w:pStyle w:val="9"/>
              <w:spacing w:before="99" w:line="260" w:lineRule="auto"/>
              <w:ind w:left="82" w:firstLine="20"/>
              <w:rPr>
                <w:color w:val="auto"/>
                <w:highlight w:val="none"/>
              </w:rPr>
            </w:pPr>
            <w:r>
              <w:rPr>
                <w:color w:val="auto"/>
                <w:spacing w:val="-4"/>
                <w:highlight w:val="none"/>
              </w:rPr>
              <w:t>18.5投标人编制、生成电子投标文件后应当加密投标文件。投标人未按规定</w:t>
            </w:r>
            <w:r>
              <w:rPr>
                <w:color w:val="auto"/>
                <w:spacing w:val="2"/>
                <w:highlight w:val="none"/>
              </w:rPr>
              <w:t xml:space="preserve"> </w:t>
            </w:r>
            <w:r>
              <w:rPr>
                <w:color w:val="auto"/>
                <w:highlight w:val="none"/>
              </w:rPr>
              <w:t>编制并加密的投标文件，“广西政府采购云平台”将予以拒</w:t>
            </w:r>
            <w:r>
              <w:rPr>
                <w:color w:val="auto"/>
                <w:spacing w:val="-1"/>
                <w:highlight w:val="none"/>
              </w:rPr>
              <w:t>收。</w:t>
            </w:r>
          </w:p>
          <w:p>
            <w:pPr>
              <w:pStyle w:val="9"/>
              <w:spacing w:before="119" w:line="219" w:lineRule="auto"/>
              <w:ind w:left="113"/>
              <w:rPr>
                <w:color w:val="auto"/>
                <w:highlight w:val="none"/>
              </w:rPr>
            </w:pPr>
            <w:r>
              <w:rPr>
                <w:color w:val="auto"/>
                <w:spacing w:val="1"/>
                <w:highlight w:val="none"/>
              </w:rPr>
              <w:t>18.6供应商公章、签字、电子签章、电子签名</w:t>
            </w:r>
          </w:p>
          <w:p>
            <w:pPr>
              <w:pStyle w:val="9"/>
              <w:spacing w:before="79" w:line="280" w:lineRule="auto"/>
              <w:ind w:left="13" w:firstLine="79"/>
              <w:rPr>
                <w:color w:val="auto"/>
                <w:highlight w:val="none"/>
              </w:rPr>
            </w:pPr>
            <w:r>
              <w:rPr>
                <w:color w:val="auto"/>
                <w:spacing w:val="-9"/>
                <w:highlight w:val="none"/>
              </w:rPr>
              <w:t>18.6.1本招标文件中描述投标人的“公章”是</w:t>
            </w:r>
            <w:r>
              <w:rPr>
                <w:color w:val="auto"/>
                <w:spacing w:val="-10"/>
                <w:highlight w:val="none"/>
              </w:rPr>
              <w:t>指根据我国对公章的管理规定，</w:t>
            </w:r>
            <w:r>
              <w:rPr>
                <w:color w:val="auto"/>
                <w:highlight w:val="none"/>
              </w:rPr>
              <w:t xml:space="preserve"> </w:t>
            </w:r>
            <w:r>
              <w:rPr>
                <w:color w:val="auto"/>
                <w:spacing w:val="-5"/>
                <w:highlight w:val="none"/>
              </w:rPr>
              <w:t>用投标人法定主体行为名称制作的印章，除本招标文件有特殊规定外，投标</w:t>
            </w:r>
            <w:r>
              <w:rPr>
                <w:color w:val="auto"/>
                <w:spacing w:val="8"/>
                <w:highlight w:val="none"/>
              </w:rPr>
              <w:t xml:space="preserve">  </w:t>
            </w:r>
            <w:r>
              <w:rPr>
                <w:color w:val="auto"/>
                <w:spacing w:val="2"/>
                <w:highlight w:val="none"/>
              </w:rPr>
              <w:t>人的其他形式印章均不能代替公章。</w:t>
            </w:r>
          </w:p>
          <w:p>
            <w:pPr>
              <w:pStyle w:val="9"/>
              <w:spacing w:before="89" w:line="272" w:lineRule="auto"/>
              <w:ind w:left="103"/>
              <w:rPr>
                <w:color w:val="auto"/>
                <w:highlight w:val="none"/>
              </w:rPr>
            </w:pPr>
            <w:r>
              <w:rPr>
                <w:color w:val="auto"/>
                <w:spacing w:val="-7"/>
                <w:highlight w:val="none"/>
              </w:rPr>
              <w:t>18.6.2本招标文件中描述投标人的“签字”是指投标人的法定代表人或者委</w:t>
            </w:r>
            <w:r>
              <w:rPr>
                <w:color w:val="auto"/>
                <w:spacing w:val="7"/>
                <w:highlight w:val="none"/>
              </w:rPr>
              <w:t xml:space="preserve">  </w:t>
            </w:r>
            <w:r>
              <w:rPr>
                <w:color w:val="auto"/>
                <w:spacing w:val="-11"/>
                <w:highlight w:val="none"/>
              </w:rPr>
              <w:t>托代理人亲自在文件规定签字处亲笔写上个人的名字的行为，私章、签字章、</w:t>
            </w:r>
            <w:r>
              <w:rPr>
                <w:color w:val="auto"/>
                <w:spacing w:val="16"/>
                <w:highlight w:val="none"/>
              </w:rPr>
              <w:t xml:space="preserve"> </w:t>
            </w:r>
            <w:r>
              <w:rPr>
                <w:color w:val="auto"/>
                <w:spacing w:val="-3"/>
                <w:highlight w:val="none"/>
              </w:rPr>
              <w:t>印鉴、影印等其他形式均不能代替亲笔签字。</w:t>
            </w:r>
          </w:p>
          <w:p>
            <w:pPr>
              <w:pStyle w:val="9"/>
              <w:spacing w:before="97" w:line="282" w:lineRule="auto"/>
              <w:ind w:left="82" w:right="2" w:hanging="49"/>
              <w:rPr>
                <w:color w:val="auto"/>
                <w:highlight w:val="none"/>
              </w:rPr>
            </w:pPr>
            <w:r>
              <w:rPr>
                <w:color w:val="auto"/>
                <w:highlight w:val="none"/>
              </w:rPr>
              <w:t>18.6.3本招标文件所称的“电子签章”、“电子签名”,是指经“广西政府</w:t>
            </w:r>
            <w:r>
              <w:rPr>
                <w:color w:val="auto"/>
                <w:spacing w:val="8"/>
                <w:highlight w:val="none"/>
              </w:rPr>
              <w:t xml:space="preserve"> </w:t>
            </w:r>
            <w:r>
              <w:rPr>
                <w:color w:val="auto"/>
                <w:spacing w:val="-4"/>
                <w:highlight w:val="none"/>
              </w:rPr>
              <w:t>采购云平台”认可的CA认证的电子签名数据为表现形式的印章，可用于签署</w:t>
            </w:r>
            <w:r>
              <w:rPr>
                <w:color w:val="auto"/>
                <w:spacing w:val="16"/>
                <w:highlight w:val="none"/>
              </w:rPr>
              <w:t xml:space="preserve"> </w:t>
            </w:r>
            <w:r>
              <w:rPr>
                <w:color w:val="auto"/>
                <w:spacing w:val="-4"/>
                <w:highlight w:val="none"/>
              </w:rPr>
              <w:t>电子投标文件，电子签章、电子签名与实物印章、手写签名具有同等法律效</w:t>
            </w:r>
            <w:r>
              <w:rPr>
                <w:color w:val="auto"/>
                <w:spacing w:val="10"/>
                <w:highlight w:val="none"/>
              </w:rPr>
              <w:t xml:space="preserve"> </w:t>
            </w:r>
            <w:r>
              <w:rPr>
                <w:color w:val="auto"/>
                <w:highlight w:val="none"/>
              </w:rPr>
              <w:t>力，不因其采用电子化表现形式而否定其法律效力。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24" w:hRule="atLeast"/>
        </w:trPr>
        <w:tc>
          <w:tcPr>
            <w:tcW w:w="634" w:type="dxa"/>
            <w:vAlign w:val="top"/>
          </w:tcPr>
          <w:p>
            <w:pPr>
              <w:spacing w:line="277" w:lineRule="auto"/>
              <w:rPr>
                <w:rFonts w:ascii="Arial"/>
                <w:color w:val="auto"/>
                <w:sz w:val="21"/>
                <w:highlight w:val="none"/>
              </w:rPr>
            </w:pPr>
          </w:p>
          <w:p>
            <w:pPr>
              <w:spacing w:line="277" w:lineRule="auto"/>
              <w:rPr>
                <w:rFonts w:ascii="Arial"/>
                <w:color w:val="auto"/>
                <w:sz w:val="21"/>
                <w:highlight w:val="none"/>
              </w:rPr>
            </w:pPr>
          </w:p>
          <w:p>
            <w:pPr>
              <w:pStyle w:val="9"/>
              <w:spacing w:before="72"/>
              <w:ind w:left="255"/>
              <w:rPr>
                <w:color w:val="auto"/>
                <w:highlight w:val="none"/>
              </w:rPr>
            </w:pPr>
            <w:r>
              <w:rPr>
                <w:color w:val="auto"/>
                <w:highlight w:val="none"/>
              </w:rPr>
              <w:t>8</w:t>
            </w:r>
          </w:p>
        </w:tc>
        <w:tc>
          <w:tcPr>
            <w:tcW w:w="869" w:type="dxa"/>
            <w:vAlign w:val="top"/>
          </w:tcPr>
          <w:p>
            <w:pPr>
              <w:spacing w:line="277" w:lineRule="auto"/>
              <w:rPr>
                <w:rFonts w:ascii="Arial"/>
                <w:color w:val="auto"/>
                <w:sz w:val="21"/>
                <w:highlight w:val="none"/>
              </w:rPr>
            </w:pPr>
          </w:p>
          <w:p>
            <w:pPr>
              <w:spacing w:line="277" w:lineRule="auto"/>
              <w:rPr>
                <w:rFonts w:ascii="Arial"/>
                <w:color w:val="auto"/>
                <w:sz w:val="21"/>
                <w:highlight w:val="none"/>
              </w:rPr>
            </w:pPr>
          </w:p>
          <w:p>
            <w:pPr>
              <w:pStyle w:val="9"/>
              <w:spacing w:before="72"/>
              <w:ind w:left="311"/>
              <w:rPr>
                <w:color w:val="auto"/>
                <w:highlight w:val="none"/>
              </w:rPr>
            </w:pPr>
            <w:r>
              <w:rPr>
                <w:color w:val="auto"/>
                <w:spacing w:val="-7"/>
                <w:highlight w:val="none"/>
              </w:rPr>
              <w:t>19</w:t>
            </w:r>
          </w:p>
        </w:tc>
        <w:tc>
          <w:tcPr>
            <w:tcW w:w="1399" w:type="dxa"/>
            <w:vAlign w:val="top"/>
          </w:tcPr>
          <w:p>
            <w:pPr>
              <w:spacing w:line="363" w:lineRule="auto"/>
              <w:rPr>
                <w:rFonts w:ascii="Arial"/>
                <w:color w:val="auto"/>
                <w:sz w:val="21"/>
                <w:highlight w:val="none"/>
              </w:rPr>
            </w:pPr>
          </w:p>
          <w:p>
            <w:pPr>
              <w:pStyle w:val="9"/>
              <w:spacing w:before="71" w:line="315" w:lineRule="auto"/>
              <w:ind w:left="471" w:right="129" w:hanging="329"/>
              <w:rPr>
                <w:color w:val="auto"/>
                <w:highlight w:val="none"/>
              </w:rPr>
            </w:pPr>
            <w:r>
              <w:rPr>
                <w:color w:val="auto"/>
                <w:spacing w:val="3"/>
                <w:highlight w:val="none"/>
              </w:rPr>
              <w:t>投标文件的</w:t>
            </w:r>
            <w:r>
              <w:rPr>
                <w:color w:val="auto"/>
                <w:spacing w:val="1"/>
                <w:highlight w:val="none"/>
              </w:rPr>
              <w:t xml:space="preserve"> </w:t>
            </w:r>
            <w:r>
              <w:rPr>
                <w:color w:val="auto"/>
                <w:spacing w:val="-3"/>
                <w:highlight w:val="none"/>
              </w:rPr>
              <w:t>递交</w:t>
            </w:r>
          </w:p>
        </w:tc>
        <w:tc>
          <w:tcPr>
            <w:tcW w:w="7237" w:type="dxa"/>
            <w:vAlign w:val="top"/>
          </w:tcPr>
          <w:p>
            <w:pPr>
              <w:pStyle w:val="9"/>
              <w:spacing w:before="98" w:line="219" w:lineRule="auto"/>
              <w:ind w:left="113"/>
              <w:rPr>
                <w:color w:val="auto"/>
                <w:highlight w:val="none"/>
              </w:rPr>
            </w:pPr>
            <w:r>
              <w:rPr>
                <w:color w:val="auto"/>
                <w:highlight w:val="none"/>
              </w:rPr>
              <w:t>19.1投标文件递交要求：</w:t>
            </w:r>
          </w:p>
          <w:p>
            <w:pPr>
              <w:pStyle w:val="9"/>
              <w:spacing w:before="99" w:line="219" w:lineRule="auto"/>
              <w:ind w:left="93"/>
              <w:rPr>
                <w:color w:val="auto"/>
                <w:highlight w:val="none"/>
              </w:rPr>
            </w:pPr>
            <w:r>
              <w:rPr>
                <w:color w:val="auto"/>
                <w:highlight w:val="none"/>
              </w:rPr>
              <w:t>投标截止时间：</w:t>
            </w:r>
            <w:r>
              <w:rPr>
                <w:rFonts w:hint="eastAsia"/>
                <w:color w:val="auto"/>
                <w:highlight w:val="none"/>
                <w:lang w:eastAsia="zh-CN"/>
              </w:rPr>
              <w:t>2025年12月24日</w:t>
            </w:r>
            <w:r>
              <w:rPr>
                <w:color w:val="auto"/>
                <w:highlight w:val="none"/>
              </w:rPr>
              <w:t>上午9时30分。</w:t>
            </w:r>
          </w:p>
          <w:p>
            <w:pPr>
              <w:pStyle w:val="9"/>
              <w:spacing w:before="87" w:line="255" w:lineRule="auto"/>
              <w:ind w:left="13" w:right="1"/>
              <w:rPr>
                <w:color w:val="auto"/>
                <w:highlight w:val="none"/>
              </w:rPr>
            </w:pPr>
            <w:r>
              <w:rPr>
                <w:color w:val="auto"/>
                <w:spacing w:val="-2"/>
                <w:highlight w:val="none"/>
              </w:rPr>
              <w:t>投标文件递交地点：通过“广西政府采购云平台”平台在线提交，逾期递交</w:t>
            </w:r>
            <w:r>
              <w:rPr>
                <w:color w:val="auto"/>
                <w:spacing w:val="14"/>
                <w:highlight w:val="none"/>
              </w:rPr>
              <w:t xml:space="preserve"> </w:t>
            </w:r>
            <w:r>
              <w:rPr>
                <w:color w:val="auto"/>
                <w:spacing w:val="-2"/>
                <w:highlight w:val="none"/>
              </w:rPr>
              <w:t>的投标文件将予以拒收。投标文件递交成功后，投标人在“广西政府采购云</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2" w:type="default"/>
          <w:pgSz w:w="11900" w:h="16830"/>
          <w:pgMar w:top="400" w:right="1035" w:bottom="801" w:left="714" w:header="0" w:footer="657" w:gutter="0"/>
          <w:cols w:space="720" w:num="1"/>
        </w:sect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tbl>
      <w:tblPr>
        <w:tblStyle w:val="8"/>
        <w:tblW w:w="101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4"/>
        <w:gridCol w:w="869"/>
        <w:gridCol w:w="1408"/>
        <w:gridCol w:w="7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5" w:hRule="atLeast"/>
        </w:trPr>
        <w:tc>
          <w:tcPr>
            <w:tcW w:w="624" w:type="dxa"/>
            <w:vAlign w:val="top"/>
          </w:tcPr>
          <w:p>
            <w:pPr>
              <w:rPr>
                <w:rFonts w:ascii="Arial"/>
                <w:color w:val="auto"/>
                <w:sz w:val="21"/>
                <w:highlight w:val="none"/>
              </w:rPr>
            </w:pPr>
          </w:p>
        </w:tc>
        <w:tc>
          <w:tcPr>
            <w:tcW w:w="869" w:type="dxa"/>
            <w:vAlign w:val="top"/>
          </w:tcPr>
          <w:p>
            <w:pPr>
              <w:rPr>
                <w:rFonts w:ascii="Arial"/>
                <w:color w:val="auto"/>
                <w:sz w:val="21"/>
                <w:highlight w:val="none"/>
              </w:rPr>
            </w:pPr>
          </w:p>
        </w:tc>
        <w:tc>
          <w:tcPr>
            <w:tcW w:w="1408" w:type="dxa"/>
            <w:vAlign w:val="top"/>
          </w:tcPr>
          <w:p>
            <w:pPr>
              <w:rPr>
                <w:rFonts w:ascii="Arial"/>
                <w:color w:val="auto"/>
                <w:sz w:val="21"/>
                <w:highlight w:val="none"/>
              </w:rPr>
            </w:pPr>
          </w:p>
        </w:tc>
        <w:tc>
          <w:tcPr>
            <w:tcW w:w="7228" w:type="dxa"/>
            <w:vAlign w:val="top"/>
          </w:tcPr>
          <w:p>
            <w:pPr>
              <w:pStyle w:val="9"/>
              <w:spacing w:before="74" w:line="219" w:lineRule="auto"/>
              <w:ind w:left="64"/>
              <w:rPr>
                <w:color w:val="auto"/>
                <w:highlight w:val="none"/>
              </w:rPr>
            </w:pPr>
            <w:r>
              <w:rPr>
                <w:color w:val="auto"/>
                <w:spacing w:val="-1"/>
                <w:highlight w:val="none"/>
              </w:rPr>
              <w:t>平台”平台自行下载投标回执。</w:t>
            </w:r>
          </w:p>
          <w:p>
            <w:pPr>
              <w:pStyle w:val="9"/>
              <w:spacing w:before="109" w:line="219" w:lineRule="auto"/>
              <w:ind w:left="83"/>
              <w:rPr>
                <w:color w:val="auto"/>
                <w:highlight w:val="none"/>
              </w:rPr>
            </w:pPr>
            <w:r>
              <w:rPr>
                <w:color w:val="auto"/>
                <w:highlight w:val="none"/>
              </w:rPr>
              <w:t>19.2除招标文件另有规定外，投标人所递交的投标文件不予退还。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68" w:hRule="atLeast"/>
        </w:trPr>
        <w:tc>
          <w:tcPr>
            <w:tcW w:w="624" w:type="dxa"/>
            <w:vAlign w:val="top"/>
          </w:tcPr>
          <w:p>
            <w:pPr>
              <w:spacing w:line="307" w:lineRule="auto"/>
              <w:rPr>
                <w:rFonts w:ascii="Arial"/>
                <w:color w:val="auto"/>
                <w:sz w:val="21"/>
                <w:highlight w:val="none"/>
              </w:rPr>
            </w:pPr>
          </w:p>
          <w:p>
            <w:pPr>
              <w:spacing w:line="308" w:lineRule="auto"/>
              <w:rPr>
                <w:rFonts w:ascii="Arial"/>
                <w:color w:val="auto"/>
                <w:sz w:val="21"/>
                <w:highlight w:val="none"/>
              </w:rPr>
            </w:pPr>
          </w:p>
          <w:p>
            <w:pPr>
              <w:spacing w:line="308" w:lineRule="auto"/>
              <w:rPr>
                <w:rFonts w:ascii="Arial"/>
                <w:color w:val="auto"/>
                <w:sz w:val="21"/>
                <w:highlight w:val="none"/>
              </w:rPr>
            </w:pPr>
          </w:p>
          <w:p>
            <w:pPr>
              <w:pStyle w:val="9"/>
              <w:spacing w:before="71"/>
              <w:ind w:left="245"/>
              <w:rPr>
                <w:color w:val="auto"/>
                <w:highlight w:val="none"/>
              </w:rPr>
            </w:pPr>
            <w:r>
              <w:rPr>
                <w:color w:val="auto"/>
                <w:highlight w:val="none"/>
              </w:rPr>
              <w:t>9</w:t>
            </w:r>
          </w:p>
        </w:tc>
        <w:tc>
          <w:tcPr>
            <w:tcW w:w="869" w:type="dxa"/>
            <w:vAlign w:val="top"/>
          </w:tcPr>
          <w:p>
            <w:pPr>
              <w:spacing w:line="307" w:lineRule="auto"/>
              <w:rPr>
                <w:rFonts w:ascii="Arial"/>
                <w:color w:val="auto"/>
                <w:sz w:val="21"/>
                <w:highlight w:val="none"/>
              </w:rPr>
            </w:pPr>
          </w:p>
          <w:p>
            <w:pPr>
              <w:spacing w:line="308" w:lineRule="auto"/>
              <w:rPr>
                <w:rFonts w:ascii="Arial"/>
                <w:color w:val="auto"/>
                <w:sz w:val="21"/>
                <w:highlight w:val="none"/>
              </w:rPr>
            </w:pPr>
          </w:p>
          <w:p>
            <w:pPr>
              <w:spacing w:line="308" w:lineRule="auto"/>
              <w:rPr>
                <w:rFonts w:ascii="Arial"/>
                <w:color w:val="auto"/>
                <w:sz w:val="21"/>
                <w:highlight w:val="none"/>
              </w:rPr>
            </w:pPr>
          </w:p>
          <w:p>
            <w:pPr>
              <w:pStyle w:val="9"/>
              <w:spacing w:before="71"/>
              <w:ind w:left="311"/>
              <w:rPr>
                <w:color w:val="auto"/>
                <w:highlight w:val="none"/>
              </w:rPr>
            </w:pPr>
            <w:r>
              <w:rPr>
                <w:color w:val="auto"/>
                <w:spacing w:val="-3"/>
                <w:highlight w:val="none"/>
              </w:rPr>
              <w:t>20</w:t>
            </w:r>
          </w:p>
        </w:tc>
        <w:tc>
          <w:tcPr>
            <w:tcW w:w="1408" w:type="dxa"/>
            <w:vAlign w:val="top"/>
          </w:tcPr>
          <w:p>
            <w:pPr>
              <w:spacing w:line="282" w:lineRule="auto"/>
              <w:rPr>
                <w:rFonts w:ascii="Arial"/>
                <w:color w:val="auto"/>
                <w:sz w:val="21"/>
                <w:highlight w:val="none"/>
              </w:rPr>
            </w:pPr>
          </w:p>
          <w:p>
            <w:pPr>
              <w:spacing w:line="282" w:lineRule="auto"/>
              <w:rPr>
                <w:rFonts w:ascii="Arial"/>
                <w:color w:val="auto"/>
                <w:sz w:val="21"/>
                <w:highlight w:val="none"/>
              </w:rPr>
            </w:pPr>
          </w:p>
          <w:p>
            <w:pPr>
              <w:pStyle w:val="9"/>
              <w:spacing w:before="71" w:line="219" w:lineRule="auto"/>
              <w:ind w:left="142"/>
              <w:rPr>
                <w:color w:val="auto"/>
                <w:highlight w:val="none"/>
              </w:rPr>
            </w:pPr>
            <w:r>
              <w:rPr>
                <w:color w:val="auto"/>
                <w:spacing w:val="3"/>
                <w:highlight w:val="none"/>
              </w:rPr>
              <w:t>投标文件的</w:t>
            </w:r>
          </w:p>
          <w:p>
            <w:pPr>
              <w:pStyle w:val="9"/>
              <w:spacing w:before="88" w:line="219" w:lineRule="auto"/>
              <w:ind w:left="32"/>
              <w:rPr>
                <w:color w:val="auto"/>
                <w:highlight w:val="none"/>
              </w:rPr>
            </w:pPr>
            <w:r>
              <w:rPr>
                <w:color w:val="auto"/>
                <w:spacing w:val="3"/>
                <w:highlight w:val="none"/>
              </w:rPr>
              <w:t>补充、修改和</w:t>
            </w:r>
          </w:p>
          <w:p>
            <w:pPr>
              <w:pStyle w:val="9"/>
              <w:spacing w:before="109" w:line="220" w:lineRule="auto"/>
              <w:ind w:left="472"/>
              <w:rPr>
                <w:color w:val="auto"/>
                <w:highlight w:val="none"/>
              </w:rPr>
            </w:pPr>
            <w:r>
              <w:rPr>
                <w:color w:val="auto"/>
                <w:spacing w:val="12"/>
                <w:highlight w:val="none"/>
              </w:rPr>
              <w:t>撤回</w:t>
            </w:r>
          </w:p>
        </w:tc>
        <w:tc>
          <w:tcPr>
            <w:tcW w:w="7228" w:type="dxa"/>
            <w:vAlign w:val="top"/>
          </w:tcPr>
          <w:p>
            <w:pPr>
              <w:pStyle w:val="9"/>
              <w:spacing w:before="77" w:line="291" w:lineRule="auto"/>
              <w:ind w:left="14"/>
              <w:jc w:val="both"/>
              <w:rPr>
                <w:color w:val="auto"/>
                <w:highlight w:val="none"/>
              </w:rPr>
            </w:pPr>
            <w:r>
              <w:rPr>
                <w:color w:val="auto"/>
                <w:spacing w:val="-5"/>
                <w:highlight w:val="none"/>
              </w:rPr>
              <w:t>投标人在投标截止时间前，可以通过“广西政府采购云平台”平台在线对所</w:t>
            </w:r>
            <w:r>
              <w:rPr>
                <w:color w:val="auto"/>
                <w:spacing w:val="3"/>
                <w:highlight w:val="none"/>
              </w:rPr>
              <w:t xml:space="preserve">  </w:t>
            </w:r>
            <w:r>
              <w:rPr>
                <w:color w:val="auto"/>
                <w:spacing w:val="-8"/>
                <w:highlight w:val="none"/>
              </w:rPr>
              <w:t>递交的投标文件进行补充、修改或者撤回，并书面通知采购代理</w:t>
            </w:r>
            <w:r>
              <w:rPr>
                <w:color w:val="auto"/>
                <w:spacing w:val="-9"/>
                <w:highlight w:val="none"/>
              </w:rPr>
              <w:t>机构。补充、</w:t>
            </w:r>
            <w:r>
              <w:rPr>
                <w:color w:val="auto"/>
                <w:highlight w:val="none"/>
              </w:rPr>
              <w:t xml:space="preserve"> </w:t>
            </w:r>
            <w:r>
              <w:rPr>
                <w:color w:val="auto"/>
                <w:spacing w:val="-5"/>
                <w:highlight w:val="none"/>
              </w:rPr>
              <w:t>修改电子投标文件的，应当先行撤回原文件，补充、修改的内容按照招标文</w:t>
            </w:r>
            <w:r>
              <w:rPr>
                <w:color w:val="auto"/>
                <w:spacing w:val="5"/>
                <w:highlight w:val="none"/>
              </w:rPr>
              <w:t xml:space="preserve">  </w:t>
            </w:r>
            <w:r>
              <w:rPr>
                <w:color w:val="auto"/>
                <w:spacing w:val="-5"/>
                <w:highlight w:val="none"/>
              </w:rPr>
              <w:t>件要求签署、盖章后重新传输提交至“广西政府采购云平台”平台，作为投</w:t>
            </w:r>
            <w:r>
              <w:rPr>
                <w:color w:val="auto"/>
                <w:spacing w:val="4"/>
                <w:highlight w:val="none"/>
              </w:rPr>
              <w:t xml:space="preserve">  </w:t>
            </w:r>
            <w:r>
              <w:rPr>
                <w:color w:val="auto"/>
                <w:spacing w:val="-5"/>
                <w:highlight w:val="none"/>
              </w:rPr>
              <w:t>标文件的组成部分。在投标文件递交截止时间后的投标文件有效期内，投标</w:t>
            </w:r>
            <w:r>
              <w:rPr>
                <w:color w:val="auto"/>
                <w:spacing w:val="3"/>
                <w:highlight w:val="none"/>
              </w:rPr>
              <w:t xml:space="preserve">  </w:t>
            </w:r>
            <w:r>
              <w:rPr>
                <w:color w:val="auto"/>
                <w:spacing w:val="2"/>
                <w:highlight w:val="none"/>
              </w:rPr>
              <w:t>人不得撤回其投标文件。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9" w:hRule="atLeast"/>
        </w:trPr>
        <w:tc>
          <w:tcPr>
            <w:tcW w:w="624"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pStyle w:val="9"/>
              <w:spacing w:before="71"/>
              <w:ind w:left="195"/>
              <w:rPr>
                <w:color w:val="auto"/>
                <w:highlight w:val="none"/>
              </w:rPr>
            </w:pPr>
            <w:r>
              <w:rPr>
                <w:color w:val="auto"/>
                <w:spacing w:val="-7"/>
                <w:highlight w:val="none"/>
              </w:rPr>
              <w:t>10</w:t>
            </w:r>
          </w:p>
        </w:tc>
        <w:tc>
          <w:tcPr>
            <w:tcW w:w="869" w:type="dxa"/>
            <w:vAlign w:val="top"/>
          </w:tcPr>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pStyle w:val="9"/>
              <w:spacing w:before="72" w:line="241" w:lineRule="auto"/>
              <w:ind w:left="311"/>
              <w:rPr>
                <w:color w:val="auto"/>
                <w:highlight w:val="none"/>
              </w:rPr>
            </w:pPr>
            <w:r>
              <w:rPr>
                <w:color w:val="auto"/>
                <w:spacing w:val="-3"/>
                <w:highlight w:val="none"/>
              </w:rPr>
              <w:t>21</w:t>
            </w:r>
          </w:p>
        </w:tc>
        <w:tc>
          <w:tcPr>
            <w:tcW w:w="1408" w:type="dxa"/>
            <w:vAlign w:val="top"/>
          </w:tcPr>
          <w:p>
            <w:pPr>
              <w:spacing w:line="278" w:lineRule="auto"/>
              <w:rPr>
                <w:rFonts w:ascii="Arial"/>
                <w:color w:val="auto"/>
                <w:sz w:val="21"/>
                <w:highlight w:val="none"/>
              </w:rPr>
            </w:pPr>
          </w:p>
          <w:p>
            <w:pPr>
              <w:spacing w:line="278" w:lineRule="auto"/>
              <w:rPr>
                <w:rFonts w:ascii="Arial"/>
                <w:color w:val="auto"/>
                <w:sz w:val="21"/>
                <w:highlight w:val="none"/>
              </w:rPr>
            </w:pPr>
          </w:p>
          <w:p>
            <w:pPr>
              <w:pStyle w:val="9"/>
              <w:spacing w:before="72" w:line="220" w:lineRule="auto"/>
              <w:ind w:left="142"/>
              <w:rPr>
                <w:color w:val="auto"/>
                <w:highlight w:val="none"/>
              </w:rPr>
            </w:pPr>
            <w:r>
              <w:rPr>
                <w:color w:val="auto"/>
                <w:spacing w:val="2"/>
                <w:highlight w:val="none"/>
              </w:rPr>
              <w:t>开标时间及</w:t>
            </w:r>
          </w:p>
          <w:p>
            <w:pPr>
              <w:pStyle w:val="9"/>
              <w:spacing w:before="101" w:line="224" w:lineRule="auto"/>
              <w:ind w:left="472"/>
              <w:rPr>
                <w:color w:val="auto"/>
                <w:highlight w:val="none"/>
              </w:rPr>
            </w:pPr>
            <w:r>
              <w:rPr>
                <w:color w:val="auto"/>
                <w:spacing w:val="9"/>
                <w:highlight w:val="none"/>
              </w:rPr>
              <w:t>地点</w:t>
            </w:r>
          </w:p>
        </w:tc>
        <w:tc>
          <w:tcPr>
            <w:tcW w:w="7228" w:type="dxa"/>
            <w:vAlign w:val="top"/>
          </w:tcPr>
          <w:p>
            <w:pPr>
              <w:pStyle w:val="9"/>
              <w:spacing w:before="91" w:line="220" w:lineRule="auto"/>
              <w:ind w:left="83"/>
              <w:rPr>
                <w:color w:val="auto"/>
                <w:highlight w:val="none"/>
              </w:rPr>
            </w:pPr>
            <w:r>
              <w:rPr>
                <w:color w:val="auto"/>
                <w:highlight w:val="none"/>
              </w:rPr>
              <w:t>21.1开标时间及地点：</w:t>
            </w:r>
          </w:p>
          <w:p>
            <w:pPr>
              <w:pStyle w:val="9"/>
              <w:spacing w:before="97" w:line="219" w:lineRule="auto"/>
              <w:ind w:left="73"/>
              <w:rPr>
                <w:color w:val="auto"/>
                <w:highlight w:val="none"/>
              </w:rPr>
            </w:pPr>
            <w:r>
              <w:rPr>
                <w:color w:val="auto"/>
                <w:spacing w:val="4"/>
                <w:highlight w:val="none"/>
              </w:rPr>
              <w:t>开标时间：</w:t>
            </w:r>
            <w:r>
              <w:rPr>
                <w:rFonts w:hint="eastAsia"/>
                <w:color w:val="auto"/>
                <w:spacing w:val="4"/>
                <w:highlight w:val="none"/>
                <w:lang w:eastAsia="zh-CN"/>
              </w:rPr>
              <w:t>2025年12月24日</w:t>
            </w:r>
            <w:r>
              <w:rPr>
                <w:color w:val="auto"/>
                <w:spacing w:val="4"/>
                <w:highlight w:val="none"/>
              </w:rPr>
              <w:t>上午9时30分；</w:t>
            </w:r>
          </w:p>
          <w:p>
            <w:pPr>
              <w:pStyle w:val="9"/>
              <w:spacing w:before="97" w:line="219" w:lineRule="auto"/>
              <w:ind w:left="64"/>
              <w:rPr>
                <w:color w:val="auto"/>
                <w:highlight w:val="none"/>
              </w:rPr>
            </w:pPr>
            <w:r>
              <w:rPr>
                <w:color w:val="auto"/>
                <w:highlight w:val="none"/>
              </w:rPr>
              <w:t>开标地点：通过“广西政府采购云平台”在线解密、开标。</w:t>
            </w:r>
          </w:p>
          <w:p>
            <w:pPr>
              <w:pStyle w:val="9"/>
              <w:spacing w:before="98" w:line="260" w:lineRule="auto"/>
              <w:ind w:left="63" w:right="22" w:hanging="29"/>
              <w:rPr>
                <w:color w:val="auto"/>
                <w:highlight w:val="none"/>
              </w:rPr>
            </w:pPr>
            <w:r>
              <w:rPr>
                <w:color w:val="auto"/>
                <w:highlight w:val="none"/>
              </w:rPr>
              <w:t>21.2投标人不足3家的，不得开标，采购人或者采购代理机构应当重新组织</w:t>
            </w:r>
            <w:r>
              <w:rPr>
                <w:color w:val="auto"/>
                <w:spacing w:val="10"/>
                <w:highlight w:val="none"/>
              </w:rPr>
              <w:t xml:space="preserve"> </w:t>
            </w:r>
            <w:r>
              <w:rPr>
                <w:color w:val="auto"/>
                <w:highlight w:val="none"/>
              </w:rPr>
              <w:t>采购。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978" w:hRule="atLeast"/>
        </w:trPr>
        <w:tc>
          <w:tcPr>
            <w:tcW w:w="624" w:type="dxa"/>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pStyle w:val="9"/>
              <w:spacing w:before="72" w:line="241" w:lineRule="auto"/>
              <w:ind w:left="195"/>
              <w:rPr>
                <w:color w:val="auto"/>
                <w:highlight w:val="none"/>
              </w:rPr>
            </w:pPr>
            <w:r>
              <w:rPr>
                <w:color w:val="auto"/>
                <w:spacing w:val="-7"/>
                <w:highlight w:val="none"/>
              </w:rPr>
              <w:t>11</w:t>
            </w:r>
          </w:p>
        </w:tc>
        <w:tc>
          <w:tcPr>
            <w:tcW w:w="869" w:type="dxa"/>
            <w:vAlign w:val="top"/>
          </w:tcPr>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4" w:lineRule="auto"/>
              <w:rPr>
                <w:rFonts w:ascii="Arial"/>
                <w:color w:val="auto"/>
                <w:sz w:val="21"/>
                <w:highlight w:val="none"/>
              </w:rPr>
            </w:pPr>
          </w:p>
          <w:p>
            <w:pPr>
              <w:pStyle w:val="9"/>
              <w:spacing w:before="72" w:line="241" w:lineRule="auto"/>
              <w:ind w:left="311"/>
              <w:rPr>
                <w:color w:val="auto"/>
                <w:highlight w:val="none"/>
              </w:rPr>
            </w:pPr>
            <w:r>
              <w:rPr>
                <w:color w:val="auto"/>
                <w:spacing w:val="-3"/>
                <w:highlight w:val="none"/>
              </w:rPr>
              <w:t>22</w:t>
            </w:r>
          </w:p>
        </w:tc>
        <w:tc>
          <w:tcPr>
            <w:tcW w:w="1408" w:type="dxa"/>
            <w:vAlign w:val="top"/>
          </w:tcPr>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2" w:lineRule="auto"/>
              <w:rPr>
                <w:rFonts w:ascii="Arial"/>
                <w:color w:val="auto"/>
                <w:sz w:val="21"/>
                <w:highlight w:val="none"/>
              </w:rPr>
            </w:pPr>
          </w:p>
          <w:p>
            <w:pPr>
              <w:pStyle w:val="9"/>
              <w:spacing w:before="72" w:line="220" w:lineRule="auto"/>
              <w:ind w:left="252"/>
              <w:rPr>
                <w:color w:val="auto"/>
                <w:highlight w:val="none"/>
              </w:rPr>
            </w:pPr>
            <w:r>
              <w:rPr>
                <w:color w:val="auto"/>
                <w:spacing w:val="3"/>
                <w:highlight w:val="none"/>
              </w:rPr>
              <w:t>开标程序</w:t>
            </w:r>
          </w:p>
        </w:tc>
        <w:tc>
          <w:tcPr>
            <w:tcW w:w="7228" w:type="dxa"/>
            <w:vAlign w:val="top"/>
          </w:tcPr>
          <w:p>
            <w:pPr>
              <w:pStyle w:val="9"/>
              <w:spacing w:before="87" w:line="292" w:lineRule="auto"/>
              <w:ind w:left="14" w:firstLine="77"/>
              <w:rPr>
                <w:color w:val="auto"/>
                <w:highlight w:val="none"/>
              </w:rPr>
            </w:pPr>
            <w:r>
              <w:rPr>
                <w:color w:val="auto"/>
                <w:spacing w:val="-4"/>
                <w:highlight w:val="none"/>
              </w:rPr>
              <w:t>22.1采购代理机构将按照招标文件规定的时间通过“广西政府采购云平台”</w:t>
            </w:r>
            <w:r>
              <w:rPr>
                <w:color w:val="auto"/>
                <w:spacing w:val="5"/>
                <w:highlight w:val="none"/>
              </w:rPr>
              <w:t xml:space="preserve"> </w:t>
            </w:r>
            <w:r>
              <w:rPr>
                <w:color w:val="auto"/>
                <w:spacing w:val="-8"/>
                <w:highlight w:val="none"/>
              </w:rPr>
              <w:t>平台在线组织开标、解密开启投标文件，投标人的法定代表人或其委托代理</w:t>
            </w:r>
            <w:r>
              <w:rPr>
                <w:color w:val="auto"/>
                <w:spacing w:val="1"/>
                <w:highlight w:val="none"/>
              </w:rPr>
              <w:t xml:space="preserve">   </w:t>
            </w:r>
            <w:r>
              <w:rPr>
                <w:color w:val="auto"/>
                <w:spacing w:val="-8"/>
                <w:highlight w:val="none"/>
              </w:rPr>
              <w:t>人应当保持“广西政府采购云平台”平台实时在线，并通过“广西政府采购</w:t>
            </w:r>
            <w:r>
              <w:rPr>
                <w:color w:val="auto"/>
                <w:spacing w:val="3"/>
                <w:highlight w:val="none"/>
              </w:rPr>
              <w:t xml:space="preserve">  </w:t>
            </w:r>
            <w:r>
              <w:rPr>
                <w:color w:val="auto"/>
                <w:spacing w:val="-8"/>
                <w:highlight w:val="none"/>
              </w:rPr>
              <w:t>云平台”平台在线出席开标会议。投标人如不出席开标会议的，视同认可开</w:t>
            </w:r>
            <w:r>
              <w:rPr>
                <w:color w:val="auto"/>
                <w:spacing w:val="2"/>
                <w:highlight w:val="none"/>
              </w:rPr>
              <w:t xml:space="preserve">   </w:t>
            </w:r>
            <w:r>
              <w:rPr>
                <w:color w:val="auto"/>
                <w:spacing w:val="-8"/>
                <w:highlight w:val="none"/>
              </w:rPr>
              <w:t>标结果，事后不得对采购相关人员、开标过程和开标结果提出异议，因投标</w:t>
            </w:r>
            <w:r>
              <w:rPr>
                <w:color w:val="auto"/>
                <w:spacing w:val="1"/>
                <w:highlight w:val="none"/>
              </w:rPr>
              <w:t xml:space="preserve">   </w:t>
            </w:r>
            <w:r>
              <w:rPr>
                <w:color w:val="auto"/>
                <w:spacing w:val="-8"/>
                <w:highlight w:val="none"/>
              </w:rPr>
              <w:t>人未保持实时在线，而导致投标文件无法按时解密等一切后果由投标人自行</w:t>
            </w:r>
            <w:r>
              <w:rPr>
                <w:color w:val="auto"/>
                <w:spacing w:val="3"/>
                <w:highlight w:val="none"/>
              </w:rPr>
              <w:t xml:space="preserve">  </w:t>
            </w:r>
            <w:r>
              <w:rPr>
                <w:color w:val="auto"/>
                <w:spacing w:val="10"/>
                <w:highlight w:val="none"/>
              </w:rPr>
              <w:t>承担。</w:t>
            </w:r>
          </w:p>
          <w:p>
            <w:pPr>
              <w:pStyle w:val="9"/>
              <w:spacing w:before="99" w:line="295" w:lineRule="auto"/>
              <w:ind w:left="14" w:firstLine="78"/>
              <w:rPr>
                <w:color w:val="auto"/>
                <w:highlight w:val="none"/>
              </w:rPr>
            </w:pPr>
            <w:r>
              <w:rPr>
                <w:color w:val="auto"/>
                <w:spacing w:val="-7"/>
                <w:highlight w:val="none"/>
              </w:rPr>
              <w:t>22.2投标文件解密：投标文件提交截止时间后，采购代理机构开启解密投标</w:t>
            </w:r>
            <w:r>
              <w:rPr>
                <w:color w:val="auto"/>
                <w:spacing w:val="4"/>
                <w:highlight w:val="none"/>
              </w:rPr>
              <w:t xml:space="preserve">  </w:t>
            </w:r>
            <w:r>
              <w:rPr>
                <w:color w:val="auto"/>
                <w:spacing w:val="-5"/>
                <w:highlight w:val="none"/>
              </w:rPr>
              <w:t>文件操作，“广西政府采购云平台”平台向各投标人发出电子加密投标文件</w:t>
            </w:r>
            <w:r>
              <w:rPr>
                <w:color w:val="auto"/>
                <w:spacing w:val="4"/>
                <w:highlight w:val="none"/>
              </w:rPr>
              <w:t xml:space="preserve">  </w:t>
            </w:r>
            <w:r>
              <w:rPr>
                <w:color w:val="auto"/>
                <w:spacing w:val="-1"/>
                <w:highlight w:val="none"/>
              </w:rPr>
              <w:t>解密通知，由投标人在系统发出解密通知后30分钟内自行</w:t>
            </w:r>
            <w:r>
              <w:rPr>
                <w:color w:val="auto"/>
                <w:spacing w:val="-2"/>
                <w:highlight w:val="none"/>
              </w:rPr>
              <w:t>使用加密时的CA</w:t>
            </w:r>
            <w:r>
              <w:rPr>
                <w:color w:val="auto"/>
                <w:highlight w:val="none"/>
              </w:rPr>
              <w:t xml:space="preserve">   </w:t>
            </w:r>
            <w:r>
              <w:rPr>
                <w:color w:val="auto"/>
                <w:spacing w:val="-8"/>
                <w:highlight w:val="none"/>
              </w:rPr>
              <w:t>通过“项目采购-开标评标”功能对投标文件进行解密。若投标人在上述规定</w:t>
            </w:r>
            <w:r>
              <w:rPr>
                <w:color w:val="auto"/>
                <w:spacing w:val="5"/>
                <w:highlight w:val="none"/>
              </w:rPr>
              <w:t xml:space="preserve">  </w:t>
            </w:r>
            <w:r>
              <w:rPr>
                <w:color w:val="auto"/>
                <w:spacing w:val="-4"/>
                <w:highlight w:val="none"/>
              </w:rPr>
              <w:t>的时间内无法解密或解密失败的，可以在投标文件解密截止时间后30分钟内</w:t>
            </w:r>
            <w:r>
              <w:rPr>
                <w:color w:val="auto"/>
                <w:spacing w:val="3"/>
                <w:highlight w:val="none"/>
              </w:rPr>
              <w:t xml:space="preserve"> </w:t>
            </w:r>
            <w:r>
              <w:rPr>
                <w:color w:val="auto"/>
                <w:spacing w:val="-2"/>
                <w:highlight w:val="none"/>
              </w:rPr>
              <w:t>以电子邮件的形式向采购代理机构现场提交电子备份</w:t>
            </w:r>
            <w:r>
              <w:rPr>
                <w:color w:val="auto"/>
                <w:spacing w:val="-3"/>
                <w:highlight w:val="none"/>
              </w:rPr>
              <w:t>投标文件(接收电子备</w:t>
            </w:r>
            <w:r>
              <w:rPr>
                <w:color w:val="auto"/>
                <w:highlight w:val="none"/>
              </w:rPr>
              <w:t xml:space="preserve">  </w:t>
            </w:r>
            <w:r>
              <w:rPr>
                <w:color w:val="auto"/>
                <w:spacing w:val="-2"/>
                <w:highlight w:val="none"/>
              </w:rPr>
              <w:t>份投标文件的电子邮箱为：guilinyl@vip.sina.com);投标人未在上述规定</w:t>
            </w:r>
            <w:r>
              <w:rPr>
                <w:color w:val="auto"/>
                <w:spacing w:val="8"/>
                <w:highlight w:val="none"/>
              </w:rPr>
              <w:t xml:space="preserve">  </w:t>
            </w:r>
            <w:r>
              <w:rPr>
                <w:color w:val="auto"/>
                <w:spacing w:val="-8"/>
                <w:highlight w:val="none"/>
              </w:rPr>
              <w:t>的时间、电子邮箱提交的电子备份投标文件，采购代理机构不予</w:t>
            </w:r>
            <w:r>
              <w:rPr>
                <w:color w:val="auto"/>
                <w:spacing w:val="-9"/>
                <w:highlight w:val="none"/>
              </w:rPr>
              <w:t>接收或承认。</w:t>
            </w:r>
            <w:r>
              <w:rPr>
                <w:color w:val="auto"/>
                <w:highlight w:val="none"/>
              </w:rPr>
              <w:t xml:space="preserve"> </w:t>
            </w:r>
            <w:r>
              <w:rPr>
                <w:color w:val="auto"/>
                <w:spacing w:val="-5"/>
                <w:highlight w:val="none"/>
              </w:rPr>
              <w:t>采购代理机构收到电子备份投标文件后按“政府采购云平台”操作规范上传</w:t>
            </w:r>
            <w:r>
              <w:rPr>
                <w:color w:val="auto"/>
                <w:spacing w:val="5"/>
                <w:highlight w:val="none"/>
              </w:rPr>
              <w:t xml:space="preserve">  </w:t>
            </w:r>
            <w:r>
              <w:rPr>
                <w:color w:val="auto"/>
                <w:spacing w:val="-8"/>
                <w:highlight w:val="none"/>
              </w:rPr>
              <w:t>至“政府采购云平台”,电子备份投标文件上传成功后，投标人原上传的“电</w:t>
            </w:r>
            <w:r>
              <w:rPr>
                <w:color w:val="auto"/>
                <w:spacing w:val="4"/>
                <w:highlight w:val="none"/>
              </w:rPr>
              <w:t xml:space="preserve">  </w:t>
            </w:r>
            <w:r>
              <w:rPr>
                <w:color w:val="auto"/>
                <w:spacing w:val="-6"/>
                <w:highlight w:val="none"/>
              </w:rPr>
              <w:t>子加密投标文件”自动失效。</w:t>
            </w:r>
            <w:r>
              <w:rPr>
                <w:b/>
                <w:bCs/>
                <w:color w:val="auto"/>
                <w:spacing w:val="-6"/>
                <w:highlight w:val="none"/>
              </w:rPr>
              <w:t>若投标人在规定时间内无法解</w:t>
            </w:r>
            <w:r>
              <w:rPr>
                <w:b/>
                <w:bCs/>
                <w:color w:val="auto"/>
                <w:spacing w:val="-7"/>
                <w:highlight w:val="none"/>
              </w:rPr>
              <w:t>密或解密失败且</w:t>
            </w:r>
            <w:r>
              <w:rPr>
                <w:color w:val="auto"/>
                <w:highlight w:val="none"/>
              </w:rPr>
              <w:t xml:space="preserve">  </w:t>
            </w:r>
            <w:r>
              <w:rPr>
                <w:b/>
                <w:bCs/>
                <w:color w:val="auto"/>
                <w:spacing w:val="-5"/>
                <w:highlight w:val="none"/>
              </w:rPr>
              <w:t>未在规定的时间内提供电子备份投标文件的(包含提供的电子</w:t>
            </w:r>
            <w:r>
              <w:rPr>
                <w:b/>
                <w:bCs/>
                <w:color w:val="auto"/>
                <w:spacing w:val="-6"/>
                <w:highlight w:val="none"/>
              </w:rPr>
              <w:t>备份投标文件</w:t>
            </w:r>
            <w:r>
              <w:rPr>
                <w:color w:val="auto"/>
                <w:highlight w:val="none"/>
              </w:rPr>
              <w:t xml:space="preserve">   </w:t>
            </w:r>
            <w:r>
              <w:rPr>
                <w:b/>
                <w:bCs/>
                <w:color w:val="auto"/>
                <w:spacing w:val="-2"/>
                <w:highlight w:val="none"/>
              </w:rPr>
              <w:t>无效或无法解密的情况),视为投标人放弃投标。</w:t>
            </w:r>
          </w:p>
          <w:p>
            <w:pPr>
              <w:pStyle w:val="9"/>
              <w:spacing w:before="108" w:line="219" w:lineRule="auto"/>
              <w:ind w:left="83"/>
              <w:rPr>
                <w:color w:val="auto"/>
                <w:highlight w:val="none"/>
              </w:rPr>
            </w:pPr>
            <w:r>
              <w:rPr>
                <w:color w:val="auto"/>
                <w:highlight w:val="none"/>
              </w:rPr>
              <w:t>22.3投标文件解密结束后，开标活动组织人员在线开启投标文件。</w:t>
            </w:r>
          </w:p>
          <w:p>
            <w:pPr>
              <w:pStyle w:val="9"/>
              <w:spacing w:before="97" w:line="264" w:lineRule="auto"/>
              <w:ind w:left="94"/>
              <w:rPr>
                <w:color w:val="auto"/>
                <w:highlight w:val="none"/>
              </w:rPr>
            </w:pPr>
            <w:r>
              <w:rPr>
                <w:color w:val="auto"/>
                <w:spacing w:val="-4"/>
                <w:highlight w:val="none"/>
              </w:rPr>
              <w:t>22.4开启投标人报价文件，电子开标大厅记录显示并记录投标人投标报价表</w:t>
            </w:r>
            <w:r>
              <w:rPr>
                <w:color w:val="auto"/>
                <w:spacing w:val="2"/>
                <w:highlight w:val="none"/>
              </w:rPr>
              <w:t xml:space="preserve"> </w:t>
            </w:r>
            <w:r>
              <w:rPr>
                <w:color w:val="auto"/>
                <w:spacing w:val="-1"/>
                <w:highlight w:val="none"/>
              </w:rPr>
              <w:t>的投标报价等。</w:t>
            </w:r>
          </w:p>
          <w:p>
            <w:pPr>
              <w:pStyle w:val="9"/>
              <w:spacing w:before="111" w:line="218" w:lineRule="auto"/>
              <w:ind w:left="104"/>
              <w:rPr>
                <w:color w:val="auto"/>
                <w:highlight w:val="none"/>
              </w:rPr>
            </w:pPr>
            <w:r>
              <w:rPr>
                <w:color w:val="auto"/>
                <w:highlight w:val="none"/>
              </w:rPr>
              <w:t>22.5投标人线上确认投标报价。</w:t>
            </w:r>
          </w:p>
          <w:p>
            <w:pPr>
              <w:pStyle w:val="9"/>
              <w:spacing w:before="60" w:line="208" w:lineRule="auto"/>
              <w:jc w:val="right"/>
              <w:rPr>
                <w:color w:val="auto"/>
                <w:highlight w:val="none"/>
              </w:rPr>
            </w:pPr>
            <w:r>
              <w:rPr>
                <w:color w:val="auto"/>
                <w:spacing w:val="-4"/>
                <w:highlight w:val="none"/>
              </w:rPr>
              <w:t>22.6如发现开标结果与所提交的报价文件不一致的，由评标委员会根据报价</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3" w:type="default"/>
          <w:pgSz w:w="11900" w:h="16830"/>
          <w:pgMar w:top="400" w:right="1045" w:bottom="801" w:left="714" w:header="0" w:footer="657" w:gutter="0"/>
          <w:cols w:space="720" w:num="1"/>
        </w:sectPr>
      </w:pPr>
    </w:p>
    <w:p>
      <w:pPr>
        <w:spacing w:before="15"/>
        <w:rPr>
          <w:color w:val="auto"/>
          <w:highlight w:val="none"/>
        </w:rPr>
      </w:pPr>
    </w:p>
    <w:p>
      <w:pPr>
        <w:spacing w:before="15"/>
        <w:rPr>
          <w:color w:val="auto"/>
          <w:highlight w:val="none"/>
        </w:rPr>
      </w:pPr>
    </w:p>
    <w:p>
      <w:pPr>
        <w:spacing w:before="15"/>
        <w:rPr>
          <w:color w:val="auto"/>
          <w:highlight w:val="none"/>
        </w:rPr>
      </w:pPr>
    </w:p>
    <w:p>
      <w:pPr>
        <w:spacing w:before="14"/>
        <w:rPr>
          <w:color w:val="auto"/>
          <w:highlight w:val="none"/>
        </w:rPr>
      </w:pPr>
    </w:p>
    <w:tbl>
      <w:tblPr>
        <w:tblStyle w:val="8"/>
        <w:tblW w:w="1014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849"/>
        <w:gridCol w:w="1419"/>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3" w:hRule="atLeast"/>
        </w:trPr>
        <w:tc>
          <w:tcPr>
            <w:tcW w:w="654" w:type="dxa"/>
            <w:vAlign w:val="top"/>
          </w:tcPr>
          <w:p>
            <w:pPr>
              <w:rPr>
                <w:rFonts w:ascii="Arial"/>
                <w:color w:val="auto"/>
                <w:sz w:val="21"/>
                <w:highlight w:val="none"/>
              </w:rPr>
            </w:pPr>
          </w:p>
        </w:tc>
        <w:tc>
          <w:tcPr>
            <w:tcW w:w="849" w:type="dxa"/>
            <w:vAlign w:val="top"/>
          </w:tcPr>
          <w:p>
            <w:pPr>
              <w:rPr>
                <w:rFonts w:ascii="Arial"/>
                <w:color w:val="auto"/>
                <w:sz w:val="21"/>
                <w:highlight w:val="none"/>
              </w:rPr>
            </w:pPr>
          </w:p>
        </w:tc>
        <w:tc>
          <w:tcPr>
            <w:tcW w:w="1419" w:type="dxa"/>
            <w:vAlign w:val="top"/>
          </w:tcPr>
          <w:p>
            <w:pPr>
              <w:rPr>
                <w:rFonts w:ascii="Arial"/>
                <w:color w:val="auto"/>
                <w:sz w:val="21"/>
                <w:highlight w:val="none"/>
              </w:rPr>
            </w:pPr>
          </w:p>
        </w:tc>
        <w:tc>
          <w:tcPr>
            <w:tcW w:w="7225" w:type="dxa"/>
            <w:vAlign w:val="top"/>
          </w:tcPr>
          <w:p>
            <w:pPr>
              <w:pStyle w:val="9"/>
              <w:spacing w:before="84" w:line="219" w:lineRule="auto"/>
              <w:ind w:left="72"/>
              <w:rPr>
                <w:color w:val="auto"/>
                <w:highlight w:val="none"/>
              </w:rPr>
            </w:pPr>
            <w:r>
              <w:rPr>
                <w:color w:val="auto"/>
                <w:highlight w:val="none"/>
              </w:rPr>
              <w:t>文件内容进行修正。</w:t>
            </w:r>
          </w:p>
          <w:p>
            <w:pPr>
              <w:pStyle w:val="9"/>
              <w:spacing w:before="119" w:line="271" w:lineRule="auto"/>
              <w:ind w:left="13"/>
              <w:rPr>
                <w:color w:val="auto"/>
                <w:highlight w:val="none"/>
              </w:rPr>
            </w:pPr>
            <w:r>
              <w:rPr>
                <w:color w:val="auto"/>
                <w:spacing w:val="-4"/>
                <w:highlight w:val="none"/>
              </w:rPr>
              <w:t>22.7投标人代表对开标过程和开标记录有疑义，以及认为采购人、采购代理</w:t>
            </w:r>
            <w:r>
              <w:rPr>
                <w:color w:val="auto"/>
                <w:spacing w:val="9"/>
                <w:highlight w:val="none"/>
              </w:rPr>
              <w:t xml:space="preserve"> </w:t>
            </w:r>
            <w:r>
              <w:rPr>
                <w:color w:val="auto"/>
                <w:spacing w:val="-4"/>
                <w:highlight w:val="none"/>
              </w:rPr>
              <w:t>机构相关工作人员有需要回避的情形的，应当场提出询问或者回避申请。采</w:t>
            </w:r>
            <w:r>
              <w:rPr>
                <w:color w:val="auto"/>
                <w:spacing w:val="3"/>
                <w:highlight w:val="none"/>
              </w:rPr>
              <w:t xml:space="preserve"> </w:t>
            </w:r>
            <w:r>
              <w:rPr>
                <w:color w:val="auto"/>
                <w:spacing w:val="-2"/>
                <w:highlight w:val="none"/>
              </w:rPr>
              <w:t>购人、采购代理机构对投标人代表提出的询问或者回避申请应当及时处理。</w:t>
            </w:r>
          </w:p>
          <w:p>
            <w:pPr>
              <w:pStyle w:val="9"/>
              <w:spacing w:before="99" w:line="261" w:lineRule="auto"/>
              <w:ind w:left="72" w:firstLine="9"/>
              <w:rPr>
                <w:color w:val="auto"/>
                <w:highlight w:val="none"/>
              </w:rPr>
            </w:pPr>
            <w:r>
              <w:rPr>
                <w:color w:val="auto"/>
                <w:spacing w:val="-10"/>
                <w:highlight w:val="none"/>
              </w:rPr>
              <w:t>22.8特别说明：如遇“广西政府采购云平台”电子化开标或评审程序调整的，</w:t>
            </w:r>
            <w:r>
              <w:rPr>
                <w:color w:val="auto"/>
                <w:spacing w:val="11"/>
                <w:highlight w:val="none"/>
              </w:rPr>
              <w:t xml:space="preserve"> </w:t>
            </w:r>
            <w:r>
              <w:rPr>
                <w:color w:val="auto"/>
                <w:spacing w:val="-3"/>
                <w:highlight w:val="none"/>
              </w:rPr>
              <w:t>按调整后程序执行。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654" w:type="dxa"/>
            <w:vAlign w:val="top"/>
          </w:tcPr>
          <w:p>
            <w:pPr>
              <w:pStyle w:val="9"/>
              <w:spacing w:before="282" w:line="241" w:lineRule="auto"/>
              <w:ind w:left="205"/>
              <w:rPr>
                <w:color w:val="auto"/>
                <w:highlight w:val="none"/>
              </w:rPr>
            </w:pPr>
            <w:r>
              <w:rPr>
                <w:color w:val="auto"/>
                <w:spacing w:val="-7"/>
                <w:highlight w:val="none"/>
              </w:rPr>
              <w:t>12</w:t>
            </w:r>
          </w:p>
        </w:tc>
        <w:tc>
          <w:tcPr>
            <w:tcW w:w="849" w:type="dxa"/>
            <w:vAlign w:val="top"/>
          </w:tcPr>
          <w:p>
            <w:pPr>
              <w:pStyle w:val="9"/>
              <w:spacing w:before="282" w:line="241" w:lineRule="auto"/>
              <w:ind w:left="301"/>
              <w:rPr>
                <w:color w:val="auto"/>
                <w:highlight w:val="none"/>
              </w:rPr>
            </w:pPr>
            <w:r>
              <w:rPr>
                <w:color w:val="auto"/>
                <w:spacing w:val="-3"/>
                <w:highlight w:val="none"/>
              </w:rPr>
              <w:t>24</w:t>
            </w:r>
          </w:p>
        </w:tc>
        <w:tc>
          <w:tcPr>
            <w:tcW w:w="1419" w:type="dxa"/>
            <w:vAlign w:val="top"/>
          </w:tcPr>
          <w:p>
            <w:pPr>
              <w:pStyle w:val="9"/>
              <w:spacing w:before="79" w:line="219" w:lineRule="auto"/>
              <w:ind w:left="152"/>
              <w:rPr>
                <w:color w:val="auto"/>
                <w:highlight w:val="none"/>
              </w:rPr>
            </w:pPr>
            <w:r>
              <w:rPr>
                <w:color w:val="auto"/>
                <w:spacing w:val="-2"/>
                <w:highlight w:val="none"/>
              </w:rPr>
              <w:t>评标委员会</w:t>
            </w:r>
          </w:p>
          <w:p>
            <w:pPr>
              <w:pStyle w:val="9"/>
              <w:spacing w:before="101" w:line="221" w:lineRule="auto"/>
              <w:ind w:left="482"/>
              <w:rPr>
                <w:color w:val="auto"/>
                <w:highlight w:val="none"/>
              </w:rPr>
            </w:pPr>
            <w:r>
              <w:rPr>
                <w:color w:val="auto"/>
                <w:spacing w:val="5"/>
                <w:highlight w:val="none"/>
              </w:rPr>
              <w:t>组成</w:t>
            </w:r>
          </w:p>
        </w:tc>
        <w:tc>
          <w:tcPr>
            <w:tcW w:w="7225" w:type="dxa"/>
            <w:vAlign w:val="top"/>
          </w:tcPr>
          <w:p>
            <w:pPr>
              <w:pStyle w:val="9"/>
              <w:spacing w:before="70" w:line="272" w:lineRule="auto"/>
              <w:ind w:left="62" w:right="49" w:hanging="39"/>
              <w:rPr>
                <w:color w:val="auto"/>
                <w:highlight w:val="none"/>
              </w:rPr>
            </w:pPr>
            <w:r>
              <w:rPr>
                <w:color w:val="auto"/>
                <w:highlight w:val="none"/>
              </w:rPr>
              <w:t>评标委员会由采购人代表和有关方面的专家组成，成员</w:t>
            </w:r>
            <w:r>
              <w:rPr>
                <w:color w:val="auto"/>
                <w:spacing w:val="-1"/>
                <w:highlight w:val="none"/>
              </w:rPr>
              <w:t>人数共</w:t>
            </w:r>
            <w:r>
              <w:rPr>
                <w:rFonts w:hint="eastAsia"/>
                <w:color w:val="auto"/>
                <w:spacing w:val="-1"/>
                <w:highlight w:val="none"/>
                <w:lang w:val="en-US" w:eastAsia="zh-CN"/>
              </w:rPr>
              <w:t>5</w:t>
            </w:r>
            <w:r>
              <w:rPr>
                <w:color w:val="auto"/>
                <w:spacing w:val="-1"/>
                <w:highlight w:val="none"/>
              </w:rPr>
              <w:t>人，其中采</w:t>
            </w:r>
            <w:r>
              <w:rPr>
                <w:color w:val="auto"/>
                <w:highlight w:val="none"/>
              </w:rPr>
              <w:t xml:space="preserve"> 购人代表</w:t>
            </w:r>
            <w:r>
              <w:rPr>
                <w:rFonts w:hint="eastAsia"/>
                <w:color w:val="auto"/>
                <w:highlight w:val="none"/>
                <w:lang w:val="en-US" w:eastAsia="zh-CN"/>
              </w:rPr>
              <w:t>1</w:t>
            </w:r>
            <w:r>
              <w:rPr>
                <w:color w:val="auto"/>
                <w:highlight w:val="none"/>
              </w:rPr>
              <w:t>人，评审专家</w:t>
            </w:r>
            <w:r>
              <w:rPr>
                <w:rFonts w:hint="eastAsia"/>
                <w:color w:val="auto"/>
                <w:highlight w:val="none"/>
                <w:lang w:val="en-US" w:eastAsia="zh-CN"/>
              </w:rPr>
              <w:t>4</w:t>
            </w:r>
            <w:r>
              <w:rPr>
                <w:color w:val="auto"/>
                <w:highlight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0" w:hRule="atLeast"/>
        </w:trPr>
        <w:tc>
          <w:tcPr>
            <w:tcW w:w="654" w:type="dxa"/>
            <w:vAlign w:val="top"/>
          </w:tcPr>
          <w:p>
            <w:pPr>
              <w:pStyle w:val="9"/>
              <w:spacing w:before="193"/>
              <w:ind w:left="205"/>
              <w:rPr>
                <w:color w:val="auto"/>
                <w:highlight w:val="none"/>
              </w:rPr>
            </w:pPr>
            <w:r>
              <w:rPr>
                <w:color w:val="auto"/>
                <w:spacing w:val="-7"/>
                <w:highlight w:val="none"/>
              </w:rPr>
              <w:t>13</w:t>
            </w:r>
          </w:p>
        </w:tc>
        <w:tc>
          <w:tcPr>
            <w:tcW w:w="849" w:type="dxa"/>
            <w:vAlign w:val="top"/>
          </w:tcPr>
          <w:p>
            <w:pPr>
              <w:pStyle w:val="9"/>
              <w:spacing w:before="193" w:line="239" w:lineRule="auto"/>
              <w:ind w:left="191"/>
              <w:rPr>
                <w:color w:val="auto"/>
                <w:highlight w:val="none"/>
              </w:rPr>
            </w:pPr>
            <w:r>
              <w:rPr>
                <w:color w:val="auto"/>
                <w:spacing w:val="-3"/>
                <w:highlight w:val="none"/>
              </w:rPr>
              <w:t>25.1</w:t>
            </w:r>
          </w:p>
        </w:tc>
        <w:tc>
          <w:tcPr>
            <w:tcW w:w="1419" w:type="dxa"/>
            <w:vAlign w:val="top"/>
          </w:tcPr>
          <w:p>
            <w:pPr>
              <w:pStyle w:val="9"/>
              <w:spacing w:before="172" w:line="219" w:lineRule="auto"/>
              <w:ind w:left="262"/>
              <w:rPr>
                <w:color w:val="auto"/>
                <w:highlight w:val="none"/>
              </w:rPr>
            </w:pPr>
            <w:r>
              <w:rPr>
                <w:color w:val="auto"/>
                <w:spacing w:val="-2"/>
                <w:highlight w:val="none"/>
              </w:rPr>
              <w:t>评标办法</w:t>
            </w:r>
          </w:p>
        </w:tc>
        <w:tc>
          <w:tcPr>
            <w:tcW w:w="7225" w:type="dxa"/>
            <w:vAlign w:val="top"/>
          </w:tcPr>
          <w:p>
            <w:pPr>
              <w:pStyle w:val="9"/>
              <w:spacing w:before="170" w:line="219" w:lineRule="auto"/>
              <w:ind w:left="62"/>
              <w:rPr>
                <w:color w:val="auto"/>
                <w:highlight w:val="none"/>
              </w:rPr>
            </w:pPr>
            <w:r>
              <w:rPr>
                <w:color w:val="auto"/>
                <w:highlight w:val="none"/>
              </w:rPr>
              <w:t>综合评分法，具体评标内容及标准详见第四章。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6" w:hRule="atLeast"/>
        </w:trPr>
        <w:tc>
          <w:tcPr>
            <w:tcW w:w="654" w:type="dxa"/>
            <w:vAlign w:val="top"/>
          </w:tcPr>
          <w:p>
            <w:pPr>
              <w:spacing w:line="269"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pStyle w:val="9"/>
              <w:spacing w:before="71" w:line="241" w:lineRule="auto"/>
              <w:ind w:left="205"/>
              <w:rPr>
                <w:color w:val="auto"/>
                <w:highlight w:val="none"/>
              </w:rPr>
            </w:pPr>
            <w:r>
              <w:rPr>
                <w:color w:val="auto"/>
                <w:spacing w:val="-7"/>
                <w:highlight w:val="none"/>
              </w:rPr>
              <w:t>14</w:t>
            </w:r>
          </w:p>
        </w:tc>
        <w:tc>
          <w:tcPr>
            <w:tcW w:w="849" w:type="dxa"/>
            <w:vAlign w:val="top"/>
          </w:tcPr>
          <w:p>
            <w:pPr>
              <w:spacing w:line="269" w:lineRule="auto"/>
              <w:rPr>
                <w:rFonts w:ascii="Arial"/>
                <w:color w:val="auto"/>
                <w:sz w:val="21"/>
                <w:highlight w:val="none"/>
              </w:rPr>
            </w:pPr>
          </w:p>
          <w:p>
            <w:pPr>
              <w:spacing w:line="269"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pStyle w:val="9"/>
              <w:spacing w:before="72"/>
              <w:ind w:left="301"/>
              <w:rPr>
                <w:color w:val="auto"/>
                <w:highlight w:val="none"/>
              </w:rPr>
            </w:pPr>
            <w:r>
              <w:rPr>
                <w:color w:val="auto"/>
                <w:spacing w:val="-4"/>
                <w:highlight w:val="none"/>
              </w:rPr>
              <w:t>32</w:t>
            </w:r>
          </w:p>
        </w:tc>
        <w:tc>
          <w:tcPr>
            <w:tcW w:w="1419" w:type="dxa"/>
            <w:vAlign w:val="top"/>
          </w:tcPr>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8" w:lineRule="auto"/>
              <w:rPr>
                <w:rFonts w:ascii="Arial"/>
                <w:color w:val="auto"/>
                <w:sz w:val="21"/>
                <w:highlight w:val="none"/>
              </w:rPr>
            </w:pPr>
          </w:p>
          <w:p>
            <w:pPr>
              <w:pStyle w:val="9"/>
              <w:spacing w:before="71" w:line="219" w:lineRule="auto"/>
              <w:ind w:left="262"/>
              <w:rPr>
                <w:color w:val="auto"/>
                <w:highlight w:val="none"/>
              </w:rPr>
            </w:pPr>
            <w:r>
              <w:rPr>
                <w:color w:val="auto"/>
                <w:spacing w:val="4"/>
                <w:highlight w:val="none"/>
              </w:rPr>
              <w:t>信用查询</w:t>
            </w:r>
          </w:p>
        </w:tc>
        <w:tc>
          <w:tcPr>
            <w:tcW w:w="7225" w:type="dxa"/>
            <w:vAlign w:val="top"/>
          </w:tcPr>
          <w:p>
            <w:pPr>
              <w:pStyle w:val="9"/>
              <w:spacing w:before="79" w:line="298" w:lineRule="auto"/>
              <w:ind w:left="83" w:hanging="70"/>
              <w:jc w:val="both"/>
              <w:rPr>
                <w:color w:val="auto"/>
                <w:highlight w:val="none"/>
              </w:rPr>
            </w:pPr>
            <w:r>
              <w:rPr>
                <w:color w:val="auto"/>
                <w:spacing w:val="-2"/>
                <w:highlight w:val="none"/>
              </w:rPr>
              <w:t>根据《关于做好政府采购有关信用主体标识码登记及在政府采购活动中查询</w:t>
            </w:r>
            <w:r>
              <w:rPr>
                <w:color w:val="auto"/>
                <w:spacing w:val="6"/>
                <w:highlight w:val="none"/>
              </w:rPr>
              <w:t xml:space="preserve"> </w:t>
            </w:r>
            <w:r>
              <w:rPr>
                <w:color w:val="auto"/>
                <w:spacing w:val="-4"/>
                <w:highlight w:val="none"/>
              </w:rPr>
              <w:t>使用信用记录有关问题的通知》(桂财采〔2016〕37号)的通知，由采购代理</w:t>
            </w:r>
            <w:r>
              <w:rPr>
                <w:color w:val="auto"/>
                <w:spacing w:val="8"/>
                <w:highlight w:val="none"/>
              </w:rPr>
              <w:t xml:space="preserve"> </w:t>
            </w:r>
            <w:r>
              <w:rPr>
                <w:color w:val="auto"/>
                <w:spacing w:val="-1"/>
                <w:highlight w:val="none"/>
              </w:rPr>
              <w:t>机构对第一中标候选人进行信用查询：</w:t>
            </w:r>
          </w:p>
          <w:p>
            <w:pPr>
              <w:pStyle w:val="9"/>
              <w:spacing w:line="270" w:lineRule="auto"/>
              <w:ind w:left="92" w:right="2" w:hanging="30"/>
              <w:rPr>
                <w:color w:val="auto"/>
                <w:highlight w:val="none"/>
              </w:rPr>
            </w:pPr>
            <w:r>
              <w:rPr>
                <w:color w:val="auto"/>
                <w:spacing w:val="-6"/>
                <w:highlight w:val="none"/>
              </w:rPr>
              <w:t>(1)查询渠道：“信用中国”网站(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6"/>
                <w:highlight w:val="none"/>
              </w:rPr>
              <w:t>http://w</w:t>
            </w:r>
            <w:r>
              <w:rPr>
                <w:color w:val="auto"/>
                <w:spacing w:val="-7"/>
                <w:highlight w:val="none"/>
              </w:rPr>
              <w:t>ww.creditchina.gov.cn</w:t>
            </w:r>
            <w:r>
              <w:rPr>
                <w:color w:val="auto"/>
                <w:spacing w:val="-7"/>
                <w:highlight w:val="none"/>
              </w:rPr>
              <w:fldChar w:fldCharType="end"/>
            </w:r>
            <w:r>
              <w:rPr>
                <w:color w:val="auto"/>
                <w:spacing w:val="-7"/>
                <w:highlight w:val="none"/>
              </w:rPr>
              <w:t>)、中国政</w:t>
            </w:r>
            <w:r>
              <w:rPr>
                <w:color w:val="auto"/>
                <w:highlight w:val="none"/>
              </w:rPr>
              <w:t xml:space="preserve"> </w:t>
            </w:r>
            <w:r>
              <w:rPr>
                <w:color w:val="auto"/>
                <w:spacing w:val="9"/>
                <w:highlight w:val="none"/>
              </w:rPr>
              <w:t>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rPr>
              <w:t>http</w:t>
            </w:r>
            <w:r>
              <w:rPr>
                <w:color w:val="auto"/>
                <w:spacing w:val="9"/>
                <w:highlight w:val="none"/>
              </w:rPr>
              <w:t>://</w:t>
            </w:r>
            <w:r>
              <w:rPr>
                <w:color w:val="auto"/>
                <w:highlight w:val="none"/>
              </w:rPr>
              <w:t>www</w:t>
            </w:r>
            <w:r>
              <w:rPr>
                <w:color w:val="auto"/>
                <w:spacing w:val="9"/>
                <w:highlight w:val="none"/>
              </w:rPr>
              <w:t>.</w:t>
            </w:r>
            <w:r>
              <w:rPr>
                <w:color w:val="auto"/>
                <w:highlight w:val="none"/>
              </w:rPr>
              <w:t>ccgp</w:t>
            </w:r>
            <w:r>
              <w:rPr>
                <w:color w:val="auto"/>
                <w:spacing w:val="9"/>
                <w:highlight w:val="none"/>
              </w:rPr>
              <w:t>.</w:t>
            </w:r>
            <w:r>
              <w:rPr>
                <w:color w:val="auto"/>
                <w:highlight w:val="none"/>
              </w:rPr>
              <w:t>gov</w:t>
            </w:r>
            <w:r>
              <w:rPr>
                <w:color w:val="auto"/>
                <w:spacing w:val="9"/>
                <w:highlight w:val="none"/>
              </w:rPr>
              <w:t>.</w:t>
            </w:r>
            <w:r>
              <w:rPr>
                <w:color w:val="auto"/>
                <w:highlight w:val="none"/>
              </w:rPr>
              <w:t>cn</w:t>
            </w:r>
            <w:r>
              <w:rPr>
                <w:color w:val="auto"/>
                <w:highlight w:val="none"/>
              </w:rPr>
              <w:fldChar w:fldCharType="end"/>
            </w:r>
            <w:r>
              <w:rPr>
                <w:color w:val="auto"/>
                <w:spacing w:val="9"/>
                <w:highlight w:val="none"/>
              </w:rPr>
              <w:t>)等；</w:t>
            </w:r>
          </w:p>
          <w:p>
            <w:pPr>
              <w:pStyle w:val="9"/>
              <w:spacing w:before="111" w:line="219" w:lineRule="auto"/>
              <w:ind w:left="93"/>
              <w:rPr>
                <w:color w:val="auto"/>
                <w:highlight w:val="none"/>
              </w:rPr>
            </w:pPr>
            <w:r>
              <w:rPr>
                <w:color w:val="auto"/>
                <w:spacing w:val="5"/>
                <w:highlight w:val="none"/>
              </w:rPr>
              <w:t>(2)查询截止时间：中标通知书发出前；</w:t>
            </w:r>
          </w:p>
          <w:p>
            <w:pPr>
              <w:pStyle w:val="9"/>
              <w:spacing w:before="80" w:line="264" w:lineRule="auto"/>
              <w:ind w:left="92" w:right="1" w:hanging="20"/>
              <w:rPr>
                <w:color w:val="auto"/>
                <w:highlight w:val="none"/>
              </w:rPr>
            </w:pPr>
            <w:r>
              <w:rPr>
                <w:color w:val="auto"/>
                <w:spacing w:val="-7"/>
                <w:highlight w:val="none"/>
              </w:rPr>
              <w:t>(3)信用信息查询记录和证据留存方式：在查询网站中直接打印查询记录，打</w:t>
            </w:r>
            <w:r>
              <w:rPr>
                <w:color w:val="auto"/>
                <w:spacing w:val="14"/>
                <w:highlight w:val="none"/>
              </w:rPr>
              <w:t xml:space="preserve"> </w:t>
            </w:r>
            <w:r>
              <w:rPr>
                <w:color w:val="auto"/>
                <w:spacing w:val="7"/>
                <w:highlight w:val="none"/>
              </w:rPr>
              <w:t>印材料作为采购活动资料保存；</w:t>
            </w:r>
          </w:p>
          <w:p>
            <w:pPr>
              <w:pStyle w:val="9"/>
              <w:spacing w:before="90" w:line="255" w:lineRule="auto"/>
              <w:ind w:left="112" w:right="59" w:hanging="50"/>
              <w:rPr>
                <w:color w:val="auto"/>
                <w:highlight w:val="none"/>
              </w:rPr>
            </w:pPr>
            <w:r>
              <w:rPr>
                <w:color w:val="auto"/>
                <w:spacing w:val="-12"/>
                <w:highlight w:val="none"/>
              </w:rPr>
              <w:t>(</w:t>
            </w:r>
            <w:r>
              <w:rPr>
                <w:color w:val="auto"/>
                <w:spacing w:val="28"/>
                <w:highlight w:val="none"/>
              </w:rPr>
              <w:t xml:space="preserve"> </w:t>
            </w:r>
            <w:r>
              <w:rPr>
                <w:color w:val="auto"/>
                <w:spacing w:val="-12"/>
                <w:highlight w:val="none"/>
              </w:rPr>
              <w:t>4</w:t>
            </w:r>
            <w:r>
              <w:rPr>
                <w:color w:val="auto"/>
                <w:spacing w:val="24"/>
                <w:highlight w:val="none"/>
              </w:rPr>
              <w:t xml:space="preserve"> </w:t>
            </w:r>
            <w:r>
              <w:rPr>
                <w:color w:val="auto"/>
                <w:spacing w:val="-12"/>
                <w:highlight w:val="none"/>
              </w:rPr>
              <w:t>)</w:t>
            </w:r>
            <w:r>
              <w:rPr>
                <w:color w:val="auto"/>
                <w:spacing w:val="24"/>
                <w:highlight w:val="none"/>
              </w:rPr>
              <w:t xml:space="preserve"> </w:t>
            </w:r>
            <w:r>
              <w:rPr>
                <w:color w:val="auto"/>
                <w:spacing w:val="-12"/>
                <w:highlight w:val="none"/>
              </w:rPr>
              <w:t>信</w:t>
            </w:r>
            <w:r>
              <w:rPr>
                <w:color w:val="auto"/>
                <w:spacing w:val="26"/>
                <w:highlight w:val="none"/>
              </w:rPr>
              <w:t xml:space="preserve"> </w:t>
            </w:r>
            <w:r>
              <w:rPr>
                <w:color w:val="auto"/>
                <w:spacing w:val="-12"/>
                <w:highlight w:val="none"/>
              </w:rPr>
              <w:t>用</w:t>
            </w:r>
            <w:r>
              <w:rPr>
                <w:color w:val="auto"/>
                <w:spacing w:val="24"/>
                <w:highlight w:val="none"/>
              </w:rPr>
              <w:t xml:space="preserve"> </w:t>
            </w:r>
            <w:r>
              <w:rPr>
                <w:color w:val="auto"/>
                <w:spacing w:val="-12"/>
                <w:highlight w:val="none"/>
              </w:rPr>
              <w:t>信</w:t>
            </w:r>
            <w:r>
              <w:rPr>
                <w:color w:val="auto"/>
                <w:spacing w:val="33"/>
                <w:highlight w:val="none"/>
              </w:rPr>
              <w:t xml:space="preserve"> </w:t>
            </w:r>
            <w:r>
              <w:rPr>
                <w:color w:val="auto"/>
                <w:spacing w:val="-12"/>
                <w:highlight w:val="none"/>
              </w:rPr>
              <w:t>息</w:t>
            </w:r>
            <w:r>
              <w:rPr>
                <w:color w:val="auto"/>
                <w:spacing w:val="25"/>
                <w:highlight w:val="none"/>
              </w:rPr>
              <w:t xml:space="preserve"> </w:t>
            </w:r>
            <w:r>
              <w:rPr>
                <w:color w:val="auto"/>
                <w:spacing w:val="-12"/>
                <w:highlight w:val="none"/>
              </w:rPr>
              <w:t>使</w:t>
            </w:r>
            <w:r>
              <w:rPr>
                <w:color w:val="auto"/>
                <w:spacing w:val="25"/>
                <w:highlight w:val="none"/>
              </w:rPr>
              <w:t xml:space="preserve"> </w:t>
            </w:r>
            <w:r>
              <w:rPr>
                <w:color w:val="auto"/>
                <w:spacing w:val="-12"/>
                <w:highlight w:val="none"/>
              </w:rPr>
              <w:t>用</w:t>
            </w:r>
            <w:r>
              <w:rPr>
                <w:color w:val="auto"/>
                <w:spacing w:val="25"/>
                <w:highlight w:val="none"/>
              </w:rPr>
              <w:t xml:space="preserve"> </w:t>
            </w:r>
            <w:r>
              <w:rPr>
                <w:color w:val="auto"/>
                <w:spacing w:val="-12"/>
                <w:highlight w:val="none"/>
              </w:rPr>
              <w:t>规</w:t>
            </w:r>
            <w:r>
              <w:rPr>
                <w:color w:val="auto"/>
                <w:spacing w:val="28"/>
                <w:highlight w:val="none"/>
              </w:rPr>
              <w:t xml:space="preserve"> </w:t>
            </w:r>
            <w:r>
              <w:rPr>
                <w:color w:val="auto"/>
                <w:spacing w:val="-12"/>
                <w:highlight w:val="none"/>
              </w:rPr>
              <w:t>则</w:t>
            </w:r>
            <w:r>
              <w:rPr>
                <w:color w:val="auto"/>
                <w:spacing w:val="43"/>
                <w:highlight w:val="none"/>
              </w:rPr>
              <w:t xml:space="preserve"> </w:t>
            </w:r>
            <w:r>
              <w:rPr>
                <w:color w:val="auto"/>
                <w:spacing w:val="-12"/>
                <w:highlight w:val="none"/>
              </w:rPr>
              <w:t>：</w:t>
            </w:r>
            <w:r>
              <w:rPr>
                <w:color w:val="auto"/>
                <w:spacing w:val="23"/>
                <w:highlight w:val="none"/>
              </w:rPr>
              <w:t xml:space="preserve"> </w:t>
            </w:r>
            <w:r>
              <w:rPr>
                <w:color w:val="auto"/>
                <w:spacing w:val="-12"/>
                <w:highlight w:val="none"/>
              </w:rPr>
              <w:t>对</w:t>
            </w:r>
            <w:r>
              <w:rPr>
                <w:color w:val="auto"/>
                <w:spacing w:val="22"/>
                <w:highlight w:val="none"/>
              </w:rPr>
              <w:t xml:space="preserve"> </w:t>
            </w:r>
            <w:r>
              <w:rPr>
                <w:color w:val="auto"/>
                <w:spacing w:val="-12"/>
                <w:highlight w:val="none"/>
              </w:rPr>
              <w:t>在 “</w:t>
            </w:r>
            <w:r>
              <w:rPr>
                <w:color w:val="auto"/>
                <w:spacing w:val="24"/>
                <w:highlight w:val="none"/>
              </w:rPr>
              <w:t xml:space="preserve"> </w:t>
            </w:r>
            <w:r>
              <w:rPr>
                <w:color w:val="auto"/>
                <w:spacing w:val="-12"/>
                <w:highlight w:val="none"/>
              </w:rPr>
              <w:t>信</w:t>
            </w:r>
            <w:r>
              <w:rPr>
                <w:color w:val="auto"/>
                <w:spacing w:val="26"/>
                <w:highlight w:val="none"/>
              </w:rPr>
              <w:t xml:space="preserve"> </w:t>
            </w:r>
            <w:r>
              <w:rPr>
                <w:color w:val="auto"/>
                <w:spacing w:val="-12"/>
                <w:highlight w:val="none"/>
              </w:rPr>
              <w:t>用</w:t>
            </w:r>
            <w:r>
              <w:rPr>
                <w:color w:val="auto"/>
                <w:spacing w:val="44"/>
                <w:highlight w:val="none"/>
              </w:rPr>
              <w:t xml:space="preserve"> </w:t>
            </w:r>
            <w:r>
              <w:rPr>
                <w:color w:val="auto"/>
                <w:spacing w:val="-12"/>
                <w:highlight w:val="none"/>
              </w:rPr>
              <w:t>中</w:t>
            </w:r>
            <w:r>
              <w:rPr>
                <w:color w:val="auto"/>
                <w:spacing w:val="46"/>
                <w:highlight w:val="none"/>
              </w:rPr>
              <w:t xml:space="preserve"> </w:t>
            </w:r>
            <w:r>
              <w:rPr>
                <w:color w:val="auto"/>
                <w:spacing w:val="-12"/>
                <w:highlight w:val="none"/>
              </w:rPr>
              <w:t>国</w:t>
            </w:r>
            <w:r>
              <w:rPr>
                <w:color w:val="auto"/>
                <w:spacing w:val="44"/>
                <w:highlight w:val="none"/>
              </w:rPr>
              <w:t xml:space="preserve"> </w:t>
            </w:r>
            <w:r>
              <w:rPr>
                <w:color w:val="auto"/>
                <w:spacing w:val="-12"/>
                <w:highlight w:val="none"/>
              </w:rPr>
              <w:t>” 网</w:t>
            </w:r>
            <w:r>
              <w:rPr>
                <w:color w:val="auto"/>
                <w:spacing w:val="25"/>
                <w:highlight w:val="none"/>
              </w:rPr>
              <w:t xml:space="preserve"> </w:t>
            </w:r>
            <w:r>
              <w:rPr>
                <w:color w:val="auto"/>
                <w:spacing w:val="-12"/>
                <w:highlight w:val="none"/>
              </w:rPr>
              <w:t>站</w:t>
            </w:r>
            <w:r>
              <w:rPr>
                <w:color w:val="auto"/>
                <w:highlight w:val="none"/>
              </w:rPr>
              <w:t xml:space="preserve"> </w:t>
            </w:r>
            <w:r>
              <w:rPr>
                <w:color w:val="auto"/>
                <w:spacing w:val="-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pacing w:val="-1"/>
                <w:highlight w:val="none"/>
              </w:rPr>
              <w:t>http://www.creditchina.</w:t>
            </w:r>
            <w:r>
              <w:rPr>
                <w:color w:val="auto"/>
                <w:spacing w:val="-2"/>
                <w:highlight w:val="none"/>
              </w:rPr>
              <w:t>gov.cn</w:t>
            </w:r>
            <w:r>
              <w:rPr>
                <w:color w:val="auto"/>
                <w:spacing w:val="-2"/>
                <w:highlight w:val="none"/>
              </w:rPr>
              <w:fldChar w:fldCharType="end"/>
            </w:r>
            <w:r>
              <w:rPr>
                <w:color w:val="auto"/>
                <w:spacing w:val="-2"/>
                <w:highlight w:val="none"/>
              </w:rPr>
              <w:t>)、  中</w:t>
            </w:r>
            <w:r>
              <w:rPr>
                <w:color w:val="auto"/>
                <w:spacing w:val="33"/>
                <w:highlight w:val="none"/>
              </w:rPr>
              <w:t xml:space="preserve"> </w:t>
            </w:r>
            <w:r>
              <w:rPr>
                <w:color w:val="auto"/>
                <w:spacing w:val="-2"/>
                <w:highlight w:val="none"/>
              </w:rPr>
              <w:t>国</w:t>
            </w:r>
            <w:r>
              <w:rPr>
                <w:color w:val="auto"/>
                <w:spacing w:val="11"/>
                <w:highlight w:val="none"/>
              </w:rPr>
              <w:t xml:space="preserve"> </w:t>
            </w:r>
            <w:r>
              <w:rPr>
                <w:color w:val="auto"/>
                <w:spacing w:val="-2"/>
                <w:highlight w:val="none"/>
              </w:rPr>
              <w:t>政</w:t>
            </w:r>
            <w:r>
              <w:rPr>
                <w:color w:val="auto"/>
                <w:spacing w:val="11"/>
                <w:highlight w:val="none"/>
              </w:rPr>
              <w:t xml:space="preserve"> </w:t>
            </w:r>
            <w:r>
              <w:rPr>
                <w:color w:val="auto"/>
                <w:spacing w:val="-2"/>
                <w:highlight w:val="none"/>
              </w:rPr>
              <w:t>府</w:t>
            </w:r>
            <w:r>
              <w:rPr>
                <w:color w:val="auto"/>
                <w:spacing w:val="10"/>
                <w:highlight w:val="none"/>
              </w:rPr>
              <w:t xml:space="preserve"> </w:t>
            </w:r>
            <w:r>
              <w:rPr>
                <w:color w:val="auto"/>
                <w:spacing w:val="-2"/>
                <w:highlight w:val="none"/>
              </w:rPr>
              <w:t>采</w:t>
            </w:r>
            <w:r>
              <w:rPr>
                <w:color w:val="auto"/>
                <w:spacing w:val="10"/>
                <w:highlight w:val="none"/>
              </w:rPr>
              <w:t xml:space="preserve"> </w:t>
            </w:r>
            <w:r>
              <w:rPr>
                <w:color w:val="auto"/>
                <w:spacing w:val="-2"/>
                <w:highlight w:val="none"/>
              </w:rPr>
              <w:t>购</w:t>
            </w:r>
            <w:r>
              <w:rPr>
                <w:color w:val="auto"/>
                <w:spacing w:val="29"/>
                <w:highlight w:val="none"/>
              </w:rPr>
              <w:t xml:space="preserve"> </w:t>
            </w:r>
            <w:r>
              <w:rPr>
                <w:color w:val="auto"/>
                <w:spacing w:val="-2"/>
                <w:highlight w:val="none"/>
              </w:rPr>
              <w:t>网</w:t>
            </w:r>
          </w:p>
          <w:p>
            <w:pPr>
              <w:pStyle w:val="9"/>
              <w:spacing w:before="107" w:line="270" w:lineRule="auto"/>
              <w:ind w:left="13" w:firstLine="69"/>
              <w:rPr>
                <w:color w:val="auto"/>
                <w:highlight w:val="none"/>
              </w:rPr>
            </w:pPr>
            <w:r>
              <w:rPr>
                <w:color w:val="auto"/>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highlight w:val="none"/>
              </w:rPr>
              <w:t>http://www.ccgp.gov.cn</w:t>
            </w:r>
            <w:r>
              <w:rPr>
                <w:color w:val="auto"/>
                <w:highlight w:val="none"/>
              </w:rPr>
              <w:fldChar w:fldCharType="end"/>
            </w:r>
            <w:r>
              <w:rPr>
                <w:color w:val="auto"/>
                <w:highlight w:val="none"/>
              </w:rPr>
              <w:t>)等渠道列入失信被执行人、重大税收违法失信</w:t>
            </w:r>
            <w:r>
              <w:rPr>
                <w:color w:val="auto"/>
                <w:spacing w:val="4"/>
                <w:highlight w:val="none"/>
              </w:rPr>
              <w:t xml:space="preserve"> </w:t>
            </w:r>
            <w:r>
              <w:rPr>
                <w:color w:val="auto"/>
                <w:spacing w:val="-2"/>
                <w:highlight w:val="none"/>
              </w:rPr>
              <w:t>主体、政府采购严重违法失信行为记录名单及其他不符合《中华人民共和国</w:t>
            </w:r>
            <w:r>
              <w:rPr>
                <w:color w:val="auto"/>
                <w:spacing w:val="6"/>
                <w:highlight w:val="none"/>
              </w:rPr>
              <w:t xml:space="preserve"> </w:t>
            </w:r>
            <w:r>
              <w:rPr>
                <w:color w:val="auto"/>
                <w:spacing w:val="1"/>
                <w:highlight w:val="none"/>
              </w:rPr>
              <w:t>政府采购法》第二十二条规定条件的供应商，取消其中标候选人资格。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27" w:hRule="atLeast"/>
        </w:trPr>
        <w:tc>
          <w:tcPr>
            <w:tcW w:w="654"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9"/>
              <w:spacing w:before="72"/>
              <w:ind w:left="205"/>
              <w:rPr>
                <w:color w:val="auto"/>
                <w:highlight w:val="none"/>
              </w:rPr>
            </w:pPr>
            <w:r>
              <w:rPr>
                <w:color w:val="auto"/>
                <w:spacing w:val="-7"/>
                <w:highlight w:val="none"/>
              </w:rPr>
              <w:t>15</w:t>
            </w:r>
          </w:p>
        </w:tc>
        <w:tc>
          <w:tcPr>
            <w:tcW w:w="849" w:type="dxa"/>
            <w:vAlign w:val="top"/>
          </w:tcPr>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spacing w:line="251" w:lineRule="auto"/>
              <w:rPr>
                <w:rFonts w:ascii="Arial"/>
                <w:color w:val="auto"/>
                <w:sz w:val="21"/>
                <w:highlight w:val="none"/>
              </w:rPr>
            </w:pPr>
          </w:p>
          <w:p>
            <w:pPr>
              <w:pStyle w:val="9"/>
              <w:spacing w:before="72"/>
              <w:ind w:left="301"/>
              <w:rPr>
                <w:color w:val="auto"/>
                <w:highlight w:val="none"/>
              </w:rPr>
            </w:pPr>
            <w:r>
              <w:rPr>
                <w:color w:val="auto"/>
                <w:spacing w:val="-4"/>
                <w:highlight w:val="none"/>
              </w:rPr>
              <w:t>33</w:t>
            </w:r>
          </w:p>
        </w:tc>
        <w:tc>
          <w:tcPr>
            <w:tcW w:w="1419" w:type="dxa"/>
            <w:vAlign w:val="top"/>
          </w:tcPr>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pStyle w:val="9"/>
              <w:spacing w:before="71" w:line="218" w:lineRule="auto"/>
              <w:ind w:left="152"/>
              <w:rPr>
                <w:color w:val="auto"/>
                <w:highlight w:val="none"/>
              </w:rPr>
            </w:pPr>
            <w:r>
              <w:rPr>
                <w:color w:val="auto"/>
                <w:spacing w:val="2"/>
                <w:highlight w:val="none"/>
              </w:rPr>
              <w:t>中标公告及</w:t>
            </w:r>
          </w:p>
          <w:p>
            <w:pPr>
              <w:pStyle w:val="9"/>
              <w:spacing w:before="100" w:line="219" w:lineRule="auto"/>
              <w:ind w:left="152"/>
              <w:rPr>
                <w:color w:val="auto"/>
                <w:highlight w:val="none"/>
              </w:rPr>
            </w:pPr>
            <w:r>
              <w:rPr>
                <w:color w:val="auto"/>
                <w:spacing w:val="2"/>
                <w:highlight w:val="none"/>
              </w:rPr>
              <w:t>中标通知书</w:t>
            </w:r>
          </w:p>
        </w:tc>
        <w:tc>
          <w:tcPr>
            <w:tcW w:w="7225" w:type="dxa"/>
            <w:vAlign w:val="top"/>
          </w:tcPr>
          <w:p>
            <w:pPr>
              <w:pStyle w:val="9"/>
              <w:spacing w:before="107" w:line="289" w:lineRule="auto"/>
              <w:ind w:left="13"/>
              <w:rPr>
                <w:color w:val="auto"/>
                <w:highlight w:val="none"/>
              </w:rPr>
            </w:pPr>
            <w:r>
              <w:rPr>
                <w:color w:val="auto"/>
                <w:spacing w:val="-2"/>
                <w:highlight w:val="none"/>
              </w:rPr>
              <w:t>33.1采购代理机构于评标结束后两个工作日内将评标报告送交采购人，采购</w:t>
            </w:r>
            <w:r>
              <w:rPr>
                <w:color w:val="auto"/>
                <w:spacing w:val="9"/>
                <w:highlight w:val="none"/>
              </w:rPr>
              <w:t xml:space="preserve"> </w:t>
            </w:r>
            <w:r>
              <w:rPr>
                <w:color w:val="auto"/>
                <w:spacing w:val="-2"/>
                <w:highlight w:val="none"/>
              </w:rPr>
              <w:t>人应当自收到评标报告五个工作日内在评标报告推荐的中标候选人中按顺序</w:t>
            </w:r>
            <w:r>
              <w:rPr>
                <w:color w:val="auto"/>
                <w:spacing w:val="6"/>
                <w:highlight w:val="none"/>
              </w:rPr>
              <w:t xml:space="preserve"> </w:t>
            </w:r>
            <w:r>
              <w:rPr>
                <w:color w:val="auto"/>
                <w:spacing w:val="-2"/>
                <w:highlight w:val="none"/>
              </w:rPr>
              <w:t>确定中标人；采购人在收到评标报告五个工作日内未按评标报告推荐的中标</w:t>
            </w:r>
            <w:r>
              <w:rPr>
                <w:color w:val="auto"/>
                <w:spacing w:val="2"/>
                <w:highlight w:val="none"/>
              </w:rPr>
              <w:t xml:space="preserve"> </w:t>
            </w:r>
            <w:r>
              <w:rPr>
                <w:color w:val="auto"/>
                <w:spacing w:val="-2"/>
                <w:highlight w:val="none"/>
              </w:rPr>
              <w:t>候选人顺序确定中标人，又不能说明合法理由的，视同按评标报告推荐的顺</w:t>
            </w:r>
            <w:r>
              <w:rPr>
                <w:color w:val="auto"/>
                <w:spacing w:val="3"/>
                <w:highlight w:val="none"/>
              </w:rPr>
              <w:t xml:space="preserve"> </w:t>
            </w:r>
            <w:r>
              <w:rPr>
                <w:color w:val="auto"/>
                <w:spacing w:val="-2"/>
                <w:highlight w:val="none"/>
              </w:rPr>
              <w:t>序确定排名第一的中标候选人为中标人。采购代理机构在中标人确定之日起</w:t>
            </w:r>
            <w:r>
              <w:rPr>
                <w:color w:val="auto"/>
                <w:spacing w:val="3"/>
                <w:highlight w:val="none"/>
              </w:rPr>
              <w:t xml:space="preserve"> </w:t>
            </w:r>
            <w:r>
              <w:rPr>
                <w:color w:val="auto"/>
                <w:spacing w:val="2"/>
                <w:highlight w:val="none"/>
              </w:rPr>
              <w:t>两个工作日内在指定媒体上公告中标结果，中标公告期限为</w:t>
            </w:r>
            <w:r>
              <w:rPr>
                <w:color w:val="auto"/>
                <w:spacing w:val="1"/>
                <w:highlight w:val="none"/>
              </w:rPr>
              <w:t>1个工作日。</w:t>
            </w:r>
          </w:p>
          <w:p>
            <w:pPr>
              <w:pStyle w:val="9"/>
              <w:spacing w:before="79" w:line="276" w:lineRule="auto"/>
              <w:ind w:left="13"/>
              <w:rPr>
                <w:color w:val="auto"/>
                <w:highlight w:val="none"/>
              </w:rPr>
            </w:pPr>
            <w:r>
              <w:rPr>
                <w:color w:val="auto"/>
                <w:spacing w:val="-2"/>
                <w:highlight w:val="none"/>
              </w:rPr>
              <w:t>33.2中小企业在政府采购活动过程中，请根据自己的真实情况出具《中小企</w:t>
            </w:r>
            <w:r>
              <w:rPr>
                <w:color w:val="auto"/>
                <w:spacing w:val="5"/>
                <w:highlight w:val="none"/>
              </w:rPr>
              <w:t xml:space="preserve"> </w:t>
            </w:r>
            <w:r>
              <w:rPr>
                <w:color w:val="auto"/>
                <w:spacing w:val="-2"/>
                <w:highlight w:val="none"/>
              </w:rPr>
              <w:t>业声明函》。依法享受中小企业优惠政策的，采购人或采购代理机构在公告</w:t>
            </w:r>
            <w:r>
              <w:rPr>
                <w:color w:val="auto"/>
                <w:spacing w:val="6"/>
                <w:highlight w:val="none"/>
              </w:rPr>
              <w:t xml:space="preserve"> </w:t>
            </w:r>
            <w:r>
              <w:rPr>
                <w:color w:val="auto"/>
                <w:spacing w:val="2"/>
                <w:highlight w:val="none"/>
              </w:rPr>
              <w:t>中标结果时，同时公告其《中小企业声明函》,接受社会监督。</w:t>
            </w:r>
          </w:p>
          <w:p>
            <w:pPr>
              <w:pStyle w:val="9"/>
              <w:spacing w:before="102" w:line="272" w:lineRule="auto"/>
              <w:ind w:left="13"/>
              <w:rPr>
                <w:color w:val="auto"/>
                <w:highlight w:val="none"/>
              </w:rPr>
            </w:pPr>
            <w:r>
              <w:rPr>
                <w:color w:val="auto"/>
                <w:spacing w:val="-2"/>
                <w:highlight w:val="none"/>
              </w:rPr>
              <w:t>33.3中标公告发布同时，采购代理机构通过广西政府采购云平台在线向中标</w:t>
            </w:r>
            <w:r>
              <w:rPr>
                <w:color w:val="auto"/>
                <w:spacing w:val="6"/>
                <w:highlight w:val="none"/>
              </w:rPr>
              <w:t xml:space="preserve"> </w:t>
            </w:r>
            <w:r>
              <w:rPr>
                <w:color w:val="auto"/>
                <w:spacing w:val="-2"/>
                <w:highlight w:val="none"/>
              </w:rPr>
              <w:t>人发出中标通知书，中标人应自行关注广西政府采购云平台信息，确保及时</w:t>
            </w:r>
            <w:r>
              <w:rPr>
                <w:color w:val="auto"/>
                <w:spacing w:val="6"/>
                <w:highlight w:val="none"/>
              </w:rPr>
              <w:t xml:space="preserve"> 查收中标通知书。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654" w:type="dxa"/>
            <w:vAlign w:val="top"/>
          </w:tcPr>
          <w:p>
            <w:pPr>
              <w:pStyle w:val="9"/>
              <w:spacing w:before="300"/>
              <w:ind w:left="205"/>
              <w:rPr>
                <w:color w:val="auto"/>
                <w:highlight w:val="none"/>
              </w:rPr>
            </w:pPr>
            <w:r>
              <w:rPr>
                <w:color w:val="auto"/>
                <w:spacing w:val="-7"/>
                <w:highlight w:val="none"/>
              </w:rPr>
              <w:t>16</w:t>
            </w:r>
          </w:p>
        </w:tc>
        <w:tc>
          <w:tcPr>
            <w:tcW w:w="849" w:type="dxa"/>
            <w:vAlign w:val="top"/>
          </w:tcPr>
          <w:p>
            <w:pPr>
              <w:pStyle w:val="9"/>
              <w:spacing w:before="300"/>
              <w:ind w:left="301"/>
              <w:rPr>
                <w:color w:val="auto"/>
                <w:highlight w:val="none"/>
              </w:rPr>
            </w:pPr>
            <w:r>
              <w:rPr>
                <w:color w:val="auto"/>
                <w:spacing w:val="-4"/>
                <w:highlight w:val="none"/>
              </w:rPr>
              <w:t>34</w:t>
            </w:r>
          </w:p>
        </w:tc>
        <w:tc>
          <w:tcPr>
            <w:tcW w:w="1419" w:type="dxa"/>
            <w:vAlign w:val="top"/>
          </w:tcPr>
          <w:p>
            <w:pPr>
              <w:pStyle w:val="9"/>
              <w:spacing w:before="279" w:line="220" w:lineRule="auto"/>
              <w:ind w:left="152"/>
              <w:rPr>
                <w:color w:val="auto"/>
                <w:highlight w:val="none"/>
              </w:rPr>
            </w:pPr>
            <w:r>
              <w:rPr>
                <w:color w:val="auto"/>
                <w:spacing w:val="1"/>
                <w:highlight w:val="none"/>
              </w:rPr>
              <w:t>履约保证金</w:t>
            </w:r>
          </w:p>
        </w:tc>
        <w:tc>
          <w:tcPr>
            <w:tcW w:w="7225" w:type="dxa"/>
            <w:vAlign w:val="top"/>
          </w:tcPr>
          <w:p>
            <w:pPr>
              <w:pStyle w:val="9"/>
              <w:spacing w:before="277" w:line="219" w:lineRule="auto"/>
              <w:ind w:left="93"/>
              <w:rPr>
                <w:color w:val="auto"/>
                <w:highlight w:val="none"/>
              </w:rPr>
            </w:pPr>
            <w:r>
              <w:rPr>
                <w:color w:val="auto"/>
                <w:highlight w:val="none"/>
              </w:rPr>
              <w:t>本项目不收取履约保证金。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654" w:type="dxa"/>
            <w:vAlign w:val="top"/>
          </w:tcPr>
          <w:p>
            <w:pPr>
              <w:pStyle w:val="9"/>
              <w:spacing w:before="121" w:line="179" w:lineRule="auto"/>
              <w:ind w:left="205"/>
              <w:rPr>
                <w:color w:val="auto"/>
                <w:highlight w:val="none"/>
              </w:rPr>
            </w:pPr>
            <w:r>
              <w:rPr>
                <w:color w:val="auto"/>
                <w:spacing w:val="-7"/>
                <w:highlight w:val="none"/>
              </w:rPr>
              <w:t>17</w:t>
            </w:r>
          </w:p>
        </w:tc>
        <w:tc>
          <w:tcPr>
            <w:tcW w:w="849" w:type="dxa"/>
            <w:vAlign w:val="top"/>
          </w:tcPr>
          <w:p>
            <w:pPr>
              <w:pStyle w:val="9"/>
              <w:spacing w:before="121" w:line="179" w:lineRule="auto"/>
              <w:ind w:left="191"/>
              <w:rPr>
                <w:color w:val="auto"/>
                <w:highlight w:val="none"/>
              </w:rPr>
            </w:pPr>
            <w:r>
              <w:rPr>
                <w:color w:val="auto"/>
                <w:spacing w:val="-3"/>
                <w:highlight w:val="none"/>
              </w:rPr>
              <w:t>35.1</w:t>
            </w:r>
          </w:p>
        </w:tc>
        <w:tc>
          <w:tcPr>
            <w:tcW w:w="1419" w:type="dxa"/>
            <w:vAlign w:val="top"/>
          </w:tcPr>
          <w:p>
            <w:pPr>
              <w:pStyle w:val="9"/>
              <w:spacing w:before="91" w:line="204" w:lineRule="auto"/>
              <w:ind w:left="152"/>
              <w:rPr>
                <w:color w:val="auto"/>
                <w:highlight w:val="none"/>
              </w:rPr>
            </w:pPr>
            <w:r>
              <w:rPr>
                <w:color w:val="auto"/>
                <w:spacing w:val="2"/>
                <w:highlight w:val="none"/>
              </w:rPr>
              <w:t>签订合同时</w:t>
            </w:r>
          </w:p>
        </w:tc>
        <w:tc>
          <w:tcPr>
            <w:tcW w:w="7225" w:type="dxa"/>
            <w:vAlign w:val="top"/>
          </w:tcPr>
          <w:p>
            <w:pPr>
              <w:pStyle w:val="9"/>
              <w:spacing w:before="68" w:line="219" w:lineRule="auto"/>
              <w:jc w:val="right"/>
              <w:rPr>
                <w:color w:val="auto"/>
                <w:highlight w:val="none"/>
              </w:rPr>
            </w:pPr>
            <w:r>
              <w:rPr>
                <w:color w:val="auto"/>
                <w:spacing w:val="-1"/>
                <w:highlight w:val="none"/>
              </w:rPr>
              <w:t>中标通知书发出之日起8个工作日内。中标人应按规定与采购人签订合同。</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4" w:type="default"/>
          <w:pgSz w:w="11900" w:h="16830"/>
          <w:pgMar w:top="400" w:right="1037" w:bottom="801" w:left="704" w:header="0" w:footer="657" w:gutter="0"/>
          <w:cols w:space="720" w:num="1"/>
        </w:sectPr>
      </w:pPr>
    </w:p>
    <w:p>
      <w:pPr>
        <w:spacing w:before="18"/>
        <w:rPr>
          <w:color w:val="auto"/>
          <w:highlight w:val="none"/>
        </w:rPr>
      </w:pPr>
    </w:p>
    <w:p>
      <w:pPr>
        <w:spacing w:before="17"/>
        <w:rPr>
          <w:color w:val="auto"/>
          <w:highlight w:val="none"/>
        </w:rPr>
      </w:pPr>
    </w:p>
    <w:p>
      <w:pPr>
        <w:spacing w:before="17"/>
        <w:rPr>
          <w:color w:val="auto"/>
          <w:highlight w:val="none"/>
        </w:rPr>
      </w:pPr>
    </w:p>
    <w:p>
      <w:pPr>
        <w:spacing w:before="17"/>
        <w:rPr>
          <w:color w:val="auto"/>
          <w:highlight w:val="none"/>
        </w:rPr>
      </w:pPr>
    </w:p>
    <w:tbl>
      <w:tblPr>
        <w:tblStyle w:val="8"/>
        <w:tblW w:w="1013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4"/>
        <w:gridCol w:w="849"/>
        <w:gridCol w:w="1409"/>
        <w:gridCol w:w="72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654" w:type="dxa"/>
            <w:vAlign w:val="top"/>
          </w:tcPr>
          <w:p>
            <w:pPr>
              <w:rPr>
                <w:rFonts w:ascii="Arial"/>
                <w:color w:val="auto"/>
                <w:sz w:val="21"/>
                <w:highlight w:val="none"/>
              </w:rPr>
            </w:pPr>
          </w:p>
        </w:tc>
        <w:tc>
          <w:tcPr>
            <w:tcW w:w="849" w:type="dxa"/>
            <w:vAlign w:val="top"/>
          </w:tcPr>
          <w:p>
            <w:pPr>
              <w:rPr>
                <w:rFonts w:ascii="Arial"/>
                <w:color w:val="auto"/>
                <w:sz w:val="21"/>
                <w:highlight w:val="none"/>
              </w:rPr>
            </w:pPr>
          </w:p>
        </w:tc>
        <w:tc>
          <w:tcPr>
            <w:tcW w:w="1409" w:type="dxa"/>
            <w:vAlign w:val="top"/>
          </w:tcPr>
          <w:p>
            <w:pPr>
              <w:pStyle w:val="9"/>
              <w:spacing w:before="77" w:line="222" w:lineRule="auto"/>
              <w:ind w:left="581"/>
              <w:rPr>
                <w:color w:val="auto"/>
                <w:highlight w:val="none"/>
              </w:rPr>
            </w:pPr>
            <w:r>
              <w:rPr>
                <w:color w:val="auto"/>
                <w:highlight w:val="none"/>
              </w:rPr>
              <w:t>间</w:t>
            </w:r>
          </w:p>
        </w:tc>
        <w:tc>
          <w:tcPr>
            <w:tcW w:w="7225"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7" w:hRule="atLeast"/>
        </w:trPr>
        <w:tc>
          <w:tcPr>
            <w:tcW w:w="654" w:type="dxa"/>
            <w:vAlign w:val="top"/>
          </w:tcPr>
          <w:p>
            <w:pPr>
              <w:spacing w:line="283" w:lineRule="auto"/>
              <w:rPr>
                <w:rFonts w:ascii="Arial"/>
                <w:color w:val="auto"/>
                <w:sz w:val="21"/>
                <w:highlight w:val="none"/>
              </w:rPr>
            </w:pPr>
          </w:p>
          <w:p>
            <w:pPr>
              <w:spacing w:line="283" w:lineRule="auto"/>
              <w:rPr>
                <w:rFonts w:ascii="Arial"/>
                <w:color w:val="auto"/>
                <w:sz w:val="21"/>
                <w:highlight w:val="none"/>
              </w:rPr>
            </w:pPr>
          </w:p>
          <w:p>
            <w:pPr>
              <w:pStyle w:val="9"/>
              <w:spacing w:before="71"/>
              <w:ind w:left="205"/>
              <w:rPr>
                <w:color w:val="auto"/>
                <w:highlight w:val="none"/>
              </w:rPr>
            </w:pPr>
            <w:r>
              <w:rPr>
                <w:color w:val="auto"/>
                <w:spacing w:val="-7"/>
                <w:highlight w:val="none"/>
              </w:rPr>
              <w:t>18</w:t>
            </w:r>
          </w:p>
        </w:tc>
        <w:tc>
          <w:tcPr>
            <w:tcW w:w="849" w:type="dxa"/>
            <w:vAlign w:val="top"/>
          </w:tcPr>
          <w:p>
            <w:pPr>
              <w:spacing w:line="283" w:lineRule="auto"/>
              <w:rPr>
                <w:rFonts w:ascii="Arial"/>
                <w:color w:val="auto"/>
                <w:sz w:val="21"/>
                <w:highlight w:val="none"/>
              </w:rPr>
            </w:pPr>
          </w:p>
          <w:p>
            <w:pPr>
              <w:spacing w:line="283" w:lineRule="auto"/>
              <w:rPr>
                <w:rFonts w:ascii="Arial"/>
                <w:color w:val="auto"/>
                <w:sz w:val="21"/>
                <w:highlight w:val="none"/>
              </w:rPr>
            </w:pPr>
          </w:p>
          <w:p>
            <w:pPr>
              <w:pStyle w:val="9"/>
              <w:spacing w:before="72" w:line="239" w:lineRule="auto"/>
              <w:ind w:left="191"/>
              <w:rPr>
                <w:color w:val="auto"/>
                <w:highlight w:val="none"/>
              </w:rPr>
            </w:pPr>
            <w:r>
              <w:rPr>
                <w:color w:val="auto"/>
                <w:spacing w:val="-3"/>
                <w:highlight w:val="none"/>
              </w:rPr>
              <w:t>35.3</w:t>
            </w:r>
          </w:p>
        </w:tc>
        <w:tc>
          <w:tcPr>
            <w:tcW w:w="1409" w:type="dxa"/>
            <w:vAlign w:val="top"/>
          </w:tcPr>
          <w:p>
            <w:pPr>
              <w:spacing w:line="272" w:lineRule="auto"/>
              <w:rPr>
                <w:rFonts w:ascii="Arial"/>
                <w:color w:val="auto"/>
                <w:sz w:val="21"/>
                <w:highlight w:val="none"/>
              </w:rPr>
            </w:pPr>
          </w:p>
          <w:p>
            <w:pPr>
              <w:spacing w:line="273" w:lineRule="auto"/>
              <w:rPr>
                <w:rFonts w:ascii="Arial"/>
                <w:color w:val="auto"/>
                <w:sz w:val="21"/>
                <w:highlight w:val="none"/>
              </w:rPr>
            </w:pPr>
          </w:p>
          <w:p>
            <w:pPr>
              <w:pStyle w:val="9"/>
              <w:spacing w:before="71" w:line="219" w:lineRule="auto"/>
              <w:ind w:left="252"/>
              <w:rPr>
                <w:color w:val="auto"/>
                <w:highlight w:val="none"/>
              </w:rPr>
            </w:pPr>
            <w:r>
              <w:rPr>
                <w:color w:val="auto"/>
                <w:spacing w:val="4"/>
                <w:highlight w:val="none"/>
              </w:rPr>
              <w:t>合同存档</w:t>
            </w:r>
          </w:p>
        </w:tc>
        <w:tc>
          <w:tcPr>
            <w:tcW w:w="7225" w:type="dxa"/>
            <w:vAlign w:val="top"/>
          </w:tcPr>
          <w:p>
            <w:pPr>
              <w:pStyle w:val="9"/>
              <w:spacing w:before="78" w:line="285" w:lineRule="auto"/>
              <w:ind w:left="13" w:firstLine="9"/>
              <w:jc w:val="both"/>
              <w:rPr>
                <w:color w:val="auto"/>
                <w:highlight w:val="none"/>
              </w:rPr>
            </w:pPr>
            <w:r>
              <w:rPr>
                <w:color w:val="auto"/>
                <w:spacing w:val="-1"/>
                <w:highlight w:val="none"/>
              </w:rPr>
              <w:t>政府采购合同双方自签订之日起1个工作日内将合同原件二份交采购代理机</w:t>
            </w:r>
            <w:r>
              <w:rPr>
                <w:color w:val="auto"/>
                <w:spacing w:val="14"/>
                <w:highlight w:val="none"/>
              </w:rPr>
              <w:t xml:space="preserve"> </w:t>
            </w:r>
            <w:r>
              <w:rPr>
                <w:color w:val="auto"/>
                <w:highlight w:val="none"/>
              </w:rPr>
              <w:t>构。采购人应当自政府采购合同签订之日起2个工作日内，将政府采购合同</w:t>
            </w:r>
            <w:r>
              <w:rPr>
                <w:color w:val="auto"/>
                <w:spacing w:val="18"/>
                <w:highlight w:val="none"/>
              </w:rPr>
              <w:t xml:space="preserve"> </w:t>
            </w:r>
            <w:r>
              <w:rPr>
                <w:color w:val="auto"/>
                <w:spacing w:val="-2"/>
                <w:highlight w:val="none"/>
              </w:rPr>
              <w:t>在省级以上人民政府财政部门指定的媒体上公告，但政府采购合同中涉及国</w:t>
            </w:r>
            <w:r>
              <w:rPr>
                <w:color w:val="auto"/>
                <w:spacing w:val="6"/>
                <w:highlight w:val="none"/>
              </w:rPr>
              <w:t xml:space="preserve"> </w:t>
            </w:r>
            <w:r>
              <w:rPr>
                <w:color w:val="auto"/>
                <w:spacing w:val="5"/>
                <w:highlight w:val="none"/>
              </w:rPr>
              <w:t>家秘密、商业秘密的内容除外。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0" w:hRule="atLeast"/>
        </w:trPr>
        <w:tc>
          <w:tcPr>
            <w:tcW w:w="654"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9"/>
              <w:spacing w:before="71"/>
              <w:ind w:left="205"/>
              <w:rPr>
                <w:color w:val="auto"/>
                <w:highlight w:val="none"/>
              </w:rPr>
            </w:pPr>
            <w:r>
              <w:rPr>
                <w:color w:val="auto"/>
                <w:spacing w:val="-7"/>
                <w:highlight w:val="none"/>
              </w:rPr>
              <w:t>19</w:t>
            </w:r>
          </w:p>
        </w:tc>
        <w:tc>
          <w:tcPr>
            <w:tcW w:w="849" w:type="dxa"/>
            <w:vAlign w:val="top"/>
          </w:tcPr>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9"/>
              <w:spacing w:before="72" w:line="239" w:lineRule="auto"/>
              <w:ind w:left="191"/>
              <w:rPr>
                <w:color w:val="auto"/>
                <w:highlight w:val="none"/>
              </w:rPr>
            </w:pPr>
            <w:r>
              <w:rPr>
                <w:color w:val="auto"/>
                <w:spacing w:val="-3"/>
                <w:highlight w:val="none"/>
              </w:rPr>
              <w:t>36.1</w:t>
            </w:r>
          </w:p>
        </w:tc>
        <w:tc>
          <w:tcPr>
            <w:tcW w:w="1409" w:type="dxa"/>
            <w:vAlign w:val="top"/>
          </w:tcPr>
          <w:p>
            <w:pPr>
              <w:spacing w:line="273" w:lineRule="auto"/>
              <w:rPr>
                <w:rFonts w:ascii="Arial"/>
                <w:color w:val="auto"/>
                <w:sz w:val="21"/>
                <w:highlight w:val="none"/>
              </w:rPr>
            </w:pPr>
          </w:p>
          <w:p>
            <w:pPr>
              <w:spacing w:line="274" w:lineRule="auto"/>
              <w:rPr>
                <w:rFonts w:ascii="Arial"/>
                <w:color w:val="auto"/>
                <w:sz w:val="21"/>
                <w:highlight w:val="none"/>
              </w:rPr>
            </w:pPr>
          </w:p>
          <w:p>
            <w:pPr>
              <w:pStyle w:val="9"/>
              <w:spacing w:before="72" w:line="313" w:lineRule="auto"/>
              <w:ind w:left="471" w:right="164" w:hanging="329"/>
              <w:rPr>
                <w:color w:val="auto"/>
                <w:highlight w:val="none"/>
              </w:rPr>
            </w:pPr>
            <w:r>
              <w:rPr>
                <w:color w:val="auto"/>
                <w:spacing w:val="-2"/>
                <w:highlight w:val="none"/>
              </w:rPr>
              <w:t>采购代理服</w:t>
            </w:r>
            <w:r>
              <w:rPr>
                <w:color w:val="auto"/>
                <w:spacing w:val="1"/>
                <w:highlight w:val="none"/>
              </w:rPr>
              <w:t xml:space="preserve"> </w:t>
            </w:r>
            <w:r>
              <w:rPr>
                <w:color w:val="auto"/>
                <w:spacing w:val="6"/>
                <w:highlight w:val="none"/>
              </w:rPr>
              <w:t>务费</w:t>
            </w:r>
          </w:p>
        </w:tc>
        <w:tc>
          <w:tcPr>
            <w:tcW w:w="7225" w:type="dxa"/>
            <w:vAlign w:val="top"/>
          </w:tcPr>
          <w:p>
            <w:pPr>
              <w:pStyle w:val="9"/>
              <w:spacing w:before="82" w:line="286" w:lineRule="auto"/>
              <w:ind w:left="13"/>
              <w:jc w:val="both"/>
              <w:rPr>
                <w:color w:val="auto"/>
                <w:highlight w:val="none"/>
              </w:rPr>
            </w:pPr>
            <w:r>
              <w:rPr>
                <w:color w:val="auto"/>
                <w:spacing w:val="-2"/>
                <w:highlight w:val="none"/>
              </w:rPr>
              <w:t>中标人领取中标通知书前，向</w:t>
            </w:r>
            <w:r>
              <w:rPr>
                <w:rFonts w:hint="eastAsia"/>
                <w:color w:val="auto"/>
                <w:spacing w:val="-2"/>
                <w:highlight w:val="none"/>
                <w:lang w:eastAsia="zh-CN"/>
              </w:rPr>
              <w:t>广西泰新工程信息咨询有限公司</w:t>
            </w:r>
            <w:r>
              <w:rPr>
                <w:color w:val="auto"/>
                <w:spacing w:val="-3"/>
                <w:highlight w:val="none"/>
              </w:rPr>
              <w:t>一次性付清代</w:t>
            </w:r>
            <w:r>
              <w:rPr>
                <w:color w:val="auto"/>
                <w:highlight w:val="none"/>
              </w:rPr>
              <w:t xml:space="preserve"> </w:t>
            </w:r>
            <w:r>
              <w:rPr>
                <w:color w:val="auto"/>
                <w:spacing w:val="-2"/>
                <w:highlight w:val="none"/>
              </w:rPr>
              <w:t>理服务费。本项目采购代理服务费按国家计委《</w:t>
            </w:r>
            <w:r>
              <w:rPr>
                <w:color w:val="auto"/>
                <w:spacing w:val="-3"/>
                <w:highlight w:val="none"/>
              </w:rPr>
              <w:t>招标代理服务收费管理暂行</w:t>
            </w:r>
            <w:r>
              <w:rPr>
                <w:color w:val="auto"/>
                <w:highlight w:val="none"/>
              </w:rPr>
              <w:t xml:space="preserve"> </w:t>
            </w:r>
            <w:r>
              <w:rPr>
                <w:color w:val="auto"/>
                <w:spacing w:val="2"/>
                <w:highlight w:val="none"/>
              </w:rPr>
              <w:t>办法》(计价格[2002]1980号)</w:t>
            </w:r>
            <w:r>
              <w:rPr>
                <w:color w:val="auto"/>
                <w:spacing w:val="8"/>
                <w:highlight w:val="none"/>
              </w:rPr>
              <w:t xml:space="preserve"> </w:t>
            </w:r>
            <w:r>
              <w:rPr>
                <w:color w:val="auto"/>
                <w:spacing w:val="1"/>
                <w:highlight w:val="none"/>
              </w:rPr>
              <w:t>服务类收费标准</w:t>
            </w:r>
            <w:r>
              <w:rPr>
                <w:rFonts w:hint="eastAsia"/>
                <w:color w:val="auto"/>
                <w:spacing w:val="1"/>
                <w:highlight w:val="none"/>
                <w:lang w:val="en-US" w:eastAsia="zh-CN"/>
              </w:rPr>
              <w:t>的41.5%</w:t>
            </w:r>
            <w:r>
              <w:rPr>
                <w:color w:val="auto"/>
                <w:spacing w:val="1"/>
                <w:highlight w:val="none"/>
              </w:rPr>
              <w:t>向中标人收取。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8" w:hRule="atLeast"/>
        </w:trPr>
        <w:tc>
          <w:tcPr>
            <w:tcW w:w="654" w:type="dxa"/>
            <w:vAlign w:val="top"/>
          </w:tcPr>
          <w:p>
            <w:pPr>
              <w:spacing w:line="383" w:lineRule="auto"/>
              <w:rPr>
                <w:rFonts w:ascii="Arial"/>
                <w:color w:val="auto"/>
                <w:sz w:val="21"/>
                <w:highlight w:val="none"/>
              </w:rPr>
            </w:pPr>
          </w:p>
          <w:p>
            <w:pPr>
              <w:pStyle w:val="9"/>
              <w:spacing w:before="72"/>
              <w:ind w:left="205"/>
              <w:rPr>
                <w:color w:val="auto"/>
                <w:highlight w:val="none"/>
              </w:rPr>
            </w:pPr>
            <w:r>
              <w:rPr>
                <w:color w:val="auto"/>
                <w:spacing w:val="-3"/>
                <w:highlight w:val="none"/>
              </w:rPr>
              <w:t>20</w:t>
            </w:r>
          </w:p>
        </w:tc>
        <w:tc>
          <w:tcPr>
            <w:tcW w:w="849" w:type="dxa"/>
            <w:vAlign w:val="top"/>
          </w:tcPr>
          <w:p>
            <w:pPr>
              <w:spacing w:line="383" w:lineRule="auto"/>
              <w:rPr>
                <w:rFonts w:ascii="Arial"/>
                <w:color w:val="auto"/>
                <w:sz w:val="21"/>
                <w:highlight w:val="none"/>
              </w:rPr>
            </w:pPr>
          </w:p>
          <w:p>
            <w:pPr>
              <w:pStyle w:val="9"/>
              <w:spacing w:before="72"/>
              <w:ind w:left="301"/>
              <w:rPr>
                <w:color w:val="auto"/>
                <w:highlight w:val="none"/>
              </w:rPr>
            </w:pPr>
            <w:r>
              <w:rPr>
                <w:color w:val="auto"/>
                <w:spacing w:val="-4"/>
                <w:highlight w:val="none"/>
              </w:rPr>
              <w:t>39</w:t>
            </w:r>
          </w:p>
        </w:tc>
        <w:tc>
          <w:tcPr>
            <w:tcW w:w="1409" w:type="dxa"/>
            <w:vAlign w:val="top"/>
          </w:tcPr>
          <w:p>
            <w:pPr>
              <w:spacing w:line="362" w:lineRule="auto"/>
              <w:rPr>
                <w:rFonts w:ascii="Arial"/>
                <w:color w:val="auto"/>
                <w:sz w:val="21"/>
                <w:highlight w:val="none"/>
              </w:rPr>
            </w:pPr>
          </w:p>
          <w:p>
            <w:pPr>
              <w:pStyle w:val="9"/>
              <w:spacing w:before="72" w:line="219" w:lineRule="auto"/>
              <w:ind w:left="362"/>
              <w:rPr>
                <w:color w:val="auto"/>
                <w:highlight w:val="none"/>
              </w:rPr>
            </w:pPr>
            <w:r>
              <w:rPr>
                <w:color w:val="auto"/>
                <w:spacing w:val="-2"/>
                <w:highlight w:val="none"/>
              </w:rPr>
              <w:t>解释权</w:t>
            </w:r>
          </w:p>
        </w:tc>
        <w:tc>
          <w:tcPr>
            <w:tcW w:w="7225" w:type="dxa"/>
            <w:vAlign w:val="top"/>
          </w:tcPr>
          <w:p>
            <w:pPr>
              <w:pStyle w:val="9"/>
              <w:spacing w:before="94" w:line="219" w:lineRule="auto"/>
              <w:jc w:val="right"/>
              <w:rPr>
                <w:color w:val="auto"/>
                <w:highlight w:val="none"/>
              </w:rPr>
            </w:pPr>
            <w:r>
              <w:rPr>
                <w:color w:val="auto"/>
                <w:spacing w:val="-2"/>
                <w:highlight w:val="none"/>
              </w:rPr>
              <w:t>本招标文件是根据《中华人民共和国政府采购法》、《中华人民共和国政府</w:t>
            </w:r>
          </w:p>
          <w:p>
            <w:pPr>
              <w:pStyle w:val="9"/>
              <w:spacing w:before="99" w:line="253" w:lineRule="auto"/>
              <w:ind w:left="13"/>
              <w:rPr>
                <w:color w:val="auto"/>
                <w:highlight w:val="none"/>
              </w:rPr>
            </w:pPr>
            <w:r>
              <w:rPr>
                <w:color w:val="auto"/>
                <w:spacing w:val="-5"/>
                <w:highlight w:val="none"/>
              </w:rPr>
              <w:t>采购法实施条例》及财政部令第87号《政府采购货物和服务招标投标管理办</w:t>
            </w:r>
            <w:r>
              <w:rPr>
                <w:color w:val="auto"/>
                <w:spacing w:val="7"/>
                <w:highlight w:val="none"/>
              </w:rPr>
              <w:t xml:space="preserve">  </w:t>
            </w:r>
            <w:r>
              <w:rPr>
                <w:color w:val="auto"/>
                <w:spacing w:val="-8"/>
                <w:highlight w:val="none"/>
              </w:rPr>
              <w:t>法》和政府采购管理有关规定编制，本招标文件的解释权属</w:t>
            </w:r>
            <w:r>
              <w:rPr>
                <w:color w:val="auto"/>
                <w:spacing w:val="-9"/>
                <w:highlight w:val="none"/>
              </w:rPr>
              <w:t>于采购代理机构。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3" w:hRule="atLeast"/>
        </w:trPr>
        <w:tc>
          <w:tcPr>
            <w:tcW w:w="654" w:type="dxa"/>
            <w:vAlign w:val="top"/>
          </w:tcPr>
          <w:p>
            <w:pPr>
              <w:pStyle w:val="9"/>
              <w:spacing w:before="280" w:line="241" w:lineRule="auto"/>
              <w:ind w:left="205"/>
              <w:rPr>
                <w:color w:val="auto"/>
                <w:highlight w:val="none"/>
              </w:rPr>
            </w:pPr>
            <w:r>
              <w:rPr>
                <w:color w:val="auto"/>
                <w:spacing w:val="-3"/>
                <w:highlight w:val="none"/>
              </w:rPr>
              <w:t>21</w:t>
            </w:r>
          </w:p>
        </w:tc>
        <w:tc>
          <w:tcPr>
            <w:tcW w:w="849" w:type="dxa"/>
            <w:vAlign w:val="top"/>
          </w:tcPr>
          <w:p>
            <w:pPr>
              <w:pStyle w:val="9"/>
              <w:spacing w:before="279"/>
              <w:ind w:left="301"/>
              <w:rPr>
                <w:color w:val="auto"/>
                <w:highlight w:val="none"/>
              </w:rPr>
            </w:pPr>
            <w:r>
              <w:rPr>
                <w:color w:val="auto"/>
                <w:spacing w:val="-2"/>
                <w:highlight w:val="none"/>
              </w:rPr>
              <w:t>40</w:t>
            </w:r>
          </w:p>
        </w:tc>
        <w:tc>
          <w:tcPr>
            <w:tcW w:w="1409" w:type="dxa"/>
            <w:vAlign w:val="top"/>
          </w:tcPr>
          <w:p>
            <w:pPr>
              <w:pStyle w:val="9"/>
              <w:spacing w:before="96" w:line="219" w:lineRule="auto"/>
              <w:ind w:left="142"/>
              <w:rPr>
                <w:color w:val="auto"/>
                <w:highlight w:val="none"/>
              </w:rPr>
            </w:pPr>
            <w:r>
              <w:rPr>
                <w:color w:val="auto"/>
                <w:spacing w:val="-2"/>
                <w:highlight w:val="none"/>
              </w:rPr>
              <w:t>监督管理机</w:t>
            </w:r>
          </w:p>
          <w:p>
            <w:pPr>
              <w:pStyle w:val="9"/>
              <w:spacing w:before="90" w:line="220" w:lineRule="auto"/>
              <w:ind w:left="581"/>
              <w:rPr>
                <w:color w:val="auto"/>
                <w:highlight w:val="none"/>
              </w:rPr>
            </w:pPr>
            <w:r>
              <w:rPr>
                <w:color w:val="auto"/>
                <w:highlight w:val="none"/>
              </w:rPr>
              <w:t>构</w:t>
            </w:r>
          </w:p>
        </w:tc>
        <w:tc>
          <w:tcPr>
            <w:tcW w:w="7225" w:type="dxa"/>
            <w:vAlign w:val="top"/>
          </w:tcPr>
          <w:p>
            <w:pPr>
              <w:pStyle w:val="9"/>
              <w:spacing w:before="258" w:line="219" w:lineRule="auto"/>
              <w:ind w:left="93"/>
              <w:rPr>
                <w:rFonts w:hint="eastAsia" w:eastAsia="宋体"/>
                <w:color w:val="auto"/>
                <w:highlight w:val="none"/>
                <w:lang w:eastAsia="zh-CN"/>
              </w:rPr>
            </w:pPr>
            <w:r>
              <w:rPr>
                <w:rFonts w:hint="eastAsia"/>
                <w:color w:val="auto"/>
                <w:highlight w:val="none"/>
                <w:lang w:eastAsia="zh-CN"/>
              </w:rPr>
              <w:t>桂林市秀峰区政府采购管理办公室</w:t>
            </w:r>
            <w:r>
              <w:rPr>
                <w:color w:val="auto"/>
                <w:highlight w:val="none"/>
              </w:rPr>
              <w:t xml:space="preserve">  联系电话：</w:t>
            </w:r>
            <w:r>
              <w:rPr>
                <w:rFonts w:hint="eastAsia"/>
                <w:color w:val="auto"/>
                <w:highlight w:val="none"/>
                <w:lang w:eastAsia="zh-CN"/>
              </w:rPr>
              <w:t>0773-2831930</w:t>
            </w:r>
          </w:p>
        </w:tc>
      </w:tr>
    </w:tbl>
    <w:p>
      <w:pPr>
        <w:rPr>
          <w:rFonts w:ascii="Arial"/>
          <w:color w:val="auto"/>
          <w:sz w:val="21"/>
          <w:highlight w:val="none"/>
        </w:rPr>
      </w:pPr>
    </w:p>
    <w:p>
      <w:pPr>
        <w:rPr>
          <w:rFonts w:ascii="Arial" w:hAnsi="Arial" w:eastAsia="Arial" w:cs="Arial"/>
          <w:color w:val="auto"/>
          <w:sz w:val="21"/>
          <w:szCs w:val="21"/>
          <w:highlight w:val="none"/>
        </w:rPr>
        <w:sectPr>
          <w:footerReference r:id="rId15" w:type="default"/>
          <w:pgSz w:w="11900" w:h="16830"/>
          <w:pgMar w:top="400" w:right="1037" w:bottom="802" w:left="714" w:header="0" w:footer="667" w:gutter="0"/>
          <w:cols w:space="720" w:num="1"/>
        </w:sect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3"/>
        <w:spacing w:before="94" w:line="220" w:lineRule="auto"/>
        <w:ind w:left="4334"/>
        <w:rPr>
          <w:color w:val="auto"/>
          <w:sz w:val="29"/>
          <w:szCs w:val="29"/>
          <w:highlight w:val="none"/>
        </w:rPr>
      </w:pPr>
      <w:r>
        <w:rPr>
          <w:b/>
          <w:bCs/>
          <w:color w:val="auto"/>
          <w:spacing w:val="-7"/>
          <w:sz w:val="29"/>
          <w:szCs w:val="29"/>
          <w:highlight w:val="none"/>
        </w:rPr>
        <w:t>一、总则</w:t>
      </w:r>
    </w:p>
    <w:p>
      <w:pPr>
        <w:pStyle w:val="3"/>
        <w:spacing w:before="59" w:line="221" w:lineRule="auto"/>
        <w:ind w:left="423"/>
        <w:rPr>
          <w:rFonts w:ascii="黑体" w:hAnsi="黑体" w:eastAsia="黑体" w:cs="黑体"/>
          <w:color w:val="auto"/>
          <w:sz w:val="21"/>
          <w:szCs w:val="21"/>
          <w:highlight w:val="none"/>
        </w:rPr>
      </w:pPr>
      <w:r>
        <w:rPr>
          <w:b/>
          <w:bCs/>
          <w:color w:val="auto"/>
          <w:spacing w:val="-2"/>
          <w:sz w:val="21"/>
          <w:szCs w:val="21"/>
          <w:highlight w:val="none"/>
        </w:rPr>
        <w:t>1.</w:t>
      </w:r>
      <w:r>
        <w:rPr>
          <w:color w:val="auto"/>
          <w:spacing w:val="28"/>
          <w:sz w:val="21"/>
          <w:szCs w:val="21"/>
          <w:highlight w:val="none"/>
        </w:rPr>
        <w:t xml:space="preserve"> </w:t>
      </w:r>
      <w:r>
        <w:rPr>
          <w:rFonts w:ascii="黑体" w:hAnsi="黑体" w:eastAsia="黑体" w:cs="黑体"/>
          <w:b/>
          <w:bCs/>
          <w:color w:val="auto"/>
          <w:spacing w:val="-2"/>
          <w:sz w:val="21"/>
          <w:szCs w:val="21"/>
          <w:highlight w:val="none"/>
        </w:rPr>
        <w:t>顶目名称及项目编号</w:t>
      </w:r>
    </w:p>
    <w:p>
      <w:pPr>
        <w:spacing w:before="121" w:line="221" w:lineRule="auto"/>
        <w:ind w:left="730"/>
        <w:rPr>
          <w:rFonts w:hint="eastAsia" w:ascii="黑体" w:hAnsi="黑体" w:eastAsia="黑体" w:cs="黑体"/>
          <w:color w:val="auto"/>
          <w:sz w:val="21"/>
          <w:szCs w:val="21"/>
          <w:highlight w:val="none"/>
          <w:lang w:eastAsia="zh-CN"/>
        </w:rPr>
      </w:pPr>
      <w:r>
        <w:rPr>
          <w:rFonts w:ascii="黑体" w:hAnsi="黑体" w:eastAsia="黑体" w:cs="黑体"/>
          <w:color w:val="auto"/>
          <w:spacing w:val="6"/>
          <w:sz w:val="21"/>
          <w:szCs w:val="21"/>
          <w:highlight w:val="none"/>
        </w:rPr>
        <w:t>项目名称：</w:t>
      </w:r>
      <w:r>
        <w:rPr>
          <w:rFonts w:hint="eastAsia" w:ascii="黑体" w:hAnsi="黑体" w:eastAsia="黑体" w:cs="黑体"/>
          <w:color w:val="auto"/>
          <w:spacing w:val="6"/>
          <w:sz w:val="21"/>
          <w:szCs w:val="21"/>
          <w:highlight w:val="none"/>
          <w:lang w:eastAsia="zh-CN"/>
        </w:rPr>
        <w:t>秀峰区区属学校、幼儿园校园保安服务</w:t>
      </w:r>
    </w:p>
    <w:p>
      <w:pPr>
        <w:pStyle w:val="3"/>
        <w:spacing w:before="98" w:line="221" w:lineRule="auto"/>
        <w:ind w:left="730"/>
        <w:rPr>
          <w:rFonts w:hint="eastAsia" w:eastAsia="黑体"/>
          <w:color w:val="auto"/>
          <w:sz w:val="21"/>
          <w:szCs w:val="21"/>
          <w:highlight w:val="none"/>
          <w:lang w:eastAsia="zh-CN"/>
        </w:rPr>
      </w:pPr>
      <w:r>
        <w:rPr>
          <w:rFonts w:ascii="黑体" w:hAnsi="黑体" w:eastAsia="黑体" w:cs="黑体"/>
          <w:color w:val="auto"/>
          <w:spacing w:val="-1"/>
          <w:sz w:val="21"/>
          <w:szCs w:val="21"/>
          <w:highlight w:val="none"/>
        </w:rPr>
        <w:t>项目编号：</w:t>
      </w:r>
      <w:r>
        <w:rPr>
          <w:rFonts w:hint="eastAsia" w:eastAsia="黑体"/>
          <w:color w:val="auto"/>
          <w:spacing w:val="-1"/>
          <w:sz w:val="21"/>
          <w:szCs w:val="21"/>
          <w:highlight w:val="none"/>
          <w:lang w:eastAsia="zh-CN"/>
        </w:rPr>
        <w:t>GLZC2025-G3-990646-TXZX</w:t>
      </w:r>
    </w:p>
    <w:p>
      <w:pPr>
        <w:pStyle w:val="3"/>
        <w:spacing w:before="108" w:line="223" w:lineRule="auto"/>
        <w:ind w:left="423"/>
        <w:rPr>
          <w:rFonts w:ascii="黑体" w:hAnsi="黑体" w:eastAsia="黑体" w:cs="黑体"/>
          <w:color w:val="auto"/>
          <w:sz w:val="21"/>
          <w:szCs w:val="21"/>
          <w:highlight w:val="none"/>
        </w:rPr>
      </w:pPr>
      <w:r>
        <w:rPr>
          <w:b/>
          <w:bCs/>
          <w:color w:val="auto"/>
          <w:spacing w:val="3"/>
          <w:sz w:val="21"/>
          <w:szCs w:val="21"/>
          <w:highlight w:val="none"/>
        </w:rPr>
        <w:t>2.</w:t>
      </w:r>
      <w:r>
        <w:rPr>
          <w:color w:val="auto"/>
          <w:spacing w:val="17"/>
          <w:sz w:val="21"/>
          <w:szCs w:val="21"/>
          <w:highlight w:val="none"/>
        </w:rPr>
        <w:t xml:space="preserve"> </w:t>
      </w:r>
      <w:r>
        <w:rPr>
          <w:rFonts w:ascii="黑体" w:hAnsi="黑体" w:eastAsia="黑体" w:cs="黑体"/>
          <w:b/>
          <w:bCs/>
          <w:color w:val="auto"/>
          <w:spacing w:val="3"/>
          <w:sz w:val="21"/>
          <w:szCs w:val="21"/>
          <w:highlight w:val="none"/>
        </w:rPr>
        <w:t>适应范围</w:t>
      </w:r>
    </w:p>
    <w:p>
      <w:pPr>
        <w:spacing w:before="108" w:line="305" w:lineRule="auto"/>
        <w:ind w:right="81" w:firstLine="42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本招标文件适用本招标采购项目的招标、投标、评标、合同履约、验收、付款等行为(法律、</w:t>
      </w:r>
      <w:r>
        <w:rPr>
          <w:rFonts w:ascii="黑体" w:hAnsi="黑体" w:eastAsia="黑体" w:cs="黑体"/>
          <w:color w:val="auto"/>
          <w:spacing w:val="4"/>
          <w:sz w:val="21"/>
          <w:szCs w:val="21"/>
          <w:highlight w:val="none"/>
        </w:rPr>
        <w:t>法规另</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有规定的，从其规定)。</w:t>
      </w:r>
    </w:p>
    <w:p>
      <w:pPr>
        <w:pStyle w:val="3"/>
        <w:spacing w:before="25" w:line="223" w:lineRule="auto"/>
        <w:ind w:left="423"/>
        <w:rPr>
          <w:rFonts w:ascii="黑体" w:hAnsi="黑体" w:eastAsia="黑体" w:cs="黑体"/>
          <w:color w:val="auto"/>
          <w:sz w:val="21"/>
          <w:szCs w:val="21"/>
          <w:highlight w:val="none"/>
        </w:rPr>
      </w:pPr>
      <w:r>
        <w:rPr>
          <w:b/>
          <w:bCs/>
          <w:color w:val="auto"/>
          <w:spacing w:val="2"/>
          <w:sz w:val="21"/>
          <w:szCs w:val="21"/>
          <w:highlight w:val="none"/>
        </w:rPr>
        <w:t>3.</w:t>
      </w:r>
      <w:r>
        <w:rPr>
          <w:color w:val="auto"/>
          <w:spacing w:val="2"/>
          <w:sz w:val="21"/>
          <w:szCs w:val="21"/>
          <w:highlight w:val="none"/>
        </w:rPr>
        <w:t xml:space="preserve"> </w:t>
      </w:r>
      <w:r>
        <w:rPr>
          <w:rFonts w:ascii="黑体" w:hAnsi="黑体" w:eastAsia="黑体" w:cs="黑体"/>
          <w:b/>
          <w:bCs/>
          <w:color w:val="auto"/>
          <w:spacing w:val="2"/>
          <w:sz w:val="21"/>
          <w:szCs w:val="21"/>
          <w:highlight w:val="none"/>
        </w:rPr>
        <w:t>定义</w:t>
      </w:r>
    </w:p>
    <w:p>
      <w:pPr>
        <w:spacing w:before="117" w:line="222"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3.1“投标人”是指响应招标、参加投标竞争的法人、其他组织或者自然人。</w:t>
      </w:r>
    </w:p>
    <w:p>
      <w:pPr>
        <w:spacing w:before="89" w:line="273" w:lineRule="auto"/>
        <w:ind w:right="19" w:firstLine="42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3.2“货物”系指按招标文件规定，投标人须向采购人提供的一切设备、保险、税金、备品备件、工具、</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手册及其他有关技术资料和材料。</w:t>
      </w:r>
    </w:p>
    <w:p>
      <w:pPr>
        <w:spacing w:before="98" w:line="213"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3.3“服务”系指按招标文件规定，投标人须承担的后勤综合管理服务以及其他相关的义务。</w:t>
      </w:r>
    </w:p>
    <w:p>
      <w:pPr>
        <w:spacing w:before="126" w:line="221"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3.4“项目”系指投标人按招标文件规定向采购人提供的货物和服务。</w:t>
      </w:r>
    </w:p>
    <w:p>
      <w:pPr>
        <w:spacing w:before="110" w:line="222" w:lineRule="auto"/>
        <w:ind w:left="420"/>
        <w:rPr>
          <w:rFonts w:ascii="黑体" w:hAnsi="黑体" w:eastAsia="黑体" w:cs="黑体"/>
          <w:color w:val="auto"/>
          <w:sz w:val="21"/>
          <w:szCs w:val="21"/>
          <w:highlight w:val="none"/>
        </w:rPr>
      </w:pPr>
      <w:r>
        <w:rPr>
          <w:rFonts w:ascii="黑体" w:hAnsi="黑体" w:eastAsia="黑体" w:cs="黑体"/>
          <w:color w:val="auto"/>
          <w:sz w:val="21"/>
          <w:szCs w:val="21"/>
          <w:highlight w:val="none"/>
        </w:rPr>
        <w:t>3.5“书面形式”包括信函、传真、电报。</w:t>
      </w:r>
    </w:p>
    <w:p>
      <w:pPr>
        <w:spacing w:before="97" w:line="299" w:lineRule="auto"/>
        <w:ind w:firstLine="420"/>
        <w:rPr>
          <w:rFonts w:ascii="黑体" w:hAnsi="黑体" w:eastAsia="黑体" w:cs="黑体"/>
          <w:color w:val="auto"/>
          <w:sz w:val="21"/>
          <w:szCs w:val="21"/>
          <w:highlight w:val="none"/>
        </w:rPr>
      </w:pPr>
      <w:r>
        <w:rPr>
          <w:rFonts w:ascii="黑体" w:hAnsi="黑体" w:eastAsia="黑体" w:cs="黑体"/>
          <w:color w:val="auto"/>
          <w:sz w:val="21"/>
          <w:szCs w:val="21"/>
          <w:highlight w:val="none"/>
        </w:rPr>
        <w:t>3.6法定代表人、负责人、自然人：投标人为其他组织或者自然人时，本招标文</w:t>
      </w:r>
      <w:r>
        <w:rPr>
          <w:rFonts w:ascii="黑体" w:hAnsi="黑体" w:eastAsia="黑体" w:cs="黑体"/>
          <w:color w:val="auto"/>
          <w:spacing w:val="-1"/>
          <w:sz w:val="21"/>
          <w:szCs w:val="21"/>
          <w:highlight w:val="none"/>
        </w:rPr>
        <w:t>件规定的法定代表人指</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其他组织的负责人或者自然人本人。本招标文件所称负责人是指参加投标的其他组织营业执照或者执业许</w:t>
      </w:r>
      <w:r>
        <w:rPr>
          <w:rFonts w:ascii="黑体" w:hAnsi="黑体" w:eastAsia="黑体" w:cs="黑体"/>
          <w:color w:val="auto"/>
          <w:spacing w:val="1"/>
          <w:sz w:val="21"/>
          <w:szCs w:val="21"/>
          <w:highlight w:val="none"/>
        </w:rPr>
        <w:t xml:space="preserve">  </w:t>
      </w:r>
      <w:r>
        <w:rPr>
          <w:rFonts w:ascii="黑体" w:hAnsi="黑体" w:eastAsia="黑体" w:cs="黑体"/>
          <w:color w:val="auto"/>
          <w:spacing w:val="2"/>
          <w:sz w:val="21"/>
          <w:szCs w:val="21"/>
          <w:highlight w:val="none"/>
        </w:rPr>
        <w:t>可证等证照上的负责人；本招标文件所称自然人指参与投标的自然人本人，且应具备独立承担民事责任能</w:t>
      </w:r>
      <w:r>
        <w:rPr>
          <w:rFonts w:ascii="黑体" w:hAnsi="黑体" w:eastAsia="黑体" w:cs="黑体"/>
          <w:color w:val="auto"/>
          <w:spacing w:val="4"/>
          <w:sz w:val="21"/>
          <w:szCs w:val="21"/>
          <w:highlight w:val="none"/>
        </w:rPr>
        <w:t xml:space="preserve">  </w:t>
      </w:r>
      <w:r>
        <w:rPr>
          <w:rFonts w:ascii="黑体" w:hAnsi="黑体" w:eastAsia="黑体" w:cs="黑体"/>
          <w:color w:val="auto"/>
          <w:spacing w:val="2"/>
          <w:sz w:val="21"/>
          <w:szCs w:val="21"/>
          <w:highlight w:val="none"/>
        </w:rPr>
        <w:t>力，自然人应当为年满18岁以上成年人(十六周岁以上的未成年人，以自己的劳动收入为</w:t>
      </w:r>
      <w:r>
        <w:rPr>
          <w:rFonts w:ascii="黑体" w:hAnsi="黑体" w:eastAsia="黑体" w:cs="黑体"/>
          <w:color w:val="auto"/>
          <w:spacing w:val="1"/>
          <w:sz w:val="21"/>
          <w:szCs w:val="21"/>
          <w:highlight w:val="none"/>
        </w:rPr>
        <w:t>主要生活来源的，</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视为完全民事行为能力人)。</w:t>
      </w:r>
    </w:p>
    <w:p>
      <w:pPr>
        <w:spacing w:before="100" w:line="213" w:lineRule="auto"/>
        <w:jc w:val="right"/>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3.7本办法所称的“以上”、“以下”、“内”、“以内”,包括本数；所称的“不足”,</w:t>
      </w:r>
      <w:r>
        <w:rPr>
          <w:rFonts w:ascii="黑体" w:hAnsi="黑体" w:eastAsia="黑体" w:cs="黑体"/>
          <w:color w:val="auto"/>
          <w:spacing w:val="1"/>
          <w:sz w:val="21"/>
          <w:szCs w:val="21"/>
          <w:highlight w:val="none"/>
        </w:rPr>
        <w:t>不包括本数。</w:t>
      </w:r>
    </w:p>
    <w:p>
      <w:pPr>
        <w:spacing w:before="128" w:line="269" w:lineRule="auto"/>
        <w:ind w:right="112" w:firstLine="42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3.8“正偏离”,是指投标文件对招标文件“项目需求”中有关条款作出的响</w:t>
      </w:r>
      <w:r>
        <w:rPr>
          <w:rFonts w:ascii="黑体" w:hAnsi="黑体" w:eastAsia="黑体" w:cs="黑体"/>
          <w:color w:val="auto"/>
          <w:spacing w:val="1"/>
          <w:sz w:val="21"/>
          <w:szCs w:val="21"/>
          <w:highlight w:val="none"/>
        </w:rPr>
        <w:t>应优于条款基本要求并有</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利于采购人的情形。</w:t>
      </w:r>
    </w:p>
    <w:p>
      <w:pPr>
        <w:spacing w:before="99" w:line="273" w:lineRule="auto"/>
        <w:ind w:right="95" w:firstLine="420"/>
        <w:rPr>
          <w:rFonts w:ascii="黑体" w:hAnsi="黑体" w:eastAsia="黑体" w:cs="黑体"/>
          <w:color w:val="auto"/>
          <w:sz w:val="21"/>
          <w:szCs w:val="21"/>
          <w:highlight w:val="none"/>
        </w:rPr>
      </w:pPr>
      <w:r>
        <w:rPr>
          <w:rFonts w:ascii="Times New Roman" w:hAnsi="Times New Roman" w:eastAsia="Times New Roman" w:cs="Times New Roman"/>
          <w:color w:val="auto"/>
          <w:spacing w:val="1"/>
          <w:sz w:val="21"/>
          <w:szCs w:val="21"/>
          <w:highlight w:val="none"/>
        </w:rPr>
        <w:t xml:space="preserve">3.9“  </w:t>
      </w:r>
      <w:r>
        <w:rPr>
          <w:rFonts w:ascii="黑体" w:hAnsi="黑体" w:eastAsia="黑体" w:cs="黑体"/>
          <w:color w:val="auto"/>
          <w:spacing w:val="1"/>
          <w:sz w:val="21"/>
          <w:szCs w:val="21"/>
          <w:highlight w:val="none"/>
        </w:rPr>
        <w:t>负偏离”是指投标文件对招标文件“项目需求”中有关条款作出的响应不满足条款要求，导致采</w:t>
      </w:r>
      <w:r>
        <w:rPr>
          <w:rFonts w:ascii="黑体" w:hAnsi="黑体" w:eastAsia="黑体" w:cs="黑体"/>
          <w:color w:val="auto"/>
          <w:spacing w:val="9"/>
          <w:sz w:val="21"/>
          <w:szCs w:val="21"/>
          <w:highlight w:val="none"/>
        </w:rPr>
        <w:t xml:space="preserve"> </w:t>
      </w:r>
      <w:r>
        <w:rPr>
          <w:rFonts w:ascii="黑体" w:hAnsi="黑体" w:eastAsia="黑体" w:cs="黑体"/>
          <w:color w:val="auto"/>
          <w:sz w:val="21"/>
          <w:szCs w:val="21"/>
          <w:highlight w:val="none"/>
        </w:rPr>
        <w:t>购人要求不能得到满足的情形。</w:t>
      </w:r>
    </w:p>
    <w:p>
      <w:pPr>
        <w:spacing w:before="104" w:line="222" w:lineRule="auto"/>
        <w:ind w:left="423"/>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3.10实质性要求：</w:t>
      </w:r>
    </w:p>
    <w:p>
      <w:pPr>
        <w:spacing w:before="97" w:line="314" w:lineRule="auto"/>
        <w:ind w:left="3" w:right="2" w:firstLine="420"/>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本招标文件“项目需求”中的条款均为实质性要求，</w:t>
      </w:r>
      <w:r>
        <w:rPr>
          <w:rFonts w:ascii="黑体" w:hAnsi="黑体" w:eastAsia="黑体" w:cs="黑体"/>
          <w:color w:val="auto"/>
          <w:spacing w:val="14"/>
          <w:sz w:val="21"/>
          <w:szCs w:val="21"/>
          <w:highlight w:val="none"/>
        </w:rPr>
        <w:t xml:space="preserve"> </w:t>
      </w:r>
      <w:r>
        <w:rPr>
          <w:rFonts w:ascii="黑体" w:hAnsi="黑体" w:eastAsia="黑体" w:cs="黑体"/>
          <w:b/>
          <w:bCs/>
          <w:color w:val="auto"/>
          <w:spacing w:val="-1"/>
          <w:sz w:val="21"/>
          <w:szCs w:val="21"/>
          <w:highlight w:val="none"/>
        </w:rPr>
        <w:t>投标人对实质性要求若有任意一项不满足，投标文件按无效处理。</w:t>
      </w:r>
    </w:p>
    <w:p>
      <w:pPr>
        <w:pStyle w:val="3"/>
        <w:spacing w:before="16" w:line="221" w:lineRule="auto"/>
        <w:ind w:left="423"/>
        <w:rPr>
          <w:rFonts w:ascii="黑体" w:hAnsi="黑体" w:eastAsia="黑体" w:cs="黑体"/>
          <w:color w:val="auto"/>
          <w:sz w:val="21"/>
          <w:szCs w:val="21"/>
          <w:highlight w:val="none"/>
        </w:rPr>
      </w:pPr>
      <w:r>
        <w:rPr>
          <w:b/>
          <w:bCs/>
          <w:color w:val="auto"/>
          <w:sz w:val="21"/>
          <w:szCs w:val="21"/>
          <w:highlight w:val="none"/>
        </w:rPr>
        <w:t>4.</w:t>
      </w:r>
      <w:r>
        <w:rPr>
          <w:color w:val="auto"/>
          <w:sz w:val="21"/>
          <w:szCs w:val="21"/>
          <w:highlight w:val="none"/>
        </w:rPr>
        <w:t xml:space="preserve"> </w:t>
      </w:r>
      <w:r>
        <w:rPr>
          <w:rFonts w:ascii="黑体" w:hAnsi="黑体" w:eastAsia="黑体" w:cs="黑体"/>
          <w:b/>
          <w:bCs/>
          <w:color w:val="auto"/>
          <w:sz w:val="21"/>
          <w:szCs w:val="21"/>
          <w:highlight w:val="none"/>
        </w:rPr>
        <w:t>招标方式、评分办法</w:t>
      </w:r>
    </w:p>
    <w:p>
      <w:pPr>
        <w:spacing w:before="112" w:line="222" w:lineRule="auto"/>
        <w:ind w:left="42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公开招标、综合评分法</w:t>
      </w:r>
    </w:p>
    <w:p>
      <w:pPr>
        <w:pStyle w:val="3"/>
        <w:spacing w:before="104" w:line="221" w:lineRule="auto"/>
        <w:ind w:left="423"/>
        <w:rPr>
          <w:rFonts w:ascii="黑体" w:hAnsi="黑体" w:eastAsia="黑体" w:cs="黑体"/>
          <w:color w:val="auto"/>
          <w:sz w:val="21"/>
          <w:szCs w:val="21"/>
          <w:highlight w:val="none"/>
        </w:rPr>
      </w:pPr>
      <w:r>
        <w:rPr>
          <w:b/>
          <w:bCs/>
          <w:color w:val="auto"/>
          <w:spacing w:val="-2"/>
          <w:sz w:val="21"/>
          <w:szCs w:val="21"/>
          <w:highlight w:val="none"/>
        </w:rPr>
        <w:t>5.</w:t>
      </w:r>
      <w:r>
        <w:rPr>
          <w:color w:val="auto"/>
          <w:spacing w:val="-2"/>
          <w:sz w:val="21"/>
          <w:szCs w:val="21"/>
          <w:highlight w:val="none"/>
        </w:rPr>
        <w:t xml:space="preserve"> </w:t>
      </w:r>
      <w:r>
        <w:rPr>
          <w:rFonts w:ascii="黑体" w:hAnsi="黑体" w:eastAsia="黑体" w:cs="黑体"/>
          <w:b/>
          <w:bCs/>
          <w:color w:val="auto"/>
          <w:spacing w:val="-2"/>
          <w:sz w:val="21"/>
          <w:szCs w:val="21"/>
          <w:highlight w:val="none"/>
        </w:rPr>
        <w:t>投标人资格及资格条件特别说明：</w:t>
      </w:r>
    </w:p>
    <w:p>
      <w:pPr>
        <w:spacing w:before="119" w:line="222" w:lineRule="auto"/>
        <w:ind w:left="423"/>
        <w:rPr>
          <w:rFonts w:ascii="黑体" w:hAnsi="黑体" w:eastAsia="黑体" w:cs="黑体"/>
          <w:color w:val="auto"/>
          <w:sz w:val="21"/>
          <w:szCs w:val="21"/>
          <w:highlight w:val="none"/>
        </w:rPr>
      </w:pPr>
      <w:r>
        <w:rPr>
          <w:rFonts w:ascii="黑体" w:hAnsi="黑体" w:eastAsia="黑体" w:cs="黑体"/>
          <w:b/>
          <w:bCs/>
          <w:color w:val="auto"/>
          <w:spacing w:val="6"/>
          <w:sz w:val="21"/>
          <w:szCs w:val="21"/>
          <w:highlight w:val="none"/>
        </w:rPr>
        <w:t>5.1投标人资格</w:t>
      </w:r>
    </w:p>
    <w:p>
      <w:pPr>
        <w:spacing w:before="91" w:line="213" w:lineRule="auto"/>
        <w:ind w:firstLine="216" w:firstLineChars="10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(1)满足《中华人民共和国政府采购法》第二十二条规定；</w:t>
      </w:r>
    </w:p>
    <w:p>
      <w:pPr>
        <w:spacing w:line="267" w:lineRule="auto"/>
        <w:ind w:firstLine="214" w:firstLineChars="100"/>
        <w:rPr>
          <w:rFonts w:hint="eastAsia" w:ascii="黑体" w:hAnsi="黑体" w:eastAsia="黑体" w:cs="黑体"/>
          <w:color w:val="auto"/>
          <w:spacing w:val="2"/>
          <w:sz w:val="21"/>
          <w:szCs w:val="21"/>
          <w:highlight w:val="none"/>
          <w:lang w:eastAsia="zh-CN"/>
        </w:rPr>
      </w:pPr>
      <w:r>
        <w:rPr>
          <w:rFonts w:ascii="黑体" w:hAnsi="黑体" w:eastAsia="黑体" w:cs="黑体"/>
          <w:color w:val="auto"/>
          <w:spacing w:val="2"/>
          <w:sz w:val="21"/>
          <w:szCs w:val="21"/>
          <w:highlight w:val="none"/>
        </w:rPr>
        <w:t>(2)落实政府采购政策需满足的资格要求：本项目</w:t>
      </w:r>
      <w:r>
        <w:rPr>
          <w:rFonts w:hint="eastAsia" w:ascii="黑体" w:hAnsi="黑体" w:eastAsia="黑体" w:cs="黑体"/>
          <w:color w:val="auto"/>
          <w:spacing w:val="2"/>
          <w:sz w:val="21"/>
          <w:szCs w:val="21"/>
          <w:highlight w:val="none"/>
          <w:lang w:val="en-US" w:eastAsia="zh-CN"/>
        </w:rPr>
        <w:t>非</w:t>
      </w:r>
      <w:r>
        <w:rPr>
          <w:rFonts w:ascii="黑体" w:hAnsi="黑体" w:eastAsia="黑体" w:cs="黑体"/>
          <w:color w:val="auto"/>
          <w:spacing w:val="2"/>
          <w:sz w:val="21"/>
          <w:szCs w:val="21"/>
          <w:highlight w:val="none"/>
        </w:rPr>
        <w:t>专门面向中小企业</w:t>
      </w:r>
      <w:r>
        <w:rPr>
          <w:rFonts w:hint="eastAsia" w:ascii="黑体" w:hAnsi="黑体" w:eastAsia="黑体" w:cs="黑体"/>
          <w:color w:val="auto"/>
          <w:spacing w:val="2"/>
          <w:sz w:val="21"/>
          <w:szCs w:val="21"/>
          <w:highlight w:val="none"/>
          <w:lang w:eastAsia="zh-CN"/>
        </w:rPr>
        <w:t>；</w:t>
      </w:r>
    </w:p>
    <w:p>
      <w:pPr>
        <w:spacing w:line="267" w:lineRule="auto"/>
        <w:ind w:firstLine="220" w:firstLineChars="100"/>
        <w:rPr>
          <w:rFonts w:hint="eastAsia" w:ascii="Arial" w:eastAsia="黑体"/>
          <w:color w:val="auto"/>
          <w:sz w:val="21"/>
          <w:highlight w:val="none"/>
          <w:lang w:val="en-US" w:eastAsia="zh-CN"/>
        </w:rPr>
      </w:pPr>
      <w:r>
        <w:rPr>
          <w:rFonts w:ascii="黑体" w:hAnsi="黑体" w:eastAsia="黑体" w:cs="黑体"/>
          <w:color w:val="auto"/>
          <w:spacing w:val="5"/>
          <w:sz w:val="21"/>
          <w:szCs w:val="21"/>
          <w:highlight w:val="none"/>
        </w:rPr>
        <w:t>(3)本项目的特定资格要求：</w:t>
      </w:r>
      <w:r>
        <w:rPr>
          <w:rFonts w:hint="eastAsia" w:ascii="黑体" w:hAnsi="黑体" w:eastAsia="黑体" w:cs="黑体"/>
          <w:color w:val="auto"/>
          <w:spacing w:val="5"/>
          <w:sz w:val="21"/>
          <w:szCs w:val="21"/>
          <w:highlight w:val="none"/>
          <w:lang w:val="en-US" w:eastAsia="zh-CN"/>
        </w:rPr>
        <w:t>无</w:t>
      </w:r>
    </w:p>
    <w:p>
      <w:pPr>
        <w:spacing w:before="69" w:line="221" w:lineRule="auto"/>
        <w:ind w:left="443"/>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5.2资格条件特别说明：</w:t>
      </w:r>
    </w:p>
    <w:p>
      <w:pPr>
        <w:spacing w:before="102" w:line="282" w:lineRule="auto"/>
        <w:ind w:right="32" w:firstLine="53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(1)单位负责人为同一人或者存在直接控股、管理关系的不同供应商，不得参加同一合同项下的政府</w:t>
      </w:r>
      <w:r>
        <w:rPr>
          <w:rFonts w:ascii="黑体" w:hAnsi="黑体" w:eastAsia="黑体" w:cs="黑体"/>
          <w:color w:val="auto"/>
          <w:spacing w:val="16"/>
          <w:sz w:val="21"/>
          <w:szCs w:val="21"/>
          <w:highlight w:val="none"/>
        </w:rPr>
        <w:t xml:space="preserve"> </w:t>
      </w:r>
      <w:r>
        <w:rPr>
          <w:rFonts w:ascii="黑体" w:hAnsi="黑体" w:eastAsia="黑体" w:cs="黑体"/>
          <w:color w:val="auto"/>
          <w:spacing w:val="3"/>
          <w:sz w:val="21"/>
          <w:szCs w:val="21"/>
          <w:highlight w:val="none"/>
        </w:rPr>
        <w:t>采购活动。为本项目提供过规范编制或者项</w:t>
      </w:r>
      <w:r>
        <w:rPr>
          <w:rFonts w:ascii="黑体" w:hAnsi="黑体" w:eastAsia="黑体" w:cs="黑体"/>
          <w:color w:val="auto"/>
          <w:spacing w:val="2"/>
          <w:sz w:val="21"/>
          <w:szCs w:val="21"/>
          <w:highlight w:val="none"/>
        </w:rPr>
        <w:t>目管理等服务的供应商，不得再参加本项目上述服务以外的其</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他采购活动；</w:t>
      </w:r>
    </w:p>
    <w:p>
      <w:pPr>
        <w:pStyle w:val="3"/>
        <w:tabs>
          <w:tab w:val="left" w:pos="110"/>
        </w:tabs>
        <w:spacing w:before="93" w:line="298" w:lineRule="auto"/>
        <w:ind w:right="7" w:firstLine="53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( 2 ) 对 在 “ 信 用 中 国 ” 网 站</w:t>
      </w:r>
      <w:r>
        <w:rPr>
          <w:rFonts w:ascii="黑体" w:hAnsi="黑体" w:eastAsia="黑体" w:cs="黑体"/>
          <w:color w:val="auto"/>
          <w:spacing w:val="-26"/>
          <w:sz w:val="21"/>
          <w:szCs w:val="21"/>
          <w:highlight w:val="none"/>
        </w:rPr>
        <w:t xml:space="preserve"> </w:t>
      </w:r>
      <w:r>
        <w:rPr>
          <w:rFonts w:ascii="黑体" w:hAnsi="黑体" w:eastAsia="黑体" w:cs="黑体"/>
          <w:color w:val="auto"/>
          <w:spacing w:val="-4"/>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黑体" w:hAnsi="黑体" w:eastAsia="黑体" w:cs="黑体"/>
          <w:color w:val="auto"/>
          <w:spacing w:val="-4"/>
          <w:sz w:val="21"/>
          <w:szCs w:val="21"/>
          <w:highlight w:val="none"/>
        </w:rPr>
        <w:t>htt</w:t>
      </w:r>
      <w:r>
        <w:rPr>
          <w:rFonts w:ascii="Times New Roman" w:hAnsi="Times New Roman" w:eastAsia="Times New Roman" w:cs="Times New Roman"/>
          <w:color w:val="auto"/>
          <w:spacing w:val="-4"/>
          <w:sz w:val="21"/>
          <w:szCs w:val="21"/>
          <w:highlight w:val="none"/>
        </w:rPr>
        <w:t xml:space="preserve">p://www.creditchina.gov.c        </w:t>
      </w:r>
      <w:r>
        <w:rPr>
          <w:color w:val="auto"/>
          <w:spacing w:val="-5"/>
          <w:sz w:val="21"/>
          <w:szCs w:val="21"/>
          <w:highlight w:val="none"/>
        </w:rPr>
        <w:t>n</w:t>
      </w:r>
      <w:r>
        <w:rPr>
          <w:color w:val="auto"/>
          <w:spacing w:val="-5"/>
          <w:sz w:val="21"/>
          <w:szCs w:val="21"/>
          <w:highlight w:val="none"/>
        </w:rPr>
        <w:fldChar w:fldCharType="end"/>
      </w:r>
      <w:r>
        <w:rPr>
          <w:color w:val="auto"/>
          <w:spacing w:val="-5"/>
          <w:sz w:val="21"/>
          <w:szCs w:val="21"/>
          <w:highlight w:val="none"/>
        </w:rPr>
        <w:t>)、</w:t>
      </w:r>
      <w:r>
        <w:rPr>
          <w:color w:val="auto"/>
          <w:spacing w:val="18"/>
          <w:sz w:val="21"/>
          <w:szCs w:val="21"/>
          <w:highlight w:val="none"/>
        </w:rPr>
        <w:t xml:space="preserve">  </w:t>
      </w:r>
      <w:r>
        <w:rPr>
          <w:rFonts w:ascii="黑体" w:hAnsi="黑体" w:eastAsia="黑体" w:cs="黑体"/>
          <w:color w:val="auto"/>
          <w:spacing w:val="-5"/>
          <w:sz w:val="21"/>
          <w:szCs w:val="21"/>
          <w:highlight w:val="none"/>
        </w:rPr>
        <w:t>中 国 政 府 采 购 网</w:t>
      </w:r>
      <w:r>
        <w:rPr>
          <w:rFonts w:ascii="黑体" w:hAnsi="黑体" w:eastAsia="黑体" w:cs="黑体"/>
          <w:color w:val="auto"/>
          <w:sz w:val="21"/>
          <w:szCs w:val="21"/>
          <w:highlight w:val="none"/>
        </w:rPr>
        <w:t xml:space="preserve"> </w:t>
      </w:r>
      <w:r>
        <w:rPr>
          <w:color w:val="auto"/>
          <w:sz w:val="21"/>
          <w:szCs w:val="21"/>
          <w:highlight w:val="none"/>
        </w:rPr>
        <w:tab/>
      </w:r>
      <w:r>
        <w:rPr>
          <w:color w:val="auto"/>
          <w:spacing w:val="2"/>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2"/>
          <w:sz w:val="21"/>
          <w:szCs w:val="21"/>
          <w:highlight w:val="none"/>
        </w:rPr>
        <w:t>://</w:t>
      </w:r>
      <w:r>
        <w:rPr>
          <w:color w:val="auto"/>
          <w:sz w:val="21"/>
          <w:szCs w:val="21"/>
          <w:highlight w:val="none"/>
        </w:rPr>
        <w:t>www</w:t>
      </w:r>
      <w:r>
        <w:rPr>
          <w:color w:val="auto"/>
          <w:spacing w:val="2"/>
          <w:sz w:val="21"/>
          <w:szCs w:val="21"/>
          <w:highlight w:val="none"/>
        </w:rPr>
        <w:t>.</w:t>
      </w:r>
      <w:r>
        <w:rPr>
          <w:color w:val="auto"/>
          <w:sz w:val="21"/>
          <w:szCs w:val="21"/>
          <w:highlight w:val="none"/>
        </w:rPr>
        <w:t>ccgp</w:t>
      </w:r>
      <w:r>
        <w:rPr>
          <w:color w:val="auto"/>
          <w:spacing w:val="2"/>
          <w:sz w:val="21"/>
          <w:szCs w:val="21"/>
          <w:highlight w:val="none"/>
        </w:rPr>
        <w:t>.</w:t>
      </w:r>
      <w:r>
        <w:rPr>
          <w:color w:val="auto"/>
          <w:sz w:val="21"/>
          <w:szCs w:val="21"/>
          <w:highlight w:val="none"/>
        </w:rPr>
        <w:t>gov</w:t>
      </w:r>
      <w:r>
        <w:rPr>
          <w:color w:val="auto"/>
          <w:spacing w:val="2"/>
          <w:sz w:val="21"/>
          <w:szCs w:val="21"/>
          <w:highlight w:val="none"/>
        </w:rPr>
        <w:t>.</w:t>
      </w:r>
      <w:r>
        <w:rPr>
          <w:color w:val="auto"/>
          <w:sz w:val="21"/>
          <w:szCs w:val="21"/>
          <w:highlight w:val="none"/>
        </w:rPr>
        <w:t>cn</w:t>
      </w:r>
      <w:r>
        <w:rPr>
          <w:color w:val="auto"/>
          <w:sz w:val="21"/>
          <w:szCs w:val="21"/>
          <w:highlight w:val="none"/>
        </w:rPr>
        <w:fldChar w:fldCharType="end"/>
      </w:r>
      <w:r>
        <w:rPr>
          <w:color w:val="auto"/>
          <w:spacing w:val="2"/>
          <w:sz w:val="21"/>
          <w:szCs w:val="21"/>
          <w:highlight w:val="none"/>
        </w:rPr>
        <w:t>)</w:t>
      </w:r>
      <w:r>
        <w:rPr>
          <w:color w:val="auto"/>
          <w:spacing w:val="40"/>
          <w:sz w:val="21"/>
          <w:szCs w:val="21"/>
          <w:highlight w:val="none"/>
        </w:rPr>
        <w:t xml:space="preserve"> </w:t>
      </w:r>
      <w:r>
        <w:rPr>
          <w:rFonts w:ascii="黑体" w:hAnsi="黑体" w:eastAsia="黑体" w:cs="黑体"/>
          <w:color w:val="auto"/>
          <w:spacing w:val="2"/>
          <w:sz w:val="21"/>
          <w:szCs w:val="21"/>
          <w:highlight w:val="none"/>
        </w:rPr>
        <w:t>被列入失信被执行人、重大税收违法失信主体、政府</w:t>
      </w:r>
      <w:r>
        <w:rPr>
          <w:rFonts w:ascii="黑体" w:hAnsi="黑体" w:eastAsia="黑体" w:cs="黑体"/>
          <w:color w:val="auto"/>
          <w:spacing w:val="1"/>
          <w:sz w:val="21"/>
          <w:szCs w:val="21"/>
          <w:highlight w:val="none"/>
        </w:rPr>
        <w:t>采购严重违法失信行为</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记录名单及其他不符合《中华人民共和国政府采购法》第二十二条规定条件的供应商，不得参与</w:t>
      </w:r>
      <w:r>
        <w:rPr>
          <w:rFonts w:ascii="黑体" w:hAnsi="黑体" w:eastAsia="黑体" w:cs="黑体"/>
          <w:color w:val="auto"/>
          <w:spacing w:val="2"/>
          <w:sz w:val="21"/>
          <w:szCs w:val="21"/>
          <w:highlight w:val="none"/>
        </w:rPr>
        <w:t>政府采购</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活动。</w:t>
      </w:r>
    </w:p>
    <w:p>
      <w:pPr>
        <w:pStyle w:val="3"/>
        <w:spacing w:before="104" w:line="222" w:lineRule="auto"/>
        <w:ind w:left="443"/>
        <w:rPr>
          <w:rFonts w:ascii="黑体" w:hAnsi="黑体" w:eastAsia="黑体" w:cs="黑体"/>
          <w:color w:val="auto"/>
          <w:sz w:val="21"/>
          <w:szCs w:val="21"/>
          <w:highlight w:val="none"/>
        </w:rPr>
      </w:pPr>
      <w:r>
        <w:rPr>
          <w:b/>
          <w:bCs/>
          <w:color w:val="auto"/>
          <w:sz w:val="21"/>
          <w:szCs w:val="21"/>
          <w:highlight w:val="none"/>
        </w:rPr>
        <w:t>6.</w:t>
      </w:r>
      <w:r>
        <w:rPr>
          <w:color w:val="auto"/>
          <w:sz w:val="21"/>
          <w:szCs w:val="21"/>
          <w:highlight w:val="none"/>
        </w:rPr>
        <w:t xml:space="preserve"> </w:t>
      </w:r>
      <w:r>
        <w:rPr>
          <w:rFonts w:ascii="黑体" w:hAnsi="黑体" w:eastAsia="黑体" w:cs="黑体"/>
          <w:b/>
          <w:bCs/>
          <w:color w:val="auto"/>
          <w:sz w:val="21"/>
          <w:szCs w:val="21"/>
          <w:highlight w:val="none"/>
        </w:rPr>
        <w:t>参与电子投标的准备工作</w:t>
      </w:r>
    </w:p>
    <w:p>
      <w:pPr>
        <w:pStyle w:val="3"/>
        <w:spacing w:before="111" w:line="315" w:lineRule="auto"/>
        <w:ind w:firstLine="440"/>
        <w:jc w:val="both"/>
        <w:rPr>
          <w:rFonts w:ascii="黑体" w:hAnsi="黑体" w:eastAsia="黑体" w:cs="黑体"/>
          <w:color w:val="auto"/>
          <w:sz w:val="21"/>
          <w:szCs w:val="21"/>
          <w:highlight w:val="none"/>
        </w:rPr>
      </w:pPr>
      <w:r>
        <w:rPr>
          <w:rFonts w:ascii="黑体" w:hAnsi="黑体" w:eastAsia="黑体" w:cs="黑体"/>
          <w:color w:val="auto"/>
          <w:sz w:val="21"/>
          <w:szCs w:val="21"/>
          <w:highlight w:val="none"/>
        </w:rPr>
        <w:t>6.1本项目实行全流程电子化采购，投标人通过“广西政府采购云平台”参与电子</w:t>
      </w:r>
      <w:r>
        <w:rPr>
          <w:rFonts w:ascii="黑体" w:hAnsi="黑体" w:eastAsia="黑体" w:cs="黑体"/>
          <w:color w:val="auto"/>
          <w:spacing w:val="-1"/>
          <w:sz w:val="21"/>
          <w:szCs w:val="21"/>
          <w:highlight w:val="none"/>
        </w:rPr>
        <w:t>投标，并应做好以下</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相关准备工作：①在“广西政府采购云平台”平台注册成为</w:t>
      </w:r>
      <w:r>
        <w:rPr>
          <w:rFonts w:ascii="黑体" w:hAnsi="黑体" w:eastAsia="黑体" w:cs="黑体"/>
          <w:color w:val="auto"/>
          <w:spacing w:val="4"/>
          <w:sz w:val="21"/>
          <w:szCs w:val="21"/>
          <w:highlight w:val="none"/>
        </w:rPr>
        <w:t>正式供应商(操作方法详见广西壮族自治区政</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府采购网一办事服务一办事指南);②完成</w:t>
      </w:r>
      <w:r>
        <w:rPr>
          <w:color w:val="auto"/>
          <w:sz w:val="21"/>
          <w:szCs w:val="21"/>
          <w:highlight w:val="none"/>
        </w:rPr>
        <w:t>CA</w:t>
      </w:r>
      <w:r>
        <w:rPr>
          <w:color w:val="auto"/>
          <w:spacing w:val="-28"/>
          <w:sz w:val="21"/>
          <w:szCs w:val="21"/>
          <w:highlight w:val="none"/>
        </w:rPr>
        <w:t xml:space="preserve"> </w:t>
      </w:r>
      <w:r>
        <w:rPr>
          <w:rFonts w:ascii="黑体" w:hAnsi="黑体" w:eastAsia="黑体" w:cs="黑体"/>
          <w:color w:val="auto"/>
          <w:spacing w:val="8"/>
          <w:sz w:val="21"/>
          <w:szCs w:val="21"/>
          <w:highlight w:val="none"/>
        </w:rPr>
        <w:t>证书申领和绑定(费用由投标人自行</w:t>
      </w:r>
      <w:r>
        <w:rPr>
          <w:rFonts w:ascii="黑体" w:hAnsi="黑体" w:eastAsia="黑体" w:cs="黑体"/>
          <w:color w:val="auto"/>
          <w:spacing w:val="7"/>
          <w:sz w:val="21"/>
          <w:szCs w:val="21"/>
          <w:highlight w:val="none"/>
        </w:rPr>
        <w:t>承担，办理流程详见广</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西壮族自治区政府采购网一办事服务一下载专区，完成</w:t>
      </w:r>
      <w:r>
        <w:rPr>
          <w:color w:val="auto"/>
          <w:sz w:val="21"/>
          <w:szCs w:val="21"/>
          <w:highlight w:val="none"/>
        </w:rPr>
        <w:t>CA</w:t>
      </w:r>
      <w:r>
        <w:rPr>
          <w:color w:val="auto"/>
          <w:spacing w:val="-38"/>
          <w:sz w:val="21"/>
          <w:szCs w:val="21"/>
          <w:highlight w:val="none"/>
        </w:rPr>
        <w:t xml:space="preserve"> </w:t>
      </w:r>
      <w:r>
        <w:rPr>
          <w:rFonts w:ascii="黑体" w:hAnsi="黑体" w:eastAsia="黑体" w:cs="黑体"/>
          <w:color w:val="auto"/>
          <w:spacing w:val="2"/>
          <w:sz w:val="21"/>
          <w:szCs w:val="21"/>
          <w:highlight w:val="none"/>
        </w:rPr>
        <w:t>证书办理预计一</w:t>
      </w:r>
      <w:r>
        <w:rPr>
          <w:rFonts w:ascii="黑体" w:hAnsi="黑体" w:eastAsia="黑体" w:cs="黑体"/>
          <w:color w:val="auto"/>
          <w:spacing w:val="1"/>
          <w:sz w:val="21"/>
          <w:szCs w:val="21"/>
          <w:highlight w:val="none"/>
        </w:rPr>
        <w:t>周左右，建议供应商尽快办理);</w:t>
      </w:r>
    </w:p>
    <w:p>
      <w:pPr>
        <w:spacing w:before="15" w:line="298" w:lineRule="auto"/>
        <w:ind w:right="36"/>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③下载“广西壮族自治区全流程电子招投标项目管理系统-一供应商客户端”(操作方法详见广西壮族自治</w:t>
      </w:r>
      <w:r>
        <w:rPr>
          <w:rFonts w:ascii="黑体" w:hAnsi="黑体" w:eastAsia="黑体" w:cs="黑体"/>
          <w:color w:val="auto"/>
          <w:spacing w:val="13"/>
          <w:sz w:val="21"/>
          <w:szCs w:val="21"/>
          <w:highlight w:val="none"/>
        </w:rPr>
        <w:t xml:space="preserve"> </w:t>
      </w:r>
      <w:r>
        <w:rPr>
          <w:rFonts w:ascii="黑体" w:hAnsi="黑体" w:eastAsia="黑体" w:cs="黑体"/>
          <w:color w:val="auto"/>
          <w:spacing w:val="5"/>
          <w:sz w:val="21"/>
          <w:szCs w:val="21"/>
          <w:highlight w:val="none"/>
        </w:rPr>
        <w:t>区政府采购网一办事服务一下载专区，以下称“电子投标客</w:t>
      </w:r>
      <w:r>
        <w:rPr>
          <w:rFonts w:ascii="黑体" w:hAnsi="黑体" w:eastAsia="黑体" w:cs="黑体"/>
          <w:color w:val="auto"/>
          <w:spacing w:val="4"/>
          <w:sz w:val="21"/>
          <w:szCs w:val="21"/>
          <w:highlight w:val="none"/>
        </w:rPr>
        <w:t>户端”)并安装成功，投标人应当在提交投标</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文件截止时间前在“广西政府采购云平台”完成的身份认证，确保能够对相关数据电文进行加密和使用电</w:t>
      </w:r>
      <w:r>
        <w:rPr>
          <w:rFonts w:ascii="黑体" w:hAnsi="黑体" w:eastAsia="黑体" w:cs="黑体"/>
          <w:color w:val="auto"/>
          <w:spacing w:val="15"/>
          <w:sz w:val="21"/>
          <w:szCs w:val="21"/>
          <w:highlight w:val="none"/>
        </w:rPr>
        <w:t xml:space="preserve"> </w:t>
      </w:r>
      <w:r>
        <w:rPr>
          <w:rFonts w:ascii="黑体" w:hAnsi="黑体" w:eastAsia="黑体" w:cs="黑体"/>
          <w:color w:val="auto"/>
          <w:spacing w:val="5"/>
          <w:sz w:val="21"/>
          <w:szCs w:val="21"/>
          <w:highlight w:val="none"/>
        </w:rPr>
        <w:t>子签章；④自备计算机和网络设备并确保能接入互联网(费用由</w:t>
      </w:r>
      <w:r>
        <w:rPr>
          <w:rFonts w:ascii="黑体" w:hAnsi="黑体" w:eastAsia="黑体" w:cs="黑体"/>
          <w:color w:val="auto"/>
          <w:spacing w:val="4"/>
          <w:sz w:val="21"/>
          <w:szCs w:val="21"/>
          <w:highlight w:val="none"/>
        </w:rPr>
        <w:t>投标人自行承担，设备确保可进行视频通</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话和读取广西政府采购云</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3"/>
          <w:sz w:val="21"/>
          <w:szCs w:val="21"/>
          <w:highlight w:val="none"/>
        </w:rPr>
        <w:t>证书)。因投标人未做好相关准备工作等自身原因导致无法参</w:t>
      </w:r>
      <w:r>
        <w:rPr>
          <w:rFonts w:ascii="黑体" w:hAnsi="黑体" w:eastAsia="黑体" w:cs="黑体"/>
          <w:color w:val="auto"/>
          <w:spacing w:val="2"/>
          <w:sz w:val="21"/>
          <w:szCs w:val="21"/>
          <w:highlight w:val="none"/>
        </w:rPr>
        <w:t>加本项目电子投</w:t>
      </w:r>
      <w:r>
        <w:rPr>
          <w:rFonts w:ascii="黑体" w:hAnsi="黑体" w:eastAsia="黑体" w:cs="黑体"/>
          <w:color w:val="auto"/>
          <w:sz w:val="21"/>
          <w:szCs w:val="21"/>
          <w:highlight w:val="none"/>
        </w:rPr>
        <w:t xml:space="preserve"> 标或投标失败的，造成的一切后果，由投标人自行承担。</w:t>
      </w:r>
    </w:p>
    <w:p>
      <w:pPr>
        <w:spacing w:before="128" w:line="269" w:lineRule="auto"/>
        <w:ind w:right="35" w:firstLine="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6.2电子投标具体操作流程参考《政府采购项目电子交易管理操作指南-供应商》(详见桂林市政府采</w:t>
      </w:r>
      <w:r>
        <w:rPr>
          <w:rFonts w:ascii="黑体" w:hAnsi="黑体" w:eastAsia="黑体" w:cs="黑体"/>
          <w:color w:val="auto"/>
          <w:spacing w:val="9"/>
          <w:sz w:val="21"/>
          <w:szCs w:val="21"/>
          <w:highlight w:val="none"/>
        </w:rPr>
        <w:t xml:space="preserve"> 购网一采购资讯一重要通知);如遇平台技术问题详询95763。</w:t>
      </w:r>
    </w:p>
    <w:p>
      <w:pPr>
        <w:spacing w:before="97" w:line="295" w:lineRule="auto"/>
        <w:ind w:right="38" w:firstLine="440"/>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6.3本项目资格审查及评审过程中，资格审查人员或</w:t>
      </w:r>
      <w:r>
        <w:rPr>
          <w:rFonts w:ascii="黑体" w:hAnsi="黑体" w:eastAsia="黑体" w:cs="黑体"/>
          <w:color w:val="auto"/>
          <w:spacing w:val="8"/>
          <w:sz w:val="21"/>
          <w:szCs w:val="21"/>
          <w:highlight w:val="none"/>
        </w:rPr>
        <w:t>评审委员会需要投标人进行澄清(说明、更正)</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等全部事宜，均通过“广西政府采购云平台”在线进行。本顶目投标文件提交截止时间后至评审结束前，</w:t>
      </w:r>
      <w:r>
        <w:rPr>
          <w:rFonts w:ascii="黑体" w:hAnsi="黑体" w:eastAsia="黑体" w:cs="黑体"/>
          <w:color w:val="auto"/>
          <w:spacing w:val="12"/>
          <w:sz w:val="21"/>
          <w:szCs w:val="21"/>
          <w:highlight w:val="none"/>
        </w:rPr>
        <w:t xml:space="preserve"> </w:t>
      </w:r>
      <w:r>
        <w:rPr>
          <w:rFonts w:ascii="黑体" w:hAnsi="黑体" w:eastAsia="黑体" w:cs="黑体"/>
          <w:color w:val="auto"/>
          <w:spacing w:val="2"/>
          <w:sz w:val="21"/>
          <w:szCs w:val="21"/>
          <w:highlight w:val="none"/>
        </w:rPr>
        <w:t>投标人应保持登录“广西政府采购云平台”且实时在线以保证及时收发相关信息，否则其不利后果由投标</w:t>
      </w:r>
      <w:r>
        <w:rPr>
          <w:rFonts w:ascii="黑体" w:hAnsi="黑体" w:eastAsia="黑体" w:cs="黑体"/>
          <w:color w:val="auto"/>
          <w:spacing w:val="13"/>
          <w:sz w:val="21"/>
          <w:szCs w:val="21"/>
          <w:highlight w:val="none"/>
        </w:rPr>
        <w:t xml:space="preserve"> </w:t>
      </w:r>
      <w:r>
        <w:rPr>
          <w:rFonts w:ascii="黑体" w:hAnsi="黑体" w:eastAsia="黑体" w:cs="黑体"/>
          <w:color w:val="auto"/>
          <w:spacing w:val="4"/>
          <w:sz w:val="21"/>
          <w:szCs w:val="21"/>
          <w:highlight w:val="none"/>
        </w:rPr>
        <w:t>人自行承担。</w:t>
      </w:r>
    </w:p>
    <w:p>
      <w:pPr>
        <w:pStyle w:val="3"/>
        <w:spacing w:before="105" w:line="222" w:lineRule="auto"/>
        <w:ind w:left="443"/>
        <w:rPr>
          <w:rFonts w:ascii="黑体" w:hAnsi="黑体" w:eastAsia="黑体" w:cs="黑体"/>
          <w:color w:val="auto"/>
          <w:sz w:val="21"/>
          <w:szCs w:val="21"/>
          <w:highlight w:val="none"/>
        </w:rPr>
      </w:pPr>
      <w:r>
        <w:rPr>
          <w:b/>
          <w:bCs/>
          <w:color w:val="auto"/>
          <w:sz w:val="21"/>
          <w:szCs w:val="21"/>
          <w:highlight w:val="none"/>
        </w:rPr>
        <w:t>7.</w:t>
      </w:r>
      <w:r>
        <w:rPr>
          <w:color w:val="auto"/>
          <w:spacing w:val="-21"/>
          <w:sz w:val="21"/>
          <w:szCs w:val="21"/>
          <w:highlight w:val="none"/>
        </w:rPr>
        <w:t xml:space="preserve"> </w:t>
      </w:r>
      <w:r>
        <w:rPr>
          <w:rFonts w:ascii="黑体" w:hAnsi="黑体" w:eastAsia="黑体" w:cs="黑体"/>
          <w:b/>
          <w:bCs/>
          <w:color w:val="auto"/>
          <w:sz w:val="21"/>
          <w:szCs w:val="21"/>
          <w:highlight w:val="none"/>
        </w:rPr>
        <w:t>联合体投标要求</w:t>
      </w:r>
    </w:p>
    <w:p>
      <w:pPr>
        <w:spacing w:before="110" w:line="222" w:lineRule="auto"/>
        <w:ind w:left="44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本项目不接受联合体投标。</w:t>
      </w:r>
    </w:p>
    <w:p>
      <w:pPr>
        <w:pStyle w:val="3"/>
        <w:spacing w:before="105" w:line="222" w:lineRule="auto"/>
        <w:ind w:left="443"/>
        <w:rPr>
          <w:rFonts w:ascii="黑体" w:hAnsi="黑体" w:eastAsia="黑体" w:cs="黑体"/>
          <w:color w:val="auto"/>
          <w:sz w:val="21"/>
          <w:szCs w:val="21"/>
          <w:highlight w:val="none"/>
        </w:rPr>
      </w:pPr>
      <w:r>
        <w:rPr>
          <w:b/>
          <w:bCs/>
          <w:color w:val="auto"/>
          <w:spacing w:val="2"/>
          <w:sz w:val="21"/>
          <w:szCs w:val="21"/>
          <w:highlight w:val="none"/>
        </w:rPr>
        <w:t>8.</w:t>
      </w:r>
      <w:r>
        <w:rPr>
          <w:color w:val="auto"/>
          <w:spacing w:val="2"/>
          <w:sz w:val="21"/>
          <w:szCs w:val="21"/>
          <w:highlight w:val="none"/>
        </w:rPr>
        <w:t xml:space="preserve"> </w:t>
      </w:r>
      <w:r>
        <w:rPr>
          <w:rFonts w:ascii="黑体" w:hAnsi="黑体" w:eastAsia="黑体" w:cs="黑体"/>
          <w:b/>
          <w:bCs/>
          <w:color w:val="auto"/>
          <w:spacing w:val="2"/>
          <w:sz w:val="21"/>
          <w:szCs w:val="21"/>
          <w:highlight w:val="none"/>
        </w:rPr>
        <w:t>转包与分包</w:t>
      </w:r>
    </w:p>
    <w:p>
      <w:pPr>
        <w:spacing w:before="100" w:line="222" w:lineRule="auto"/>
        <w:ind w:left="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8.1本项目不允许转包。</w:t>
      </w:r>
    </w:p>
    <w:p>
      <w:pPr>
        <w:spacing w:before="118" w:line="222" w:lineRule="auto"/>
        <w:ind w:left="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8.2本项目不接受分包。</w:t>
      </w:r>
    </w:p>
    <w:p>
      <w:pPr>
        <w:pStyle w:val="3"/>
        <w:spacing w:before="104" w:line="221" w:lineRule="auto"/>
        <w:ind w:left="443"/>
        <w:rPr>
          <w:rFonts w:ascii="黑体" w:hAnsi="黑体" w:eastAsia="黑体" w:cs="黑体"/>
          <w:color w:val="auto"/>
          <w:sz w:val="21"/>
          <w:szCs w:val="21"/>
          <w:highlight w:val="none"/>
        </w:rPr>
      </w:pPr>
      <w:r>
        <w:rPr>
          <w:b/>
          <w:bCs/>
          <w:color w:val="auto"/>
          <w:spacing w:val="3"/>
          <w:sz w:val="21"/>
          <w:szCs w:val="21"/>
          <w:highlight w:val="none"/>
        </w:rPr>
        <w:t>9.</w:t>
      </w:r>
      <w:r>
        <w:rPr>
          <w:color w:val="auto"/>
          <w:spacing w:val="17"/>
          <w:sz w:val="21"/>
          <w:szCs w:val="21"/>
          <w:highlight w:val="none"/>
        </w:rPr>
        <w:t xml:space="preserve"> </w:t>
      </w:r>
      <w:r>
        <w:rPr>
          <w:rFonts w:ascii="黑体" w:hAnsi="黑体" w:eastAsia="黑体" w:cs="黑体"/>
          <w:b/>
          <w:bCs/>
          <w:color w:val="auto"/>
          <w:spacing w:val="3"/>
          <w:sz w:val="21"/>
          <w:szCs w:val="21"/>
          <w:highlight w:val="none"/>
        </w:rPr>
        <w:t>特别说明</w:t>
      </w:r>
    </w:p>
    <w:p>
      <w:pPr>
        <w:spacing w:before="99" w:line="213" w:lineRule="auto"/>
        <w:ind w:left="443"/>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关联供应商不得参加同一合同项下政府采购活动，否则投标文件将被</w:t>
      </w:r>
      <w:r>
        <w:rPr>
          <w:rFonts w:ascii="黑体" w:hAnsi="黑体" w:eastAsia="黑体" w:cs="黑体"/>
          <w:b/>
          <w:bCs/>
          <w:color w:val="auto"/>
          <w:spacing w:val="-2"/>
          <w:sz w:val="21"/>
          <w:szCs w:val="21"/>
          <w:highlight w:val="none"/>
        </w:rPr>
        <w:t>视为无效：</w:t>
      </w:r>
    </w:p>
    <w:p>
      <w:pPr>
        <w:spacing w:before="122" w:line="273" w:lineRule="auto"/>
        <w:ind w:right="12" w:firstLine="5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(1)单位负责人为同一人或者存在直接控股、管理关系的不同供应商，不得参加</w:t>
      </w:r>
      <w:r>
        <w:rPr>
          <w:rFonts w:ascii="黑体" w:hAnsi="黑体" w:eastAsia="黑体" w:cs="黑体"/>
          <w:color w:val="auto"/>
          <w:spacing w:val="2"/>
          <w:sz w:val="21"/>
          <w:szCs w:val="21"/>
          <w:highlight w:val="none"/>
        </w:rPr>
        <w:t>同一合同项下的政府</w:t>
      </w:r>
      <w:r>
        <w:rPr>
          <w:rFonts w:ascii="黑体" w:hAnsi="黑体" w:eastAsia="黑体" w:cs="黑体"/>
          <w:color w:val="auto"/>
          <w:sz w:val="21"/>
          <w:szCs w:val="21"/>
          <w:highlight w:val="none"/>
        </w:rPr>
        <w:t xml:space="preserve"> </w:t>
      </w:r>
      <w:r>
        <w:rPr>
          <w:rFonts w:ascii="黑体" w:hAnsi="黑体" w:eastAsia="黑体" w:cs="黑体"/>
          <w:color w:val="auto"/>
          <w:spacing w:val="7"/>
          <w:sz w:val="21"/>
          <w:szCs w:val="21"/>
          <w:highlight w:val="none"/>
        </w:rPr>
        <w:t>采购活动。</w:t>
      </w:r>
    </w:p>
    <w:p>
      <w:pPr>
        <w:spacing w:before="99" w:line="273" w:lineRule="auto"/>
        <w:ind w:right="17" w:firstLine="5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(2)除单一来源采购项目外，为采购项目提供规范编制或者项目管理</w:t>
      </w:r>
      <w:r>
        <w:rPr>
          <w:rFonts w:ascii="黑体" w:hAnsi="黑体" w:eastAsia="黑体" w:cs="黑体"/>
          <w:color w:val="auto"/>
          <w:spacing w:val="2"/>
          <w:sz w:val="21"/>
          <w:szCs w:val="21"/>
          <w:highlight w:val="none"/>
        </w:rPr>
        <w:t>等服务的供应商，不得再参加该</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采购项目的其他采购活动。</w:t>
      </w:r>
    </w:p>
    <w:p>
      <w:pPr>
        <w:spacing w:before="107" w:line="222" w:lineRule="auto"/>
        <w:ind w:left="53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(3)生产厂商授权给供应商后自己不得参加同一合同项下的政府采购活动。</w:t>
      </w:r>
    </w:p>
    <w:p>
      <w:pPr>
        <w:spacing w:before="98" w:line="213" w:lineRule="auto"/>
        <w:ind w:right="22"/>
        <w:jc w:val="right"/>
        <w:rPr>
          <w:rFonts w:ascii="黑体" w:hAnsi="黑体" w:eastAsia="黑体" w:cs="黑体"/>
          <w:color w:val="auto"/>
          <w:sz w:val="21"/>
          <w:szCs w:val="21"/>
          <w:highlight w:val="none"/>
        </w:rPr>
      </w:pPr>
      <w:r>
        <w:rPr>
          <w:rFonts w:ascii="黑体" w:hAnsi="黑体" w:eastAsia="黑体" w:cs="黑体"/>
          <w:color w:val="auto"/>
          <w:sz w:val="21"/>
          <w:szCs w:val="21"/>
          <w:highlight w:val="none"/>
        </w:rPr>
        <w:t>9.3投标人必须仔细阅读招标文件的所有内容，按照招标文件的要求提交投标文件，并对所提</w:t>
      </w:r>
      <w:r>
        <w:rPr>
          <w:rFonts w:ascii="黑体" w:hAnsi="黑体" w:eastAsia="黑体" w:cs="黑体"/>
          <w:color w:val="auto"/>
          <w:spacing w:val="-1"/>
          <w:sz w:val="21"/>
          <w:szCs w:val="21"/>
          <w:highlight w:val="none"/>
        </w:rPr>
        <w:t>供的全部</w:t>
      </w:r>
    </w:p>
    <w:p>
      <w:pPr>
        <w:spacing w:line="213" w:lineRule="auto"/>
        <w:rPr>
          <w:rFonts w:ascii="黑体" w:hAnsi="黑体" w:eastAsia="黑体" w:cs="黑体"/>
          <w:color w:val="auto"/>
          <w:sz w:val="21"/>
          <w:szCs w:val="21"/>
          <w:highlight w:val="none"/>
        </w:rPr>
        <w:sectPr>
          <w:footerReference r:id="rId16" w:type="default"/>
          <w:pgSz w:w="11900" w:h="16830"/>
          <w:pgMar w:top="400" w:right="1054" w:bottom="801" w:left="1039" w:header="0" w:footer="657" w:gutter="0"/>
          <w:cols w:space="720" w:num="1"/>
        </w:sect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21" w:lineRule="auto"/>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资料的真实性承担法律责任。</w:t>
      </w:r>
    </w:p>
    <w:p>
      <w:pPr>
        <w:spacing w:before="89" w:line="321" w:lineRule="auto"/>
        <w:ind w:right="67" w:firstLine="419"/>
        <w:jc w:val="both"/>
        <w:rPr>
          <w:rFonts w:ascii="黑体" w:hAnsi="黑体" w:eastAsia="黑体" w:cs="黑体"/>
          <w:color w:val="auto"/>
          <w:sz w:val="21"/>
          <w:szCs w:val="21"/>
          <w:highlight w:val="none"/>
        </w:rPr>
      </w:pPr>
      <w:r>
        <w:rPr>
          <w:rFonts w:ascii="Times New Roman" w:hAnsi="Times New Roman" w:eastAsia="Times New Roman" w:cs="Times New Roman"/>
          <w:color w:val="auto"/>
          <w:spacing w:val="4"/>
          <w:sz w:val="21"/>
          <w:szCs w:val="21"/>
          <w:highlight w:val="none"/>
        </w:rPr>
        <w:t>9</w:t>
      </w:r>
      <w:r>
        <w:rPr>
          <w:rFonts w:ascii="Times New Roman" w:hAnsi="Times New Roman" w:eastAsia="Times New Roman" w:cs="Times New Roman"/>
          <w:color w:val="auto"/>
          <w:spacing w:val="-9"/>
          <w:sz w:val="21"/>
          <w:szCs w:val="21"/>
          <w:highlight w:val="none"/>
        </w:rPr>
        <w:t xml:space="preserve"> </w:t>
      </w:r>
      <w:r>
        <w:rPr>
          <w:rFonts w:ascii="黑体" w:hAnsi="黑体" w:eastAsia="黑体" w:cs="黑体"/>
          <w:color w:val="auto"/>
          <w:spacing w:val="4"/>
          <w:sz w:val="21"/>
          <w:szCs w:val="21"/>
          <w:highlight w:val="none"/>
        </w:rPr>
        <w:t>.4投标人在投标活动中提供任何虚假材料，其投标无效，并报监管部门查处；中标后发现的</w:t>
      </w:r>
      <w:r>
        <w:rPr>
          <w:rFonts w:ascii="黑体" w:hAnsi="黑体" w:eastAsia="黑体" w:cs="黑体"/>
          <w:color w:val="auto"/>
          <w:spacing w:val="3"/>
          <w:sz w:val="21"/>
          <w:szCs w:val="21"/>
          <w:highlight w:val="none"/>
        </w:rPr>
        <w:t>，中标</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人须依照《中华人民共和国民法典》、《中华人民共和</w:t>
      </w:r>
      <w:r>
        <w:rPr>
          <w:rFonts w:ascii="黑体" w:hAnsi="黑体" w:eastAsia="黑体" w:cs="黑体"/>
          <w:color w:val="auto"/>
          <w:spacing w:val="2"/>
          <w:sz w:val="21"/>
          <w:szCs w:val="21"/>
          <w:highlight w:val="none"/>
        </w:rPr>
        <w:t>国消费者权益保护法》规定赔偿采购人，且民事赔</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偿并不免除违法投标人的行政与刑事责任。</w:t>
      </w:r>
    </w:p>
    <w:p>
      <w:pPr>
        <w:pStyle w:val="3"/>
        <w:spacing w:line="220" w:lineRule="auto"/>
        <w:ind w:left="422"/>
        <w:rPr>
          <w:rFonts w:ascii="黑体" w:hAnsi="黑体" w:eastAsia="黑体" w:cs="黑体"/>
          <w:color w:val="auto"/>
          <w:sz w:val="21"/>
          <w:szCs w:val="21"/>
          <w:highlight w:val="none"/>
        </w:rPr>
      </w:pPr>
      <w:r>
        <w:rPr>
          <w:b/>
          <w:bCs/>
          <w:color w:val="auto"/>
          <w:spacing w:val="-4"/>
          <w:sz w:val="21"/>
          <w:szCs w:val="21"/>
          <w:highlight w:val="none"/>
        </w:rPr>
        <w:t>10.</w:t>
      </w:r>
      <w:r>
        <w:rPr>
          <w:color w:val="auto"/>
          <w:spacing w:val="28"/>
          <w:sz w:val="21"/>
          <w:szCs w:val="21"/>
          <w:highlight w:val="none"/>
        </w:rPr>
        <w:t xml:space="preserve"> </w:t>
      </w:r>
      <w:r>
        <w:rPr>
          <w:rFonts w:ascii="黑体" w:hAnsi="黑体" w:eastAsia="黑体" w:cs="黑体"/>
          <w:b/>
          <w:bCs/>
          <w:color w:val="auto"/>
          <w:spacing w:val="-4"/>
          <w:sz w:val="21"/>
          <w:szCs w:val="21"/>
          <w:highlight w:val="none"/>
        </w:rPr>
        <w:t>质疑和投诉</w:t>
      </w:r>
    </w:p>
    <w:p>
      <w:pPr>
        <w:spacing w:before="94" w:line="315" w:lineRule="auto"/>
        <w:ind w:firstLine="419"/>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10.1投标人认为招标文件使自己的合法权益受到损害的，应当在本项目公告期限届满之日起七个工作</w:t>
      </w:r>
      <w:r>
        <w:rPr>
          <w:rFonts w:ascii="黑体" w:hAnsi="黑体" w:eastAsia="黑体" w:cs="黑体"/>
          <w:color w:val="auto"/>
          <w:spacing w:val="7"/>
          <w:sz w:val="21"/>
          <w:szCs w:val="21"/>
          <w:highlight w:val="none"/>
        </w:rPr>
        <w:t xml:space="preserve">  </w:t>
      </w:r>
      <w:r>
        <w:rPr>
          <w:rFonts w:ascii="黑体" w:hAnsi="黑体" w:eastAsia="黑体" w:cs="黑体"/>
          <w:color w:val="auto"/>
          <w:sz w:val="21"/>
          <w:szCs w:val="21"/>
          <w:highlight w:val="none"/>
        </w:rPr>
        <w:t>日内以书面形式向采购代理机构提出质疑；投</w:t>
      </w:r>
      <w:r>
        <w:rPr>
          <w:rFonts w:ascii="黑体" w:hAnsi="黑体" w:eastAsia="黑体" w:cs="黑体"/>
          <w:color w:val="auto"/>
          <w:spacing w:val="-1"/>
          <w:sz w:val="21"/>
          <w:szCs w:val="21"/>
          <w:highlight w:val="none"/>
        </w:rPr>
        <w:t>标人认为招标过程或中标结果使自己的合法权益受到损害的，</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应当在各采购程序环节结束之日或中标公告期限届满之</w:t>
      </w:r>
      <w:r>
        <w:rPr>
          <w:rFonts w:ascii="黑体" w:hAnsi="黑体" w:eastAsia="黑体" w:cs="黑体"/>
          <w:color w:val="auto"/>
          <w:spacing w:val="2"/>
          <w:sz w:val="21"/>
          <w:szCs w:val="21"/>
          <w:highlight w:val="none"/>
        </w:rPr>
        <w:t>日起七个工作日内，以书面形式向采购代理机构提</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出</w:t>
      </w:r>
      <w:r>
        <w:rPr>
          <w:rFonts w:ascii="黑体" w:hAnsi="黑体" w:eastAsia="黑体" w:cs="黑体"/>
          <w:color w:val="auto"/>
          <w:spacing w:val="-44"/>
          <w:sz w:val="21"/>
          <w:szCs w:val="21"/>
          <w:highlight w:val="none"/>
        </w:rPr>
        <w:t xml:space="preserve"> </w:t>
      </w:r>
      <w:r>
        <w:rPr>
          <w:rFonts w:ascii="黑体" w:hAnsi="黑体" w:eastAsia="黑体" w:cs="黑体"/>
          <w:color w:val="auto"/>
          <w:spacing w:val="1"/>
          <w:sz w:val="21"/>
          <w:szCs w:val="21"/>
          <w:highlight w:val="none"/>
        </w:rPr>
        <w:t>质</w:t>
      </w:r>
      <w:r>
        <w:rPr>
          <w:rFonts w:ascii="黑体" w:hAnsi="黑体" w:eastAsia="黑体" w:cs="黑体"/>
          <w:color w:val="auto"/>
          <w:spacing w:val="-46"/>
          <w:sz w:val="21"/>
          <w:szCs w:val="21"/>
          <w:highlight w:val="none"/>
        </w:rPr>
        <w:t xml:space="preserve"> </w:t>
      </w:r>
      <w:r>
        <w:rPr>
          <w:rFonts w:ascii="黑体" w:hAnsi="黑体" w:eastAsia="黑体" w:cs="黑体"/>
          <w:color w:val="auto"/>
          <w:spacing w:val="1"/>
          <w:sz w:val="21"/>
          <w:szCs w:val="21"/>
          <w:highlight w:val="none"/>
        </w:rPr>
        <w:t>疑 (</w:t>
      </w:r>
      <w:r>
        <w:rPr>
          <w:rFonts w:ascii="黑体" w:hAnsi="黑体" w:eastAsia="黑体" w:cs="黑体"/>
          <w:b/>
          <w:bCs/>
          <w:color w:val="auto"/>
          <w:spacing w:val="1"/>
          <w:sz w:val="21"/>
          <w:szCs w:val="21"/>
          <w:highlight w:val="none"/>
        </w:rPr>
        <w:t>“质疑函”格式见附表1)</w:t>
      </w:r>
      <w:r>
        <w:rPr>
          <w:rFonts w:ascii="黑体" w:hAnsi="黑体" w:eastAsia="黑体" w:cs="黑体"/>
          <w:color w:val="auto"/>
          <w:spacing w:val="1"/>
          <w:sz w:val="21"/>
          <w:szCs w:val="21"/>
          <w:highlight w:val="none"/>
        </w:rPr>
        <w:t>。否则，采购代理机构</w:t>
      </w:r>
      <w:r>
        <w:rPr>
          <w:rFonts w:ascii="黑体" w:hAnsi="黑体" w:eastAsia="黑体" w:cs="黑体"/>
          <w:color w:val="auto"/>
          <w:sz w:val="21"/>
          <w:szCs w:val="21"/>
          <w:highlight w:val="none"/>
        </w:rPr>
        <w:t>有权拒收。</w:t>
      </w:r>
    </w:p>
    <w:p>
      <w:pPr>
        <w:spacing w:before="7" w:line="316" w:lineRule="auto"/>
        <w:ind w:right="87"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采购代理机构应认真做好质疑处理工作，对于质疑供应商在法定质疑期内提出的质疑函，应当在收到</w:t>
      </w:r>
      <w:r>
        <w:rPr>
          <w:rFonts w:ascii="黑体" w:hAnsi="黑体" w:eastAsia="黑体" w:cs="黑体"/>
          <w:color w:val="auto"/>
          <w:spacing w:val="8"/>
          <w:sz w:val="21"/>
          <w:szCs w:val="21"/>
          <w:highlight w:val="none"/>
        </w:rPr>
        <w:t xml:space="preserve"> </w:t>
      </w:r>
      <w:r>
        <w:rPr>
          <w:rFonts w:ascii="黑体" w:hAnsi="黑体" w:eastAsia="黑体" w:cs="黑体"/>
          <w:color w:val="auto"/>
          <w:spacing w:val="3"/>
          <w:sz w:val="21"/>
          <w:szCs w:val="21"/>
          <w:highlight w:val="none"/>
        </w:rPr>
        <w:t>质疑函后7个工作日内作出答复，并以书面形式通知质疑供应商和其他有关供</w:t>
      </w:r>
      <w:r>
        <w:rPr>
          <w:rFonts w:ascii="黑体" w:hAnsi="黑体" w:eastAsia="黑体" w:cs="黑体"/>
          <w:color w:val="auto"/>
          <w:spacing w:val="2"/>
          <w:sz w:val="21"/>
          <w:szCs w:val="21"/>
          <w:highlight w:val="none"/>
        </w:rPr>
        <w:t>应商。</w:t>
      </w:r>
    </w:p>
    <w:p>
      <w:pPr>
        <w:spacing w:before="1" w:line="316" w:lineRule="auto"/>
        <w:ind w:right="95"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投标人在法定质疑期内应一次性提出与项目相关的质疑，投标人在提出与项目相关的质疑前应当做好</w:t>
      </w:r>
      <w:r>
        <w:rPr>
          <w:rFonts w:ascii="黑体" w:hAnsi="黑体" w:eastAsia="黑体" w:cs="黑体"/>
          <w:color w:val="auto"/>
          <w:sz w:val="21"/>
          <w:szCs w:val="21"/>
          <w:highlight w:val="none"/>
        </w:rPr>
        <w:t xml:space="preserve"> 全面且详细的工作，代理机构不再受理投标人针对同一采购程序环节的再次质疑。</w:t>
      </w:r>
    </w:p>
    <w:p>
      <w:pPr>
        <w:spacing w:line="275" w:lineRule="auto"/>
        <w:ind w:right="68"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10.2投标人对采购代理机构的答复不满意或者采购代理机构未在规定的时间内作出答复的，可以在答</w:t>
      </w:r>
      <w:r>
        <w:rPr>
          <w:rFonts w:ascii="黑体" w:hAnsi="黑体" w:eastAsia="黑体" w:cs="黑体"/>
          <w:color w:val="auto"/>
          <w:spacing w:val="10"/>
          <w:sz w:val="21"/>
          <w:szCs w:val="21"/>
          <w:highlight w:val="none"/>
        </w:rPr>
        <w:t xml:space="preserve"> </w:t>
      </w:r>
      <w:r>
        <w:rPr>
          <w:rFonts w:ascii="黑体" w:hAnsi="黑体" w:eastAsia="黑体" w:cs="黑体"/>
          <w:color w:val="auto"/>
          <w:spacing w:val="4"/>
          <w:sz w:val="21"/>
          <w:szCs w:val="21"/>
          <w:highlight w:val="none"/>
        </w:rPr>
        <w:t>复期满后十五个工作日内向</w:t>
      </w:r>
      <w:r>
        <w:rPr>
          <w:rFonts w:hint="eastAsia" w:ascii="黑体" w:hAnsi="黑体" w:eastAsia="黑体" w:cs="黑体"/>
          <w:color w:val="auto"/>
          <w:spacing w:val="4"/>
          <w:sz w:val="21"/>
          <w:szCs w:val="21"/>
          <w:highlight w:val="none"/>
          <w:lang w:eastAsia="zh-CN"/>
        </w:rPr>
        <w:t>桂林市秀峰区政府采购管理办公室</w:t>
      </w:r>
      <w:r>
        <w:rPr>
          <w:rFonts w:ascii="黑体" w:hAnsi="黑体" w:eastAsia="黑体" w:cs="黑体"/>
          <w:color w:val="auto"/>
          <w:spacing w:val="4"/>
          <w:sz w:val="21"/>
          <w:szCs w:val="21"/>
          <w:highlight w:val="none"/>
        </w:rPr>
        <w:t>监督管理部门投诉</w:t>
      </w:r>
      <w:r>
        <w:rPr>
          <w:rFonts w:ascii="黑体" w:hAnsi="黑体" w:eastAsia="黑体" w:cs="黑体"/>
          <w:b/>
          <w:bCs/>
          <w:color w:val="auto"/>
          <w:spacing w:val="4"/>
          <w:sz w:val="21"/>
          <w:szCs w:val="21"/>
          <w:highlight w:val="none"/>
        </w:rPr>
        <w:t>(“投诉书”格式见附表2)</w:t>
      </w:r>
      <w:r>
        <w:rPr>
          <w:rFonts w:ascii="黑体" w:hAnsi="黑体" w:eastAsia="黑体" w:cs="黑体"/>
          <w:color w:val="auto"/>
          <w:spacing w:val="4"/>
          <w:sz w:val="21"/>
          <w:szCs w:val="21"/>
          <w:highlight w:val="none"/>
        </w:rPr>
        <w:t>。</w:t>
      </w:r>
    </w:p>
    <w:p>
      <w:pPr>
        <w:spacing w:before="94" w:line="269" w:lineRule="auto"/>
        <w:ind w:right="127"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10.3质疑、投诉应当采用书面形式，质疑书、投诉书实行实名制，均应明确阐述招标文件、招标过程</w:t>
      </w:r>
      <w:r>
        <w:rPr>
          <w:rFonts w:ascii="黑体" w:hAnsi="黑体" w:eastAsia="黑体" w:cs="黑体"/>
          <w:color w:val="auto"/>
          <w:spacing w:val="10"/>
          <w:sz w:val="21"/>
          <w:szCs w:val="21"/>
          <w:highlight w:val="none"/>
        </w:rPr>
        <w:t xml:space="preserve"> </w:t>
      </w:r>
      <w:r>
        <w:rPr>
          <w:rFonts w:ascii="黑体" w:hAnsi="黑体" w:eastAsia="黑体" w:cs="黑体"/>
          <w:color w:val="auto"/>
          <w:sz w:val="21"/>
          <w:szCs w:val="21"/>
          <w:highlight w:val="none"/>
        </w:rPr>
        <w:t>或中标结果中使自己合法权益受到损害的实质性内容，并提供必要的证明材料。</w:t>
      </w:r>
    </w:p>
    <w:p>
      <w:pPr>
        <w:spacing w:before="108" w:line="321" w:lineRule="auto"/>
        <w:ind w:right="89"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投标人提出质疑应当提交质疑函和必要的证明材料，针对同一采购程序环节的质疑必须在法定质疑期</w:t>
      </w:r>
      <w:r>
        <w:rPr>
          <w:rFonts w:ascii="黑体" w:hAnsi="黑体" w:eastAsia="黑体" w:cs="黑体"/>
          <w:color w:val="auto"/>
          <w:spacing w:val="5"/>
          <w:sz w:val="21"/>
          <w:szCs w:val="21"/>
          <w:highlight w:val="none"/>
        </w:rPr>
        <w:t xml:space="preserve"> </w:t>
      </w:r>
      <w:r>
        <w:rPr>
          <w:rFonts w:ascii="黑体" w:hAnsi="黑体" w:eastAsia="黑体" w:cs="黑体"/>
          <w:color w:val="auto"/>
          <w:spacing w:val="-1"/>
          <w:sz w:val="21"/>
          <w:szCs w:val="21"/>
          <w:highlight w:val="none"/>
        </w:rPr>
        <w:t>内一次性提出。质疑函应当包括下列内容：</w:t>
      </w:r>
    </w:p>
    <w:p>
      <w:pPr>
        <w:spacing w:before="1" w:line="212" w:lineRule="auto"/>
        <w:ind w:left="52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(1)供应商的姓名或者名称、地址、邮编、联系</w:t>
      </w:r>
      <w:r>
        <w:rPr>
          <w:rFonts w:ascii="黑体" w:hAnsi="黑体" w:eastAsia="黑体" w:cs="黑体"/>
          <w:color w:val="auto"/>
          <w:spacing w:val="3"/>
          <w:sz w:val="21"/>
          <w:szCs w:val="21"/>
          <w:highlight w:val="none"/>
        </w:rPr>
        <w:t>人及联系电话；</w:t>
      </w:r>
    </w:p>
    <w:p>
      <w:pPr>
        <w:spacing w:before="108" w:line="213" w:lineRule="auto"/>
        <w:ind w:left="52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(2)质疑项目的名称、编号；</w:t>
      </w:r>
    </w:p>
    <w:p>
      <w:pPr>
        <w:spacing w:before="127" w:line="213" w:lineRule="auto"/>
        <w:ind w:left="52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(3)具体、明确的质疑事项和与质疑事项</w:t>
      </w:r>
      <w:r>
        <w:rPr>
          <w:rFonts w:ascii="黑体" w:hAnsi="黑体" w:eastAsia="黑体" w:cs="黑体"/>
          <w:color w:val="auto"/>
          <w:spacing w:val="4"/>
          <w:sz w:val="21"/>
          <w:szCs w:val="21"/>
          <w:highlight w:val="none"/>
        </w:rPr>
        <w:t>相关的请求；</w:t>
      </w:r>
    </w:p>
    <w:p>
      <w:pPr>
        <w:spacing w:before="118" w:line="213" w:lineRule="auto"/>
        <w:ind w:left="529"/>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(4)事实依据；</w:t>
      </w:r>
    </w:p>
    <w:p>
      <w:pPr>
        <w:spacing w:before="108" w:line="213" w:lineRule="auto"/>
        <w:ind w:left="52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(5)必要的法律依据；</w:t>
      </w:r>
    </w:p>
    <w:p>
      <w:pPr>
        <w:spacing w:before="126" w:line="221" w:lineRule="auto"/>
        <w:ind w:left="52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(6)提出质疑的日期。</w:t>
      </w:r>
    </w:p>
    <w:p>
      <w:pPr>
        <w:spacing w:before="99" w:line="314" w:lineRule="auto"/>
        <w:ind w:right="92"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供应商为自然人的，应当由本人签字；供应商为法人或者其他组织的，应当由法定代表人、主要负责</w:t>
      </w:r>
      <w:r>
        <w:rPr>
          <w:rFonts w:ascii="黑体" w:hAnsi="黑体" w:eastAsia="黑体" w:cs="黑体"/>
          <w:color w:val="auto"/>
          <w:spacing w:val="3"/>
          <w:sz w:val="21"/>
          <w:szCs w:val="21"/>
          <w:highlight w:val="none"/>
        </w:rPr>
        <w:t xml:space="preserve"> </w:t>
      </w:r>
      <w:r>
        <w:rPr>
          <w:rFonts w:ascii="黑体" w:hAnsi="黑体" w:eastAsia="黑体" w:cs="黑体"/>
          <w:color w:val="auto"/>
          <w:spacing w:val="-1"/>
          <w:sz w:val="21"/>
          <w:szCs w:val="21"/>
          <w:highlight w:val="none"/>
        </w:rPr>
        <w:t>人，或者其授权代表签字或者盖章，并加盖公章。</w:t>
      </w:r>
    </w:p>
    <w:p>
      <w:pPr>
        <w:spacing w:before="16" w:line="221" w:lineRule="auto"/>
        <w:ind w:left="41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接收质疑函方式：以书面(原件)形式提交。</w:t>
      </w:r>
    </w:p>
    <w:p>
      <w:pPr>
        <w:spacing w:before="99" w:line="213" w:lineRule="auto"/>
        <w:ind w:left="419"/>
        <w:rPr>
          <w:color w:val="auto"/>
          <w:sz w:val="21"/>
          <w:szCs w:val="21"/>
          <w:highlight w:val="none"/>
        </w:rPr>
      </w:pPr>
      <w:r>
        <w:rPr>
          <w:rFonts w:ascii="黑体" w:hAnsi="黑体" w:eastAsia="黑体" w:cs="黑体"/>
          <w:color w:val="auto"/>
          <w:spacing w:val="2"/>
          <w:sz w:val="21"/>
          <w:szCs w:val="21"/>
          <w:highlight w:val="none"/>
        </w:rPr>
        <w:t>质疑联系部门及联系方式：</w:t>
      </w:r>
      <w:r>
        <w:rPr>
          <w:rFonts w:hint="eastAsia" w:ascii="黑体" w:hAnsi="黑体" w:eastAsia="黑体" w:cs="黑体"/>
          <w:color w:val="auto"/>
          <w:spacing w:val="2"/>
          <w:sz w:val="21"/>
          <w:szCs w:val="21"/>
          <w:highlight w:val="none"/>
          <w:lang w:eastAsia="zh-CN"/>
        </w:rPr>
        <w:t>广西泰新工程信息咨询有限公司</w:t>
      </w:r>
      <w:r>
        <w:rPr>
          <w:rFonts w:ascii="黑体" w:hAnsi="黑体" w:eastAsia="黑体" w:cs="黑体"/>
          <w:color w:val="auto"/>
          <w:spacing w:val="2"/>
          <w:sz w:val="21"/>
          <w:szCs w:val="21"/>
          <w:highlight w:val="none"/>
        </w:rPr>
        <w:t>，联系人</w:t>
      </w:r>
      <w:r>
        <w:rPr>
          <w:rFonts w:ascii="黑体" w:hAnsi="黑体" w:eastAsia="黑体" w:cs="黑体"/>
          <w:color w:val="auto"/>
          <w:spacing w:val="1"/>
          <w:sz w:val="21"/>
          <w:szCs w:val="21"/>
          <w:highlight w:val="none"/>
        </w:rPr>
        <w:t>：</w:t>
      </w:r>
      <w:r>
        <w:rPr>
          <w:rFonts w:hint="eastAsia" w:ascii="黑体" w:hAnsi="黑体" w:eastAsia="黑体" w:cs="黑体"/>
          <w:color w:val="auto"/>
          <w:spacing w:val="1"/>
          <w:sz w:val="21"/>
          <w:szCs w:val="21"/>
          <w:highlight w:val="none"/>
          <w:lang w:val="en-US" w:eastAsia="zh-CN"/>
        </w:rPr>
        <w:t>董工</w:t>
      </w:r>
      <w:r>
        <w:rPr>
          <w:rFonts w:ascii="黑体" w:hAnsi="黑体" w:eastAsia="黑体" w:cs="黑体"/>
          <w:color w:val="auto"/>
          <w:spacing w:val="1"/>
          <w:sz w:val="21"/>
          <w:szCs w:val="21"/>
          <w:highlight w:val="none"/>
        </w:rPr>
        <w:t>，联系电话：</w:t>
      </w:r>
      <w:r>
        <w:rPr>
          <w:rFonts w:hint="eastAsia" w:ascii="Times New Roman" w:hAnsi="Times New Roman" w:cs="Times New Roman"/>
          <w:color w:val="auto"/>
          <w:spacing w:val="-3"/>
          <w:sz w:val="21"/>
          <w:szCs w:val="21"/>
          <w:highlight w:val="none"/>
          <w:lang w:val="en-US" w:eastAsia="zh-CN"/>
        </w:rPr>
        <w:t>15907877089</w:t>
      </w:r>
      <w:r>
        <w:rPr>
          <w:color w:val="auto"/>
          <w:spacing w:val="-3"/>
          <w:sz w:val="21"/>
          <w:szCs w:val="21"/>
          <w:highlight w:val="none"/>
        </w:rPr>
        <w:t>。</w:t>
      </w:r>
    </w:p>
    <w:p>
      <w:pPr>
        <w:pStyle w:val="3"/>
        <w:spacing w:line="240" w:lineRule="auto"/>
        <w:ind w:left="0" w:firstLine="448" w:firstLineChars="200"/>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通讯地址：</w:t>
      </w:r>
      <w:r>
        <w:rPr>
          <w:rFonts w:hint="eastAsia" w:ascii="黑体" w:hAnsi="黑体" w:eastAsia="黑体" w:cs="黑体"/>
          <w:color w:val="auto"/>
          <w:spacing w:val="7"/>
          <w:sz w:val="21"/>
          <w:szCs w:val="21"/>
          <w:highlight w:val="none"/>
          <w:lang w:eastAsia="zh-CN"/>
        </w:rPr>
        <w:t>桂林市秀峰区红岭路1号桂林华润中心项目南区4栋C栋C座9-07办公</w:t>
      </w:r>
      <w:r>
        <w:rPr>
          <w:rFonts w:ascii="黑体" w:hAnsi="黑体" w:eastAsia="黑体" w:cs="黑体"/>
          <w:color w:val="auto"/>
          <w:spacing w:val="7"/>
          <w:sz w:val="21"/>
          <w:szCs w:val="21"/>
          <w:highlight w:val="none"/>
        </w:rPr>
        <w:t xml:space="preserve"> </w:t>
      </w:r>
    </w:p>
    <w:p>
      <w:pPr>
        <w:spacing w:line="240" w:lineRule="auto"/>
        <w:ind w:left="0"/>
        <w:rPr>
          <w:rFonts w:ascii="Arial"/>
          <w:color w:val="auto"/>
          <w:sz w:val="21"/>
          <w:highlight w:val="none"/>
        </w:rPr>
      </w:pPr>
    </w:p>
    <w:p>
      <w:pPr>
        <w:pStyle w:val="3"/>
        <w:spacing w:before="95" w:line="219" w:lineRule="auto"/>
        <w:ind w:left="4284"/>
        <w:rPr>
          <w:color w:val="auto"/>
          <w:sz w:val="29"/>
          <w:szCs w:val="29"/>
          <w:highlight w:val="none"/>
        </w:rPr>
      </w:pPr>
      <w:r>
        <w:rPr>
          <w:b/>
          <w:bCs/>
          <w:color w:val="auto"/>
          <w:spacing w:val="-13"/>
          <w:sz w:val="29"/>
          <w:szCs w:val="29"/>
          <w:highlight w:val="none"/>
        </w:rPr>
        <w:t>二、招标文件</w:t>
      </w:r>
    </w:p>
    <w:p>
      <w:pPr>
        <w:pStyle w:val="3"/>
        <w:spacing w:before="52" w:line="222" w:lineRule="auto"/>
        <w:ind w:left="422"/>
        <w:rPr>
          <w:rFonts w:ascii="黑体" w:hAnsi="黑体" w:eastAsia="黑体" w:cs="黑体"/>
          <w:color w:val="auto"/>
          <w:sz w:val="21"/>
          <w:szCs w:val="21"/>
          <w:highlight w:val="none"/>
        </w:rPr>
      </w:pPr>
      <w:r>
        <w:rPr>
          <w:b/>
          <w:bCs/>
          <w:color w:val="auto"/>
          <w:spacing w:val="-1"/>
          <w:sz w:val="21"/>
          <w:szCs w:val="21"/>
          <w:highlight w:val="none"/>
        </w:rPr>
        <w:t>11.</w:t>
      </w:r>
      <w:r>
        <w:rPr>
          <w:color w:val="auto"/>
          <w:spacing w:val="-1"/>
          <w:sz w:val="21"/>
          <w:szCs w:val="21"/>
          <w:highlight w:val="none"/>
        </w:rPr>
        <w:t xml:space="preserve"> </w:t>
      </w:r>
      <w:r>
        <w:rPr>
          <w:rFonts w:ascii="黑体" w:hAnsi="黑体" w:eastAsia="黑体" w:cs="黑体"/>
          <w:b/>
          <w:bCs/>
          <w:color w:val="auto"/>
          <w:spacing w:val="-1"/>
          <w:sz w:val="21"/>
          <w:szCs w:val="21"/>
          <w:highlight w:val="none"/>
        </w:rPr>
        <w:t>招标文件的构成</w:t>
      </w:r>
    </w:p>
    <w:p>
      <w:pPr>
        <w:spacing w:before="101" w:line="213" w:lineRule="auto"/>
        <w:ind w:left="529"/>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(1)招标公告；</w:t>
      </w:r>
    </w:p>
    <w:p>
      <w:pPr>
        <w:spacing w:before="108" w:line="213" w:lineRule="auto"/>
        <w:ind w:left="52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(2)投标人须知；</w:t>
      </w:r>
    </w:p>
    <w:p>
      <w:pPr>
        <w:spacing w:before="118" w:line="213" w:lineRule="auto"/>
        <w:ind w:left="529"/>
        <w:rPr>
          <w:rFonts w:ascii="黑体" w:hAnsi="黑体" w:eastAsia="黑体" w:cs="黑体"/>
          <w:color w:val="auto"/>
          <w:sz w:val="21"/>
          <w:szCs w:val="21"/>
          <w:highlight w:val="none"/>
        </w:rPr>
      </w:pPr>
      <w:r>
        <w:rPr>
          <w:rFonts w:ascii="黑体" w:hAnsi="黑体" w:eastAsia="黑体" w:cs="黑体"/>
          <w:color w:val="auto"/>
          <w:spacing w:val="11"/>
          <w:sz w:val="21"/>
          <w:szCs w:val="21"/>
          <w:highlight w:val="none"/>
        </w:rPr>
        <w:t>(3)项目需求；</w:t>
      </w:r>
    </w:p>
    <w:p>
      <w:pPr>
        <w:spacing w:before="127" w:line="213" w:lineRule="auto"/>
        <w:ind w:left="529"/>
        <w:rPr>
          <w:rFonts w:ascii="黑体" w:hAnsi="黑体" w:eastAsia="黑体" w:cs="黑体"/>
          <w:color w:val="auto"/>
          <w:sz w:val="21"/>
          <w:szCs w:val="21"/>
          <w:highlight w:val="none"/>
        </w:rPr>
      </w:pPr>
      <w:r>
        <w:rPr>
          <w:rFonts w:ascii="黑体" w:hAnsi="黑体" w:eastAsia="黑体" w:cs="黑体"/>
          <w:color w:val="auto"/>
          <w:spacing w:val="11"/>
          <w:sz w:val="21"/>
          <w:szCs w:val="21"/>
          <w:highlight w:val="none"/>
        </w:rPr>
        <w:t>(4)评标办法；</w:t>
      </w:r>
    </w:p>
    <w:p>
      <w:pPr>
        <w:spacing w:line="213" w:lineRule="auto"/>
        <w:rPr>
          <w:rFonts w:ascii="黑体" w:hAnsi="黑体" w:eastAsia="黑体" w:cs="黑体"/>
          <w:color w:val="auto"/>
          <w:sz w:val="21"/>
          <w:szCs w:val="21"/>
          <w:highlight w:val="none"/>
        </w:rPr>
        <w:sectPr>
          <w:footerReference r:id="rId17" w:type="default"/>
          <w:pgSz w:w="11900" w:h="16830"/>
          <w:pgMar w:top="400" w:right="1005" w:bottom="802" w:left="1050" w:header="0" w:footer="667" w:gutter="0"/>
          <w:cols w:space="720" w:num="1"/>
        </w:sect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before="69" w:line="222" w:lineRule="auto"/>
        <w:ind w:left="519"/>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(5)政府采购合同(合同主要条款及格式);</w:t>
      </w:r>
    </w:p>
    <w:p>
      <w:pPr>
        <w:spacing w:before="116" w:line="222" w:lineRule="auto"/>
        <w:ind w:left="519"/>
        <w:rPr>
          <w:rFonts w:ascii="黑体" w:hAnsi="黑体" w:eastAsia="黑体" w:cs="黑体"/>
          <w:color w:val="auto"/>
          <w:sz w:val="21"/>
          <w:szCs w:val="21"/>
          <w:highlight w:val="none"/>
        </w:rPr>
      </w:pPr>
      <w:r>
        <w:rPr>
          <w:rFonts w:ascii="黑体" w:hAnsi="黑体" w:eastAsia="黑体" w:cs="黑体"/>
          <w:color w:val="auto"/>
          <w:spacing w:val="26"/>
          <w:sz w:val="21"/>
          <w:szCs w:val="21"/>
          <w:highlight w:val="none"/>
        </w:rPr>
        <w:t>(6)投标文件(格式)。</w:t>
      </w:r>
    </w:p>
    <w:p>
      <w:pPr>
        <w:pStyle w:val="3"/>
        <w:spacing w:before="84" w:line="222" w:lineRule="auto"/>
        <w:ind w:left="422"/>
        <w:rPr>
          <w:rFonts w:ascii="黑体" w:hAnsi="黑体" w:eastAsia="黑体" w:cs="黑体"/>
          <w:color w:val="auto"/>
          <w:sz w:val="21"/>
          <w:szCs w:val="21"/>
          <w:highlight w:val="none"/>
        </w:rPr>
      </w:pPr>
      <w:r>
        <w:rPr>
          <w:b/>
          <w:bCs/>
          <w:color w:val="auto"/>
          <w:spacing w:val="-3"/>
          <w:sz w:val="21"/>
          <w:szCs w:val="21"/>
          <w:highlight w:val="none"/>
        </w:rPr>
        <w:t>12.</w:t>
      </w:r>
      <w:r>
        <w:rPr>
          <w:color w:val="auto"/>
          <w:spacing w:val="-3"/>
          <w:sz w:val="21"/>
          <w:szCs w:val="21"/>
          <w:highlight w:val="none"/>
        </w:rPr>
        <w:t xml:space="preserve"> </w:t>
      </w:r>
      <w:r>
        <w:rPr>
          <w:rFonts w:ascii="黑体" w:hAnsi="黑体" w:eastAsia="黑体" w:cs="黑体"/>
          <w:b/>
          <w:bCs/>
          <w:color w:val="auto"/>
          <w:spacing w:val="-3"/>
          <w:sz w:val="21"/>
          <w:szCs w:val="21"/>
          <w:highlight w:val="none"/>
        </w:rPr>
        <w:t>招标文件的澄清与修改</w:t>
      </w:r>
    </w:p>
    <w:p>
      <w:pPr>
        <w:spacing w:before="110" w:line="273" w:lineRule="auto"/>
        <w:ind w:right="90"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12.1投标人必须认真阅读招标文件，发现其中有误或有不合理要求的，投标人必</w:t>
      </w:r>
      <w:r>
        <w:rPr>
          <w:rFonts w:ascii="黑体" w:hAnsi="黑体" w:eastAsia="黑体" w:cs="黑体"/>
          <w:color w:val="auto"/>
          <w:spacing w:val="1"/>
          <w:sz w:val="21"/>
          <w:szCs w:val="21"/>
          <w:highlight w:val="none"/>
        </w:rPr>
        <w:t>须在在本项目公告期</w:t>
      </w:r>
      <w:r>
        <w:rPr>
          <w:rFonts w:ascii="黑体" w:hAnsi="黑体" w:eastAsia="黑体" w:cs="黑体"/>
          <w:color w:val="auto"/>
          <w:sz w:val="21"/>
          <w:szCs w:val="21"/>
          <w:highlight w:val="none"/>
        </w:rPr>
        <w:t xml:space="preserve"> 限届满之日起七个工作日内以书面形式要求采购代理机构澄清。</w:t>
      </w:r>
    </w:p>
    <w:p>
      <w:pPr>
        <w:spacing w:before="98" w:line="300" w:lineRule="auto"/>
        <w:ind w:right="59"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12.2采购代理机构可以对已发出的招标文件进行必要的澄清或</w:t>
      </w:r>
      <w:r>
        <w:rPr>
          <w:rFonts w:ascii="黑体" w:hAnsi="黑体" w:eastAsia="黑体" w:cs="黑体"/>
          <w:color w:val="auto"/>
          <w:spacing w:val="1"/>
          <w:sz w:val="21"/>
          <w:szCs w:val="21"/>
          <w:highlight w:val="none"/>
        </w:rPr>
        <w:t>者修改，但不得改变采购标的和资格条</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件。澄清或者修改应当在原公告发布媒体上发布</w:t>
      </w:r>
      <w:r>
        <w:rPr>
          <w:rFonts w:ascii="黑体" w:hAnsi="黑体" w:eastAsia="黑体" w:cs="黑体"/>
          <w:color w:val="auto"/>
          <w:spacing w:val="2"/>
          <w:sz w:val="21"/>
          <w:szCs w:val="21"/>
          <w:highlight w:val="none"/>
        </w:rPr>
        <w:t>澄清公告。澄清或者修改的内容为招标文件的组成部分。</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澄清或者修改的内容可能影响投标文件编制的，采购代理机构应当在投标截止时间至少15日前在本招标项</w:t>
      </w:r>
      <w:r>
        <w:rPr>
          <w:rFonts w:ascii="黑体" w:hAnsi="黑体" w:eastAsia="黑体" w:cs="黑体"/>
          <w:color w:val="auto"/>
          <w:spacing w:val="17"/>
          <w:sz w:val="21"/>
          <w:szCs w:val="21"/>
          <w:highlight w:val="none"/>
        </w:rPr>
        <w:t xml:space="preserve"> </w:t>
      </w:r>
      <w:r>
        <w:rPr>
          <w:rFonts w:ascii="黑体" w:hAnsi="黑体" w:eastAsia="黑体" w:cs="黑体"/>
          <w:color w:val="auto"/>
          <w:spacing w:val="2"/>
          <w:sz w:val="21"/>
          <w:szCs w:val="21"/>
          <w:highlight w:val="none"/>
        </w:rPr>
        <w:t>目招标公告发布的同一媒体上发布更正公告；不足15日的，采</w:t>
      </w:r>
      <w:r>
        <w:rPr>
          <w:rFonts w:ascii="黑体" w:hAnsi="黑体" w:eastAsia="黑体" w:cs="黑体"/>
          <w:color w:val="auto"/>
          <w:spacing w:val="1"/>
          <w:sz w:val="21"/>
          <w:szCs w:val="21"/>
          <w:highlight w:val="none"/>
        </w:rPr>
        <w:t>购代理机构应当顺延提交投标文件的截止时</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间</w:t>
      </w:r>
      <w:r>
        <w:rPr>
          <w:rFonts w:ascii="黑体" w:hAnsi="黑体" w:eastAsia="黑体" w:cs="黑体"/>
          <w:color w:val="auto"/>
          <w:spacing w:val="-44"/>
          <w:sz w:val="21"/>
          <w:szCs w:val="21"/>
          <w:highlight w:val="none"/>
        </w:rPr>
        <w:t xml:space="preserve"> </w:t>
      </w:r>
      <w:r>
        <w:rPr>
          <w:rFonts w:ascii="黑体" w:hAnsi="黑体" w:eastAsia="黑体" w:cs="黑体"/>
          <w:color w:val="auto"/>
          <w:spacing w:val="-10"/>
          <w:sz w:val="21"/>
          <w:szCs w:val="21"/>
          <w:highlight w:val="none"/>
        </w:rPr>
        <w:t>。</w:t>
      </w:r>
    </w:p>
    <w:p>
      <w:pPr>
        <w:spacing w:before="95" w:line="287" w:lineRule="auto"/>
        <w:ind w:right="47"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12.3投标人应实时关注本项目公告相关网站了解澄清、修改等与</w:t>
      </w:r>
      <w:r>
        <w:rPr>
          <w:rFonts w:ascii="黑体" w:hAnsi="黑体" w:eastAsia="黑体" w:cs="黑体"/>
          <w:color w:val="auto"/>
          <w:spacing w:val="1"/>
          <w:sz w:val="21"/>
          <w:szCs w:val="21"/>
          <w:highlight w:val="none"/>
        </w:rPr>
        <w:t>项目有关的内容，如因投标人未及时</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登录本项目公告相关网站了解澄清、修改等与项目有关的内容，从而导致投标</w:t>
      </w:r>
      <w:r>
        <w:rPr>
          <w:rFonts w:ascii="黑体" w:hAnsi="黑体" w:eastAsia="黑体" w:cs="黑体"/>
          <w:color w:val="auto"/>
          <w:spacing w:val="2"/>
          <w:sz w:val="21"/>
          <w:szCs w:val="21"/>
          <w:highlight w:val="none"/>
        </w:rPr>
        <w:t>无效的，由投标人自行承担</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责任。</w:t>
      </w:r>
    </w:p>
    <w:p>
      <w:pPr>
        <w:spacing w:before="99" w:line="273" w:lineRule="auto"/>
        <w:ind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12.4必要的澄清、修改的内容为招标文件的组成部分。当澄清、修改通知就同一内容的表述不一致时，</w:t>
      </w:r>
      <w:r>
        <w:rPr>
          <w:rFonts w:ascii="黑体" w:hAnsi="黑体" w:eastAsia="黑体" w:cs="黑体"/>
          <w:color w:val="auto"/>
          <w:spacing w:val="10"/>
          <w:sz w:val="21"/>
          <w:szCs w:val="21"/>
          <w:highlight w:val="none"/>
        </w:rPr>
        <w:t xml:space="preserve"> </w:t>
      </w:r>
      <w:r>
        <w:rPr>
          <w:rFonts w:ascii="黑体" w:hAnsi="黑体" w:eastAsia="黑体" w:cs="黑体"/>
          <w:color w:val="auto"/>
          <w:spacing w:val="1"/>
          <w:sz w:val="21"/>
          <w:szCs w:val="21"/>
          <w:highlight w:val="none"/>
        </w:rPr>
        <w:t>以最后发出的书面文件为准。</w:t>
      </w:r>
    </w:p>
    <w:p>
      <w:pPr>
        <w:spacing w:before="99" w:line="269" w:lineRule="auto"/>
        <w:ind w:right="94"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12.5招标文件的澄清、修改都应该通过采购代理机构以法定形式发布，</w:t>
      </w:r>
      <w:r>
        <w:rPr>
          <w:rFonts w:ascii="黑体" w:hAnsi="黑体" w:eastAsia="黑体" w:cs="黑体"/>
          <w:color w:val="auto"/>
          <w:spacing w:val="1"/>
          <w:sz w:val="21"/>
          <w:szCs w:val="21"/>
          <w:highlight w:val="none"/>
        </w:rPr>
        <w:t>采购人非通过本机构，不得擅</w:t>
      </w:r>
      <w:r>
        <w:rPr>
          <w:rFonts w:ascii="黑体" w:hAnsi="黑体" w:eastAsia="黑体" w:cs="黑体"/>
          <w:color w:val="auto"/>
          <w:sz w:val="21"/>
          <w:szCs w:val="21"/>
          <w:highlight w:val="none"/>
        </w:rPr>
        <w:t xml:space="preserve"> 自澄清、修改招标文件。</w:t>
      </w:r>
    </w:p>
    <w:p>
      <w:pPr>
        <w:spacing w:before="109" w:line="268" w:lineRule="auto"/>
        <w:ind w:right="98"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12.6采购人或者采购代理机构可以视采购具体情况，延长投标</w:t>
      </w:r>
      <w:r>
        <w:rPr>
          <w:rFonts w:ascii="黑体" w:hAnsi="黑体" w:eastAsia="黑体" w:cs="黑体"/>
          <w:color w:val="auto"/>
          <w:spacing w:val="1"/>
          <w:sz w:val="21"/>
          <w:szCs w:val="21"/>
          <w:highlight w:val="none"/>
        </w:rPr>
        <w:t>截止时间和开标时间，并在本项目招标</w:t>
      </w:r>
      <w:r>
        <w:rPr>
          <w:rFonts w:ascii="黑体" w:hAnsi="黑体" w:eastAsia="黑体" w:cs="黑体"/>
          <w:color w:val="auto"/>
          <w:sz w:val="21"/>
          <w:szCs w:val="21"/>
          <w:highlight w:val="none"/>
        </w:rPr>
        <w:t xml:space="preserve"> 公告发布的同一媒体上发布变更公告。</w:t>
      </w:r>
    </w:p>
    <w:p>
      <w:pPr>
        <w:spacing w:line="336" w:lineRule="auto"/>
        <w:rPr>
          <w:rFonts w:ascii="Arial"/>
          <w:color w:val="auto"/>
          <w:sz w:val="21"/>
          <w:highlight w:val="none"/>
        </w:rPr>
      </w:pPr>
    </w:p>
    <w:p>
      <w:pPr>
        <w:pStyle w:val="3"/>
        <w:spacing w:before="92" w:line="219" w:lineRule="auto"/>
        <w:ind w:left="3864"/>
        <w:rPr>
          <w:color w:val="auto"/>
          <w:sz w:val="28"/>
          <w:szCs w:val="28"/>
          <w:highlight w:val="none"/>
        </w:rPr>
      </w:pPr>
      <w:r>
        <w:rPr>
          <w:b/>
          <w:bCs/>
          <w:color w:val="auto"/>
          <w:spacing w:val="-1"/>
          <w:sz w:val="28"/>
          <w:szCs w:val="28"/>
          <w:highlight w:val="none"/>
        </w:rPr>
        <w:t>三、投标文件的编制</w:t>
      </w:r>
    </w:p>
    <w:p>
      <w:pPr>
        <w:pStyle w:val="3"/>
        <w:spacing w:before="74" w:line="222" w:lineRule="auto"/>
        <w:ind w:left="422"/>
        <w:rPr>
          <w:rFonts w:ascii="黑体" w:hAnsi="黑体" w:eastAsia="黑体" w:cs="黑体"/>
          <w:color w:val="auto"/>
          <w:sz w:val="21"/>
          <w:szCs w:val="21"/>
          <w:highlight w:val="none"/>
        </w:rPr>
      </w:pPr>
      <w:r>
        <w:rPr>
          <w:b/>
          <w:bCs/>
          <w:color w:val="auto"/>
          <w:spacing w:val="-3"/>
          <w:sz w:val="21"/>
          <w:szCs w:val="21"/>
          <w:highlight w:val="none"/>
        </w:rPr>
        <w:t>13.</w:t>
      </w:r>
      <w:r>
        <w:rPr>
          <w:color w:val="auto"/>
          <w:spacing w:val="-3"/>
          <w:sz w:val="21"/>
          <w:szCs w:val="21"/>
          <w:highlight w:val="none"/>
        </w:rPr>
        <w:t xml:space="preserve"> </w:t>
      </w:r>
      <w:r>
        <w:rPr>
          <w:rFonts w:ascii="黑体" w:hAnsi="黑体" w:eastAsia="黑体" w:cs="黑体"/>
          <w:b/>
          <w:bCs/>
          <w:color w:val="auto"/>
          <w:spacing w:val="-3"/>
          <w:sz w:val="21"/>
          <w:szCs w:val="21"/>
          <w:highlight w:val="none"/>
        </w:rPr>
        <w:t>投标文件的组成及要求</w:t>
      </w:r>
    </w:p>
    <w:p>
      <w:pPr>
        <w:spacing w:before="107" w:line="221" w:lineRule="auto"/>
        <w:ind w:left="422"/>
        <w:rPr>
          <w:rFonts w:ascii="黑体" w:hAnsi="黑体" w:eastAsia="黑体" w:cs="黑体"/>
          <w:color w:val="auto"/>
          <w:sz w:val="21"/>
          <w:szCs w:val="21"/>
          <w:highlight w:val="none"/>
        </w:rPr>
      </w:pPr>
      <w:r>
        <w:rPr>
          <w:rFonts w:ascii="黑体" w:hAnsi="黑体" w:eastAsia="黑体" w:cs="黑体"/>
          <w:b/>
          <w:bCs/>
          <w:color w:val="auto"/>
          <w:spacing w:val="9"/>
          <w:sz w:val="21"/>
          <w:szCs w:val="21"/>
          <w:highlight w:val="none"/>
        </w:rPr>
        <w:t>13.1投标文件组成【格式见第六章“投标文件</w:t>
      </w:r>
      <w:r>
        <w:rPr>
          <w:rFonts w:ascii="黑体" w:hAnsi="黑体" w:eastAsia="黑体" w:cs="黑体"/>
          <w:b/>
          <w:bCs/>
          <w:color w:val="auto"/>
          <w:spacing w:val="8"/>
          <w:sz w:val="21"/>
          <w:szCs w:val="21"/>
          <w:highlight w:val="none"/>
        </w:rPr>
        <w:t>(格式)”】</w:t>
      </w:r>
    </w:p>
    <w:p>
      <w:pPr>
        <w:spacing w:before="108" w:line="221" w:lineRule="auto"/>
        <w:ind w:left="422"/>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13.1.1资格性响应证明材料：</w:t>
      </w:r>
    </w:p>
    <w:p>
      <w:pPr>
        <w:spacing w:before="112" w:line="221" w:lineRule="auto"/>
        <w:ind w:left="519"/>
        <w:rPr>
          <w:rFonts w:ascii="黑体" w:hAnsi="黑体" w:eastAsia="黑体" w:cs="黑体"/>
          <w:color w:val="auto"/>
          <w:sz w:val="21"/>
          <w:szCs w:val="21"/>
          <w:highlight w:val="none"/>
        </w:rPr>
      </w:pPr>
      <w:r>
        <w:rPr>
          <w:rFonts w:ascii="黑体" w:hAnsi="黑体" w:eastAsia="黑体" w:cs="黑体"/>
          <w:color w:val="auto"/>
          <w:spacing w:val="11"/>
          <w:sz w:val="21"/>
          <w:szCs w:val="21"/>
          <w:highlight w:val="none"/>
        </w:rPr>
        <w:t>(1)供应商相应的法定代表人或负责人身份证正反面复印件(必须提供);</w:t>
      </w:r>
    </w:p>
    <w:p>
      <w:pPr>
        <w:spacing w:before="110" w:line="273" w:lineRule="auto"/>
        <w:ind w:right="66" w:firstLine="5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(2)供应商的授权委托书原件、委托代理人身份证正反面复印件以及由县级以上(含县级)养老保险</w:t>
      </w:r>
      <w:r>
        <w:rPr>
          <w:rFonts w:ascii="黑体" w:hAnsi="黑体" w:eastAsia="黑体" w:cs="黑体"/>
          <w:color w:val="auto"/>
          <w:spacing w:val="5"/>
          <w:sz w:val="21"/>
          <w:szCs w:val="21"/>
          <w:highlight w:val="none"/>
        </w:rPr>
        <w:t xml:space="preserve"> </w:t>
      </w:r>
      <w:r>
        <w:rPr>
          <w:rFonts w:ascii="黑体" w:hAnsi="黑体" w:eastAsia="黑体" w:cs="黑体"/>
          <w:color w:val="auto"/>
          <w:spacing w:val="7"/>
          <w:sz w:val="21"/>
          <w:szCs w:val="21"/>
          <w:highlight w:val="none"/>
        </w:rPr>
        <w:t>经办机构出具的供应商为委托代理人交纳的2025年任意连续3</w:t>
      </w:r>
      <w:r>
        <w:rPr>
          <w:rFonts w:ascii="黑体" w:hAnsi="黑体" w:eastAsia="黑体" w:cs="黑体"/>
          <w:color w:val="auto"/>
          <w:spacing w:val="6"/>
          <w:sz w:val="21"/>
          <w:szCs w:val="21"/>
          <w:highlight w:val="none"/>
        </w:rPr>
        <w:t>个月的养老保险证明复印件(委托代理时必</w:t>
      </w:r>
      <w:r>
        <w:rPr>
          <w:rFonts w:ascii="黑体" w:hAnsi="黑体" w:eastAsia="黑体" w:cs="黑体"/>
          <w:color w:val="auto"/>
          <w:sz w:val="21"/>
          <w:szCs w:val="21"/>
          <w:highlight w:val="none"/>
        </w:rPr>
        <w:t xml:space="preserve"> </w:t>
      </w:r>
      <w:r>
        <w:rPr>
          <w:rFonts w:ascii="黑体" w:hAnsi="黑体" w:eastAsia="黑体" w:cs="黑体"/>
          <w:color w:val="auto"/>
          <w:spacing w:val="7"/>
          <w:sz w:val="21"/>
          <w:szCs w:val="21"/>
          <w:highlight w:val="none"/>
        </w:rPr>
        <w:t>须提供；若为新成立的企业，请根据实际情况</w:t>
      </w:r>
      <w:r>
        <w:rPr>
          <w:rFonts w:ascii="黑体" w:hAnsi="黑体" w:eastAsia="黑体" w:cs="黑体"/>
          <w:color w:val="auto"/>
          <w:spacing w:val="6"/>
          <w:sz w:val="21"/>
          <w:szCs w:val="21"/>
          <w:highlight w:val="none"/>
        </w:rPr>
        <w:t>提供);</w:t>
      </w:r>
    </w:p>
    <w:p>
      <w:pPr>
        <w:spacing w:before="141" w:line="316" w:lineRule="auto"/>
        <w:ind w:right="142" w:firstLine="419"/>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注：①供应商为截标时间前60日以内成立的企业，可以提供供应商与</w:t>
      </w:r>
      <w:r>
        <w:rPr>
          <w:rFonts w:ascii="黑体" w:hAnsi="黑体" w:eastAsia="黑体" w:cs="黑体"/>
          <w:color w:val="auto"/>
          <w:sz w:val="21"/>
          <w:szCs w:val="21"/>
          <w:highlight w:val="none"/>
        </w:rPr>
        <w:t xml:space="preserve">委托代理人签订的劳动合同复印 </w:t>
      </w:r>
      <w:r>
        <w:rPr>
          <w:rFonts w:ascii="黑体" w:hAnsi="黑体" w:eastAsia="黑体" w:cs="黑体"/>
          <w:color w:val="auto"/>
          <w:spacing w:val="1"/>
          <w:sz w:val="21"/>
          <w:szCs w:val="21"/>
          <w:highlight w:val="none"/>
        </w:rPr>
        <w:t>件代替社保证明复印件；②委托代理人为免缴纳社保人员，提供</w:t>
      </w:r>
      <w:r>
        <w:rPr>
          <w:rFonts w:ascii="黑体" w:hAnsi="黑体" w:eastAsia="黑体" w:cs="黑体"/>
          <w:color w:val="auto"/>
          <w:sz w:val="21"/>
          <w:szCs w:val="21"/>
          <w:highlight w:val="none"/>
        </w:rPr>
        <w:t xml:space="preserve">免缴纳社保的证明材料复印件及供应商与 </w:t>
      </w:r>
      <w:r>
        <w:rPr>
          <w:rFonts w:ascii="黑体" w:hAnsi="黑体" w:eastAsia="黑体" w:cs="黑体"/>
          <w:color w:val="auto"/>
          <w:spacing w:val="4"/>
          <w:sz w:val="21"/>
          <w:szCs w:val="21"/>
          <w:highlight w:val="none"/>
        </w:rPr>
        <w:t>委托代理人签订的劳动合同复印件代替社保证明复印件；③自然人投标的，应提供由县级以上</w:t>
      </w:r>
      <w:r>
        <w:rPr>
          <w:rFonts w:ascii="黑体" w:hAnsi="黑体" w:eastAsia="黑体" w:cs="黑体"/>
          <w:color w:val="auto"/>
          <w:spacing w:val="3"/>
          <w:sz w:val="21"/>
          <w:szCs w:val="21"/>
          <w:highlight w:val="none"/>
        </w:rPr>
        <w:t>(含县级)</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社会保险经办机构出具的自然人本人及委托代理人所交纳的开标截</w:t>
      </w:r>
      <w:r>
        <w:rPr>
          <w:rFonts w:ascii="黑体" w:hAnsi="黑体" w:eastAsia="黑体" w:cs="黑体"/>
          <w:color w:val="auto"/>
          <w:sz w:val="21"/>
          <w:szCs w:val="21"/>
          <w:highlight w:val="none"/>
        </w:rPr>
        <w:t xml:space="preserve">止时间前三个月内任意一个月社保证明 </w:t>
      </w:r>
      <w:r>
        <w:rPr>
          <w:rFonts w:ascii="黑体" w:hAnsi="黑体" w:eastAsia="黑体" w:cs="黑体"/>
          <w:color w:val="auto"/>
          <w:spacing w:val="3"/>
          <w:sz w:val="21"/>
          <w:szCs w:val="21"/>
          <w:highlight w:val="none"/>
        </w:rPr>
        <w:t>复印件。</w:t>
      </w:r>
    </w:p>
    <w:p>
      <w:pPr>
        <w:spacing w:before="1" w:line="212" w:lineRule="auto"/>
        <w:ind w:left="51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(3)供应商的法人或者其他组织营业执照等证明文件复印件(必须提供，自</w:t>
      </w:r>
      <w:r>
        <w:rPr>
          <w:rFonts w:ascii="黑体" w:hAnsi="黑体" w:eastAsia="黑体" w:cs="黑体"/>
          <w:color w:val="auto"/>
          <w:spacing w:val="9"/>
          <w:sz w:val="21"/>
          <w:szCs w:val="21"/>
          <w:highlight w:val="none"/>
        </w:rPr>
        <w:t>然人除外);</w:t>
      </w:r>
    </w:p>
    <w:p>
      <w:pPr>
        <w:spacing w:before="118" w:line="315" w:lineRule="auto"/>
        <w:ind w:right="61"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注：①法人包括企业法人、机关法人、事业单位法人和社会团体法人；其他组织主要包括合</w:t>
      </w:r>
      <w:r>
        <w:rPr>
          <w:rFonts w:ascii="黑体" w:hAnsi="黑体" w:eastAsia="黑体" w:cs="黑体"/>
          <w:color w:val="auto"/>
          <w:spacing w:val="1"/>
          <w:sz w:val="21"/>
          <w:szCs w:val="21"/>
          <w:highlight w:val="none"/>
        </w:rPr>
        <w:t>伙企业、</w:t>
      </w:r>
      <w:r>
        <w:rPr>
          <w:rFonts w:ascii="黑体" w:hAnsi="黑体" w:eastAsia="黑体" w:cs="黑体"/>
          <w:color w:val="auto"/>
          <w:sz w:val="21"/>
          <w:szCs w:val="21"/>
          <w:highlight w:val="none"/>
        </w:rPr>
        <w:t xml:space="preserve"> </w:t>
      </w:r>
      <w:r>
        <w:rPr>
          <w:rFonts w:ascii="黑体" w:hAnsi="黑体" w:eastAsia="黑体" w:cs="黑体"/>
          <w:color w:val="auto"/>
          <w:spacing w:val="9"/>
          <w:sz w:val="21"/>
          <w:szCs w:val="21"/>
          <w:highlight w:val="none"/>
        </w:rPr>
        <w:t>非企业专业服务机构、个体工商户、农村承包经营户。②如供应商为企业(包括合伙企业),应提供工商</w:t>
      </w:r>
      <w:r>
        <w:rPr>
          <w:rFonts w:ascii="黑体" w:hAnsi="黑体" w:eastAsia="黑体" w:cs="黑体"/>
          <w:color w:val="auto"/>
          <w:spacing w:val="13"/>
          <w:sz w:val="21"/>
          <w:szCs w:val="21"/>
          <w:highlight w:val="none"/>
        </w:rPr>
        <w:t xml:space="preserve"> </w:t>
      </w:r>
      <w:r>
        <w:rPr>
          <w:rFonts w:ascii="黑体" w:hAnsi="黑体" w:eastAsia="黑体" w:cs="黑体"/>
          <w:color w:val="auto"/>
          <w:spacing w:val="5"/>
          <w:sz w:val="21"/>
          <w:szCs w:val="21"/>
          <w:highlight w:val="none"/>
        </w:rPr>
        <w:t>部门注册的有效“企业法人营业执照”或“营业执照”;供应商为事</w:t>
      </w:r>
      <w:r>
        <w:rPr>
          <w:rFonts w:ascii="黑体" w:hAnsi="黑体" w:eastAsia="黑体" w:cs="黑体"/>
          <w:color w:val="auto"/>
          <w:spacing w:val="4"/>
          <w:sz w:val="21"/>
          <w:szCs w:val="21"/>
          <w:highlight w:val="none"/>
        </w:rPr>
        <w:t>业单位，应提供有效的“事业单位法</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人证书”;供应商为非企业专业服务机构的，应提供执业许可证</w:t>
      </w:r>
      <w:r>
        <w:rPr>
          <w:rFonts w:ascii="黑体" w:hAnsi="黑体" w:eastAsia="黑体" w:cs="黑体"/>
          <w:color w:val="auto"/>
          <w:spacing w:val="4"/>
          <w:sz w:val="21"/>
          <w:szCs w:val="21"/>
          <w:highlight w:val="none"/>
        </w:rPr>
        <w:t>等证明文件；供应商为个体工商户，应提</w:t>
      </w:r>
    </w:p>
    <w:p>
      <w:pPr>
        <w:spacing w:line="315" w:lineRule="auto"/>
        <w:rPr>
          <w:rFonts w:ascii="黑体" w:hAnsi="黑体" w:eastAsia="黑体" w:cs="黑体"/>
          <w:color w:val="auto"/>
          <w:sz w:val="21"/>
          <w:szCs w:val="21"/>
          <w:highlight w:val="none"/>
        </w:rPr>
        <w:sectPr>
          <w:footerReference r:id="rId18" w:type="default"/>
          <w:pgSz w:w="11900" w:h="16830"/>
          <w:pgMar w:top="400" w:right="1015" w:bottom="801" w:left="1050" w:header="0" w:footer="657" w:gutter="0"/>
          <w:cols w:space="720" w:num="1"/>
        </w:sectPr>
      </w:pPr>
    </w:p>
    <w:p>
      <w:pPr>
        <w:spacing w:line="267" w:lineRule="auto"/>
        <w:rPr>
          <w:rFonts w:ascii="Arial"/>
          <w:color w:val="auto"/>
          <w:sz w:val="21"/>
          <w:highlight w:val="none"/>
        </w:r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19" w:lineRule="auto"/>
        <w:rPr>
          <w:rFonts w:ascii="黑体" w:hAnsi="黑体" w:eastAsia="黑体" w:cs="黑体"/>
          <w:color w:val="auto"/>
          <w:sz w:val="21"/>
          <w:szCs w:val="21"/>
          <w:highlight w:val="none"/>
        </w:rPr>
      </w:pPr>
      <w:r>
        <w:rPr>
          <w:rFonts w:ascii="黑体" w:hAnsi="黑体" w:eastAsia="黑体" w:cs="黑体"/>
          <w:color w:val="auto"/>
          <w:sz w:val="21"/>
          <w:szCs w:val="21"/>
          <w:highlight w:val="none"/>
        </w:rPr>
        <w:t>供有效的“个体工商户营业执照”。</w:t>
      </w:r>
    </w:p>
    <w:p>
      <w:pPr>
        <w:spacing w:before="135" w:line="269" w:lineRule="auto"/>
        <w:ind w:left="99" w:right="164" w:firstLine="41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w:t>
      </w:r>
      <w:r>
        <w:rPr>
          <w:rFonts w:hint="eastAsia" w:ascii="黑体" w:hAnsi="黑体" w:eastAsia="黑体" w:cs="黑体"/>
          <w:color w:val="auto"/>
          <w:spacing w:val="8"/>
          <w:sz w:val="21"/>
          <w:szCs w:val="21"/>
          <w:highlight w:val="none"/>
          <w:lang w:val="en-US" w:eastAsia="zh-CN"/>
        </w:rPr>
        <w:t>4</w:t>
      </w:r>
      <w:r>
        <w:rPr>
          <w:rFonts w:ascii="黑体" w:hAnsi="黑体" w:eastAsia="黑体" w:cs="黑体"/>
          <w:color w:val="auto"/>
          <w:spacing w:val="8"/>
          <w:sz w:val="21"/>
          <w:szCs w:val="21"/>
          <w:highlight w:val="none"/>
        </w:rPr>
        <w:t>)供应商参加政府采购活动前3年内在经营活动中没有重大违法记录及有关信用信息的书面声明</w:t>
      </w:r>
      <w:r>
        <w:rPr>
          <w:rFonts w:ascii="黑体" w:hAnsi="黑体" w:eastAsia="黑体" w:cs="黑体"/>
          <w:color w:val="auto"/>
          <w:spacing w:val="7"/>
          <w:sz w:val="21"/>
          <w:szCs w:val="21"/>
          <w:highlight w:val="none"/>
        </w:rPr>
        <w:t xml:space="preserve"> </w:t>
      </w:r>
      <w:r>
        <w:rPr>
          <w:rFonts w:ascii="黑体" w:hAnsi="黑体" w:eastAsia="黑体" w:cs="黑体"/>
          <w:color w:val="auto"/>
          <w:spacing w:val="24"/>
          <w:sz w:val="21"/>
          <w:szCs w:val="21"/>
          <w:highlight w:val="none"/>
        </w:rPr>
        <w:t>(必须提供);</w:t>
      </w:r>
    </w:p>
    <w:p>
      <w:pPr>
        <w:spacing w:before="108" w:line="221" w:lineRule="auto"/>
        <w:ind w:left="519"/>
        <w:rPr>
          <w:rFonts w:ascii="黑体" w:hAnsi="黑体" w:eastAsia="黑体" w:cs="黑体"/>
          <w:color w:val="auto"/>
          <w:sz w:val="21"/>
          <w:szCs w:val="21"/>
          <w:highlight w:val="none"/>
        </w:rPr>
      </w:pPr>
      <w:r>
        <w:rPr>
          <w:rFonts w:ascii="黑体" w:hAnsi="黑体" w:eastAsia="黑体" w:cs="黑体"/>
          <w:color w:val="auto"/>
          <w:spacing w:val="13"/>
          <w:sz w:val="21"/>
          <w:szCs w:val="21"/>
          <w:highlight w:val="none"/>
        </w:rPr>
        <w:t>(</w:t>
      </w:r>
      <w:r>
        <w:rPr>
          <w:rFonts w:hint="eastAsia" w:ascii="黑体" w:hAnsi="黑体" w:eastAsia="黑体" w:cs="黑体"/>
          <w:color w:val="auto"/>
          <w:spacing w:val="13"/>
          <w:sz w:val="21"/>
          <w:szCs w:val="21"/>
          <w:highlight w:val="none"/>
          <w:lang w:val="en-US" w:eastAsia="zh-CN"/>
        </w:rPr>
        <w:t>5</w:t>
      </w:r>
      <w:r>
        <w:rPr>
          <w:rFonts w:ascii="黑体" w:hAnsi="黑体" w:eastAsia="黑体" w:cs="黑体"/>
          <w:color w:val="auto"/>
          <w:spacing w:val="13"/>
          <w:sz w:val="21"/>
          <w:szCs w:val="21"/>
          <w:highlight w:val="none"/>
        </w:rPr>
        <w:t>)供应商参加本项目无围标串标行为的承诺函(必须提</w:t>
      </w:r>
      <w:r>
        <w:rPr>
          <w:rFonts w:ascii="黑体" w:hAnsi="黑体" w:eastAsia="黑体" w:cs="黑体"/>
          <w:color w:val="auto"/>
          <w:spacing w:val="12"/>
          <w:sz w:val="21"/>
          <w:szCs w:val="21"/>
          <w:highlight w:val="none"/>
        </w:rPr>
        <w:t>供);</w:t>
      </w:r>
    </w:p>
    <w:p>
      <w:pPr>
        <w:spacing w:before="109" w:line="221" w:lineRule="auto"/>
        <w:ind w:left="519"/>
        <w:rPr>
          <w:rFonts w:ascii="黑体" w:hAnsi="黑体" w:eastAsia="黑体" w:cs="黑体"/>
          <w:color w:val="auto"/>
          <w:sz w:val="21"/>
          <w:szCs w:val="21"/>
          <w:highlight w:val="none"/>
        </w:rPr>
      </w:pPr>
      <w:r>
        <w:rPr>
          <w:rFonts w:ascii="黑体" w:hAnsi="黑体" w:eastAsia="黑体" w:cs="黑体"/>
          <w:color w:val="auto"/>
          <w:spacing w:val="12"/>
          <w:sz w:val="21"/>
          <w:szCs w:val="21"/>
          <w:highlight w:val="none"/>
        </w:rPr>
        <w:t>(</w:t>
      </w:r>
      <w:r>
        <w:rPr>
          <w:rFonts w:hint="eastAsia" w:ascii="黑体" w:hAnsi="黑体" w:eastAsia="黑体" w:cs="黑体"/>
          <w:color w:val="auto"/>
          <w:spacing w:val="12"/>
          <w:sz w:val="21"/>
          <w:szCs w:val="21"/>
          <w:highlight w:val="none"/>
          <w:lang w:val="en-US" w:eastAsia="zh-CN"/>
        </w:rPr>
        <w:t>6</w:t>
      </w:r>
      <w:r>
        <w:rPr>
          <w:rFonts w:ascii="黑体" w:hAnsi="黑体" w:eastAsia="黑体" w:cs="黑体"/>
          <w:color w:val="auto"/>
          <w:spacing w:val="12"/>
          <w:sz w:val="21"/>
          <w:szCs w:val="21"/>
          <w:highlight w:val="none"/>
        </w:rPr>
        <w:t>)供应商为中小企业的相关有效证明材料(</w:t>
      </w:r>
      <w:r>
        <w:rPr>
          <w:rFonts w:hint="eastAsia" w:ascii="黑体" w:hAnsi="黑体" w:eastAsia="黑体" w:cs="黑体"/>
          <w:color w:val="auto"/>
          <w:spacing w:val="16"/>
          <w:sz w:val="21"/>
          <w:szCs w:val="21"/>
          <w:highlight w:val="none"/>
          <w:lang w:val="en-US" w:eastAsia="zh-CN"/>
        </w:rPr>
        <w:t>如有，请提供</w:t>
      </w:r>
      <w:r>
        <w:rPr>
          <w:rFonts w:ascii="黑体" w:hAnsi="黑体" w:eastAsia="黑体" w:cs="黑体"/>
          <w:color w:val="auto"/>
          <w:spacing w:val="12"/>
          <w:sz w:val="21"/>
          <w:szCs w:val="21"/>
          <w:highlight w:val="none"/>
        </w:rPr>
        <w:t>)。</w:t>
      </w:r>
    </w:p>
    <w:p>
      <w:pPr>
        <w:spacing w:before="105" w:line="221" w:lineRule="auto"/>
        <w:ind w:left="422"/>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13.1.2商务、技术性响应及其他证明</w:t>
      </w:r>
      <w:r>
        <w:rPr>
          <w:rFonts w:ascii="黑体" w:hAnsi="黑体" w:eastAsia="黑体" w:cs="黑体"/>
          <w:b/>
          <w:bCs/>
          <w:color w:val="auto"/>
          <w:sz w:val="21"/>
          <w:szCs w:val="21"/>
          <w:highlight w:val="none"/>
        </w:rPr>
        <w:t>材料：</w:t>
      </w:r>
    </w:p>
    <w:p>
      <w:pPr>
        <w:spacing w:before="102" w:line="221" w:lineRule="auto"/>
        <w:ind w:left="519"/>
        <w:rPr>
          <w:rFonts w:ascii="黑体" w:hAnsi="黑体" w:eastAsia="黑体" w:cs="黑体"/>
          <w:color w:val="auto"/>
          <w:sz w:val="21"/>
          <w:szCs w:val="21"/>
          <w:highlight w:val="none"/>
        </w:rPr>
      </w:pPr>
      <w:r>
        <w:rPr>
          <w:rFonts w:ascii="黑体" w:hAnsi="黑体" w:eastAsia="黑体" w:cs="黑体"/>
          <w:color w:val="auto"/>
          <w:spacing w:val="24"/>
          <w:sz w:val="21"/>
          <w:szCs w:val="21"/>
          <w:highlight w:val="none"/>
        </w:rPr>
        <w:t>(1)投标报价表(必须提供);</w:t>
      </w:r>
    </w:p>
    <w:p>
      <w:pPr>
        <w:spacing w:before="119" w:line="221" w:lineRule="auto"/>
        <w:ind w:left="519"/>
        <w:rPr>
          <w:rFonts w:ascii="黑体" w:hAnsi="黑体" w:eastAsia="黑体" w:cs="黑体"/>
          <w:color w:val="auto"/>
          <w:sz w:val="21"/>
          <w:szCs w:val="21"/>
          <w:highlight w:val="none"/>
        </w:rPr>
      </w:pPr>
      <w:r>
        <w:rPr>
          <w:rFonts w:ascii="黑体" w:hAnsi="黑体" w:eastAsia="黑体" w:cs="黑体"/>
          <w:color w:val="auto"/>
          <w:spacing w:val="22"/>
          <w:sz w:val="21"/>
          <w:szCs w:val="21"/>
          <w:highlight w:val="none"/>
        </w:rPr>
        <w:t>(2)服务采购偏离表(必须提供);</w:t>
      </w:r>
    </w:p>
    <w:p>
      <w:pPr>
        <w:spacing w:before="108" w:line="221" w:lineRule="auto"/>
        <w:ind w:left="519"/>
        <w:rPr>
          <w:rFonts w:ascii="黑体" w:hAnsi="黑体" w:eastAsia="黑体" w:cs="黑体"/>
          <w:color w:val="auto"/>
          <w:sz w:val="21"/>
          <w:szCs w:val="21"/>
          <w:highlight w:val="none"/>
        </w:rPr>
      </w:pPr>
      <w:r>
        <w:rPr>
          <w:rFonts w:ascii="黑体" w:hAnsi="黑体" w:eastAsia="黑体" w:cs="黑体"/>
          <w:color w:val="auto"/>
          <w:spacing w:val="16"/>
          <w:sz w:val="21"/>
          <w:szCs w:val="21"/>
          <w:highlight w:val="none"/>
        </w:rPr>
        <w:t>(3)服务承诺【自行编制)】 (</w:t>
      </w:r>
      <w:r>
        <w:rPr>
          <w:rFonts w:hint="eastAsia" w:ascii="黑体" w:hAnsi="黑体" w:eastAsia="黑体" w:cs="黑体"/>
          <w:color w:val="auto"/>
          <w:spacing w:val="16"/>
          <w:sz w:val="21"/>
          <w:szCs w:val="21"/>
          <w:highlight w:val="none"/>
          <w:lang w:val="en-US" w:eastAsia="zh-CN"/>
        </w:rPr>
        <w:t>如有，请提供</w:t>
      </w:r>
      <w:r>
        <w:rPr>
          <w:rFonts w:ascii="黑体" w:hAnsi="黑体" w:eastAsia="黑体" w:cs="黑体"/>
          <w:color w:val="auto"/>
          <w:spacing w:val="16"/>
          <w:sz w:val="21"/>
          <w:szCs w:val="21"/>
          <w:highlight w:val="none"/>
        </w:rPr>
        <w:t>);</w:t>
      </w:r>
    </w:p>
    <w:p>
      <w:pPr>
        <w:spacing w:before="109" w:line="221" w:lineRule="auto"/>
        <w:ind w:left="519"/>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(4)服务实施方案(根据服务需求和评标办法</w:t>
      </w:r>
      <w:r>
        <w:rPr>
          <w:rFonts w:ascii="黑体" w:hAnsi="黑体" w:eastAsia="黑体" w:cs="黑体"/>
          <w:color w:val="auto"/>
          <w:spacing w:val="13"/>
          <w:sz w:val="21"/>
          <w:szCs w:val="21"/>
          <w:highlight w:val="none"/>
        </w:rPr>
        <w:t>自行编制内容) (</w:t>
      </w:r>
      <w:r>
        <w:rPr>
          <w:rFonts w:hint="eastAsia" w:ascii="黑体" w:hAnsi="黑体" w:eastAsia="黑体" w:cs="黑体"/>
          <w:color w:val="auto"/>
          <w:spacing w:val="13"/>
          <w:sz w:val="21"/>
          <w:szCs w:val="21"/>
          <w:highlight w:val="none"/>
          <w:lang w:val="en-US" w:eastAsia="zh-CN"/>
        </w:rPr>
        <w:t>如有，请提供</w:t>
      </w:r>
      <w:r>
        <w:rPr>
          <w:rFonts w:ascii="黑体" w:hAnsi="黑体" w:eastAsia="黑体" w:cs="黑体"/>
          <w:color w:val="auto"/>
          <w:spacing w:val="13"/>
          <w:sz w:val="21"/>
          <w:szCs w:val="21"/>
          <w:highlight w:val="none"/>
        </w:rPr>
        <w:t>);</w:t>
      </w:r>
    </w:p>
    <w:p>
      <w:pPr>
        <w:spacing w:before="100" w:line="213" w:lineRule="auto"/>
        <w:ind w:left="519"/>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(5)“服务采购需求”中要求提供的有效证明文件 (</w:t>
      </w:r>
      <w:r>
        <w:rPr>
          <w:rFonts w:hint="eastAsia" w:ascii="黑体" w:hAnsi="黑体" w:eastAsia="黑体" w:cs="黑体"/>
          <w:color w:val="auto"/>
          <w:spacing w:val="14"/>
          <w:sz w:val="21"/>
          <w:szCs w:val="21"/>
          <w:highlight w:val="none"/>
          <w:lang w:val="en-US" w:eastAsia="zh-CN"/>
        </w:rPr>
        <w:t>按其要求提供</w:t>
      </w:r>
      <w:r>
        <w:rPr>
          <w:rFonts w:ascii="黑体" w:hAnsi="黑体" w:eastAsia="黑体" w:cs="黑体"/>
          <w:color w:val="auto"/>
          <w:spacing w:val="14"/>
          <w:sz w:val="21"/>
          <w:szCs w:val="21"/>
          <w:highlight w:val="none"/>
        </w:rPr>
        <w:t>);</w:t>
      </w:r>
    </w:p>
    <w:p>
      <w:pPr>
        <w:spacing w:before="117" w:line="213" w:lineRule="auto"/>
        <w:ind w:left="519"/>
        <w:rPr>
          <w:rFonts w:ascii="黑体" w:hAnsi="黑体" w:eastAsia="黑体" w:cs="黑体"/>
          <w:color w:val="auto"/>
          <w:sz w:val="21"/>
          <w:szCs w:val="21"/>
          <w:highlight w:val="none"/>
        </w:rPr>
      </w:pPr>
      <w:r>
        <w:rPr>
          <w:rFonts w:ascii="黑体" w:hAnsi="黑体" w:eastAsia="黑体" w:cs="黑体"/>
          <w:color w:val="auto"/>
          <w:spacing w:val="14"/>
          <w:sz w:val="21"/>
          <w:szCs w:val="21"/>
          <w:highlight w:val="none"/>
        </w:rPr>
        <w:t>(6)项目实施人员一览表(格式自拟，</w:t>
      </w:r>
      <w:r>
        <w:rPr>
          <w:rFonts w:hint="eastAsia" w:ascii="黑体" w:hAnsi="黑体" w:eastAsia="黑体" w:cs="黑体"/>
          <w:color w:val="auto"/>
          <w:spacing w:val="14"/>
          <w:sz w:val="21"/>
          <w:szCs w:val="21"/>
          <w:highlight w:val="none"/>
          <w:lang w:val="en-US" w:eastAsia="zh-CN"/>
        </w:rPr>
        <w:t>必须</w:t>
      </w:r>
      <w:r>
        <w:rPr>
          <w:rFonts w:ascii="黑体" w:hAnsi="黑体" w:eastAsia="黑体" w:cs="黑体"/>
          <w:color w:val="auto"/>
          <w:spacing w:val="14"/>
          <w:sz w:val="21"/>
          <w:szCs w:val="21"/>
          <w:highlight w:val="none"/>
        </w:rPr>
        <w:t>提供);</w:t>
      </w:r>
    </w:p>
    <w:p>
      <w:pPr>
        <w:spacing w:before="128" w:line="279" w:lineRule="auto"/>
        <w:ind w:right="67" w:firstLine="51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(7)</w:t>
      </w:r>
      <w:r>
        <w:rPr>
          <w:rFonts w:ascii="黑体" w:hAnsi="黑体" w:eastAsia="黑体" w:cs="黑体"/>
          <w:color w:val="auto"/>
          <w:spacing w:val="9"/>
          <w:sz w:val="21"/>
          <w:szCs w:val="21"/>
          <w:highlight w:val="none"/>
          <w:lang w:eastAsia="zh-CN"/>
        </w:rPr>
        <w:t>供应商2022年以来具有同类项目业绩</w:t>
      </w:r>
      <w:r>
        <w:rPr>
          <w:rFonts w:hint="eastAsia" w:ascii="黑体" w:hAnsi="黑体" w:eastAsia="黑体" w:cs="黑体"/>
          <w:color w:val="auto"/>
          <w:spacing w:val="9"/>
          <w:sz w:val="21"/>
          <w:szCs w:val="21"/>
          <w:highlight w:val="none"/>
          <w:lang w:eastAsia="zh-CN"/>
        </w:rPr>
        <w:t>(服务内容中包含</w:t>
      </w:r>
      <w:r>
        <w:rPr>
          <w:rFonts w:ascii="黑体" w:hAnsi="黑体" w:eastAsia="黑体" w:cs="黑体"/>
          <w:color w:val="auto"/>
          <w:spacing w:val="9"/>
          <w:sz w:val="21"/>
          <w:szCs w:val="21"/>
          <w:highlight w:val="none"/>
          <w:lang w:eastAsia="zh-CN"/>
        </w:rPr>
        <w:t>保安</w:t>
      </w:r>
      <w:r>
        <w:rPr>
          <w:rFonts w:hint="eastAsia" w:ascii="黑体" w:hAnsi="黑体" w:eastAsia="黑体" w:cs="黑体"/>
          <w:color w:val="auto"/>
          <w:spacing w:val="9"/>
          <w:sz w:val="21"/>
          <w:szCs w:val="21"/>
          <w:highlight w:val="none"/>
          <w:lang w:eastAsia="zh-CN"/>
        </w:rPr>
        <w:t>/安保服务或物业服务相关内容)</w:t>
      </w:r>
      <w:r>
        <w:rPr>
          <w:rFonts w:ascii="黑体" w:hAnsi="黑体" w:eastAsia="黑体" w:cs="黑体"/>
          <w:color w:val="auto"/>
          <w:spacing w:val="9"/>
          <w:sz w:val="21"/>
          <w:szCs w:val="21"/>
          <w:highlight w:val="none"/>
          <w:lang w:eastAsia="zh-CN"/>
        </w:rPr>
        <w:t xml:space="preserve"> [以中标(成交)通知 书或合同复印件为准(能清晰反映投标项目名称、种类，金额否则将不予评审。同一个编号的 项目有两个或两个以上的分标中标的只算一次)]</w:t>
      </w:r>
      <w:r>
        <w:rPr>
          <w:rFonts w:ascii="黑体" w:hAnsi="黑体" w:eastAsia="黑体" w:cs="黑体"/>
          <w:color w:val="auto"/>
          <w:spacing w:val="21"/>
          <w:sz w:val="21"/>
          <w:szCs w:val="21"/>
          <w:highlight w:val="none"/>
        </w:rPr>
        <w:t>(如有，请提供);</w:t>
      </w:r>
    </w:p>
    <w:p>
      <w:pPr>
        <w:spacing w:before="118" w:line="213" w:lineRule="auto"/>
        <w:ind w:left="51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(8)供应商可结合本项目的评标办法视自身情况自行提交相关证明材</w:t>
      </w:r>
      <w:r>
        <w:rPr>
          <w:rFonts w:ascii="黑体" w:hAnsi="黑体" w:eastAsia="黑体" w:cs="黑体"/>
          <w:color w:val="auto"/>
          <w:spacing w:val="8"/>
          <w:sz w:val="21"/>
          <w:szCs w:val="21"/>
          <w:highlight w:val="none"/>
        </w:rPr>
        <w:t>料(如有，请提供)。</w:t>
      </w:r>
    </w:p>
    <w:p>
      <w:pPr>
        <w:spacing w:before="129" w:line="312" w:lineRule="auto"/>
        <w:ind w:right="77" w:firstLine="419"/>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注：供应商提供的以上“资格性响应证明材料”、“商务、技术性响应证明材料”等相</w:t>
      </w:r>
      <w:r>
        <w:rPr>
          <w:rFonts w:ascii="黑体" w:hAnsi="黑体" w:eastAsia="黑体" w:cs="黑体"/>
          <w:color w:val="auto"/>
          <w:spacing w:val="2"/>
          <w:sz w:val="21"/>
          <w:szCs w:val="21"/>
          <w:highlight w:val="none"/>
        </w:rPr>
        <w:t>关证明材料必</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须真实有效，属于“必须提供”的文件应加盖供应商电子签章，否则投标无效；其中“必须提供”的文件</w:t>
      </w:r>
      <w:r>
        <w:rPr>
          <w:rFonts w:ascii="黑体" w:hAnsi="黑体" w:eastAsia="黑体" w:cs="黑体"/>
          <w:color w:val="auto"/>
          <w:spacing w:val="17"/>
          <w:sz w:val="21"/>
          <w:szCs w:val="21"/>
          <w:highlight w:val="none"/>
        </w:rPr>
        <w:t xml:space="preserve"> </w:t>
      </w:r>
      <w:r>
        <w:rPr>
          <w:rFonts w:ascii="黑体" w:hAnsi="黑体" w:eastAsia="黑体" w:cs="黑体"/>
          <w:color w:val="auto"/>
          <w:spacing w:val="9"/>
          <w:sz w:val="21"/>
          <w:szCs w:val="21"/>
          <w:highlight w:val="none"/>
        </w:rPr>
        <w:t>在“第六章投标文件(格式)”中有要求法定代表人或相应的授权委托代理人在规定位置签字(或者电子</w:t>
      </w:r>
      <w:r>
        <w:rPr>
          <w:rFonts w:ascii="黑体" w:hAnsi="黑体" w:eastAsia="黑体" w:cs="黑体"/>
          <w:color w:val="auto"/>
          <w:spacing w:val="10"/>
          <w:sz w:val="21"/>
          <w:szCs w:val="21"/>
          <w:highlight w:val="none"/>
        </w:rPr>
        <w:t xml:space="preserve"> </w:t>
      </w:r>
      <w:r>
        <w:rPr>
          <w:rFonts w:ascii="黑体" w:hAnsi="黑体" w:eastAsia="黑体" w:cs="黑体"/>
          <w:color w:val="auto"/>
          <w:spacing w:val="12"/>
          <w:sz w:val="21"/>
          <w:szCs w:val="21"/>
          <w:highlight w:val="none"/>
        </w:rPr>
        <w:t>签名)的，必须由法定代表人或委托代理人签字(或者电子签名),</w:t>
      </w:r>
      <w:r>
        <w:rPr>
          <w:rFonts w:ascii="黑体" w:hAnsi="黑体" w:eastAsia="黑体" w:cs="黑体"/>
          <w:color w:val="auto"/>
          <w:spacing w:val="11"/>
          <w:sz w:val="21"/>
          <w:szCs w:val="21"/>
          <w:highlight w:val="none"/>
        </w:rPr>
        <w:t>否则，投标文件按无效处理。</w:t>
      </w:r>
    </w:p>
    <w:p>
      <w:pPr>
        <w:spacing w:before="18" w:line="221" w:lineRule="auto"/>
        <w:ind w:left="4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13.2供应商必须按招标文件第六章“投标文件(格式)”编制投标文件。</w:t>
      </w:r>
    </w:p>
    <w:p>
      <w:pPr>
        <w:spacing w:before="109" w:line="221"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13.3投标文件必须对招标文件提出的要求和条件作出明确响应。</w:t>
      </w:r>
    </w:p>
    <w:p>
      <w:pPr>
        <w:pStyle w:val="3"/>
        <w:spacing w:before="96" w:line="222" w:lineRule="auto"/>
        <w:ind w:left="422"/>
        <w:rPr>
          <w:rFonts w:ascii="黑体" w:hAnsi="黑体" w:eastAsia="黑体" w:cs="黑体"/>
          <w:color w:val="auto"/>
          <w:sz w:val="21"/>
          <w:szCs w:val="21"/>
          <w:highlight w:val="none"/>
        </w:rPr>
      </w:pPr>
      <w:r>
        <w:rPr>
          <w:b/>
          <w:bCs/>
          <w:color w:val="auto"/>
          <w:spacing w:val="-1"/>
          <w:sz w:val="21"/>
          <w:szCs w:val="21"/>
          <w:highlight w:val="none"/>
        </w:rPr>
        <w:t>14.</w:t>
      </w:r>
      <w:r>
        <w:rPr>
          <w:color w:val="auto"/>
          <w:spacing w:val="-1"/>
          <w:sz w:val="21"/>
          <w:szCs w:val="21"/>
          <w:highlight w:val="none"/>
        </w:rPr>
        <w:t xml:space="preserve"> </w:t>
      </w:r>
      <w:r>
        <w:rPr>
          <w:rFonts w:ascii="黑体" w:hAnsi="黑体" w:eastAsia="黑体" w:cs="黑体"/>
          <w:b/>
          <w:bCs/>
          <w:color w:val="auto"/>
          <w:spacing w:val="-1"/>
          <w:sz w:val="21"/>
          <w:szCs w:val="21"/>
          <w:highlight w:val="none"/>
        </w:rPr>
        <w:t>投标文件的语言及计量</w:t>
      </w:r>
    </w:p>
    <w:p>
      <w:pPr>
        <w:spacing w:before="112" w:line="281" w:lineRule="auto"/>
        <w:ind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14.1投标文件以及投标人与采购人或者采购代理机构就有关投标事宜的所有来往函电，均必须以中文</w:t>
      </w:r>
      <w:r>
        <w:rPr>
          <w:rFonts w:ascii="黑体" w:hAnsi="黑体" w:eastAsia="黑体" w:cs="黑体"/>
          <w:color w:val="auto"/>
          <w:spacing w:val="8"/>
          <w:sz w:val="21"/>
          <w:szCs w:val="21"/>
          <w:highlight w:val="none"/>
        </w:rPr>
        <w:t xml:space="preserve">  </w:t>
      </w:r>
      <w:r>
        <w:rPr>
          <w:rFonts w:ascii="黑体" w:hAnsi="黑体" w:eastAsia="黑体" w:cs="黑体"/>
          <w:color w:val="auto"/>
          <w:sz w:val="21"/>
          <w:szCs w:val="21"/>
          <w:highlight w:val="none"/>
        </w:rPr>
        <w:t>汉语书写。投标人提交的支持文件和印刷的文献可以使用别的语言，但其相应内容必须附有</w:t>
      </w:r>
      <w:r>
        <w:rPr>
          <w:rFonts w:ascii="黑体" w:hAnsi="黑体" w:eastAsia="黑体" w:cs="黑体"/>
          <w:color w:val="auto"/>
          <w:spacing w:val="-1"/>
          <w:sz w:val="21"/>
          <w:szCs w:val="21"/>
          <w:highlight w:val="none"/>
        </w:rPr>
        <w:t>中文翻译文本，</w:t>
      </w:r>
      <w:r>
        <w:rPr>
          <w:rFonts w:ascii="黑体" w:hAnsi="黑体" w:eastAsia="黑体" w:cs="黑体"/>
          <w:color w:val="auto"/>
          <w:sz w:val="21"/>
          <w:szCs w:val="21"/>
          <w:highlight w:val="none"/>
        </w:rPr>
        <w:t xml:space="preserve"> 在解释投标文件时以中文翻译文本为主。</w:t>
      </w:r>
    </w:p>
    <w:p>
      <w:pPr>
        <w:spacing w:before="119" w:line="273" w:lineRule="auto"/>
        <w:ind w:firstLine="419"/>
        <w:rPr>
          <w:rFonts w:ascii="黑体" w:hAnsi="黑体" w:eastAsia="黑体" w:cs="黑体"/>
          <w:color w:val="auto"/>
          <w:sz w:val="21"/>
          <w:szCs w:val="21"/>
          <w:highlight w:val="none"/>
        </w:rPr>
      </w:pPr>
      <w:r>
        <w:rPr>
          <w:rFonts w:ascii="黑体" w:hAnsi="黑体" w:eastAsia="黑体" w:cs="黑体"/>
          <w:color w:val="auto"/>
          <w:sz w:val="21"/>
          <w:szCs w:val="21"/>
          <w:highlight w:val="none"/>
        </w:rPr>
        <w:t>14.2投标计量单位，招标文件已有明确规定的，使用招标文件规定的计量单位；招标文</w:t>
      </w:r>
      <w:r>
        <w:rPr>
          <w:rFonts w:ascii="黑体" w:hAnsi="黑体" w:eastAsia="黑体" w:cs="黑体"/>
          <w:color w:val="auto"/>
          <w:spacing w:val="-1"/>
          <w:sz w:val="21"/>
          <w:szCs w:val="21"/>
          <w:highlight w:val="none"/>
        </w:rPr>
        <w:t>件没有规定的，</w:t>
      </w:r>
      <w:r>
        <w:rPr>
          <w:rFonts w:ascii="黑体" w:hAnsi="黑体" w:eastAsia="黑体" w:cs="黑体"/>
          <w:color w:val="auto"/>
          <w:sz w:val="21"/>
          <w:szCs w:val="21"/>
          <w:highlight w:val="none"/>
        </w:rPr>
        <w:t xml:space="preserve"> </w:t>
      </w:r>
      <w:r>
        <w:rPr>
          <w:rFonts w:ascii="黑体" w:hAnsi="黑体" w:eastAsia="黑体" w:cs="黑体"/>
          <w:color w:val="auto"/>
          <w:spacing w:val="11"/>
          <w:sz w:val="21"/>
          <w:szCs w:val="21"/>
          <w:highlight w:val="none"/>
        </w:rPr>
        <w:t>必须采用中华人民共和国法定计量单位(货</w:t>
      </w:r>
      <w:r>
        <w:rPr>
          <w:rFonts w:ascii="黑体" w:hAnsi="黑体" w:eastAsia="黑体" w:cs="黑体"/>
          <w:color w:val="auto"/>
          <w:spacing w:val="10"/>
          <w:sz w:val="21"/>
          <w:szCs w:val="21"/>
          <w:highlight w:val="none"/>
        </w:rPr>
        <w:t>币单位：元人民币),否则视同未响应。</w:t>
      </w:r>
    </w:p>
    <w:p>
      <w:pPr>
        <w:pStyle w:val="3"/>
        <w:spacing w:before="106" w:line="222" w:lineRule="auto"/>
        <w:ind w:left="422"/>
        <w:rPr>
          <w:rFonts w:ascii="黑体" w:hAnsi="黑体" w:eastAsia="黑体" w:cs="黑体"/>
          <w:color w:val="auto"/>
          <w:sz w:val="21"/>
          <w:szCs w:val="21"/>
          <w:highlight w:val="none"/>
        </w:rPr>
      </w:pPr>
      <w:r>
        <w:rPr>
          <w:b/>
          <w:bCs/>
          <w:color w:val="auto"/>
          <w:spacing w:val="-7"/>
          <w:sz w:val="21"/>
          <w:szCs w:val="21"/>
          <w:highlight w:val="none"/>
        </w:rPr>
        <w:t>15.</w:t>
      </w:r>
      <w:r>
        <w:rPr>
          <w:rFonts w:ascii="黑体" w:hAnsi="黑体" w:eastAsia="黑体" w:cs="黑体"/>
          <w:b/>
          <w:bCs/>
          <w:color w:val="auto"/>
          <w:spacing w:val="-7"/>
          <w:sz w:val="21"/>
          <w:szCs w:val="21"/>
          <w:highlight w:val="none"/>
        </w:rPr>
        <w:t>投标报价</w:t>
      </w:r>
    </w:p>
    <w:p>
      <w:pPr>
        <w:pStyle w:val="3"/>
        <w:spacing w:before="101" w:line="265" w:lineRule="auto"/>
        <w:ind w:right="98" w:firstLine="41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15.1投标报价必须按招标文件中第六章“投标文件(格式)”填写，本项目政府采购</w:t>
      </w:r>
      <w:r>
        <w:rPr>
          <w:rFonts w:ascii="黑体" w:hAnsi="黑体" w:eastAsia="黑体" w:cs="黑体"/>
          <w:color w:val="auto"/>
          <w:spacing w:val="6"/>
          <w:sz w:val="21"/>
          <w:szCs w:val="21"/>
          <w:highlight w:val="none"/>
        </w:rPr>
        <w:t>预算：</w:t>
      </w:r>
      <w:r>
        <w:rPr>
          <w:rFonts w:hint="eastAsia" w:ascii="黑体" w:hAnsi="黑体" w:eastAsia="黑体" w:cs="黑体"/>
          <w:color w:val="auto"/>
          <w:spacing w:val="6"/>
          <w:sz w:val="21"/>
          <w:szCs w:val="21"/>
          <w:highlight w:val="none"/>
          <w:lang w:eastAsia="zh-CN"/>
        </w:rPr>
        <w:t>肆佰捌拾伍万壹仟元整</w:t>
      </w:r>
      <w:r>
        <w:rPr>
          <w:rFonts w:ascii="黑体" w:hAnsi="黑体" w:eastAsia="黑体" w:cs="黑体"/>
          <w:color w:val="auto"/>
          <w:spacing w:val="7"/>
          <w:sz w:val="21"/>
          <w:szCs w:val="21"/>
          <w:highlight w:val="none"/>
        </w:rPr>
        <w:t>(</w:t>
      </w:r>
      <w:r>
        <w:rPr>
          <w:color w:val="auto"/>
          <w:spacing w:val="7"/>
          <w:sz w:val="21"/>
          <w:szCs w:val="21"/>
          <w:highlight w:val="none"/>
        </w:rPr>
        <w:t>¥</w:t>
      </w:r>
      <w:r>
        <w:rPr>
          <w:rFonts w:hint="eastAsia" w:ascii="黑体" w:hAnsi="黑体" w:eastAsia="黑体" w:cs="黑体"/>
          <w:color w:val="auto"/>
          <w:spacing w:val="7"/>
          <w:sz w:val="21"/>
          <w:szCs w:val="21"/>
          <w:highlight w:val="none"/>
          <w:lang w:eastAsia="zh-CN"/>
        </w:rPr>
        <w:t>4851000.00</w:t>
      </w:r>
      <w:r>
        <w:rPr>
          <w:rFonts w:ascii="黑体" w:hAnsi="黑体" w:eastAsia="黑体" w:cs="黑体"/>
          <w:color w:val="auto"/>
          <w:spacing w:val="7"/>
          <w:sz w:val="21"/>
          <w:szCs w:val="21"/>
          <w:highlight w:val="none"/>
        </w:rPr>
        <w:t>元)</w:t>
      </w:r>
      <w:r>
        <w:rPr>
          <w:rFonts w:ascii="黑体" w:hAnsi="黑体" w:eastAsia="黑体" w:cs="黑体"/>
          <w:color w:val="auto"/>
          <w:spacing w:val="6"/>
          <w:sz w:val="21"/>
          <w:szCs w:val="21"/>
          <w:highlight w:val="none"/>
        </w:rPr>
        <w:t>,投标人投标综合报价超出采购预算金额的，</w:t>
      </w:r>
      <w:r>
        <w:rPr>
          <w:rFonts w:ascii="黑体" w:hAnsi="黑体" w:eastAsia="黑体" w:cs="黑体"/>
          <w:color w:val="auto"/>
          <w:spacing w:val="-22"/>
          <w:sz w:val="21"/>
          <w:szCs w:val="21"/>
          <w:highlight w:val="none"/>
        </w:rPr>
        <w:t xml:space="preserve"> </w:t>
      </w:r>
      <w:r>
        <w:rPr>
          <w:rFonts w:ascii="黑体" w:hAnsi="黑体" w:eastAsia="黑体" w:cs="黑体"/>
          <w:color w:val="auto"/>
          <w:spacing w:val="6"/>
          <w:sz w:val="21"/>
          <w:szCs w:val="21"/>
          <w:highlight w:val="none"/>
        </w:rPr>
        <w:t>投标文件按无效处理。</w:t>
      </w:r>
    </w:p>
    <w:p>
      <w:pPr>
        <w:spacing w:before="118" w:line="260" w:lineRule="auto"/>
        <w:ind w:right="95"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15.2投标人必须就“采购需求”中所投分标内容作完整唯一报价，否则，其投标将被拒绝；投标文件</w:t>
      </w:r>
      <w:r>
        <w:rPr>
          <w:rFonts w:ascii="黑体" w:hAnsi="黑体" w:eastAsia="黑体" w:cs="黑体"/>
          <w:color w:val="auto"/>
          <w:spacing w:val="16"/>
          <w:sz w:val="21"/>
          <w:szCs w:val="21"/>
          <w:highlight w:val="none"/>
        </w:rPr>
        <w:t xml:space="preserve"> </w:t>
      </w:r>
      <w:r>
        <w:rPr>
          <w:rFonts w:ascii="黑体" w:hAnsi="黑体" w:eastAsia="黑体" w:cs="黑体"/>
          <w:color w:val="auto"/>
          <w:spacing w:val="-1"/>
          <w:sz w:val="21"/>
          <w:szCs w:val="21"/>
          <w:highlight w:val="none"/>
        </w:rPr>
        <w:t>只允许有一个报价，有选择的或有条件的报价将不予接受。</w:t>
      </w:r>
    </w:p>
    <w:p>
      <w:pPr>
        <w:pStyle w:val="3"/>
        <w:spacing w:before="124" w:line="221" w:lineRule="auto"/>
        <w:ind w:left="422"/>
        <w:rPr>
          <w:rFonts w:ascii="黑体" w:hAnsi="黑体" w:eastAsia="黑体" w:cs="黑体"/>
          <w:color w:val="auto"/>
          <w:sz w:val="21"/>
          <w:szCs w:val="21"/>
          <w:highlight w:val="none"/>
        </w:rPr>
      </w:pPr>
      <w:r>
        <w:rPr>
          <w:b/>
          <w:bCs/>
          <w:color w:val="auto"/>
          <w:sz w:val="21"/>
          <w:szCs w:val="21"/>
          <w:highlight w:val="none"/>
        </w:rPr>
        <w:t>16.</w:t>
      </w:r>
      <w:r>
        <w:rPr>
          <w:color w:val="auto"/>
          <w:spacing w:val="-10"/>
          <w:sz w:val="21"/>
          <w:szCs w:val="21"/>
          <w:highlight w:val="none"/>
        </w:rPr>
        <w:t xml:space="preserve"> </w:t>
      </w:r>
      <w:r>
        <w:rPr>
          <w:rFonts w:ascii="黑体" w:hAnsi="黑体" w:eastAsia="黑体" w:cs="黑体"/>
          <w:b/>
          <w:bCs/>
          <w:color w:val="auto"/>
          <w:sz w:val="21"/>
          <w:szCs w:val="21"/>
          <w:highlight w:val="none"/>
        </w:rPr>
        <w:t>投标有效期</w:t>
      </w:r>
    </w:p>
    <w:p>
      <w:pPr>
        <w:spacing w:before="118" w:line="220" w:lineRule="auto"/>
        <w:ind w:left="422"/>
        <w:rPr>
          <w:rFonts w:ascii="黑体" w:hAnsi="黑体" w:eastAsia="黑体" w:cs="黑体"/>
          <w:color w:val="auto"/>
          <w:sz w:val="21"/>
          <w:szCs w:val="21"/>
          <w:highlight w:val="none"/>
        </w:rPr>
      </w:pPr>
      <w:r>
        <w:rPr>
          <w:rFonts w:ascii="黑体" w:hAnsi="黑体" w:eastAsia="黑体" w:cs="黑体"/>
          <w:b/>
          <w:bCs/>
          <w:color w:val="auto"/>
          <w:spacing w:val="5"/>
          <w:sz w:val="21"/>
          <w:szCs w:val="21"/>
          <w:highlight w:val="none"/>
        </w:rPr>
        <w:t>16.1投标有效期：投标截止时间之日起90天。</w:t>
      </w:r>
    </w:p>
    <w:p>
      <w:pPr>
        <w:spacing w:before="101" w:line="213" w:lineRule="auto"/>
        <w:ind w:right="2"/>
        <w:jc w:val="right"/>
        <w:rPr>
          <w:rFonts w:ascii="黑体" w:hAnsi="黑体" w:eastAsia="黑体" w:cs="黑体"/>
          <w:color w:val="auto"/>
          <w:sz w:val="21"/>
          <w:szCs w:val="21"/>
          <w:highlight w:val="none"/>
        </w:rPr>
      </w:pPr>
      <w:r>
        <w:rPr>
          <w:rFonts w:ascii="Times New Roman" w:hAnsi="Times New Roman" w:eastAsia="Times New Roman" w:cs="Times New Roman"/>
          <w:color w:val="auto"/>
          <w:spacing w:val="-2"/>
          <w:sz w:val="21"/>
          <w:szCs w:val="21"/>
          <w:highlight w:val="none"/>
        </w:rPr>
        <w:t>1</w:t>
      </w:r>
      <w:r>
        <w:rPr>
          <w:rFonts w:ascii="黑体" w:hAnsi="黑体" w:eastAsia="黑体" w:cs="黑体"/>
          <w:b/>
          <w:bCs/>
          <w:color w:val="auto"/>
          <w:spacing w:val="-2"/>
          <w:sz w:val="21"/>
          <w:szCs w:val="21"/>
          <w:highlight w:val="none"/>
        </w:rPr>
        <w:t>6.2出现特殊情况下，需要延长投标有效期的，采购代理机构以书</w:t>
      </w:r>
      <w:r>
        <w:rPr>
          <w:rFonts w:ascii="黑体" w:hAnsi="黑体" w:eastAsia="黑体" w:cs="黑体"/>
          <w:b/>
          <w:bCs/>
          <w:color w:val="auto"/>
          <w:spacing w:val="-3"/>
          <w:sz w:val="21"/>
          <w:szCs w:val="21"/>
          <w:highlight w:val="none"/>
        </w:rPr>
        <w:t>面形式通知投标人延长投标有效期。</w:t>
      </w:r>
    </w:p>
    <w:p>
      <w:pPr>
        <w:spacing w:line="213" w:lineRule="auto"/>
        <w:rPr>
          <w:rFonts w:ascii="黑体" w:hAnsi="黑体" w:eastAsia="黑体" w:cs="黑体"/>
          <w:color w:val="auto"/>
          <w:sz w:val="21"/>
          <w:szCs w:val="21"/>
          <w:highlight w:val="none"/>
        </w:rPr>
        <w:sectPr>
          <w:footerReference r:id="rId19" w:type="default"/>
          <w:pgSz w:w="11900" w:h="16830"/>
          <w:pgMar w:top="400" w:right="984" w:bottom="801" w:left="1050" w:header="0" w:footer="657" w:gutter="0"/>
          <w:cols w:space="720" w:num="1"/>
        </w:sectPr>
      </w:pPr>
    </w:p>
    <w:p>
      <w:pPr>
        <w:spacing w:line="264"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5" w:lineRule="auto"/>
        <w:rPr>
          <w:rFonts w:ascii="Arial"/>
          <w:color w:val="auto"/>
          <w:sz w:val="21"/>
          <w:highlight w:val="none"/>
        </w:rPr>
      </w:pPr>
    </w:p>
    <w:p>
      <w:pPr>
        <w:spacing w:before="69" w:line="213" w:lineRule="auto"/>
        <w:ind w:left="28"/>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投标人同意延长的，不能修改投标文件。</w:t>
      </w:r>
    </w:p>
    <w:p>
      <w:pPr>
        <w:pStyle w:val="3"/>
        <w:spacing w:before="128" w:line="222" w:lineRule="auto"/>
        <w:ind w:left="447"/>
        <w:rPr>
          <w:rFonts w:ascii="黑体" w:hAnsi="黑体" w:eastAsia="黑体" w:cs="黑体"/>
          <w:color w:val="auto"/>
          <w:sz w:val="21"/>
          <w:szCs w:val="21"/>
          <w:highlight w:val="none"/>
        </w:rPr>
      </w:pPr>
      <w:r>
        <w:rPr>
          <w:b/>
          <w:bCs/>
          <w:color w:val="auto"/>
          <w:spacing w:val="-1"/>
          <w:sz w:val="21"/>
          <w:szCs w:val="21"/>
          <w:highlight w:val="none"/>
        </w:rPr>
        <w:t>17.</w:t>
      </w:r>
      <w:r>
        <w:rPr>
          <w:color w:val="auto"/>
          <w:spacing w:val="-1"/>
          <w:sz w:val="21"/>
          <w:szCs w:val="21"/>
          <w:highlight w:val="none"/>
        </w:rPr>
        <w:t xml:space="preserve"> </w:t>
      </w:r>
      <w:r>
        <w:rPr>
          <w:rFonts w:ascii="黑体" w:hAnsi="黑体" w:eastAsia="黑体" w:cs="黑体"/>
          <w:b/>
          <w:bCs/>
          <w:color w:val="auto"/>
          <w:spacing w:val="-1"/>
          <w:sz w:val="21"/>
          <w:szCs w:val="21"/>
          <w:highlight w:val="none"/>
        </w:rPr>
        <w:t>投标保证金</w:t>
      </w:r>
    </w:p>
    <w:p>
      <w:pPr>
        <w:spacing w:before="108" w:line="221" w:lineRule="auto"/>
        <w:ind w:left="44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本项目无需缴纳投标保证金。</w:t>
      </w:r>
    </w:p>
    <w:p>
      <w:pPr>
        <w:pStyle w:val="3"/>
        <w:spacing w:before="105" w:line="221" w:lineRule="auto"/>
        <w:ind w:left="447"/>
        <w:rPr>
          <w:rFonts w:ascii="黑体" w:hAnsi="黑体" w:eastAsia="黑体" w:cs="黑体"/>
          <w:color w:val="auto"/>
          <w:sz w:val="21"/>
          <w:szCs w:val="21"/>
          <w:highlight w:val="none"/>
        </w:rPr>
      </w:pPr>
      <w:r>
        <w:rPr>
          <w:b/>
          <w:bCs/>
          <w:color w:val="auto"/>
          <w:spacing w:val="-1"/>
          <w:sz w:val="21"/>
          <w:szCs w:val="21"/>
          <w:highlight w:val="none"/>
        </w:rPr>
        <w:t>18.</w:t>
      </w:r>
      <w:r>
        <w:rPr>
          <w:rFonts w:ascii="黑体" w:hAnsi="黑体" w:eastAsia="黑体" w:cs="黑体"/>
          <w:b/>
          <w:bCs/>
          <w:color w:val="auto"/>
          <w:spacing w:val="-1"/>
          <w:sz w:val="21"/>
          <w:szCs w:val="21"/>
          <w:highlight w:val="none"/>
        </w:rPr>
        <w:t>电子投标文件的制作、加密要求</w:t>
      </w:r>
    </w:p>
    <w:p>
      <w:pPr>
        <w:spacing w:before="102" w:line="265" w:lineRule="auto"/>
        <w:ind w:left="25" w:right="166"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18.1投标人制作电子投标文件前，应登录“广西政府采购云平台”平台进行“申请获取采购文件”操</w:t>
      </w:r>
      <w:r>
        <w:rPr>
          <w:rFonts w:ascii="黑体" w:hAnsi="黑体" w:eastAsia="黑体" w:cs="黑体"/>
          <w:color w:val="auto"/>
          <w:spacing w:val="10"/>
          <w:sz w:val="21"/>
          <w:szCs w:val="21"/>
          <w:highlight w:val="none"/>
        </w:rPr>
        <w:t xml:space="preserve"> </w:t>
      </w:r>
      <w:r>
        <w:rPr>
          <w:rFonts w:ascii="黑体" w:hAnsi="黑体" w:eastAsia="黑体" w:cs="黑体"/>
          <w:color w:val="auto"/>
          <w:sz w:val="21"/>
          <w:szCs w:val="21"/>
          <w:highlight w:val="none"/>
        </w:rPr>
        <w:t>作，否则，有可能导致无法在线编制投标文件并参与投标，其不利后果由投标人自行承担。</w:t>
      </w:r>
    </w:p>
    <w:p>
      <w:pPr>
        <w:spacing w:before="117" w:line="265" w:lineRule="auto"/>
        <w:ind w:left="25" w:right="20"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18.2投标人下载或获取招标文件后，登录“电子投标客户端”,按照本招标文件规定的投标文件格式、</w:t>
      </w:r>
      <w:r>
        <w:rPr>
          <w:rFonts w:ascii="黑体" w:hAnsi="黑体" w:eastAsia="黑体" w:cs="黑体"/>
          <w:color w:val="auto"/>
          <w:spacing w:val="4"/>
          <w:sz w:val="21"/>
          <w:szCs w:val="21"/>
          <w:highlight w:val="none"/>
        </w:rPr>
        <w:t xml:space="preserve"> </w:t>
      </w:r>
      <w:r>
        <w:rPr>
          <w:rFonts w:ascii="黑体" w:hAnsi="黑体" w:eastAsia="黑体" w:cs="黑体"/>
          <w:color w:val="auto"/>
          <w:sz w:val="21"/>
          <w:szCs w:val="21"/>
          <w:highlight w:val="none"/>
        </w:rPr>
        <w:t>顺序以及“广西政府采购云平台”的要求，通过“电子投标客户端”编制电子投标文件。</w:t>
      </w:r>
    </w:p>
    <w:p>
      <w:pPr>
        <w:spacing w:before="117" w:line="295" w:lineRule="auto"/>
        <w:ind w:left="25" w:firstLine="419"/>
        <w:rPr>
          <w:rFonts w:ascii="黑体" w:hAnsi="黑体" w:eastAsia="黑体" w:cs="黑体"/>
          <w:color w:val="auto"/>
          <w:sz w:val="21"/>
          <w:szCs w:val="21"/>
          <w:highlight w:val="none"/>
        </w:rPr>
      </w:pPr>
      <w:r>
        <w:rPr>
          <w:rFonts w:ascii="黑体" w:hAnsi="黑体" w:eastAsia="黑体" w:cs="黑体"/>
          <w:color w:val="auto"/>
          <w:sz w:val="21"/>
          <w:szCs w:val="21"/>
          <w:highlight w:val="none"/>
        </w:rPr>
        <w:t>18.3投标人应按“电子投标客户端”载明的“标书关联”功能进行电子投标文件相应内</w:t>
      </w:r>
      <w:r>
        <w:rPr>
          <w:rFonts w:ascii="黑体" w:hAnsi="黑体" w:eastAsia="黑体" w:cs="黑体"/>
          <w:color w:val="auto"/>
          <w:spacing w:val="-1"/>
          <w:sz w:val="21"/>
          <w:szCs w:val="21"/>
          <w:highlight w:val="none"/>
        </w:rPr>
        <w:t>容的关联定位，</w:t>
      </w:r>
      <w:r>
        <w:rPr>
          <w:rFonts w:ascii="黑体" w:hAnsi="黑体" w:eastAsia="黑体" w:cs="黑体"/>
          <w:color w:val="auto"/>
          <w:sz w:val="21"/>
          <w:szCs w:val="21"/>
          <w:highlight w:val="none"/>
        </w:rPr>
        <w:t xml:space="preserve"> 以便在评审时点击相应评审项可直接定位到该评审内容；如投标人的电子投标文件未能关联定位相应内容，</w:t>
      </w:r>
      <w:r>
        <w:rPr>
          <w:rFonts w:ascii="黑体" w:hAnsi="黑体" w:eastAsia="黑体" w:cs="黑体"/>
          <w:color w:val="auto"/>
          <w:spacing w:val="13"/>
          <w:sz w:val="21"/>
          <w:szCs w:val="21"/>
          <w:highlight w:val="none"/>
        </w:rPr>
        <w:t xml:space="preserve"> </w:t>
      </w:r>
      <w:r>
        <w:rPr>
          <w:rFonts w:ascii="黑体" w:hAnsi="黑体" w:eastAsia="黑体" w:cs="黑体"/>
          <w:color w:val="auto"/>
          <w:spacing w:val="1"/>
          <w:sz w:val="21"/>
          <w:szCs w:val="21"/>
          <w:highlight w:val="none"/>
        </w:rPr>
        <w:t>或者关联定位的内容与该评审项不符，导致无法查询并做出对投标人不利的资格审查或评审结果，相关后</w:t>
      </w:r>
      <w:r>
        <w:rPr>
          <w:rFonts w:ascii="黑体" w:hAnsi="黑体" w:eastAsia="黑体" w:cs="黑体"/>
          <w:color w:val="auto"/>
          <w:spacing w:val="8"/>
          <w:sz w:val="21"/>
          <w:szCs w:val="21"/>
          <w:highlight w:val="none"/>
        </w:rPr>
        <w:t xml:space="preserve">  </w:t>
      </w:r>
      <w:r>
        <w:rPr>
          <w:rFonts w:ascii="黑体" w:hAnsi="黑体" w:eastAsia="黑体" w:cs="黑体"/>
          <w:color w:val="auto"/>
          <w:spacing w:val="2"/>
          <w:sz w:val="21"/>
          <w:szCs w:val="21"/>
          <w:highlight w:val="none"/>
        </w:rPr>
        <w:t>果由投标人自行承担。</w:t>
      </w:r>
    </w:p>
    <w:p>
      <w:pPr>
        <w:spacing w:before="96" w:line="291" w:lineRule="auto"/>
        <w:ind w:left="25" w:right="118" w:firstLine="4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18.4电子投标文件不得涂改，若有修改错漏处，须由法</w:t>
      </w:r>
      <w:r>
        <w:rPr>
          <w:rFonts w:ascii="黑体" w:hAnsi="黑体" w:eastAsia="黑体" w:cs="黑体"/>
          <w:color w:val="auto"/>
          <w:spacing w:val="4"/>
          <w:sz w:val="21"/>
          <w:szCs w:val="21"/>
          <w:highlight w:val="none"/>
        </w:rPr>
        <w:t>定代表人或授权委托代理人签字(或者电子签</w:t>
      </w:r>
      <w:r>
        <w:rPr>
          <w:rFonts w:ascii="黑体" w:hAnsi="黑体" w:eastAsia="黑体" w:cs="黑体"/>
          <w:color w:val="auto"/>
          <w:sz w:val="21"/>
          <w:szCs w:val="21"/>
          <w:highlight w:val="none"/>
        </w:rPr>
        <w:t xml:space="preserve"> </w:t>
      </w:r>
      <w:r>
        <w:rPr>
          <w:rFonts w:ascii="黑体" w:hAnsi="黑体" w:eastAsia="黑体" w:cs="黑体"/>
          <w:color w:val="auto"/>
          <w:spacing w:val="4"/>
          <w:sz w:val="21"/>
          <w:szCs w:val="21"/>
          <w:highlight w:val="none"/>
        </w:rPr>
        <w:t>名)。电子投标文件按本须知载明的投标文件组成及要求进行编排，因投标文件字</w:t>
      </w:r>
      <w:r>
        <w:rPr>
          <w:rFonts w:ascii="黑体" w:hAnsi="黑体" w:eastAsia="黑体" w:cs="黑体"/>
          <w:color w:val="auto"/>
          <w:spacing w:val="3"/>
          <w:sz w:val="21"/>
          <w:szCs w:val="21"/>
          <w:highlight w:val="none"/>
        </w:rPr>
        <w:t>迹潦草、表达不清、内</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容不完整、或投标文件相应内容未按要求编排、编排混乱导致投标文件被误读、漏读、或者在按招标文件</w:t>
      </w:r>
      <w:r>
        <w:rPr>
          <w:rFonts w:ascii="黑体" w:hAnsi="黑体" w:eastAsia="黑体" w:cs="黑体"/>
          <w:color w:val="auto"/>
          <w:spacing w:val="13"/>
          <w:sz w:val="21"/>
          <w:szCs w:val="21"/>
          <w:highlight w:val="none"/>
        </w:rPr>
        <w:t xml:space="preserve"> </w:t>
      </w:r>
      <w:r>
        <w:rPr>
          <w:rFonts w:ascii="黑体" w:hAnsi="黑体" w:eastAsia="黑体" w:cs="黑体"/>
          <w:color w:val="auto"/>
          <w:spacing w:val="2"/>
          <w:sz w:val="21"/>
          <w:szCs w:val="21"/>
          <w:highlight w:val="none"/>
        </w:rPr>
        <w:t>规定的部位查找不到相关内容的，其不利后果由投标人</w:t>
      </w:r>
      <w:r>
        <w:rPr>
          <w:rFonts w:ascii="黑体" w:hAnsi="黑体" w:eastAsia="黑体" w:cs="黑体"/>
          <w:color w:val="auto"/>
          <w:spacing w:val="1"/>
          <w:sz w:val="21"/>
          <w:szCs w:val="21"/>
          <w:highlight w:val="none"/>
        </w:rPr>
        <w:t>自行承担。</w:t>
      </w:r>
    </w:p>
    <w:p>
      <w:pPr>
        <w:spacing w:before="117" w:line="273" w:lineRule="auto"/>
        <w:ind w:right="179" w:firstLine="44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18.5投标人编制、生成电子投标文件后应当加密投标文件。投标人未按规定编制并加密的投标</w:t>
      </w:r>
      <w:r>
        <w:rPr>
          <w:rFonts w:ascii="黑体" w:hAnsi="黑体" w:eastAsia="黑体" w:cs="黑体"/>
          <w:color w:val="auto"/>
          <w:sz w:val="21"/>
          <w:szCs w:val="21"/>
          <w:highlight w:val="none"/>
        </w:rPr>
        <w:t xml:space="preserve">文件， </w:t>
      </w:r>
      <w:r>
        <w:rPr>
          <w:rFonts w:ascii="黑体" w:hAnsi="黑体" w:eastAsia="黑体" w:cs="黑体"/>
          <w:color w:val="auto"/>
          <w:spacing w:val="3"/>
          <w:sz w:val="21"/>
          <w:szCs w:val="21"/>
          <w:highlight w:val="none"/>
        </w:rPr>
        <w:t>“广西政府采购云平台”将予以拒收。</w:t>
      </w:r>
    </w:p>
    <w:p>
      <w:pPr>
        <w:spacing w:before="107" w:line="222" w:lineRule="auto"/>
        <w:ind w:left="447"/>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18.6供应商公章、签字、电子签章、电子签名</w:t>
      </w:r>
    </w:p>
    <w:p>
      <w:pPr>
        <w:spacing w:before="100" w:line="265" w:lineRule="auto"/>
        <w:ind w:left="25" w:right="157"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18.6.1本招标文件中描述投标人的“</w:t>
      </w:r>
      <w:r>
        <w:rPr>
          <w:rFonts w:ascii="黑体" w:hAnsi="黑体" w:eastAsia="黑体" w:cs="黑体"/>
          <w:color w:val="auto"/>
          <w:spacing w:val="1"/>
          <w:sz w:val="21"/>
          <w:szCs w:val="21"/>
          <w:highlight w:val="none"/>
        </w:rPr>
        <w:t>公章”是指根据我国对公章的管理规定，用投标人法定主体行为</w:t>
      </w:r>
      <w:r>
        <w:rPr>
          <w:rFonts w:ascii="黑体" w:hAnsi="黑体" w:eastAsia="黑体" w:cs="黑体"/>
          <w:color w:val="auto"/>
          <w:sz w:val="21"/>
          <w:szCs w:val="21"/>
          <w:highlight w:val="none"/>
        </w:rPr>
        <w:t xml:space="preserve"> 名称制作的印章，除本招标文件有特殊规定外，投标人的其他形式印章均不能代替公章。</w:t>
      </w:r>
    </w:p>
    <w:p>
      <w:pPr>
        <w:spacing w:before="128" w:line="260" w:lineRule="auto"/>
        <w:ind w:left="25" w:right="163" w:firstLine="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18.6.2本招标文件中描述投标人的“签字”是指投标人的法定代表人或者委托代理人亲自在文件规定</w:t>
      </w:r>
      <w:r>
        <w:rPr>
          <w:rFonts w:ascii="黑体" w:hAnsi="黑体" w:eastAsia="黑体" w:cs="黑体"/>
          <w:color w:val="auto"/>
          <w:spacing w:val="13"/>
          <w:sz w:val="21"/>
          <w:szCs w:val="21"/>
          <w:highlight w:val="none"/>
        </w:rPr>
        <w:t xml:space="preserve"> </w:t>
      </w:r>
      <w:r>
        <w:rPr>
          <w:rFonts w:ascii="黑体" w:hAnsi="黑体" w:eastAsia="黑体" w:cs="黑体"/>
          <w:color w:val="auto"/>
          <w:spacing w:val="1"/>
          <w:sz w:val="21"/>
          <w:szCs w:val="21"/>
          <w:highlight w:val="none"/>
        </w:rPr>
        <w:t>签字处亲笔写上个人的名字的行为，私章、签字章、印</w:t>
      </w:r>
      <w:r>
        <w:rPr>
          <w:rFonts w:ascii="黑体" w:hAnsi="黑体" w:eastAsia="黑体" w:cs="黑体"/>
          <w:color w:val="auto"/>
          <w:sz w:val="21"/>
          <w:szCs w:val="21"/>
          <w:highlight w:val="none"/>
        </w:rPr>
        <w:t>鉴、影印等其他形式均不能代替亲笔签字。</w:t>
      </w:r>
    </w:p>
    <w:p>
      <w:pPr>
        <w:spacing w:before="128" w:line="279" w:lineRule="auto"/>
        <w:ind w:left="25" w:right="165"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18.6.3本招标文件所称的“电子签章”、“电子签名”,是指经“广西政</w:t>
      </w:r>
      <w:r>
        <w:rPr>
          <w:rFonts w:ascii="黑体" w:hAnsi="黑体" w:eastAsia="黑体" w:cs="黑体"/>
          <w:color w:val="auto"/>
          <w:spacing w:val="1"/>
          <w:sz w:val="21"/>
          <w:szCs w:val="21"/>
          <w:highlight w:val="none"/>
        </w:rPr>
        <w:t>府采购云平台”认可的</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1"/>
          <w:sz w:val="21"/>
          <w:szCs w:val="21"/>
          <w:highlight w:val="none"/>
        </w:rPr>
        <w:t>认</w:t>
      </w:r>
      <w:r>
        <w:rPr>
          <w:rFonts w:ascii="黑体" w:hAnsi="黑体" w:eastAsia="黑体" w:cs="黑体"/>
          <w:color w:val="auto"/>
          <w:sz w:val="21"/>
          <w:szCs w:val="21"/>
          <w:highlight w:val="none"/>
        </w:rPr>
        <w:t xml:space="preserve"> 证的电子签名数据为表现形式的印章，可用于签署电子投标文件，电子签章、电子签名与实物印章、手写</w:t>
      </w:r>
      <w:r>
        <w:rPr>
          <w:rFonts w:ascii="黑体" w:hAnsi="黑体" w:eastAsia="黑体" w:cs="黑体"/>
          <w:color w:val="auto"/>
          <w:spacing w:val="15"/>
          <w:sz w:val="21"/>
          <w:szCs w:val="21"/>
          <w:highlight w:val="none"/>
        </w:rPr>
        <w:t xml:space="preserve"> </w:t>
      </w:r>
      <w:r>
        <w:rPr>
          <w:rFonts w:ascii="黑体" w:hAnsi="黑体" w:eastAsia="黑体" w:cs="黑体"/>
          <w:color w:val="auto"/>
          <w:sz w:val="21"/>
          <w:szCs w:val="21"/>
          <w:highlight w:val="none"/>
        </w:rPr>
        <w:t>签名具有同等法律效力，不因其采用电子化表现形式而否定其法律效力。</w:t>
      </w:r>
    </w:p>
    <w:p>
      <w:pPr>
        <w:pStyle w:val="3"/>
        <w:spacing w:before="125" w:line="222" w:lineRule="auto"/>
        <w:ind w:left="447"/>
        <w:rPr>
          <w:rFonts w:ascii="黑体" w:hAnsi="黑体" w:eastAsia="黑体" w:cs="黑体"/>
          <w:color w:val="auto"/>
          <w:sz w:val="21"/>
          <w:szCs w:val="21"/>
          <w:highlight w:val="none"/>
        </w:rPr>
      </w:pPr>
      <w:r>
        <w:rPr>
          <w:b/>
          <w:bCs/>
          <w:color w:val="auto"/>
          <w:sz w:val="21"/>
          <w:szCs w:val="21"/>
          <w:highlight w:val="none"/>
        </w:rPr>
        <w:t>19.</w:t>
      </w:r>
      <w:r>
        <w:rPr>
          <w:color w:val="auto"/>
          <w:sz w:val="21"/>
          <w:szCs w:val="21"/>
          <w:highlight w:val="none"/>
        </w:rPr>
        <w:t xml:space="preserve"> </w:t>
      </w:r>
      <w:r>
        <w:rPr>
          <w:rFonts w:ascii="黑体" w:hAnsi="黑体" w:eastAsia="黑体" w:cs="黑体"/>
          <w:b/>
          <w:bCs/>
          <w:color w:val="auto"/>
          <w:sz w:val="21"/>
          <w:szCs w:val="21"/>
          <w:highlight w:val="none"/>
        </w:rPr>
        <w:t>投标文件的递交</w:t>
      </w:r>
    </w:p>
    <w:p>
      <w:pPr>
        <w:spacing w:before="100" w:line="222" w:lineRule="auto"/>
        <w:ind w:left="44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19.1投标文件递交要求：</w:t>
      </w:r>
    </w:p>
    <w:p>
      <w:pPr>
        <w:spacing w:before="106" w:line="220" w:lineRule="auto"/>
        <w:ind w:left="444"/>
        <w:rPr>
          <w:rFonts w:ascii="黑体" w:hAnsi="黑体" w:eastAsia="黑体" w:cs="黑体"/>
          <w:color w:val="auto"/>
          <w:sz w:val="21"/>
          <w:szCs w:val="21"/>
          <w:highlight w:val="none"/>
        </w:rPr>
      </w:pPr>
      <w:r>
        <w:rPr>
          <w:rFonts w:ascii="黑体" w:hAnsi="黑体" w:eastAsia="黑体" w:cs="黑体"/>
          <w:color w:val="auto"/>
          <w:spacing w:val="18"/>
          <w:sz w:val="21"/>
          <w:szCs w:val="21"/>
          <w:highlight w:val="none"/>
        </w:rPr>
        <w:t>投标截止时间：</w:t>
      </w:r>
      <w:r>
        <w:rPr>
          <w:rFonts w:hint="eastAsia" w:ascii="黑体" w:hAnsi="黑体" w:eastAsia="黑体" w:cs="黑体"/>
          <w:color w:val="auto"/>
          <w:spacing w:val="18"/>
          <w:sz w:val="21"/>
          <w:szCs w:val="21"/>
          <w:highlight w:val="none"/>
          <w:lang w:eastAsia="zh-CN"/>
        </w:rPr>
        <w:t>2025年12月24日</w:t>
      </w:r>
      <w:r>
        <w:rPr>
          <w:rFonts w:ascii="黑体" w:hAnsi="黑体" w:eastAsia="黑体" w:cs="黑体"/>
          <w:color w:val="auto"/>
          <w:spacing w:val="18"/>
          <w:sz w:val="21"/>
          <w:szCs w:val="21"/>
          <w:highlight w:val="none"/>
        </w:rPr>
        <w:t>上午9时30分。</w:t>
      </w:r>
    </w:p>
    <w:p>
      <w:pPr>
        <w:spacing w:before="111" w:line="314" w:lineRule="auto"/>
        <w:ind w:left="25" w:right="118"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投标文件递交地点：通过“广西政府采购云平台”在线提交，逾期递交的投标文件将予以拒收。投标</w:t>
      </w:r>
      <w:r>
        <w:rPr>
          <w:rFonts w:ascii="黑体" w:hAnsi="黑体" w:eastAsia="黑体" w:cs="黑体"/>
          <w:color w:val="auto"/>
          <w:spacing w:val="17"/>
          <w:sz w:val="21"/>
          <w:szCs w:val="21"/>
          <w:highlight w:val="none"/>
        </w:rPr>
        <w:t xml:space="preserve"> </w:t>
      </w:r>
      <w:r>
        <w:rPr>
          <w:rFonts w:ascii="黑体" w:hAnsi="黑体" w:eastAsia="黑体" w:cs="黑体"/>
          <w:color w:val="auto"/>
          <w:sz w:val="21"/>
          <w:szCs w:val="21"/>
          <w:highlight w:val="none"/>
        </w:rPr>
        <w:t>文件递交成功后，投标人在“广西政府采购云平台”自行下载投标回执。</w:t>
      </w:r>
    </w:p>
    <w:p>
      <w:pPr>
        <w:spacing w:before="6" w:line="213" w:lineRule="auto"/>
        <w:ind w:left="444"/>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19.2除招标文件另有规定外，投标人所递交的</w:t>
      </w:r>
      <w:r>
        <w:rPr>
          <w:rFonts w:ascii="黑体" w:hAnsi="黑体" w:eastAsia="黑体" w:cs="黑体"/>
          <w:color w:val="auto"/>
          <w:spacing w:val="1"/>
          <w:sz w:val="21"/>
          <w:szCs w:val="21"/>
          <w:highlight w:val="none"/>
        </w:rPr>
        <w:t>投标文件不予退还。</w:t>
      </w:r>
    </w:p>
    <w:p>
      <w:pPr>
        <w:pStyle w:val="3"/>
        <w:spacing w:before="115" w:line="222" w:lineRule="auto"/>
        <w:ind w:left="447"/>
        <w:rPr>
          <w:rFonts w:ascii="黑体" w:hAnsi="黑体" w:eastAsia="黑体" w:cs="黑体"/>
          <w:color w:val="auto"/>
          <w:sz w:val="21"/>
          <w:szCs w:val="21"/>
          <w:highlight w:val="none"/>
        </w:rPr>
      </w:pPr>
      <w:r>
        <w:rPr>
          <w:b/>
          <w:bCs/>
          <w:color w:val="auto"/>
          <w:spacing w:val="1"/>
          <w:sz w:val="21"/>
          <w:szCs w:val="21"/>
          <w:highlight w:val="none"/>
        </w:rPr>
        <w:t>20.</w:t>
      </w:r>
      <w:r>
        <w:rPr>
          <w:color w:val="auto"/>
          <w:spacing w:val="-14"/>
          <w:sz w:val="21"/>
          <w:szCs w:val="21"/>
          <w:highlight w:val="none"/>
        </w:rPr>
        <w:t xml:space="preserve"> </w:t>
      </w:r>
      <w:r>
        <w:rPr>
          <w:rFonts w:ascii="黑体" w:hAnsi="黑体" w:eastAsia="黑体" w:cs="黑体"/>
          <w:b/>
          <w:bCs/>
          <w:color w:val="auto"/>
          <w:spacing w:val="1"/>
          <w:sz w:val="21"/>
          <w:szCs w:val="21"/>
          <w:highlight w:val="none"/>
        </w:rPr>
        <w:t>投标文件的补充、修改和撤回</w:t>
      </w:r>
    </w:p>
    <w:p>
      <w:pPr>
        <w:spacing w:before="111" w:line="315" w:lineRule="auto"/>
        <w:ind w:left="25" w:right="19" w:firstLine="419"/>
        <w:jc w:val="both"/>
        <w:rPr>
          <w:rFonts w:ascii="黑体" w:hAnsi="黑体" w:eastAsia="黑体" w:cs="黑体"/>
          <w:color w:val="auto"/>
          <w:sz w:val="21"/>
          <w:szCs w:val="21"/>
          <w:highlight w:val="none"/>
        </w:rPr>
      </w:pPr>
      <w:r>
        <w:rPr>
          <w:rFonts w:ascii="黑体" w:hAnsi="黑体" w:eastAsia="黑体" w:cs="黑体"/>
          <w:color w:val="auto"/>
          <w:sz w:val="21"/>
          <w:szCs w:val="21"/>
          <w:highlight w:val="none"/>
        </w:rPr>
        <w:t>投标人在投标截止时间前，可以通过“广西政府采购云平台”平台在线对所递交的投标</w:t>
      </w:r>
      <w:r>
        <w:rPr>
          <w:rFonts w:ascii="黑体" w:hAnsi="黑体" w:eastAsia="黑体" w:cs="黑体"/>
          <w:color w:val="auto"/>
          <w:spacing w:val="-1"/>
          <w:sz w:val="21"/>
          <w:szCs w:val="21"/>
          <w:highlight w:val="none"/>
        </w:rPr>
        <w:t>文件进行补充、</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修改或者撤回，并书面通知采购代理机构。补充、修改电子投标文件的，应当先行撤回原文件，补充、修</w:t>
      </w:r>
      <w:r>
        <w:rPr>
          <w:rFonts w:ascii="黑体" w:hAnsi="黑体" w:eastAsia="黑体" w:cs="黑体"/>
          <w:color w:val="auto"/>
          <w:spacing w:val="6"/>
          <w:sz w:val="21"/>
          <w:szCs w:val="21"/>
          <w:highlight w:val="none"/>
        </w:rPr>
        <w:t xml:space="preserve">  </w:t>
      </w:r>
      <w:r>
        <w:rPr>
          <w:rFonts w:ascii="黑体" w:hAnsi="黑体" w:eastAsia="黑体" w:cs="黑体"/>
          <w:color w:val="auto"/>
          <w:spacing w:val="3"/>
          <w:sz w:val="21"/>
          <w:szCs w:val="21"/>
          <w:highlight w:val="none"/>
        </w:rPr>
        <w:t>改的内容按照招标文件要求签署、盖章后重新传输提交至“广西政府采购云平台”平台，作为投标文件的</w:t>
      </w:r>
      <w:r>
        <w:rPr>
          <w:rFonts w:ascii="黑体" w:hAnsi="黑体" w:eastAsia="黑体" w:cs="黑体"/>
          <w:color w:val="auto"/>
          <w:sz w:val="21"/>
          <w:szCs w:val="21"/>
          <w:highlight w:val="none"/>
        </w:rPr>
        <w:t xml:space="preserve"> 组成部分。在投标文件递交截止时间后的投标文件有效期内，投标人不得撤回其投标文件。</w:t>
      </w:r>
    </w:p>
    <w:p>
      <w:pPr>
        <w:spacing w:line="315" w:lineRule="auto"/>
        <w:rPr>
          <w:rFonts w:ascii="黑体" w:hAnsi="黑体" w:eastAsia="黑体" w:cs="黑体"/>
          <w:color w:val="auto"/>
          <w:sz w:val="21"/>
          <w:szCs w:val="21"/>
          <w:highlight w:val="none"/>
        </w:rPr>
        <w:sectPr>
          <w:footerReference r:id="rId20" w:type="default"/>
          <w:pgSz w:w="11900" w:h="16830"/>
          <w:pgMar w:top="400" w:right="965" w:bottom="801" w:left="1025" w:header="0" w:footer="657" w:gutter="0"/>
          <w:cols w:space="720" w:num="1"/>
        </w:sectPr>
      </w:pPr>
    </w:p>
    <w:p>
      <w:pPr>
        <w:spacing w:line="273" w:lineRule="auto"/>
        <w:rPr>
          <w:rFonts w:ascii="Arial"/>
          <w:color w:val="auto"/>
          <w:sz w:val="21"/>
          <w:highlight w:val="none"/>
        </w:rPr>
      </w:pPr>
    </w:p>
    <w:p>
      <w:pPr>
        <w:spacing w:line="273"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spacing w:line="274" w:lineRule="auto"/>
        <w:rPr>
          <w:rFonts w:ascii="Arial"/>
          <w:color w:val="auto"/>
          <w:sz w:val="21"/>
          <w:highlight w:val="none"/>
        </w:rPr>
      </w:pPr>
    </w:p>
    <w:p>
      <w:pPr>
        <w:pStyle w:val="3"/>
        <w:spacing w:before="91" w:line="220" w:lineRule="auto"/>
        <w:ind w:left="4574"/>
        <w:rPr>
          <w:color w:val="auto"/>
          <w:sz w:val="28"/>
          <w:szCs w:val="28"/>
          <w:highlight w:val="none"/>
        </w:rPr>
      </w:pPr>
      <w:r>
        <w:rPr>
          <w:b/>
          <w:bCs/>
          <w:color w:val="auto"/>
          <w:spacing w:val="-23"/>
          <w:sz w:val="28"/>
          <w:szCs w:val="28"/>
          <w:highlight w:val="none"/>
        </w:rPr>
        <w:t>四</w:t>
      </w:r>
      <w:r>
        <w:rPr>
          <w:color w:val="auto"/>
          <w:spacing w:val="-48"/>
          <w:sz w:val="28"/>
          <w:szCs w:val="28"/>
          <w:highlight w:val="none"/>
        </w:rPr>
        <w:t xml:space="preserve"> </w:t>
      </w:r>
      <w:r>
        <w:rPr>
          <w:b/>
          <w:bCs/>
          <w:color w:val="auto"/>
          <w:spacing w:val="-23"/>
          <w:sz w:val="28"/>
          <w:szCs w:val="28"/>
          <w:highlight w:val="none"/>
        </w:rPr>
        <w:t>、开标</w:t>
      </w:r>
    </w:p>
    <w:p>
      <w:pPr>
        <w:pStyle w:val="3"/>
        <w:spacing w:before="64" w:line="223" w:lineRule="auto"/>
        <w:ind w:left="443"/>
        <w:rPr>
          <w:rFonts w:ascii="黑体" w:hAnsi="黑体" w:eastAsia="黑体" w:cs="黑体"/>
          <w:color w:val="auto"/>
          <w:sz w:val="21"/>
          <w:szCs w:val="21"/>
          <w:highlight w:val="none"/>
        </w:rPr>
      </w:pPr>
      <w:r>
        <w:rPr>
          <w:b/>
          <w:bCs/>
          <w:color w:val="auto"/>
          <w:sz w:val="21"/>
          <w:szCs w:val="21"/>
          <w:highlight w:val="none"/>
        </w:rPr>
        <w:t>21.</w:t>
      </w:r>
      <w:r>
        <w:rPr>
          <w:color w:val="auto"/>
          <w:sz w:val="21"/>
          <w:szCs w:val="21"/>
          <w:highlight w:val="none"/>
        </w:rPr>
        <w:t xml:space="preserve"> </w:t>
      </w:r>
      <w:r>
        <w:rPr>
          <w:rFonts w:ascii="黑体" w:hAnsi="黑体" w:eastAsia="黑体" w:cs="黑体"/>
          <w:b/>
          <w:bCs/>
          <w:color w:val="auto"/>
          <w:sz w:val="21"/>
          <w:szCs w:val="21"/>
          <w:highlight w:val="none"/>
        </w:rPr>
        <w:t>开标时间及地点</w:t>
      </w:r>
    </w:p>
    <w:p>
      <w:pPr>
        <w:spacing w:before="109" w:line="22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21.1开标时间及地点：</w:t>
      </w:r>
    </w:p>
    <w:p>
      <w:pPr>
        <w:spacing w:before="104" w:line="213" w:lineRule="auto"/>
        <w:ind w:left="440"/>
        <w:rPr>
          <w:rFonts w:ascii="黑体" w:hAnsi="黑体" w:eastAsia="黑体" w:cs="黑体"/>
          <w:color w:val="auto"/>
          <w:sz w:val="21"/>
          <w:szCs w:val="21"/>
          <w:highlight w:val="none"/>
        </w:rPr>
      </w:pPr>
      <w:r>
        <w:rPr>
          <w:rFonts w:ascii="黑体" w:hAnsi="黑体" w:eastAsia="黑体" w:cs="黑体"/>
          <w:color w:val="auto"/>
          <w:spacing w:val="20"/>
          <w:sz w:val="21"/>
          <w:szCs w:val="21"/>
          <w:highlight w:val="none"/>
        </w:rPr>
        <w:t>开标时间：</w:t>
      </w:r>
      <w:r>
        <w:rPr>
          <w:rFonts w:hint="eastAsia" w:ascii="黑体" w:hAnsi="黑体" w:eastAsia="黑体" w:cs="黑体"/>
          <w:color w:val="auto"/>
          <w:spacing w:val="20"/>
          <w:sz w:val="21"/>
          <w:szCs w:val="21"/>
          <w:highlight w:val="none"/>
          <w:lang w:eastAsia="zh-CN"/>
        </w:rPr>
        <w:t>2025年12月24日</w:t>
      </w:r>
      <w:r>
        <w:rPr>
          <w:rFonts w:ascii="黑体" w:hAnsi="黑体" w:eastAsia="黑体" w:cs="黑体"/>
          <w:color w:val="auto"/>
          <w:spacing w:val="20"/>
          <w:sz w:val="21"/>
          <w:szCs w:val="21"/>
          <w:highlight w:val="none"/>
        </w:rPr>
        <w:t>上午9时30分；</w:t>
      </w:r>
    </w:p>
    <w:p>
      <w:pPr>
        <w:spacing w:before="115" w:line="219" w:lineRule="auto"/>
        <w:ind w:left="440"/>
        <w:rPr>
          <w:rFonts w:ascii="黑体" w:hAnsi="黑体" w:eastAsia="黑体" w:cs="黑体"/>
          <w:color w:val="auto"/>
          <w:sz w:val="21"/>
          <w:szCs w:val="21"/>
          <w:highlight w:val="none"/>
        </w:rPr>
      </w:pPr>
      <w:r>
        <w:rPr>
          <w:rFonts w:ascii="黑体" w:hAnsi="黑体" w:eastAsia="黑体" w:cs="黑体"/>
          <w:color w:val="auto"/>
          <w:sz w:val="21"/>
          <w:szCs w:val="21"/>
          <w:highlight w:val="none"/>
        </w:rPr>
        <w:t>开标地点：通过“广西政府采购云平台”在线解密、开标。</w:t>
      </w:r>
    </w:p>
    <w:p>
      <w:pPr>
        <w:spacing w:before="103" w:line="213" w:lineRule="auto"/>
        <w:ind w:left="44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21.2投标人不足3家的，不得开标，采购人或者采购代理机构应当重新组织采购。</w:t>
      </w:r>
    </w:p>
    <w:p>
      <w:pPr>
        <w:pStyle w:val="3"/>
        <w:spacing w:before="115" w:line="222" w:lineRule="auto"/>
        <w:ind w:left="443"/>
        <w:rPr>
          <w:rFonts w:ascii="黑体" w:hAnsi="黑体" w:eastAsia="黑体" w:cs="黑体"/>
          <w:color w:val="auto"/>
          <w:sz w:val="21"/>
          <w:szCs w:val="21"/>
          <w:highlight w:val="none"/>
        </w:rPr>
      </w:pPr>
      <w:r>
        <w:rPr>
          <w:b/>
          <w:bCs/>
          <w:color w:val="auto"/>
          <w:spacing w:val="2"/>
          <w:sz w:val="21"/>
          <w:szCs w:val="21"/>
          <w:highlight w:val="none"/>
        </w:rPr>
        <w:t>22.</w:t>
      </w:r>
      <w:r>
        <w:rPr>
          <w:color w:val="auto"/>
          <w:spacing w:val="-4"/>
          <w:sz w:val="21"/>
          <w:szCs w:val="21"/>
          <w:highlight w:val="none"/>
        </w:rPr>
        <w:t xml:space="preserve"> </w:t>
      </w:r>
      <w:r>
        <w:rPr>
          <w:rFonts w:ascii="黑体" w:hAnsi="黑体" w:eastAsia="黑体" w:cs="黑体"/>
          <w:b/>
          <w:bCs/>
          <w:color w:val="auto"/>
          <w:spacing w:val="2"/>
          <w:sz w:val="21"/>
          <w:szCs w:val="21"/>
          <w:highlight w:val="none"/>
        </w:rPr>
        <w:t>开标程序</w:t>
      </w:r>
    </w:p>
    <w:p>
      <w:pPr>
        <w:spacing w:before="118" w:line="298" w:lineRule="auto"/>
        <w:ind w:right="72" w:firstLine="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22.1采购代理机构将按照招标文件规定的时间通过“广西政府采购云</w:t>
      </w:r>
      <w:r>
        <w:rPr>
          <w:rFonts w:ascii="黑体" w:hAnsi="黑体" w:eastAsia="黑体" w:cs="黑体"/>
          <w:color w:val="auto"/>
          <w:spacing w:val="1"/>
          <w:sz w:val="21"/>
          <w:szCs w:val="21"/>
          <w:highlight w:val="none"/>
        </w:rPr>
        <w:t>平台”在线组织开标、解密开启</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投标文件，投标人的法定代表人或其委托代理人应当保持“广西政府</w:t>
      </w:r>
      <w:r>
        <w:rPr>
          <w:rFonts w:ascii="黑体" w:hAnsi="黑体" w:eastAsia="黑体" w:cs="黑体"/>
          <w:color w:val="auto"/>
          <w:spacing w:val="2"/>
          <w:sz w:val="21"/>
          <w:szCs w:val="21"/>
          <w:highlight w:val="none"/>
        </w:rPr>
        <w:t>采购云平台”实时在线，并通过“广</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西政府采购云平台”在线出席开标会议。投标人如不出席开</w:t>
      </w:r>
      <w:r>
        <w:rPr>
          <w:rFonts w:ascii="黑体" w:hAnsi="黑体" w:eastAsia="黑体" w:cs="黑体"/>
          <w:color w:val="auto"/>
          <w:spacing w:val="2"/>
          <w:sz w:val="21"/>
          <w:szCs w:val="21"/>
          <w:highlight w:val="none"/>
        </w:rPr>
        <w:t>标会议的，视同认可开标结果，事后不得对采</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购相关人员、开标过程和开标结果提出异议，因投标人未保</w:t>
      </w:r>
      <w:r>
        <w:rPr>
          <w:rFonts w:ascii="黑体" w:hAnsi="黑体" w:eastAsia="黑体" w:cs="黑体"/>
          <w:color w:val="auto"/>
          <w:spacing w:val="2"/>
          <w:sz w:val="21"/>
          <w:szCs w:val="21"/>
          <w:highlight w:val="none"/>
        </w:rPr>
        <w:t>持实时在线，而导致投标文件无法按时解密等</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一切后果由投标人自行承担。</w:t>
      </w:r>
    </w:p>
    <w:p>
      <w:pPr>
        <w:spacing w:before="96" w:line="213" w:lineRule="auto"/>
        <w:ind w:left="440"/>
        <w:rPr>
          <w:rFonts w:hint="eastAsia" w:ascii="黑体" w:hAnsi="黑体" w:eastAsia="黑体" w:cs="黑体"/>
          <w:color w:val="auto"/>
          <w:spacing w:val="2"/>
          <w:sz w:val="21"/>
          <w:szCs w:val="21"/>
          <w:highlight w:val="none"/>
        </w:rPr>
      </w:pPr>
      <w:r>
        <w:rPr>
          <w:rFonts w:ascii="黑体" w:hAnsi="黑体" w:eastAsia="黑体" w:cs="黑体"/>
          <w:color w:val="auto"/>
          <w:spacing w:val="2"/>
          <w:sz w:val="21"/>
          <w:szCs w:val="21"/>
          <w:highlight w:val="none"/>
        </w:rPr>
        <w:t>22.2</w:t>
      </w:r>
      <w:r>
        <w:rPr>
          <w:rFonts w:hint="eastAsia" w:ascii="黑体" w:hAnsi="黑体" w:eastAsia="黑体" w:cs="黑体"/>
          <w:color w:val="auto"/>
          <w:spacing w:val="2"/>
          <w:sz w:val="21"/>
          <w:szCs w:val="21"/>
          <w:highlight w:val="none"/>
        </w:rPr>
        <w:t>投标文件解密：投标文件提交截止时间后，采购代理机构开启解密投标文件操作，“广西政府采购云平台”向各投标人发出电子加密投标文件解密通知，由投标人在系统发出解密通知后30分钟内自行使用加密时的CA通过“项目采购-开标评标”功能对投标文件进行解密。若投标人在规定时间内无法解密或解密失败，视为投标人放弃投标。</w:t>
      </w:r>
    </w:p>
    <w:p>
      <w:pPr>
        <w:spacing w:before="96" w:line="21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22.3投标文件解密结束后，开标活动组织人员在</w:t>
      </w:r>
      <w:r>
        <w:rPr>
          <w:rFonts w:ascii="黑体" w:hAnsi="黑体" w:eastAsia="黑体" w:cs="黑体"/>
          <w:color w:val="auto"/>
          <w:spacing w:val="1"/>
          <w:sz w:val="21"/>
          <w:szCs w:val="21"/>
          <w:highlight w:val="none"/>
        </w:rPr>
        <w:t>线开启投标文件。</w:t>
      </w:r>
    </w:p>
    <w:p>
      <w:pPr>
        <w:spacing w:before="118" w:line="21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22.4开启投标人报价文件，电子开标大厅记</w:t>
      </w:r>
      <w:r>
        <w:rPr>
          <w:rFonts w:ascii="黑体" w:hAnsi="黑体" w:eastAsia="黑体" w:cs="黑体"/>
          <w:color w:val="auto"/>
          <w:spacing w:val="1"/>
          <w:sz w:val="21"/>
          <w:szCs w:val="21"/>
          <w:highlight w:val="none"/>
        </w:rPr>
        <w:t>录显示并记录投标人投标报价表的投标报价等。</w:t>
      </w:r>
    </w:p>
    <w:p>
      <w:pPr>
        <w:spacing w:before="116" w:line="219"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22.5投标人线上确认投标报价。</w:t>
      </w:r>
    </w:p>
    <w:p>
      <w:pPr>
        <w:spacing w:before="113" w:line="213" w:lineRule="auto"/>
        <w:ind w:left="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22.6如发现开标结果与所提交的报价文件</w:t>
      </w:r>
      <w:r>
        <w:rPr>
          <w:rFonts w:ascii="黑体" w:hAnsi="黑体" w:eastAsia="黑体" w:cs="黑体"/>
          <w:color w:val="auto"/>
          <w:spacing w:val="1"/>
          <w:sz w:val="21"/>
          <w:szCs w:val="21"/>
          <w:highlight w:val="none"/>
        </w:rPr>
        <w:t>不一致的，由评标委员会根据报价文件内容进行修正。</w:t>
      </w:r>
    </w:p>
    <w:p>
      <w:pPr>
        <w:spacing w:before="118" w:line="288" w:lineRule="auto"/>
        <w:ind w:right="78" w:firstLine="44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22.7投标人代表对开标过程和开标记录有疑义，以及认为采购人、</w:t>
      </w:r>
      <w:r>
        <w:rPr>
          <w:rFonts w:ascii="黑体" w:hAnsi="黑体" w:eastAsia="黑体" w:cs="黑体"/>
          <w:color w:val="auto"/>
          <w:spacing w:val="1"/>
          <w:sz w:val="21"/>
          <w:szCs w:val="21"/>
          <w:highlight w:val="none"/>
        </w:rPr>
        <w:t>采购代理机构相关工作人员有需要</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回避的情形的，应当场提出询问或者回避申请。采购</w:t>
      </w:r>
      <w:r>
        <w:rPr>
          <w:rFonts w:ascii="黑体" w:hAnsi="黑体" w:eastAsia="黑体" w:cs="黑体"/>
          <w:color w:val="auto"/>
          <w:spacing w:val="2"/>
          <w:sz w:val="21"/>
          <w:szCs w:val="21"/>
          <w:highlight w:val="none"/>
        </w:rPr>
        <w:t>人、采购代理机构对投标人代表提出的询问或者回避</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申请应当及时处理。</w:t>
      </w:r>
    </w:p>
    <w:p>
      <w:pPr>
        <w:spacing w:before="96" w:line="213" w:lineRule="auto"/>
        <w:ind w:left="44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22.8特别说明：如遇“广西政府采购云平台”电子化开标或评审程序调整的，按调整后程序执行。</w:t>
      </w:r>
    </w:p>
    <w:p>
      <w:pPr>
        <w:spacing w:line="354" w:lineRule="auto"/>
        <w:rPr>
          <w:rFonts w:ascii="Arial"/>
          <w:color w:val="auto"/>
          <w:sz w:val="21"/>
          <w:highlight w:val="none"/>
        </w:rPr>
      </w:pPr>
    </w:p>
    <w:p>
      <w:pPr>
        <w:pStyle w:val="3"/>
        <w:spacing w:before="92" w:line="219" w:lineRule="auto"/>
        <w:ind w:left="4214"/>
        <w:rPr>
          <w:color w:val="auto"/>
          <w:sz w:val="28"/>
          <w:szCs w:val="28"/>
          <w:highlight w:val="none"/>
        </w:rPr>
      </w:pPr>
      <w:r>
        <w:rPr>
          <w:b/>
          <w:bCs/>
          <w:color w:val="auto"/>
          <w:spacing w:val="-3"/>
          <w:sz w:val="28"/>
          <w:szCs w:val="28"/>
          <w:highlight w:val="none"/>
        </w:rPr>
        <w:t>五、资格性审查</w:t>
      </w:r>
    </w:p>
    <w:p>
      <w:pPr>
        <w:pStyle w:val="3"/>
        <w:spacing w:before="64" w:line="222" w:lineRule="auto"/>
        <w:ind w:left="443"/>
        <w:rPr>
          <w:rFonts w:ascii="黑体" w:hAnsi="黑体" w:eastAsia="黑体" w:cs="黑体"/>
          <w:color w:val="auto"/>
          <w:sz w:val="21"/>
          <w:szCs w:val="21"/>
          <w:highlight w:val="none"/>
        </w:rPr>
      </w:pPr>
      <w:r>
        <w:rPr>
          <w:b/>
          <w:bCs/>
          <w:color w:val="auto"/>
          <w:sz w:val="21"/>
          <w:szCs w:val="21"/>
          <w:highlight w:val="none"/>
        </w:rPr>
        <w:t>23.</w:t>
      </w:r>
      <w:r>
        <w:rPr>
          <w:color w:val="auto"/>
          <w:sz w:val="21"/>
          <w:szCs w:val="21"/>
          <w:highlight w:val="none"/>
        </w:rPr>
        <w:t xml:space="preserve"> </w:t>
      </w:r>
      <w:r>
        <w:rPr>
          <w:rFonts w:ascii="黑体" w:hAnsi="黑体" w:eastAsia="黑体" w:cs="黑体"/>
          <w:b/>
          <w:bCs/>
          <w:color w:val="auto"/>
          <w:sz w:val="21"/>
          <w:szCs w:val="21"/>
          <w:highlight w:val="none"/>
        </w:rPr>
        <w:t>资格性审查</w:t>
      </w:r>
    </w:p>
    <w:p>
      <w:pPr>
        <w:spacing w:before="101" w:line="213" w:lineRule="auto"/>
        <w:ind w:left="44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23.1公开招标采购项目开标结束后，采购人或者采购代理机构应当依法对投标人的资格进行审查。</w:t>
      </w:r>
    </w:p>
    <w:p>
      <w:pPr>
        <w:spacing w:before="79" w:line="293" w:lineRule="auto"/>
        <w:ind w:right="56" w:firstLine="440"/>
        <w:rPr>
          <w:rFonts w:ascii="黑体" w:hAnsi="黑体" w:eastAsia="黑体" w:cs="黑体"/>
          <w:color w:val="auto"/>
          <w:sz w:val="21"/>
          <w:szCs w:val="21"/>
          <w:highlight w:val="none"/>
        </w:rPr>
      </w:pPr>
      <w:r>
        <w:rPr>
          <w:rFonts w:ascii="黑体" w:hAnsi="黑体" w:eastAsia="黑体" w:cs="黑体"/>
          <w:color w:val="auto"/>
          <w:spacing w:val="27"/>
          <w:sz w:val="21"/>
          <w:szCs w:val="21"/>
          <w:highlight w:val="none"/>
        </w:rPr>
        <w:t>23</w:t>
      </w:r>
      <w:r>
        <w:rPr>
          <w:rFonts w:ascii="黑体" w:hAnsi="黑体" w:eastAsia="黑体" w:cs="黑体"/>
          <w:color w:val="auto"/>
          <w:spacing w:val="-45"/>
          <w:sz w:val="21"/>
          <w:szCs w:val="21"/>
          <w:highlight w:val="none"/>
        </w:rPr>
        <w:t xml:space="preserve"> </w:t>
      </w:r>
      <w:r>
        <w:rPr>
          <w:rFonts w:ascii="黑体" w:hAnsi="黑体" w:eastAsia="黑体" w:cs="黑体"/>
          <w:color w:val="auto"/>
          <w:spacing w:val="27"/>
          <w:sz w:val="21"/>
          <w:szCs w:val="21"/>
          <w:highlight w:val="none"/>
        </w:rPr>
        <w:t>.2采购人或者采购代理机构在对投标人进行资格性审查时，将对投标人企业股东及出资</w:t>
      </w:r>
      <w:r>
        <w:rPr>
          <w:rFonts w:ascii="黑体" w:hAnsi="黑体" w:eastAsia="黑体" w:cs="黑体"/>
          <w:color w:val="auto"/>
          <w:sz w:val="21"/>
          <w:szCs w:val="21"/>
          <w:highlight w:val="none"/>
        </w:rPr>
        <w:t xml:space="preserve"> </w:t>
      </w:r>
      <w:r>
        <w:rPr>
          <w:rFonts w:ascii="黑体" w:hAnsi="黑体" w:eastAsia="黑体" w:cs="黑体"/>
          <w:color w:val="auto"/>
          <w:spacing w:val="32"/>
          <w:sz w:val="21"/>
          <w:szCs w:val="21"/>
          <w:highlight w:val="none"/>
        </w:rPr>
        <w:t>等信息进行查询。根据《中华人民共和国政府采购法实施条例》第十八条第</w:t>
      </w:r>
      <w:r>
        <w:rPr>
          <w:rFonts w:ascii="黑体" w:hAnsi="黑体" w:eastAsia="黑体" w:cs="黑体"/>
          <w:color w:val="auto"/>
          <w:spacing w:val="-52"/>
          <w:sz w:val="21"/>
          <w:szCs w:val="21"/>
          <w:highlight w:val="none"/>
        </w:rPr>
        <w:t xml:space="preserve"> </w:t>
      </w:r>
      <w:r>
        <w:rPr>
          <w:rFonts w:ascii="黑体" w:hAnsi="黑体" w:eastAsia="黑体" w:cs="黑体"/>
          <w:color w:val="auto"/>
          <w:spacing w:val="32"/>
          <w:sz w:val="21"/>
          <w:szCs w:val="21"/>
          <w:highlight w:val="none"/>
        </w:rPr>
        <w:t>一</w:t>
      </w:r>
      <w:r>
        <w:rPr>
          <w:rFonts w:ascii="黑体" w:hAnsi="黑体" w:eastAsia="黑体" w:cs="黑体"/>
          <w:color w:val="auto"/>
          <w:spacing w:val="-61"/>
          <w:sz w:val="21"/>
          <w:szCs w:val="21"/>
          <w:highlight w:val="none"/>
        </w:rPr>
        <w:t xml:space="preserve"> </w:t>
      </w:r>
      <w:r>
        <w:rPr>
          <w:rFonts w:ascii="黑体" w:hAnsi="黑体" w:eastAsia="黑体" w:cs="黑体"/>
          <w:color w:val="auto"/>
          <w:spacing w:val="32"/>
          <w:sz w:val="21"/>
          <w:szCs w:val="21"/>
          <w:highlight w:val="none"/>
        </w:rPr>
        <w:t>款规定，审查</w:t>
      </w:r>
      <w:r>
        <w:rPr>
          <w:rFonts w:ascii="黑体" w:hAnsi="黑体" w:eastAsia="黑体" w:cs="黑体"/>
          <w:color w:val="auto"/>
          <w:sz w:val="21"/>
          <w:szCs w:val="21"/>
          <w:highlight w:val="none"/>
        </w:rPr>
        <w:t xml:space="preserve"> </w:t>
      </w:r>
      <w:r>
        <w:rPr>
          <w:rFonts w:ascii="黑体" w:hAnsi="黑体" w:eastAsia="黑体" w:cs="黑体"/>
          <w:color w:val="auto"/>
          <w:spacing w:val="32"/>
          <w:sz w:val="21"/>
          <w:szCs w:val="21"/>
          <w:highlight w:val="none"/>
        </w:rPr>
        <w:t>中如发现投标人存在单位负责人为同</w:t>
      </w:r>
      <w:r>
        <w:rPr>
          <w:rFonts w:ascii="黑体" w:hAnsi="黑体" w:eastAsia="黑体" w:cs="黑体"/>
          <w:color w:val="auto"/>
          <w:spacing w:val="-58"/>
          <w:sz w:val="21"/>
          <w:szCs w:val="21"/>
          <w:highlight w:val="none"/>
        </w:rPr>
        <w:t xml:space="preserve"> </w:t>
      </w:r>
      <w:r>
        <w:rPr>
          <w:rFonts w:ascii="黑体" w:hAnsi="黑体" w:eastAsia="黑体" w:cs="黑体"/>
          <w:color w:val="auto"/>
          <w:spacing w:val="32"/>
          <w:sz w:val="21"/>
          <w:szCs w:val="21"/>
          <w:highlight w:val="none"/>
        </w:rPr>
        <w:t>一</w:t>
      </w:r>
      <w:r>
        <w:rPr>
          <w:rFonts w:ascii="黑体" w:hAnsi="黑体" w:eastAsia="黑体" w:cs="黑体"/>
          <w:color w:val="auto"/>
          <w:spacing w:val="-57"/>
          <w:sz w:val="21"/>
          <w:szCs w:val="21"/>
          <w:highlight w:val="none"/>
        </w:rPr>
        <w:t xml:space="preserve"> </w:t>
      </w:r>
      <w:r>
        <w:rPr>
          <w:rFonts w:ascii="黑体" w:hAnsi="黑体" w:eastAsia="黑体" w:cs="黑体"/>
          <w:color w:val="auto"/>
          <w:spacing w:val="32"/>
          <w:sz w:val="21"/>
          <w:szCs w:val="21"/>
          <w:highlight w:val="none"/>
        </w:rPr>
        <w:t>人或者存在直接控股、管理关系的不</w:t>
      </w:r>
      <w:r>
        <w:rPr>
          <w:rFonts w:ascii="黑体" w:hAnsi="黑体" w:eastAsia="黑体" w:cs="黑体"/>
          <w:color w:val="auto"/>
          <w:spacing w:val="31"/>
          <w:sz w:val="21"/>
          <w:szCs w:val="21"/>
          <w:highlight w:val="none"/>
        </w:rPr>
        <w:t>同供应商参加同</w:t>
      </w:r>
    </w:p>
    <w:p>
      <w:pPr>
        <w:spacing w:line="293" w:lineRule="auto"/>
        <w:rPr>
          <w:rFonts w:ascii="黑体" w:hAnsi="黑体" w:eastAsia="黑体" w:cs="黑体"/>
          <w:color w:val="auto"/>
          <w:sz w:val="21"/>
          <w:szCs w:val="21"/>
          <w:highlight w:val="none"/>
        </w:rPr>
        <w:sectPr>
          <w:footerReference r:id="rId21" w:type="default"/>
          <w:pgSz w:w="11900" w:h="16830"/>
          <w:pgMar w:top="400" w:right="1004" w:bottom="801" w:left="1039" w:header="0" w:footer="657" w:gutter="0"/>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13" w:lineRule="auto"/>
        <w:ind w:left="35"/>
        <w:rPr>
          <w:rFonts w:ascii="黑体" w:hAnsi="黑体" w:eastAsia="黑体" w:cs="黑体"/>
          <w:color w:val="auto"/>
          <w:sz w:val="21"/>
          <w:szCs w:val="21"/>
          <w:highlight w:val="none"/>
        </w:rPr>
      </w:pPr>
      <w:r>
        <w:rPr>
          <w:rFonts w:ascii="黑体" w:hAnsi="黑体" w:eastAsia="黑体" w:cs="黑体"/>
          <w:color w:val="auto"/>
          <w:spacing w:val="29"/>
          <w:sz w:val="21"/>
          <w:szCs w:val="21"/>
          <w:highlight w:val="none"/>
        </w:rPr>
        <w:t>一</w:t>
      </w:r>
      <w:r>
        <w:rPr>
          <w:rFonts w:ascii="黑体" w:hAnsi="黑体" w:eastAsia="黑体" w:cs="黑体"/>
          <w:color w:val="auto"/>
          <w:spacing w:val="-63"/>
          <w:sz w:val="21"/>
          <w:szCs w:val="21"/>
          <w:highlight w:val="none"/>
        </w:rPr>
        <w:t xml:space="preserve"> </w:t>
      </w:r>
      <w:r>
        <w:rPr>
          <w:rFonts w:ascii="黑体" w:hAnsi="黑体" w:eastAsia="黑体" w:cs="黑体"/>
          <w:color w:val="auto"/>
          <w:spacing w:val="29"/>
          <w:sz w:val="21"/>
          <w:szCs w:val="21"/>
          <w:highlight w:val="none"/>
        </w:rPr>
        <w:t>合同项下的政府采购活动的，按资格审查不通</w:t>
      </w:r>
      <w:r>
        <w:rPr>
          <w:rFonts w:ascii="黑体" w:hAnsi="黑体" w:eastAsia="黑体" w:cs="黑体"/>
          <w:color w:val="auto"/>
          <w:spacing w:val="28"/>
          <w:sz w:val="21"/>
          <w:szCs w:val="21"/>
          <w:highlight w:val="none"/>
        </w:rPr>
        <w:t>过处理。</w:t>
      </w:r>
    </w:p>
    <w:p>
      <w:pPr>
        <w:pStyle w:val="3"/>
        <w:spacing w:before="131" w:line="217" w:lineRule="auto"/>
        <w:ind w:left="444"/>
        <w:rPr>
          <w:color w:val="auto"/>
          <w:sz w:val="21"/>
          <w:szCs w:val="21"/>
          <w:highlight w:val="none"/>
        </w:rPr>
      </w:pPr>
      <w:r>
        <w:rPr>
          <w:rFonts w:ascii="黑体" w:hAnsi="黑体" w:eastAsia="黑体" w:cs="黑体"/>
          <w:color w:val="auto"/>
          <w:spacing w:val="1"/>
          <w:sz w:val="21"/>
          <w:szCs w:val="21"/>
          <w:highlight w:val="none"/>
        </w:rPr>
        <w:t>查询渠道：《国家企业信用信息公示系统》(网址：</w:t>
      </w:r>
      <w:r>
        <w:rPr>
          <w:rFonts w:ascii="黑体" w:hAnsi="黑体" w:eastAsia="黑体" w:cs="黑体"/>
          <w:color w:val="auto"/>
          <w:spacing w:val="-55"/>
          <w:sz w:val="21"/>
          <w:szCs w:val="21"/>
          <w:highlight w:val="none"/>
        </w:rPr>
        <w:t xml:space="preserve"> </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color w:val="auto"/>
          <w:sz w:val="21"/>
          <w:szCs w:val="21"/>
          <w:highlight w:val="none"/>
        </w:rPr>
        <w:t>http</w:t>
      </w:r>
      <w:r>
        <w:rPr>
          <w:color w:val="auto"/>
          <w:spacing w:val="1"/>
          <w:sz w:val="21"/>
          <w:szCs w:val="21"/>
          <w:highlight w:val="none"/>
        </w:rPr>
        <w:t>://</w:t>
      </w:r>
      <w:r>
        <w:rPr>
          <w:color w:val="auto"/>
          <w:sz w:val="21"/>
          <w:szCs w:val="21"/>
          <w:highlight w:val="none"/>
        </w:rPr>
        <w:t>www</w:t>
      </w:r>
      <w:r>
        <w:rPr>
          <w:color w:val="auto"/>
          <w:spacing w:val="1"/>
          <w:sz w:val="21"/>
          <w:szCs w:val="21"/>
          <w:highlight w:val="none"/>
        </w:rPr>
        <w:t>.</w:t>
      </w:r>
      <w:r>
        <w:rPr>
          <w:color w:val="auto"/>
          <w:sz w:val="21"/>
          <w:szCs w:val="21"/>
          <w:highlight w:val="none"/>
        </w:rPr>
        <w:t>gsxt</w:t>
      </w:r>
      <w:r>
        <w:rPr>
          <w:color w:val="auto"/>
          <w:spacing w:val="1"/>
          <w:sz w:val="21"/>
          <w:szCs w:val="21"/>
          <w:highlight w:val="none"/>
        </w:rPr>
        <w:t>.</w:t>
      </w:r>
      <w:r>
        <w:rPr>
          <w:color w:val="auto"/>
          <w:sz w:val="21"/>
          <w:szCs w:val="21"/>
          <w:highlight w:val="none"/>
        </w:rPr>
        <w:t>gov.cn/index.html)</w:t>
      </w:r>
      <w:r>
        <w:rPr>
          <w:color w:val="auto"/>
          <w:sz w:val="21"/>
          <w:szCs w:val="21"/>
          <w:highlight w:val="none"/>
        </w:rPr>
        <w:fldChar w:fldCharType="end"/>
      </w:r>
    </w:p>
    <w:p>
      <w:pPr>
        <w:spacing w:before="98" w:line="221" w:lineRule="auto"/>
        <w:ind w:left="45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审查流程：</w:t>
      </w:r>
    </w:p>
    <w:p>
      <w:pPr>
        <w:spacing w:before="69" w:line="278" w:lineRule="auto"/>
        <w:ind w:left="45" w:right="87" w:firstLine="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 xml:space="preserve">(1)进入《国家企业信用信息公示系统》(网址： </w:t>
      </w:r>
      <w:r>
        <w:rPr>
          <w:color w:val="auto"/>
          <w:highlight w:val="none"/>
        </w:rPr>
        <w:fldChar w:fldCharType="begin"/>
      </w:r>
      <w:r>
        <w:rPr>
          <w:color w:val="auto"/>
          <w:highlight w:val="none"/>
        </w:rPr>
        <w:instrText xml:space="preserve"> HYPERLINK "http://www.gsxt.gov.cn/index.html" </w:instrText>
      </w:r>
      <w:r>
        <w:rPr>
          <w:color w:val="auto"/>
          <w:highlight w:val="none"/>
        </w:rPr>
        <w:fldChar w:fldCharType="separate"/>
      </w:r>
      <w:r>
        <w:rPr>
          <w:rFonts w:ascii="Arial" w:hAnsi="Arial" w:eastAsia="Arial" w:cs="Arial"/>
          <w:color w:val="auto"/>
          <w:sz w:val="21"/>
          <w:szCs w:val="21"/>
          <w:highlight w:val="none"/>
        </w:rPr>
        <w:t>http</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www</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gsxt</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gov</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cn</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index</w:t>
      </w:r>
      <w:r>
        <w:rPr>
          <w:rFonts w:ascii="Arial" w:hAnsi="Arial" w:eastAsia="Arial" w:cs="Arial"/>
          <w:color w:val="auto"/>
          <w:spacing w:val="6"/>
          <w:sz w:val="21"/>
          <w:szCs w:val="21"/>
          <w:highlight w:val="none"/>
        </w:rPr>
        <w:t>.</w:t>
      </w:r>
      <w:r>
        <w:rPr>
          <w:rFonts w:ascii="Arial" w:hAnsi="Arial" w:eastAsia="Arial" w:cs="Arial"/>
          <w:color w:val="auto"/>
          <w:sz w:val="21"/>
          <w:szCs w:val="21"/>
          <w:highlight w:val="none"/>
        </w:rPr>
        <w:t>html</w:t>
      </w:r>
      <w:r>
        <w:rPr>
          <w:rFonts w:ascii="Arial" w:hAnsi="Arial" w:eastAsia="Arial" w:cs="Arial"/>
          <w:color w:val="auto"/>
          <w:sz w:val="21"/>
          <w:szCs w:val="21"/>
          <w:highlight w:val="none"/>
        </w:rPr>
        <w:fldChar w:fldCharType="end"/>
      </w:r>
      <w:r>
        <w:rPr>
          <w:rFonts w:ascii="Arial" w:hAnsi="Arial" w:eastAsia="Arial" w:cs="Arial"/>
          <w:color w:val="auto"/>
          <w:spacing w:val="6"/>
          <w:sz w:val="21"/>
          <w:szCs w:val="21"/>
          <w:highlight w:val="none"/>
        </w:rPr>
        <w:t xml:space="preserve">),          </w:t>
      </w:r>
      <w:r>
        <w:rPr>
          <w:rFonts w:ascii="黑体" w:hAnsi="黑体" w:eastAsia="黑体" w:cs="黑体"/>
          <w:color w:val="auto"/>
          <w:spacing w:val="6"/>
          <w:sz w:val="21"/>
          <w:szCs w:val="21"/>
          <w:highlight w:val="none"/>
        </w:rPr>
        <w:t>输入企</w:t>
      </w:r>
      <w:r>
        <w:rPr>
          <w:rFonts w:ascii="黑体" w:hAnsi="黑体" w:eastAsia="黑体" w:cs="黑体"/>
          <w:color w:val="auto"/>
          <w:spacing w:val="2"/>
          <w:sz w:val="21"/>
          <w:szCs w:val="21"/>
          <w:highlight w:val="none"/>
        </w:rPr>
        <w:t xml:space="preserve"> </w:t>
      </w:r>
      <w:r>
        <w:rPr>
          <w:rFonts w:ascii="黑体" w:hAnsi="黑体" w:eastAsia="黑体" w:cs="黑体"/>
          <w:color w:val="auto"/>
          <w:spacing w:val="-1"/>
          <w:sz w:val="21"/>
          <w:szCs w:val="21"/>
          <w:highlight w:val="none"/>
        </w:rPr>
        <w:t>业名称，进入企业信息主页面；</w:t>
      </w:r>
    </w:p>
    <w:p>
      <w:pPr>
        <w:spacing w:before="117" w:line="213" w:lineRule="auto"/>
        <w:ind w:left="54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(2)查看主页“股东及出资信息”栏，或年报中的“股东及出资信息”栏信息；</w:t>
      </w:r>
    </w:p>
    <w:p>
      <w:pPr>
        <w:spacing w:before="118" w:line="213" w:lineRule="auto"/>
        <w:ind w:left="554"/>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(3)将各投标人的股东及出资信息进行比对，得出审查结论；</w:t>
      </w:r>
    </w:p>
    <w:p>
      <w:pPr>
        <w:spacing w:before="127" w:line="222" w:lineRule="auto"/>
        <w:ind w:left="564"/>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(4)将相关资料作为评审资料打印存档。</w:t>
      </w:r>
    </w:p>
    <w:p>
      <w:pPr>
        <w:spacing w:before="109" w:line="314" w:lineRule="auto"/>
        <w:ind w:left="35" w:firstLine="489"/>
        <w:jc w:val="both"/>
        <w:rPr>
          <w:rFonts w:ascii="黑体" w:hAnsi="黑体" w:eastAsia="黑体" w:cs="黑体"/>
          <w:color w:val="auto"/>
          <w:sz w:val="21"/>
          <w:szCs w:val="21"/>
          <w:highlight w:val="none"/>
        </w:rPr>
      </w:pPr>
      <w:r>
        <w:rPr>
          <w:rFonts w:ascii="黑体" w:hAnsi="黑体" w:eastAsia="黑体" w:cs="黑体"/>
          <w:color w:val="auto"/>
          <w:spacing w:val="31"/>
          <w:sz w:val="21"/>
          <w:szCs w:val="21"/>
          <w:highlight w:val="none"/>
        </w:rPr>
        <w:t>注：以上审查过程中，如出现查</w:t>
      </w:r>
      <w:r>
        <w:rPr>
          <w:rFonts w:ascii="黑体" w:hAnsi="黑体" w:eastAsia="黑体" w:cs="黑体"/>
          <w:color w:val="auto"/>
          <w:spacing w:val="-62"/>
          <w:sz w:val="21"/>
          <w:szCs w:val="21"/>
          <w:highlight w:val="none"/>
        </w:rPr>
        <w:t xml:space="preserve"> </w:t>
      </w:r>
      <w:r>
        <w:rPr>
          <w:rFonts w:ascii="黑体" w:hAnsi="黑体" w:eastAsia="黑体" w:cs="黑体"/>
          <w:color w:val="auto"/>
          <w:spacing w:val="31"/>
          <w:sz w:val="21"/>
          <w:szCs w:val="21"/>
          <w:highlight w:val="none"/>
          <w:u w:val="single" w:color="auto"/>
        </w:rPr>
        <w:t>询</w:t>
      </w:r>
      <w:r>
        <w:rPr>
          <w:rFonts w:ascii="黑体" w:hAnsi="黑体" w:eastAsia="黑体" w:cs="黑体"/>
          <w:color w:val="auto"/>
          <w:spacing w:val="-63"/>
          <w:sz w:val="21"/>
          <w:szCs w:val="21"/>
          <w:highlight w:val="none"/>
          <w:u w:val="single" w:color="auto"/>
        </w:rPr>
        <w:t xml:space="preserve"> </w:t>
      </w:r>
      <w:r>
        <w:rPr>
          <w:rFonts w:ascii="黑体" w:hAnsi="黑体" w:eastAsia="黑体" w:cs="黑体"/>
          <w:color w:val="auto"/>
          <w:spacing w:val="31"/>
          <w:sz w:val="21"/>
          <w:szCs w:val="21"/>
          <w:highlight w:val="none"/>
          <w:u w:val="single" w:color="auto"/>
        </w:rPr>
        <w:t>企业</w:t>
      </w:r>
      <w:r>
        <w:rPr>
          <w:rFonts w:ascii="黑体" w:hAnsi="黑体" w:eastAsia="黑体" w:cs="黑体"/>
          <w:color w:val="auto"/>
          <w:spacing w:val="-51"/>
          <w:sz w:val="21"/>
          <w:szCs w:val="21"/>
          <w:highlight w:val="none"/>
          <w:u w:val="single" w:color="auto"/>
        </w:rPr>
        <w:t xml:space="preserve"> </w:t>
      </w:r>
      <w:r>
        <w:rPr>
          <w:rFonts w:ascii="黑体" w:hAnsi="黑体" w:eastAsia="黑体" w:cs="黑体"/>
          <w:color w:val="auto"/>
          <w:spacing w:val="31"/>
          <w:sz w:val="21"/>
          <w:szCs w:val="21"/>
          <w:highlight w:val="none"/>
        </w:rPr>
        <w:t>网页主页面无法显示股东及出资</w:t>
      </w:r>
      <w:r>
        <w:rPr>
          <w:rFonts w:ascii="黑体" w:hAnsi="黑体" w:eastAsia="黑体" w:cs="黑体"/>
          <w:color w:val="auto"/>
          <w:spacing w:val="30"/>
          <w:sz w:val="21"/>
          <w:szCs w:val="21"/>
          <w:highlight w:val="none"/>
        </w:rPr>
        <w:t>信息的或仅以主</w:t>
      </w:r>
      <w:r>
        <w:rPr>
          <w:rFonts w:ascii="黑体" w:hAnsi="黑体" w:eastAsia="黑体" w:cs="黑体"/>
          <w:color w:val="auto"/>
          <w:sz w:val="21"/>
          <w:szCs w:val="21"/>
          <w:highlight w:val="none"/>
        </w:rPr>
        <w:t xml:space="preserve"> </w:t>
      </w:r>
      <w:r>
        <w:rPr>
          <w:rFonts w:ascii="黑体" w:hAnsi="黑体" w:eastAsia="黑体" w:cs="黑体"/>
          <w:color w:val="auto"/>
          <w:spacing w:val="28"/>
          <w:sz w:val="21"/>
          <w:szCs w:val="21"/>
          <w:highlight w:val="none"/>
        </w:rPr>
        <w:t>页面信息内容无法认定投标人之间存在单位负责人为同</w:t>
      </w:r>
      <w:r>
        <w:rPr>
          <w:rFonts w:ascii="黑体" w:hAnsi="黑体" w:eastAsia="黑体" w:cs="黑体"/>
          <w:color w:val="auto"/>
          <w:spacing w:val="-53"/>
          <w:sz w:val="21"/>
          <w:szCs w:val="21"/>
          <w:highlight w:val="none"/>
        </w:rPr>
        <w:t xml:space="preserve"> </w:t>
      </w:r>
      <w:r>
        <w:rPr>
          <w:rFonts w:ascii="黑体" w:hAnsi="黑体" w:eastAsia="黑体" w:cs="黑体"/>
          <w:color w:val="auto"/>
          <w:spacing w:val="28"/>
          <w:sz w:val="21"/>
          <w:szCs w:val="21"/>
          <w:highlight w:val="none"/>
        </w:rPr>
        <w:t>一</w:t>
      </w:r>
      <w:r>
        <w:rPr>
          <w:rFonts w:ascii="黑体" w:hAnsi="黑体" w:eastAsia="黑体" w:cs="黑体"/>
          <w:color w:val="auto"/>
          <w:spacing w:val="-61"/>
          <w:sz w:val="21"/>
          <w:szCs w:val="21"/>
          <w:highlight w:val="none"/>
        </w:rPr>
        <w:t xml:space="preserve"> </w:t>
      </w:r>
      <w:r>
        <w:rPr>
          <w:rFonts w:ascii="黑体" w:hAnsi="黑体" w:eastAsia="黑体" w:cs="黑体"/>
          <w:color w:val="auto"/>
          <w:spacing w:val="28"/>
          <w:sz w:val="21"/>
          <w:szCs w:val="21"/>
          <w:highlight w:val="none"/>
        </w:rPr>
        <w:t>人或者存在直接控股、管理关系的，</w:t>
      </w:r>
      <w:r>
        <w:rPr>
          <w:rFonts w:ascii="黑体" w:hAnsi="黑体" w:eastAsia="黑体" w:cs="黑体"/>
          <w:color w:val="auto"/>
          <w:sz w:val="21"/>
          <w:szCs w:val="21"/>
          <w:highlight w:val="none"/>
        </w:rPr>
        <w:t xml:space="preserve"> </w:t>
      </w:r>
      <w:r>
        <w:rPr>
          <w:rFonts w:ascii="黑体" w:hAnsi="黑体" w:eastAsia="黑体" w:cs="黑体"/>
          <w:color w:val="auto"/>
          <w:spacing w:val="33"/>
          <w:sz w:val="21"/>
          <w:szCs w:val="21"/>
          <w:highlight w:val="none"/>
        </w:rPr>
        <w:t>当时审查程序可继续进行，待评审结束后将对</w:t>
      </w:r>
      <w:r>
        <w:rPr>
          <w:rFonts w:ascii="黑体" w:hAnsi="黑体" w:eastAsia="黑体" w:cs="黑体"/>
          <w:color w:val="auto"/>
          <w:spacing w:val="32"/>
          <w:sz w:val="21"/>
          <w:szCs w:val="21"/>
          <w:highlight w:val="none"/>
        </w:rPr>
        <w:t>以上投标人作进</w:t>
      </w:r>
      <w:r>
        <w:rPr>
          <w:rFonts w:ascii="黑体" w:hAnsi="黑体" w:eastAsia="黑体" w:cs="黑体"/>
          <w:color w:val="auto"/>
          <w:spacing w:val="-58"/>
          <w:sz w:val="21"/>
          <w:szCs w:val="21"/>
          <w:highlight w:val="none"/>
        </w:rPr>
        <w:t xml:space="preserve"> </w:t>
      </w:r>
      <w:r>
        <w:rPr>
          <w:rFonts w:ascii="黑体" w:hAnsi="黑体" w:eastAsia="黑体" w:cs="黑体"/>
          <w:color w:val="auto"/>
          <w:spacing w:val="32"/>
          <w:sz w:val="21"/>
          <w:szCs w:val="21"/>
          <w:highlight w:val="none"/>
        </w:rPr>
        <w:t>一</w:t>
      </w:r>
      <w:r>
        <w:rPr>
          <w:rFonts w:ascii="黑体" w:hAnsi="黑体" w:eastAsia="黑体" w:cs="黑体"/>
          <w:color w:val="auto"/>
          <w:spacing w:val="-54"/>
          <w:sz w:val="21"/>
          <w:szCs w:val="21"/>
          <w:highlight w:val="none"/>
        </w:rPr>
        <w:t xml:space="preserve"> </w:t>
      </w:r>
      <w:r>
        <w:rPr>
          <w:rFonts w:ascii="黑体" w:hAnsi="黑体" w:eastAsia="黑体" w:cs="黑体"/>
          <w:color w:val="auto"/>
          <w:spacing w:val="32"/>
          <w:sz w:val="21"/>
          <w:szCs w:val="21"/>
          <w:highlight w:val="none"/>
        </w:rPr>
        <w:t>步核实确认，如确认投标人</w:t>
      </w:r>
      <w:r>
        <w:rPr>
          <w:rFonts w:ascii="黑体" w:hAnsi="黑体" w:eastAsia="黑体" w:cs="黑体"/>
          <w:color w:val="auto"/>
          <w:sz w:val="21"/>
          <w:szCs w:val="21"/>
          <w:highlight w:val="none"/>
        </w:rPr>
        <w:t xml:space="preserve"> </w:t>
      </w:r>
      <w:r>
        <w:rPr>
          <w:rFonts w:ascii="黑体" w:hAnsi="黑体" w:eastAsia="黑体" w:cs="黑体"/>
          <w:color w:val="auto"/>
          <w:spacing w:val="30"/>
          <w:sz w:val="21"/>
          <w:szCs w:val="21"/>
          <w:highlight w:val="none"/>
        </w:rPr>
        <w:t>之间存在有上述关联供应商情形的，关联供应商均按投标无效处理。</w:t>
      </w:r>
    </w:p>
    <w:p>
      <w:pPr>
        <w:spacing w:before="1" w:line="316" w:lineRule="auto"/>
        <w:ind w:left="25" w:right="77" w:firstLine="42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23.3采购人或者采购代理机构在对投标人进行资格</w:t>
      </w:r>
      <w:r>
        <w:rPr>
          <w:rFonts w:ascii="黑体" w:hAnsi="黑体" w:eastAsia="黑体" w:cs="黑体"/>
          <w:color w:val="auto"/>
          <w:spacing w:val="2"/>
          <w:sz w:val="21"/>
          <w:szCs w:val="21"/>
          <w:highlight w:val="none"/>
        </w:rPr>
        <w:t>性审查时，如投标人出现下列情况之一者，按资格</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审查不通过处理：</w:t>
      </w:r>
    </w:p>
    <w:p>
      <w:pPr>
        <w:spacing w:before="1" w:line="212" w:lineRule="auto"/>
        <w:ind w:left="554"/>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(1)不具备本招标文件规定的资格要求的；</w:t>
      </w:r>
    </w:p>
    <w:p>
      <w:pPr>
        <w:spacing w:before="126" w:line="261" w:lineRule="auto"/>
        <w:ind w:left="25" w:right="64" w:firstLine="52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(2)投标文件中的资格性响应证明材料缺少投标人须知“资格性响应证明材料”规定的任一项“必须</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提供”的文件资料的；</w:t>
      </w:r>
    </w:p>
    <w:p>
      <w:pPr>
        <w:spacing w:before="127" w:line="261" w:lineRule="auto"/>
        <w:ind w:right="57" w:firstLine="554"/>
        <w:rPr>
          <w:rFonts w:ascii="黑体" w:hAnsi="黑体" w:eastAsia="黑体" w:cs="黑体"/>
          <w:color w:val="auto"/>
          <w:sz w:val="21"/>
          <w:szCs w:val="21"/>
          <w:highlight w:val="none"/>
        </w:rPr>
      </w:pPr>
      <w:r>
        <w:rPr>
          <w:color w:val="auto"/>
          <w:highlight w:val="none"/>
        </w:rPr>
        <w:drawing>
          <wp:anchor distT="0" distB="0" distL="0" distR="0" simplePos="0" relativeHeight="251659264" behindDoc="0" locked="0" layoutInCell="1" allowOverlap="1">
            <wp:simplePos x="0" y="0"/>
            <wp:positionH relativeFrom="column">
              <wp:posOffset>3183890</wp:posOffset>
            </wp:positionH>
            <wp:positionV relativeFrom="paragraph">
              <wp:posOffset>88265</wp:posOffset>
            </wp:positionV>
            <wp:extent cx="247650" cy="6350"/>
            <wp:effectExtent l="0" t="0" r="0" b="0"/>
            <wp:wrapNone/>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47"/>
                    <a:stretch>
                      <a:fillRect/>
                    </a:stretch>
                  </pic:blipFill>
                  <pic:spPr>
                    <a:xfrm>
                      <a:off x="0" y="0"/>
                      <a:ext cx="247701" cy="6412"/>
                    </a:xfrm>
                    <a:prstGeom prst="rect">
                      <a:avLst/>
                    </a:prstGeom>
                  </pic:spPr>
                </pic:pic>
              </a:graphicData>
            </a:graphic>
          </wp:anchor>
        </w:drawing>
      </w:r>
      <w:r>
        <w:rPr>
          <w:rFonts w:ascii="黑体" w:hAnsi="黑体" w:eastAsia="黑体" w:cs="黑体"/>
          <w:color w:val="auto"/>
          <w:spacing w:val="3"/>
          <w:sz w:val="21"/>
          <w:szCs w:val="21"/>
          <w:highlight w:val="none"/>
        </w:rPr>
        <w:t>(3)投标文件中的资格性响应证明材料出现任一项不符合投标人须知“资格性响应证明材料”规定的</w:t>
      </w:r>
      <w:r>
        <w:rPr>
          <w:rFonts w:ascii="黑体" w:hAnsi="黑体" w:eastAsia="黑体" w:cs="黑体"/>
          <w:color w:val="auto"/>
          <w:spacing w:val="7"/>
          <w:sz w:val="21"/>
          <w:szCs w:val="21"/>
          <w:highlight w:val="none"/>
        </w:rPr>
        <w:t xml:space="preserve"> </w:t>
      </w:r>
      <w:r>
        <w:rPr>
          <w:rFonts w:ascii="黑体" w:hAnsi="黑体" w:eastAsia="黑体" w:cs="黑体"/>
          <w:color w:val="auto"/>
          <w:spacing w:val="3"/>
          <w:sz w:val="21"/>
          <w:szCs w:val="21"/>
          <w:highlight w:val="none"/>
        </w:rPr>
        <w:t>“必须提供”的文件资料要求或者无效的；</w:t>
      </w:r>
    </w:p>
    <w:p>
      <w:pPr>
        <w:spacing w:before="126" w:line="221" w:lineRule="auto"/>
        <w:ind w:left="554"/>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(4)投标文件中的资格性响应证明材料存在投标人须知第28条、</w:t>
      </w:r>
      <w:r>
        <w:rPr>
          <w:rFonts w:ascii="黑体" w:hAnsi="黑体" w:eastAsia="黑体" w:cs="黑体"/>
          <w:color w:val="auto"/>
          <w:spacing w:val="7"/>
          <w:sz w:val="21"/>
          <w:szCs w:val="21"/>
          <w:highlight w:val="none"/>
        </w:rPr>
        <w:t>29条载明的投标无效情形的。</w:t>
      </w:r>
    </w:p>
    <w:p>
      <w:pPr>
        <w:spacing w:before="99" w:line="314" w:lineRule="auto"/>
        <w:ind w:left="45" w:right="58" w:firstLine="4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23.4资格审查不通过的投标人，不得进入下一阶段的评标环节。通过资格审查的合格投标人不足3家</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的，予以废标。</w:t>
      </w:r>
    </w:p>
    <w:p>
      <w:pPr>
        <w:spacing w:line="347" w:lineRule="auto"/>
        <w:rPr>
          <w:rFonts w:ascii="Arial"/>
          <w:color w:val="auto"/>
          <w:sz w:val="21"/>
          <w:highlight w:val="none"/>
        </w:rPr>
      </w:pPr>
    </w:p>
    <w:p>
      <w:pPr>
        <w:pStyle w:val="3"/>
        <w:spacing w:before="69" w:line="220" w:lineRule="auto"/>
        <w:ind w:left="4344"/>
        <w:rPr>
          <w:rFonts w:ascii="黑体" w:hAnsi="黑体" w:eastAsia="黑体" w:cs="黑体"/>
          <w:snapToGrid w:val="0"/>
          <w:color w:val="auto"/>
          <w:spacing w:val="5"/>
          <w:kern w:val="0"/>
          <w:sz w:val="21"/>
          <w:szCs w:val="21"/>
          <w:highlight w:val="none"/>
          <w:lang w:val="en-US" w:eastAsia="en-US" w:bidi="ar-SA"/>
        </w:rPr>
      </w:pPr>
      <w:r>
        <w:rPr>
          <w:rFonts w:ascii="黑体" w:hAnsi="黑体" w:eastAsia="黑体" w:cs="黑体"/>
          <w:snapToGrid w:val="0"/>
          <w:color w:val="auto"/>
          <w:spacing w:val="5"/>
          <w:kern w:val="0"/>
          <w:sz w:val="21"/>
          <w:szCs w:val="21"/>
          <w:highlight w:val="none"/>
          <w:lang w:val="en-US" w:eastAsia="en-US" w:bidi="ar-SA"/>
        </w:rPr>
        <w:t>六 、评  标</w:t>
      </w:r>
    </w:p>
    <w:p>
      <w:pPr>
        <w:spacing w:before="67" w:line="221" w:lineRule="auto"/>
        <w:ind w:left="45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24. 评标委员会组成</w:t>
      </w:r>
    </w:p>
    <w:p>
      <w:pPr>
        <w:spacing w:before="101" w:line="320" w:lineRule="auto"/>
        <w:ind w:left="25" w:right="74" w:firstLine="43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评标委员会由采购人代表和有关方面的专家组成，成员人数共</w:t>
      </w:r>
      <w:r>
        <w:rPr>
          <w:rFonts w:hint="eastAsia" w:ascii="黑体" w:hAnsi="黑体" w:eastAsia="黑体" w:cs="黑体"/>
          <w:color w:val="auto"/>
          <w:spacing w:val="5"/>
          <w:sz w:val="21"/>
          <w:szCs w:val="21"/>
          <w:highlight w:val="none"/>
          <w:lang w:val="en-US" w:eastAsia="zh-CN"/>
        </w:rPr>
        <w:t>5</w:t>
      </w:r>
      <w:r>
        <w:rPr>
          <w:rFonts w:ascii="黑体" w:hAnsi="黑体" w:eastAsia="黑体" w:cs="黑体"/>
          <w:color w:val="auto"/>
          <w:spacing w:val="5"/>
          <w:sz w:val="21"/>
          <w:szCs w:val="21"/>
          <w:highlight w:val="none"/>
        </w:rPr>
        <w:t>人，其中采购人</w:t>
      </w:r>
      <w:r>
        <w:rPr>
          <w:rFonts w:ascii="黑体" w:hAnsi="黑体" w:eastAsia="黑体" w:cs="黑体"/>
          <w:color w:val="auto"/>
          <w:spacing w:val="4"/>
          <w:sz w:val="21"/>
          <w:szCs w:val="21"/>
          <w:highlight w:val="none"/>
        </w:rPr>
        <w:t>代表</w:t>
      </w:r>
      <w:r>
        <w:rPr>
          <w:rFonts w:hint="eastAsia" w:ascii="黑体" w:hAnsi="黑体" w:eastAsia="黑体" w:cs="黑体"/>
          <w:color w:val="auto"/>
          <w:spacing w:val="4"/>
          <w:sz w:val="21"/>
          <w:szCs w:val="21"/>
          <w:highlight w:val="none"/>
          <w:lang w:val="en-US" w:eastAsia="zh-CN"/>
        </w:rPr>
        <w:t>1</w:t>
      </w:r>
      <w:r>
        <w:rPr>
          <w:rFonts w:ascii="黑体" w:hAnsi="黑体" w:eastAsia="黑体" w:cs="黑体"/>
          <w:color w:val="auto"/>
          <w:spacing w:val="4"/>
          <w:sz w:val="21"/>
          <w:szCs w:val="21"/>
          <w:highlight w:val="none"/>
        </w:rPr>
        <w:t>人，评审专家</w:t>
      </w:r>
      <w:r>
        <w:rPr>
          <w:rFonts w:hint="eastAsia" w:ascii="黑体" w:hAnsi="黑体" w:eastAsia="黑体" w:cs="黑体"/>
          <w:color w:val="auto"/>
          <w:spacing w:val="4"/>
          <w:sz w:val="21"/>
          <w:szCs w:val="21"/>
          <w:highlight w:val="none"/>
          <w:lang w:val="en-US" w:eastAsia="zh-CN"/>
        </w:rPr>
        <w:t>4</w:t>
      </w:r>
      <w:r>
        <w:rPr>
          <w:rFonts w:ascii="黑体" w:hAnsi="黑体" w:eastAsia="黑体" w:cs="黑体"/>
          <w:color w:val="auto"/>
          <w:spacing w:val="-6"/>
          <w:sz w:val="21"/>
          <w:szCs w:val="21"/>
          <w:highlight w:val="none"/>
        </w:rPr>
        <w:t>人</w:t>
      </w:r>
      <w:r>
        <w:rPr>
          <w:rFonts w:ascii="黑体" w:hAnsi="黑体" w:eastAsia="黑体" w:cs="黑体"/>
          <w:color w:val="auto"/>
          <w:spacing w:val="-42"/>
          <w:sz w:val="21"/>
          <w:szCs w:val="21"/>
          <w:highlight w:val="none"/>
        </w:rPr>
        <w:t xml:space="preserve"> </w:t>
      </w:r>
      <w:r>
        <w:rPr>
          <w:rFonts w:ascii="黑体" w:hAnsi="黑体" w:eastAsia="黑体" w:cs="黑体"/>
          <w:color w:val="auto"/>
          <w:spacing w:val="-6"/>
          <w:sz w:val="21"/>
          <w:szCs w:val="21"/>
          <w:highlight w:val="none"/>
        </w:rPr>
        <w:t>。</w:t>
      </w:r>
    </w:p>
    <w:p>
      <w:pPr>
        <w:spacing w:before="1" w:line="220" w:lineRule="auto"/>
        <w:ind w:left="45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25. 评标办法</w:t>
      </w:r>
    </w:p>
    <w:p>
      <w:pPr>
        <w:spacing w:before="100" w:line="213" w:lineRule="auto"/>
        <w:ind w:left="46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25.1评标办法：综合评分法，具体评标内容及标准详见第四章。</w:t>
      </w:r>
    </w:p>
    <w:p>
      <w:pPr>
        <w:spacing w:before="117" w:line="213" w:lineRule="auto"/>
        <w:ind w:left="454"/>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25.2评标委员会应按招标文件进行评标，不得擅自更改评标办法。</w:t>
      </w:r>
    </w:p>
    <w:p>
      <w:pPr>
        <w:spacing w:before="128" w:line="222" w:lineRule="auto"/>
        <w:ind w:left="454"/>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w:t>
      </w:r>
      <w:r>
        <w:rPr>
          <w:rFonts w:ascii="黑体" w:hAnsi="黑体" w:eastAsia="黑体" w:cs="黑体"/>
          <w:color w:val="auto"/>
          <w:spacing w:val="-24"/>
          <w:sz w:val="21"/>
          <w:szCs w:val="21"/>
          <w:highlight w:val="none"/>
        </w:rPr>
        <w:t xml:space="preserve"> </w:t>
      </w:r>
      <w:r>
        <w:rPr>
          <w:rFonts w:ascii="黑体" w:hAnsi="黑体" w:eastAsia="黑体" w:cs="黑体"/>
          <w:color w:val="auto"/>
          <w:spacing w:val="-3"/>
          <w:sz w:val="21"/>
          <w:szCs w:val="21"/>
          <w:highlight w:val="none"/>
        </w:rPr>
        <w:t>评</w:t>
      </w:r>
      <w:r>
        <w:rPr>
          <w:rFonts w:ascii="黑体" w:hAnsi="黑体" w:eastAsia="黑体" w:cs="黑体"/>
          <w:color w:val="auto"/>
          <w:spacing w:val="-37"/>
          <w:sz w:val="21"/>
          <w:szCs w:val="21"/>
          <w:highlight w:val="none"/>
        </w:rPr>
        <w:t xml:space="preserve"> </w:t>
      </w:r>
      <w:r>
        <w:rPr>
          <w:rFonts w:ascii="黑体" w:hAnsi="黑体" w:eastAsia="黑体" w:cs="黑体"/>
          <w:color w:val="auto"/>
          <w:spacing w:val="-3"/>
          <w:sz w:val="21"/>
          <w:szCs w:val="21"/>
          <w:highlight w:val="none"/>
        </w:rPr>
        <w:t>标</w:t>
      </w:r>
    </w:p>
    <w:p>
      <w:pPr>
        <w:spacing w:before="95" w:line="316" w:lineRule="auto"/>
        <w:ind w:left="14" w:right="77" w:firstLine="450"/>
        <w:jc w:val="both"/>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26.1采购代理机构负责组织评标工作，宣布评标工作纪律，公布投标人名单，告知评审专家应当回避</w:t>
      </w:r>
      <w:r>
        <w:rPr>
          <w:rFonts w:ascii="黑体" w:hAnsi="黑体" w:eastAsia="黑体" w:cs="黑体"/>
          <w:color w:val="auto"/>
          <w:spacing w:val="13"/>
          <w:sz w:val="21"/>
          <w:szCs w:val="21"/>
          <w:highlight w:val="none"/>
        </w:rPr>
        <w:t xml:space="preserve"> </w:t>
      </w:r>
      <w:r>
        <w:rPr>
          <w:rFonts w:ascii="黑体" w:hAnsi="黑体" w:eastAsia="黑体" w:cs="黑体"/>
          <w:color w:val="auto"/>
          <w:spacing w:val="3"/>
          <w:sz w:val="21"/>
          <w:szCs w:val="21"/>
          <w:highlight w:val="none"/>
        </w:rPr>
        <w:t>的情形，组织评标委员会推选评标组长，采购人代表不得担任组长。在评标期间由项目所在公</w:t>
      </w:r>
      <w:r>
        <w:rPr>
          <w:rFonts w:ascii="黑体" w:hAnsi="黑体" w:eastAsia="黑体" w:cs="黑体"/>
          <w:color w:val="auto"/>
          <w:spacing w:val="2"/>
          <w:sz w:val="21"/>
          <w:szCs w:val="21"/>
          <w:highlight w:val="none"/>
        </w:rPr>
        <w:t>共资源交易</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中心采取必要的通讯管理措施并保证评标活动不受外界干扰。采购代理机构根据评标委员会的要求</w:t>
      </w:r>
      <w:r>
        <w:rPr>
          <w:rFonts w:ascii="黑体" w:hAnsi="黑体" w:eastAsia="黑体" w:cs="黑体"/>
          <w:color w:val="auto"/>
          <w:spacing w:val="2"/>
          <w:sz w:val="21"/>
          <w:szCs w:val="21"/>
          <w:highlight w:val="none"/>
        </w:rPr>
        <w:t>介绍政</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府采购相关政策法规、招标文件；维护评标秩序，监督评标委员会依照招标文件规定的评标程序、</w:t>
      </w:r>
      <w:r>
        <w:rPr>
          <w:rFonts w:ascii="黑体" w:hAnsi="黑体" w:eastAsia="黑体" w:cs="黑体"/>
          <w:color w:val="auto"/>
          <w:spacing w:val="2"/>
          <w:sz w:val="21"/>
          <w:szCs w:val="21"/>
          <w:highlight w:val="none"/>
        </w:rPr>
        <w:t>方法和</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标准进行独立评审，及时制止和纠正采购人代表、评审专家的倾向性言论或者违</w:t>
      </w:r>
      <w:r>
        <w:rPr>
          <w:rFonts w:ascii="黑体" w:hAnsi="黑体" w:eastAsia="黑体" w:cs="黑体"/>
          <w:color w:val="auto"/>
          <w:spacing w:val="2"/>
          <w:sz w:val="21"/>
          <w:szCs w:val="21"/>
          <w:highlight w:val="none"/>
        </w:rPr>
        <w:t>法违规行为；核对评标结</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果，有投标无效情形的，要求评标委员会复核或者书面说明理由，评标委员会拒绝的，应予记录并向本级</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财政部门报告；评审工作完成后，按照规定向评审专家支付劳务报酬和异地评审差旅费，不得向评审</w:t>
      </w:r>
      <w:r>
        <w:rPr>
          <w:rFonts w:ascii="黑体" w:hAnsi="黑体" w:eastAsia="黑体" w:cs="黑体"/>
          <w:color w:val="auto"/>
          <w:spacing w:val="2"/>
          <w:sz w:val="21"/>
          <w:szCs w:val="21"/>
          <w:highlight w:val="none"/>
        </w:rPr>
        <w:t>专家</w:t>
      </w:r>
    </w:p>
    <w:p>
      <w:pPr>
        <w:spacing w:line="316" w:lineRule="auto"/>
        <w:rPr>
          <w:rFonts w:ascii="黑体" w:hAnsi="黑体" w:eastAsia="黑体" w:cs="黑体"/>
          <w:color w:val="auto"/>
          <w:sz w:val="21"/>
          <w:szCs w:val="21"/>
          <w:highlight w:val="none"/>
        </w:rPr>
        <w:sectPr>
          <w:footerReference r:id="rId22" w:type="default"/>
          <w:pgSz w:w="11900" w:h="16830"/>
          <w:pgMar w:top="400" w:right="984" w:bottom="870" w:left="1025" w:header="0" w:footer="597" w:gutter="0"/>
          <w:cols w:space="720" w:num="1"/>
        </w:sect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21" w:lineRule="auto"/>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以外的其他人员支付评审劳务报酬。</w:t>
      </w:r>
    </w:p>
    <w:p>
      <w:pPr>
        <w:spacing w:before="99" w:line="295" w:lineRule="auto"/>
        <w:ind w:right="74" w:firstLine="43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26.2评标委员会负责具体评标事务；审查、评价投标文件是否符合招标文件的商务、技术等实质性要</w:t>
      </w:r>
      <w:r>
        <w:rPr>
          <w:rFonts w:ascii="黑体" w:hAnsi="黑体" w:eastAsia="黑体" w:cs="黑体"/>
          <w:color w:val="auto"/>
          <w:spacing w:val="11"/>
          <w:sz w:val="21"/>
          <w:szCs w:val="21"/>
          <w:highlight w:val="none"/>
        </w:rPr>
        <w:t xml:space="preserve"> </w:t>
      </w:r>
      <w:r>
        <w:rPr>
          <w:rFonts w:ascii="黑体" w:hAnsi="黑体" w:eastAsia="黑体" w:cs="黑体"/>
          <w:color w:val="auto"/>
          <w:spacing w:val="1"/>
          <w:sz w:val="21"/>
          <w:szCs w:val="21"/>
          <w:highlight w:val="none"/>
        </w:rPr>
        <w:t>求；要求投标人对投标文件有关事项作出澄清或者说明；对投标文件进行比较和评价；</w:t>
      </w:r>
      <w:r>
        <w:rPr>
          <w:rFonts w:ascii="黑体" w:hAnsi="黑体" w:eastAsia="黑体" w:cs="黑体"/>
          <w:color w:val="auto"/>
          <w:sz w:val="21"/>
          <w:szCs w:val="21"/>
          <w:highlight w:val="none"/>
        </w:rPr>
        <w:t xml:space="preserve">确定中标候选人名 </w:t>
      </w:r>
      <w:r>
        <w:rPr>
          <w:rFonts w:ascii="黑体" w:hAnsi="黑体" w:eastAsia="黑体" w:cs="黑体"/>
          <w:color w:val="auto"/>
          <w:spacing w:val="1"/>
          <w:sz w:val="21"/>
          <w:szCs w:val="21"/>
          <w:highlight w:val="none"/>
        </w:rPr>
        <w:t>单，以及根据采购人委托直接确定中标人；</w:t>
      </w:r>
      <w:r>
        <w:rPr>
          <w:rFonts w:ascii="黑体" w:hAnsi="黑体" w:eastAsia="黑体" w:cs="黑体"/>
          <w:color w:val="auto"/>
          <w:sz w:val="21"/>
          <w:szCs w:val="21"/>
          <w:highlight w:val="none"/>
        </w:rPr>
        <w:t xml:space="preserve">向采购人、采购代理机构或者有关部门报告评标中发现的违法 </w:t>
      </w:r>
      <w:r>
        <w:rPr>
          <w:rFonts w:ascii="黑体" w:hAnsi="黑体" w:eastAsia="黑体" w:cs="黑体"/>
          <w:color w:val="auto"/>
          <w:spacing w:val="8"/>
          <w:sz w:val="21"/>
          <w:szCs w:val="21"/>
          <w:highlight w:val="none"/>
        </w:rPr>
        <w:t>行为。</w:t>
      </w:r>
    </w:p>
    <w:p>
      <w:pPr>
        <w:spacing w:before="97" w:line="273" w:lineRule="auto"/>
        <w:ind w:right="74" w:firstLine="43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26.3在评标过程中，评标委员会任何人不得对某个投标人发表任何倾向性意见，不得向其他专家评委</w:t>
      </w:r>
      <w:r>
        <w:rPr>
          <w:rFonts w:ascii="黑体" w:hAnsi="黑体" w:eastAsia="黑体" w:cs="黑体"/>
          <w:color w:val="auto"/>
          <w:spacing w:val="11"/>
          <w:sz w:val="21"/>
          <w:szCs w:val="21"/>
          <w:highlight w:val="none"/>
        </w:rPr>
        <w:t xml:space="preserve"> </w:t>
      </w:r>
      <w:r>
        <w:rPr>
          <w:rFonts w:ascii="黑体" w:hAnsi="黑体" w:eastAsia="黑体" w:cs="黑体"/>
          <w:color w:val="auto"/>
          <w:sz w:val="21"/>
          <w:szCs w:val="21"/>
          <w:highlight w:val="none"/>
        </w:rPr>
        <w:t>明示或者暗示自己的评审意见。</w:t>
      </w:r>
    </w:p>
    <w:p>
      <w:pPr>
        <w:spacing w:before="100" w:line="273" w:lineRule="auto"/>
        <w:ind w:right="5"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26.4评标委员会应当对符合资格的投标人的投标文件进行符合性审查，以</w:t>
      </w:r>
      <w:r>
        <w:rPr>
          <w:rFonts w:ascii="黑体" w:hAnsi="黑体" w:eastAsia="黑体" w:cs="黑体"/>
          <w:color w:val="auto"/>
          <w:spacing w:val="2"/>
          <w:sz w:val="21"/>
          <w:szCs w:val="21"/>
          <w:highlight w:val="none"/>
        </w:rPr>
        <w:t>确定其是否满足招标文件的</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实质性要求。</w:t>
      </w:r>
    </w:p>
    <w:p>
      <w:pPr>
        <w:spacing w:before="97" w:line="273" w:lineRule="auto"/>
        <w:ind w:right="31" w:firstLine="430"/>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26.5对于投标文件中含义不明确、同类问题表述不一致或者有明显文字和计算错误的内容，评标委员</w:t>
      </w:r>
      <w:r>
        <w:rPr>
          <w:rFonts w:ascii="黑体" w:hAnsi="黑体" w:eastAsia="黑体" w:cs="黑体"/>
          <w:color w:val="auto"/>
          <w:spacing w:val="8"/>
          <w:sz w:val="21"/>
          <w:szCs w:val="21"/>
          <w:highlight w:val="none"/>
        </w:rPr>
        <w:t xml:space="preserve"> </w:t>
      </w:r>
      <w:r>
        <w:rPr>
          <w:rFonts w:ascii="黑体" w:hAnsi="黑体" w:eastAsia="黑体" w:cs="黑体"/>
          <w:color w:val="auto"/>
          <w:sz w:val="21"/>
          <w:szCs w:val="21"/>
          <w:highlight w:val="none"/>
        </w:rPr>
        <w:t>会应当以书面形式要求投标人作出必要的澄清、说明或者补正。</w:t>
      </w:r>
    </w:p>
    <w:p>
      <w:pPr>
        <w:spacing w:before="102" w:line="316" w:lineRule="auto"/>
        <w:ind w:firstLine="430"/>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投标人的澄清、说明或者补正应当通过“广西政府采购云平台”平台采用在线书面形式，澄清</w:t>
      </w:r>
      <w:r>
        <w:rPr>
          <w:rFonts w:ascii="黑体" w:hAnsi="黑体" w:eastAsia="黑体" w:cs="黑体"/>
          <w:color w:val="auto"/>
          <w:spacing w:val="2"/>
          <w:sz w:val="21"/>
          <w:szCs w:val="21"/>
          <w:highlight w:val="none"/>
        </w:rPr>
        <w:t>、说明</w:t>
      </w:r>
      <w:r>
        <w:rPr>
          <w:rFonts w:ascii="黑体" w:hAnsi="黑体" w:eastAsia="黑体" w:cs="黑体"/>
          <w:color w:val="auto"/>
          <w:sz w:val="21"/>
          <w:szCs w:val="21"/>
          <w:highlight w:val="none"/>
        </w:rPr>
        <w:t xml:space="preserve"> </w:t>
      </w:r>
      <w:r>
        <w:rPr>
          <w:rFonts w:ascii="黑体" w:hAnsi="黑体" w:eastAsia="黑体" w:cs="黑体"/>
          <w:color w:val="auto"/>
          <w:spacing w:val="8"/>
          <w:sz w:val="21"/>
          <w:szCs w:val="21"/>
          <w:highlight w:val="none"/>
        </w:rPr>
        <w:t>或者补正应当签字或者电子签名【法定代表人或相应的授权委托代理</w:t>
      </w:r>
      <w:r>
        <w:rPr>
          <w:rFonts w:ascii="黑体" w:hAnsi="黑体" w:eastAsia="黑体" w:cs="黑体"/>
          <w:color w:val="auto"/>
          <w:spacing w:val="7"/>
          <w:sz w:val="21"/>
          <w:szCs w:val="21"/>
          <w:highlight w:val="none"/>
        </w:rPr>
        <w:t>人签字(或者电子签名)均可】或加</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盖投标人电子签章。投标人的澄清、说明或者补正不得超出投标文件的范围或者改变投标文件的实质性内</w:t>
      </w:r>
      <w:r>
        <w:rPr>
          <w:rFonts w:ascii="黑体" w:hAnsi="黑体" w:eastAsia="黑体" w:cs="黑体"/>
          <w:color w:val="auto"/>
          <w:spacing w:val="1"/>
          <w:sz w:val="21"/>
          <w:szCs w:val="21"/>
          <w:highlight w:val="none"/>
        </w:rPr>
        <w:t xml:space="preserve"> </w:t>
      </w:r>
      <w:r>
        <w:rPr>
          <w:rFonts w:ascii="黑体" w:hAnsi="黑体" w:eastAsia="黑体" w:cs="黑体"/>
          <w:color w:val="auto"/>
          <w:spacing w:val="-4"/>
          <w:sz w:val="21"/>
          <w:szCs w:val="21"/>
          <w:highlight w:val="none"/>
        </w:rPr>
        <w:t>容</w:t>
      </w:r>
      <w:r>
        <w:rPr>
          <w:rFonts w:ascii="黑体" w:hAnsi="黑体" w:eastAsia="黑体" w:cs="黑体"/>
          <w:color w:val="auto"/>
          <w:spacing w:val="-46"/>
          <w:sz w:val="21"/>
          <w:szCs w:val="21"/>
          <w:highlight w:val="none"/>
        </w:rPr>
        <w:t xml:space="preserve"> </w:t>
      </w:r>
      <w:r>
        <w:rPr>
          <w:rFonts w:ascii="黑体" w:hAnsi="黑体" w:eastAsia="黑体" w:cs="黑体"/>
          <w:color w:val="auto"/>
          <w:spacing w:val="-4"/>
          <w:sz w:val="21"/>
          <w:szCs w:val="21"/>
          <w:highlight w:val="none"/>
        </w:rPr>
        <w:t>。</w:t>
      </w:r>
    </w:p>
    <w:p>
      <w:pPr>
        <w:spacing w:line="260" w:lineRule="auto"/>
        <w:ind w:right="15"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26.6评标委员会应当按照招标文件中规定的评标方</w:t>
      </w:r>
      <w:r>
        <w:rPr>
          <w:rFonts w:ascii="黑体" w:hAnsi="黑体" w:eastAsia="黑体" w:cs="黑体"/>
          <w:color w:val="auto"/>
          <w:spacing w:val="2"/>
          <w:sz w:val="21"/>
          <w:szCs w:val="21"/>
          <w:highlight w:val="none"/>
        </w:rPr>
        <w:t>法和标准，对符合性审查合格的投标文件进行商务</w:t>
      </w:r>
      <w:r>
        <w:rPr>
          <w:rFonts w:ascii="黑体" w:hAnsi="黑体" w:eastAsia="黑体" w:cs="黑体"/>
          <w:color w:val="auto"/>
          <w:sz w:val="21"/>
          <w:szCs w:val="21"/>
          <w:highlight w:val="none"/>
        </w:rPr>
        <w:t xml:space="preserve"> 和技术评估，综合比较与评价。</w:t>
      </w:r>
    </w:p>
    <w:p>
      <w:pPr>
        <w:spacing w:before="127" w:line="273" w:lineRule="auto"/>
        <w:ind w:right="16"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26.7评标委员会成员应当独立对每个投标人的投</w:t>
      </w:r>
      <w:r>
        <w:rPr>
          <w:rFonts w:ascii="黑体" w:hAnsi="黑体" w:eastAsia="黑体" w:cs="黑体"/>
          <w:color w:val="auto"/>
          <w:spacing w:val="2"/>
          <w:sz w:val="21"/>
          <w:szCs w:val="21"/>
          <w:highlight w:val="none"/>
        </w:rPr>
        <w:t>标文件进行评价，最终汇总每个投标人的得分。各投</w:t>
      </w:r>
      <w:r>
        <w:rPr>
          <w:rFonts w:ascii="黑体" w:hAnsi="黑体" w:eastAsia="黑体" w:cs="黑体"/>
          <w:color w:val="auto"/>
          <w:sz w:val="21"/>
          <w:szCs w:val="21"/>
          <w:highlight w:val="none"/>
        </w:rPr>
        <w:t xml:space="preserve"> 标人的得分为所有评委的有效评分的算术平均数。</w:t>
      </w:r>
    </w:p>
    <w:p>
      <w:pPr>
        <w:spacing w:before="96" w:line="213" w:lineRule="auto"/>
        <w:ind w:left="433"/>
        <w:rPr>
          <w:rFonts w:ascii="黑体" w:hAnsi="黑体" w:eastAsia="黑体" w:cs="黑体"/>
          <w:color w:val="auto"/>
          <w:sz w:val="21"/>
          <w:szCs w:val="21"/>
          <w:highlight w:val="none"/>
        </w:rPr>
      </w:pPr>
      <w:r>
        <w:rPr>
          <w:rFonts w:ascii="黑体" w:hAnsi="黑体" w:eastAsia="黑体" w:cs="黑体"/>
          <w:b/>
          <w:bCs/>
          <w:color w:val="auto"/>
          <w:sz w:val="21"/>
          <w:szCs w:val="21"/>
          <w:highlight w:val="none"/>
        </w:rPr>
        <w:t>26.8投标文件报价出现前后不一致的，除招标文件另有规定外，按照下列规定修正：</w:t>
      </w:r>
    </w:p>
    <w:p>
      <w:pPr>
        <w:spacing w:before="118" w:line="213" w:lineRule="auto"/>
        <w:ind w:left="433"/>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(1)投标文件中投标报价表内容与投标文件中相应内容不一致的，以投标报价表为准</w:t>
      </w:r>
      <w:r>
        <w:rPr>
          <w:rFonts w:ascii="黑体" w:hAnsi="黑体" w:eastAsia="黑体" w:cs="黑体"/>
          <w:color w:val="auto"/>
          <w:spacing w:val="2"/>
          <w:sz w:val="21"/>
          <w:szCs w:val="21"/>
          <w:highlight w:val="none"/>
        </w:rPr>
        <w:t>；</w:t>
      </w:r>
    </w:p>
    <w:p>
      <w:pPr>
        <w:spacing w:before="118" w:line="213" w:lineRule="auto"/>
        <w:ind w:left="433"/>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(2)大写金额和小写金额不一致的，以大写金额为准；</w:t>
      </w:r>
    </w:p>
    <w:p>
      <w:pPr>
        <w:spacing w:before="118" w:line="213" w:lineRule="auto"/>
        <w:ind w:left="433"/>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(3)单价金额小数点或者百分比有明显错位的，以投标报价表的总价为准，并修改单价；</w:t>
      </w:r>
    </w:p>
    <w:p>
      <w:pPr>
        <w:spacing w:before="117" w:line="213" w:lineRule="auto"/>
        <w:ind w:left="433"/>
        <w:rPr>
          <w:rFonts w:ascii="黑体" w:hAnsi="黑体" w:eastAsia="黑体" w:cs="黑体"/>
          <w:color w:val="auto"/>
          <w:sz w:val="21"/>
          <w:szCs w:val="21"/>
          <w:highlight w:val="none"/>
        </w:rPr>
      </w:pPr>
      <w:r>
        <w:rPr>
          <w:rFonts w:ascii="黑体" w:hAnsi="黑体" w:eastAsia="黑体" w:cs="黑体"/>
          <w:b/>
          <w:bCs/>
          <w:color w:val="auto"/>
          <w:spacing w:val="2"/>
          <w:sz w:val="21"/>
          <w:szCs w:val="21"/>
          <w:highlight w:val="none"/>
        </w:rPr>
        <w:t>(4)总价金额与按单价汇总金额不一致的，以单价金额计算结果为准。</w:t>
      </w:r>
    </w:p>
    <w:p>
      <w:pPr>
        <w:spacing w:before="117" w:line="314" w:lineRule="auto"/>
        <w:ind w:right="16" w:firstLine="433"/>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同时出现两种以上不一致的，按照前款规定的顺序修正。修正后的报价(</w:t>
      </w:r>
      <w:r>
        <w:rPr>
          <w:rFonts w:ascii="黑体" w:hAnsi="黑体" w:eastAsia="黑体" w:cs="黑体"/>
          <w:b/>
          <w:bCs/>
          <w:color w:val="auto"/>
          <w:spacing w:val="2"/>
          <w:sz w:val="21"/>
          <w:szCs w:val="21"/>
          <w:highlight w:val="none"/>
        </w:rPr>
        <w:t>不得超出投标文件的范围或</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者</w:t>
      </w:r>
      <w:r>
        <w:rPr>
          <w:rFonts w:ascii="黑体" w:hAnsi="黑体" w:eastAsia="黑体" w:cs="黑体"/>
          <w:b/>
          <w:bCs/>
          <w:color w:val="auto"/>
          <w:spacing w:val="2"/>
          <w:sz w:val="21"/>
          <w:szCs w:val="21"/>
          <w:highlight w:val="none"/>
        </w:rPr>
        <w:t>改变投标文件的实质性内容)经投标人确认后产生约束力，投标人不确认的，其投标无效。</w:t>
      </w:r>
    </w:p>
    <w:p>
      <w:pPr>
        <w:spacing w:before="10" w:line="282" w:lineRule="auto"/>
        <w:ind w:right="9" w:firstLine="430"/>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26.9评标委员会认为投标人的报价明显低于其他通过符合性审查</w:t>
      </w:r>
      <w:r>
        <w:rPr>
          <w:rFonts w:ascii="黑体" w:hAnsi="黑体" w:eastAsia="黑体" w:cs="黑体"/>
          <w:color w:val="auto"/>
          <w:spacing w:val="2"/>
          <w:sz w:val="21"/>
          <w:szCs w:val="21"/>
          <w:highlight w:val="none"/>
        </w:rPr>
        <w:t>投标人的报价，有可能影响产品质量</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或者不能诚信履约的，应当要求其在评标现场合理的时间内提供书面说明，</w:t>
      </w:r>
      <w:r>
        <w:rPr>
          <w:rFonts w:ascii="黑体" w:hAnsi="黑体" w:eastAsia="黑体" w:cs="黑体"/>
          <w:color w:val="auto"/>
          <w:spacing w:val="2"/>
          <w:sz w:val="21"/>
          <w:szCs w:val="21"/>
          <w:highlight w:val="none"/>
        </w:rPr>
        <w:t>必要时提交相关证明材料；投</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标人不能证明其报价合理性的，评标委员会应当将其作为</w:t>
      </w:r>
      <w:r>
        <w:rPr>
          <w:rFonts w:ascii="黑体" w:hAnsi="黑体" w:eastAsia="黑体" w:cs="黑体"/>
          <w:color w:val="auto"/>
          <w:spacing w:val="1"/>
          <w:sz w:val="21"/>
          <w:szCs w:val="21"/>
          <w:highlight w:val="none"/>
        </w:rPr>
        <w:t>无效投标处理。</w:t>
      </w:r>
    </w:p>
    <w:p>
      <w:pPr>
        <w:spacing w:before="117" w:line="265" w:lineRule="auto"/>
        <w:ind w:right="13" w:firstLine="430"/>
        <w:rPr>
          <w:rFonts w:ascii="黑体" w:hAnsi="黑体" w:eastAsia="黑体" w:cs="黑体"/>
          <w:color w:val="auto"/>
          <w:sz w:val="21"/>
          <w:szCs w:val="21"/>
          <w:highlight w:val="none"/>
        </w:rPr>
      </w:pPr>
      <w:r>
        <w:rPr>
          <w:rFonts w:ascii="黑体" w:hAnsi="黑体" w:eastAsia="黑体" w:cs="黑体"/>
          <w:color w:val="auto"/>
          <w:sz w:val="21"/>
          <w:szCs w:val="21"/>
          <w:highlight w:val="none"/>
        </w:rPr>
        <w:t>26.10评标委员会成员对需要共同认定的事项存在争议的，应当按照少数服从多数的原则作出结论。持</w:t>
      </w:r>
      <w:r>
        <w:rPr>
          <w:rFonts w:ascii="黑体" w:hAnsi="黑体" w:eastAsia="黑体" w:cs="黑体"/>
          <w:color w:val="auto"/>
          <w:spacing w:val="13"/>
          <w:sz w:val="21"/>
          <w:szCs w:val="21"/>
          <w:highlight w:val="none"/>
        </w:rPr>
        <w:t xml:space="preserve"> </w:t>
      </w:r>
      <w:r>
        <w:rPr>
          <w:rFonts w:ascii="黑体" w:hAnsi="黑体" w:eastAsia="黑体" w:cs="黑体"/>
          <w:color w:val="auto"/>
          <w:spacing w:val="1"/>
          <w:sz w:val="21"/>
          <w:szCs w:val="21"/>
          <w:highlight w:val="none"/>
        </w:rPr>
        <w:t>不同意见的评标委员会成员应当在评标报告上签署不同</w:t>
      </w:r>
      <w:r>
        <w:rPr>
          <w:rFonts w:ascii="黑体" w:hAnsi="黑体" w:eastAsia="黑体" w:cs="黑体"/>
          <w:color w:val="auto"/>
          <w:sz w:val="21"/>
          <w:szCs w:val="21"/>
          <w:highlight w:val="none"/>
        </w:rPr>
        <w:t>意见及理由，否则视为同意评标报告。</w:t>
      </w:r>
    </w:p>
    <w:p>
      <w:pPr>
        <w:spacing w:before="117" w:line="213" w:lineRule="auto"/>
        <w:ind w:left="430"/>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26.11评标结果汇总完成后，除下列情形外，任何人不得修改</w:t>
      </w:r>
      <w:r>
        <w:rPr>
          <w:rFonts w:ascii="黑体" w:hAnsi="黑体" w:eastAsia="黑体" w:cs="黑体"/>
          <w:color w:val="auto"/>
          <w:sz w:val="21"/>
          <w:szCs w:val="21"/>
          <w:highlight w:val="none"/>
        </w:rPr>
        <w:t>评标结果：</w:t>
      </w:r>
    </w:p>
    <w:p>
      <w:pPr>
        <w:spacing w:before="108" w:line="213" w:lineRule="auto"/>
        <w:ind w:left="960"/>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(一)分值汇总计算错误的；</w:t>
      </w:r>
    </w:p>
    <w:p>
      <w:pPr>
        <w:spacing w:before="128" w:line="213" w:lineRule="auto"/>
        <w:ind w:left="96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(二)分项评分超出评分标准范围的；</w:t>
      </w:r>
    </w:p>
    <w:p>
      <w:pPr>
        <w:spacing w:before="108" w:line="213" w:lineRule="auto"/>
        <w:ind w:left="960"/>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(三)评标委员会成员对客观评审因素评分不一致的；</w:t>
      </w:r>
    </w:p>
    <w:p>
      <w:pPr>
        <w:spacing w:before="126" w:line="221" w:lineRule="auto"/>
        <w:ind w:left="960"/>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(四)经评标委员会认定评分畸高、畸低的。</w:t>
      </w:r>
    </w:p>
    <w:p>
      <w:pPr>
        <w:spacing w:before="110" w:line="213" w:lineRule="auto"/>
        <w:ind w:left="430"/>
        <w:rPr>
          <w:rFonts w:ascii="黑体" w:hAnsi="黑体" w:eastAsia="黑体" w:cs="黑体"/>
          <w:color w:val="auto"/>
          <w:sz w:val="21"/>
          <w:szCs w:val="21"/>
          <w:highlight w:val="none"/>
        </w:rPr>
      </w:pPr>
      <w:r>
        <w:rPr>
          <w:rFonts w:ascii="黑体" w:hAnsi="黑体" w:eastAsia="黑体" w:cs="黑体"/>
          <w:color w:val="auto"/>
          <w:sz w:val="21"/>
          <w:szCs w:val="21"/>
          <w:highlight w:val="none"/>
        </w:rPr>
        <w:t>评标报告签署前，经复核发现存在以上情形之一的，评标委员会应当当场修改评标结果，并在评标</w:t>
      </w:r>
    </w:p>
    <w:p>
      <w:pPr>
        <w:spacing w:before="118" w:line="213" w:lineRule="auto"/>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报告中记载；评标报告签署后，采购人或者采购代理机构发现存在以上情形之一的，应当组织原评标委员</w:t>
      </w:r>
    </w:p>
    <w:p>
      <w:pPr>
        <w:spacing w:line="213" w:lineRule="auto"/>
        <w:rPr>
          <w:rFonts w:ascii="黑体" w:hAnsi="黑体" w:eastAsia="黑体" w:cs="黑体"/>
          <w:color w:val="auto"/>
          <w:sz w:val="21"/>
          <w:szCs w:val="21"/>
          <w:highlight w:val="none"/>
        </w:rPr>
        <w:sectPr>
          <w:footerReference r:id="rId23" w:type="default"/>
          <w:pgSz w:w="11900" w:h="16830"/>
          <w:pgMar w:top="400" w:right="1057" w:bottom="801" w:left="1039" w:header="0" w:footer="657" w:gutter="0"/>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13" w:lineRule="auto"/>
        <w:rPr>
          <w:rFonts w:ascii="黑体" w:hAnsi="黑体" w:eastAsia="黑体" w:cs="黑体"/>
          <w:color w:val="auto"/>
          <w:sz w:val="21"/>
          <w:szCs w:val="21"/>
          <w:highlight w:val="none"/>
        </w:rPr>
      </w:pPr>
      <w:r>
        <w:rPr>
          <w:rFonts w:ascii="黑体" w:hAnsi="黑体" w:eastAsia="黑体" w:cs="黑体"/>
          <w:color w:val="auto"/>
          <w:sz w:val="21"/>
          <w:szCs w:val="21"/>
          <w:highlight w:val="none"/>
        </w:rPr>
        <w:t>会进行重新评审，重新评审改变评标结果的，书面报告本级财政部门。</w:t>
      </w:r>
    </w:p>
    <w:p>
      <w:pPr>
        <w:spacing w:before="117" w:line="305" w:lineRule="auto"/>
        <w:ind w:firstLine="429"/>
        <w:rPr>
          <w:rFonts w:ascii="黑体" w:hAnsi="黑体" w:eastAsia="黑体" w:cs="黑体"/>
          <w:color w:val="auto"/>
          <w:sz w:val="21"/>
          <w:szCs w:val="21"/>
          <w:highlight w:val="none"/>
        </w:rPr>
      </w:pPr>
      <w:r>
        <w:rPr>
          <w:rFonts w:ascii="黑体" w:hAnsi="黑体" w:eastAsia="黑体" w:cs="黑体"/>
          <w:color w:val="auto"/>
          <w:sz w:val="21"/>
          <w:szCs w:val="21"/>
          <w:highlight w:val="none"/>
        </w:rPr>
        <w:t>投标人对本条第一款情形提出质疑的，采购人或者采购代理机构可</w:t>
      </w:r>
      <w:r>
        <w:rPr>
          <w:rFonts w:ascii="黑体" w:hAnsi="黑体" w:eastAsia="黑体" w:cs="黑体"/>
          <w:color w:val="auto"/>
          <w:spacing w:val="-1"/>
          <w:sz w:val="21"/>
          <w:szCs w:val="21"/>
          <w:highlight w:val="none"/>
        </w:rPr>
        <w:t>以组织原评标委员会进行重新评审，</w:t>
      </w:r>
      <w:r>
        <w:rPr>
          <w:rFonts w:ascii="黑体" w:hAnsi="黑体" w:eastAsia="黑体" w:cs="黑体"/>
          <w:color w:val="auto"/>
          <w:sz w:val="21"/>
          <w:szCs w:val="21"/>
          <w:highlight w:val="none"/>
        </w:rPr>
        <w:t xml:space="preserve"> 重新评审改变评标结果的，应当书面报告本级财政部门。</w:t>
      </w:r>
    </w:p>
    <w:p>
      <w:pPr>
        <w:spacing w:before="26" w:line="305" w:lineRule="auto"/>
        <w:ind w:right="96" w:firstLine="429"/>
        <w:rPr>
          <w:rFonts w:ascii="黑体" w:hAnsi="黑体" w:eastAsia="黑体" w:cs="黑体"/>
          <w:color w:val="auto"/>
          <w:sz w:val="21"/>
          <w:szCs w:val="21"/>
          <w:highlight w:val="none"/>
        </w:rPr>
      </w:pPr>
      <w:r>
        <w:rPr>
          <w:rFonts w:ascii="黑体" w:hAnsi="黑体" w:eastAsia="黑体" w:cs="黑体"/>
          <w:color w:val="auto"/>
          <w:sz w:val="21"/>
          <w:szCs w:val="21"/>
          <w:highlight w:val="none"/>
        </w:rPr>
        <w:t>26.12采购代理机构发现评标委员会有明显的违规倾向或歧视现象，或不按评标办法</w:t>
      </w:r>
      <w:r>
        <w:rPr>
          <w:rFonts w:ascii="黑体" w:hAnsi="黑体" w:eastAsia="黑体" w:cs="黑体"/>
          <w:color w:val="auto"/>
          <w:spacing w:val="-1"/>
          <w:sz w:val="21"/>
          <w:szCs w:val="21"/>
          <w:highlight w:val="none"/>
        </w:rPr>
        <w:t>进行，或其他不正</w:t>
      </w:r>
      <w:r>
        <w:rPr>
          <w:rFonts w:ascii="黑体" w:hAnsi="黑体" w:eastAsia="黑体" w:cs="黑体"/>
          <w:color w:val="auto"/>
          <w:sz w:val="21"/>
          <w:szCs w:val="21"/>
          <w:highlight w:val="none"/>
        </w:rPr>
        <w:t xml:space="preserve"> 常行为的，应当及时制止。如制止无效，应及时向</w:t>
      </w:r>
      <w:r>
        <w:rPr>
          <w:rFonts w:hint="eastAsia" w:ascii="黑体" w:hAnsi="黑体" w:eastAsia="黑体" w:cs="黑体"/>
          <w:color w:val="auto"/>
          <w:sz w:val="21"/>
          <w:szCs w:val="21"/>
          <w:highlight w:val="none"/>
          <w:lang w:eastAsia="zh-CN"/>
        </w:rPr>
        <w:t>桂林市秀峰区政府采购管理办公室</w:t>
      </w:r>
      <w:r>
        <w:rPr>
          <w:rFonts w:ascii="黑体" w:hAnsi="黑体" w:eastAsia="黑体" w:cs="黑体"/>
          <w:color w:val="auto"/>
          <w:sz w:val="21"/>
          <w:szCs w:val="21"/>
          <w:highlight w:val="none"/>
        </w:rPr>
        <w:t>监督管理部门报告。</w:t>
      </w:r>
    </w:p>
    <w:p>
      <w:pPr>
        <w:pStyle w:val="3"/>
        <w:spacing w:before="22" w:line="222" w:lineRule="auto"/>
        <w:ind w:left="432"/>
        <w:rPr>
          <w:rFonts w:ascii="黑体" w:hAnsi="黑体" w:eastAsia="黑体" w:cs="黑体"/>
          <w:color w:val="auto"/>
          <w:sz w:val="21"/>
          <w:szCs w:val="21"/>
          <w:highlight w:val="none"/>
        </w:rPr>
      </w:pPr>
      <w:r>
        <w:rPr>
          <w:b/>
          <w:bCs/>
          <w:color w:val="auto"/>
          <w:spacing w:val="1"/>
          <w:sz w:val="21"/>
          <w:szCs w:val="21"/>
          <w:highlight w:val="none"/>
        </w:rPr>
        <w:t>27.</w:t>
      </w:r>
      <w:r>
        <w:rPr>
          <w:color w:val="auto"/>
          <w:spacing w:val="-25"/>
          <w:sz w:val="21"/>
          <w:szCs w:val="21"/>
          <w:highlight w:val="none"/>
        </w:rPr>
        <w:t xml:space="preserve"> </w:t>
      </w:r>
      <w:r>
        <w:rPr>
          <w:rFonts w:ascii="黑体" w:hAnsi="黑体" w:eastAsia="黑体" w:cs="黑体"/>
          <w:b/>
          <w:bCs/>
          <w:color w:val="auto"/>
          <w:spacing w:val="1"/>
          <w:sz w:val="21"/>
          <w:szCs w:val="21"/>
          <w:highlight w:val="none"/>
        </w:rPr>
        <w:t>推荐及确定中标候选人原则</w:t>
      </w:r>
    </w:p>
    <w:p>
      <w:pPr>
        <w:spacing w:before="110" w:line="282" w:lineRule="auto"/>
        <w:ind w:right="87"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(1)评标委员会根据综合得分由高到低排列次序，若得分相同时，按评标价由低到高顺序排列；若得分相同且评标价也相同的，按服务实施方案分由高到低顺序确定中标供应商，若服务实施方案分也相同的由评标委员会按照抽签的方式决定排次次序。</w:t>
      </w:r>
    </w:p>
    <w:p>
      <w:pPr>
        <w:spacing w:before="120" w:line="282" w:lineRule="auto"/>
        <w:ind w:right="97"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w:t>
      </w:r>
      <w:r>
        <w:rPr>
          <w:rFonts w:hint="eastAsia" w:ascii="黑体" w:hAnsi="黑体" w:eastAsia="黑体" w:cs="黑体"/>
          <w:color w:val="auto"/>
          <w:spacing w:val="3"/>
          <w:sz w:val="21"/>
          <w:szCs w:val="21"/>
          <w:highlight w:val="none"/>
          <w:lang w:val="en-US" w:eastAsia="zh-CN"/>
        </w:rPr>
        <w:t>2</w:t>
      </w:r>
      <w:r>
        <w:rPr>
          <w:rFonts w:ascii="黑体" w:hAnsi="黑体" w:eastAsia="黑体" w:cs="黑体"/>
          <w:color w:val="auto"/>
          <w:spacing w:val="3"/>
          <w:sz w:val="21"/>
          <w:szCs w:val="21"/>
          <w:highlight w:val="none"/>
        </w:rPr>
        <w:t>)中标人放弃中标、拒绝与采购人签订合同、因不可抗力提出不能履行合同，或信用信息</w:t>
      </w:r>
      <w:r>
        <w:rPr>
          <w:rFonts w:ascii="黑体" w:hAnsi="黑体" w:eastAsia="黑体" w:cs="黑体"/>
          <w:color w:val="auto"/>
          <w:spacing w:val="2"/>
          <w:sz w:val="21"/>
          <w:szCs w:val="21"/>
          <w:highlight w:val="none"/>
        </w:rPr>
        <w:t>记录不符</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合相关规定的，或者招标文件规定应当提交履约保证金而在规定的期限内未能提交的，采购人可以按照评</w:t>
      </w:r>
      <w:r>
        <w:rPr>
          <w:rFonts w:ascii="黑体" w:hAnsi="黑体" w:eastAsia="黑体" w:cs="黑体"/>
          <w:color w:val="auto"/>
          <w:spacing w:val="14"/>
          <w:sz w:val="21"/>
          <w:szCs w:val="21"/>
          <w:highlight w:val="none"/>
        </w:rPr>
        <w:t xml:space="preserve"> </w:t>
      </w:r>
      <w:r>
        <w:rPr>
          <w:rFonts w:ascii="黑体" w:hAnsi="黑体" w:eastAsia="黑体" w:cs="黑体"/>
          <w:color w:val="auto"/>
          <w:sz w:val="21"/>
          <w:szCs w:val="21"/>
          <w:highlight w:val="none"/>
        </w:rPr>
        <w:t>审报告推荐的中标候选人名单排序，确定下一候选人中标，也可以重新开展政府采购活动。</w:t>
      </w:r>
    </w:p>
    <w:p>
      <w:pPr>
        <w:pStyle w:val="3"/>
        <w:spacing w:before="105" w:line="213" w:lineRule="auto"/>
        <w:ind w:left="432"/>
        <w:rPr>
          <w:rFonts w:ascii="黑体" w:hAnsi="黑体" w:eastAsia="黑体" w:cs="黑体"/>
          <w:color w:val="auto"/>
          <w:sz w:val="21"/>
          <w:szCs w:val="21"/>
          <w:highlight w:val="none"/>
        </w:rPr>
      </w:pPr>
      <w:r>
        <w:rPr>
          <w:b/>
          <w:bCs/>
          <w:color w:val="auto"/>
          <w:spacing w:val="-3"/>
          <w:sz w:val="21"/>
          <w:szCs w:val="21"/>
          <w:highlight w:val="none"/>
        </w:rPr>
        <w:t>28.</w:t>
      </w:r>
      <w:r>
        <w:rPr>
          <w:rFonts w:ascii="黑体" w:hAnsi="黑体" w:eastAsia="黑体" w:cs="黑体"/>
          <w:b/>
          <w:bCs/>
          <w:color w:val="auto"/>
          <w:spacing w:val="-3"/>
          <w:sz w:val="21"/>
          <w:szCs w:val="21"/>
          <w:highlight w:val="none"/>
        </w:rPr>
        <w:t>属于下列情况之一者，投标无效：</w:t>
      </w:r>
    </w:p>
    <w:p>
      <w:pPr>
        <w:spacing w:before="120"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(1)未按照招标文件规定要求签字、盖章的；</w:t>
      </w:r>
    </w:p>
    <w:p>
      <w:pPr>
        <w:spacing w:before="137" w:line="261" w:lineRule="auto"/>
        <w:ind w:right="70" w:firstLine="49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(2)投标综合报价超过招标文件中规定的预算金额(或最高限价)、或综合管理服务费比例报价超最</w:t>
      </w:r>
      <w:r>
        <w:rPr>
          <w:rFonts w:ascii="黑体" w:hAnsi="黑体" w:eastAsia="黑体" w:cs="黑体"/>
          <w:color w:val="auto"/>
          <w:spacing w:val="9"/>
          <w:sz w:val="21"/>
          <w:szCs w:val="21"/>
          <w:highlight w:val="none"/>
        </w:rPr>
        <w:t xml:space="preserve"> </w:t>
      </w:r>
      <w:r>
        <w:rPr>
          <w:rFonts w:ascii="黑体" w:hAnsi="黑体" w:eastAsia="黑体" w:cs="黑体"/>
          <w:color w:val="auto"/>
          <w:spacing w:val="2"/>
          <w:sz w:val="21"/>
          <w:szCs w:val="21"/>
          <w:highlight w:val="none"/>
        </w:rPr>
        <w:t>高限价的；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12"/>
          <w:sz w:val="21"/>
          <w:szCs w:val="21"/>
          <w:highlight w:val="none"/>
        </w:rPr>
        <w:t>(3)未通过资格审查的；</w:t>
      </w:r>
    </w:p>
    <w:p>
      <w:pPr>
        <w:spacing w:before="117" w:line="265" w:lineRule="auto"/>
        <w:ind w:right="95"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(4)未按本招标文件规定提供符合性响应证明材料中的任意一项材料的；或提供的符合性响应证</w:t>
      </w:r>
      <w:r>
        <w:rPr>
          <w:rFonts w:ascii="黑体" w:hAnsi="黑体" w:eastAsia="黑体" w:cs="黑体"/>
          <w:color w:val="auto"/>
          <w:spacing w:val="2"/>
          <w:sz w:val="21"/>
          <w:szCs w:val="21"/>
          <w:highlight w:val="none"/>
        </w:rPr>
        <w:t>明材</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料中的任意一项材料无效的；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(5)投标文件含有采购人不能接受的附加条件</w:t>
      </w:r>
      <w:r>
        <w:rPr>
          <w:rFonts w:ascii="黑体" w:hAnsi="黑体" w:eastAsia="黑体" w:cs="黑体"/>
          <w:color w:val="auto"/>
          <w:spacing w:val="6"/>
          <w:sz w:val="21"/>
          <w:szCs w:val="21"/>
          <w:highlight w:val="none"/>
        </w:rPr>
        <w:t>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(6)投标文件未按招标文件的内容和要求编制，或提供虚假材料的；</w:t>
      </w:r>
    </w:p>
    <w:p>
      <w:pPr>
        <w:spacing w:before="117" w:line="265" w:lineRule="auto"/>
        <w:ind w:right="90" w:firstLine="49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 xml:space="preserve">(7)投标人未就“项目需求”中的所有内容作完整唯一投标综合报价的，或未对综合管理服务费比例 </w:t>
      </w:r>
      <w:r>
        <w:rPr>
          <w:rFonts w:ascii="黑体" w:hAnsi="黑体" w:eastAsia="黑体" w:cs="黑体"/>
          <w:color w:val="auto"/>
          <w:spacing w:val="1"/>
          <w:sz w:val="21"/>
          <w:szCs w:val="21"/>
          <w:highlight w:val="none"/>
        </w:rPr>
        <w:t>作完整唯一报价的；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(8)未完全响应招标文件实质性要求的；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(9)投标人为联合体投标的；</w:t>
      </w:r>
    </w:p>
    <w:p>
      <w:pPr>
        <w:spacing w:before="124" w:line="221" w:lineRule="auto"/>
        <w:ind w:left="502"/>
        <w:rPr>
          <w:rFonts w:ascii="黑体" w:hAnsi="黑体" w:eastAsia="黑体" w:cs="黑体"/>
          <w:color w:val="auto"/>
          <w:sz w:val="21"/>
          <w:szCs w:val="21"/>
          <w:highlight w:val="none"/>
        </w:rPr>
      </w:pPr>
      <w:r>
        <w:rPr>
          <w:rFonts w:ascii="黑体" w:hAnsi="黑体" w:eastAsia="黑体" w:cs="黑体"/>
          <w:b/>
          <w:bCs/>
          <w:color w:val="auto"/>
          <w:spacing w:val="4"/>
          <w:sz w:val="21"/>
          <w:szCs w:val="21"/>
          <w:highlight w:val="none"/>
        </w:rPr>
        <w:t>(10)法律、法规和招标文件规定的其他无效情形。</w:t>
      </w:r>
    </w:p>
    <w:p>
      <w:pPr>
        <w:pStyle w:val="3"/>
        <w:spacing w:before="100" w:line="213" w:lineRule="auto"/>
        <w:ind w:left="432"/>
        <w:rPr>
          <w:rFonts w:ascii="黑体" w:hAnsi="黑体" w:eastAsia="黑体" w:cs="黑体"/>
          <w:color w:val="auto"/>
          <w:sz w:val="21"/>
          <w:szCs w:val="21"/>
          <w:highlight w:val="none"/>
        </w:rPr>
      </w:pPr>
      <w:r>
        <w:rPr>
          <w:b/>
          <w:bCs/>
          <w:color w:val="auto"/>
          <w:spacing w:val="-1"/>
          <w:sz w:val="21"/>
          <w:szCs w:val="21"/>
          <w:highlight w:val="none"/>
        </w:rPr>
        <w:t>29.</w:t>
      </w:r>
      <w:r>
        <w:rPr>
          <w:rFonts w:ascii="黑体" w:hAnsi="黑体" w:eastAsia="黑体" w:cs="黑体"/>
          <w:b/>
          <w:bCs/>
          <w:color w:val="auto"/>
          <w:spacing w:val="-1"/>
          <w:sz w:val="21"/>
          <w:szCs w:val="21"/>
          <w:highlight w:val="none"/>
        </w:rPr>
        <w:t>投标人有下列情形之一的，视为串通投标，投标文件</w:t>
      </w:r>
      <w:r>
        <w:rPr>
          <w:rFonts w:ascii="黑体" w:hAnsi="黑体" w:eastAsia="黑体" w:cs="黑体"/>
          <w:b/>
          <w:bCs/>
          <w:color w:val="auto"/>
          <w:spacing w:val="-2"/>
          <w:sz w:val="21"/>
          <w:szCs w:val="21"/>
          <w:highlight w:val="none"/>
        </w:rPr>
        <w:t>将被视为无效：</w:t>
      </w:r>
    </w:p>
    <w:p>
      <w:pPr>
        <w:spacing w:before="120"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(1)不同投标人的投标文件由同一单位或者个人编</w:t>
      </w:r>
      <w:r>
        <w:rPr>
          <w:rFonts w:ascii="黑体" w:hAnsi="黑体" w:eastAsia="黑体" w:cs="黑体"/>
          <w:color w:val="auto"/>
          <w:spacing w:val="5"/>
          <w:sz w:val="21"/>
          <w:szCs w:val="21"/>
          <w:highlight w:val="none"/>
        </w:rPr>
        <w:t>制；</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(2)不同投标人委托同一单位或者个人办理投标事宜的；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(3)不同的投标人的投标文件载明的项目管理员为同一个人的；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(4)不同投标人的投标文件异常一致或投标报价呈规律性差异</w:t>
      </w:r>
      <w:r>
        <w:rPr>
          <w:rFonts w:ascii="黑体" w:hAnsi="黑体" w:eastAsia="黑体" w:cs="黑体"/>
          <w:color w:val="auto"/>
          <w:spacing w:val="4"/>
          <w:sz w:val="21"/>
          <w:szCs w:val="21"/>
          <w:highlight w:val="none"/>
        </w:rPr>
        <w:t>的；</w:t>
      </w:r>
    </w:p>
    <w:p>
      <w:pPr>
        <w:spacing w:before="128" w:line="222" w:lineRule="auto"/>
        <w:ind w:left="49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(5)不同投标人的投标文件相互混装的。</w:t>
      </w:r>
    </w:p>
    <w:p>
      <w:pPr>
        <w:pStyle w:val="3"/>
        <w:spacing w:before="95" w:line="213" w:lineRule="auto"/>
        <w:ind w:left="432"/>
        <w:rPr>
          <w:rFonts w:ascii="黑体" w:hAnsi="黑体" w:eastAsia="黑体" w:cs="黑体"/>
          <w:color w:val="auto"/>
          <w:sz w:val="21"/>
          <w:szCs w:val="21"/>
          <w:highlight w:val="none"/>
        </w:rPr>
      </w:pPr>
      <w:r>
        <w:rPr>
          <w:b/>
          <w:bCs/>
          <w:color w:val="auto"/>
          <w:spacing w:val="-1"/>
          <w:sz w:val="21"/>
          <w:szCs w:val="21"/>
          <w:highlight w:val="none"/>
        </w:rPr>
        <w:t>30.</w:t>
      </w:r>
      <w:r>
        <w:rPr>
          <w:rFonts w:ascii="黑体" w:hAnsi="黑体" w:eastAsia="黑体" w:cs="黑体"/>
          <w:b/>
          <w:bCs/>
          <w:color w:val="auto"/>
          <w:spacing w:val="-1"/>
          <w:sz w:val="21"/>
          <w:szCs w:val="21"/>
          <w:highlight w:val="none"/>
        </w:rPr>
        <w:t>属于下列情形之一的，予以废标：</w:t>
      </w:r>
    </w:p>
    <w:p>
      <w:pPr>
        <w:spacing w:before="120" w:line="213" w:lineRule="auto"/>
        <w:ind w:left="49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(1)符合专业条件的供应商或者对招标文件作实质响应的供应商不足3家的；</w:t>
      </w:r>
    </w:p>
    <w:p>
      <w:pPr>
        <w:spacing w:before="118" w:line="213" w:lineRule="auto"/>
        <w:ind w:left="49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(2)出现影响采购公正的违法、违规行为的；</w:t>
      </w:r>
    </w:p>
    <w:p>
      <w:pPr>
        <w:spacing w:line="213" w:lineRule="auto"/>
        <w:rPr>
          <w:rFonts w:ascii="黑体" w:hAnsi="黑体" w:eastAsia="黑体" w:cs="黑体"/>
          <w:color w:val="auto"/>
          <w:sz w:val="21"/>
          <w:szCs w:val="21"/>
          <w:highlight w:val="none"/>
        </w:rPr>
        <w:sectPr>
          <w:footerReference r:id="rId24" w:type="default"/>
          <w:pgSz w:w="11900" w:h="16830"/>
          <w:pgMar w:top="400" w:right="984" w:bottom="799" w:left="1050" w:header="0" w:footer="655" w:gutter="0"/>
          <w:cols w:space="720" w:num="1"/>
        </w:sectPr>
      </w:pPr>
    </w:p>
    <w:p>
      <w:pPr>
        <w:spacing w:line="265" w:lineRule="auto"/>
        <w:rPr>
          <w:rFonts w:ascii="Arial"/>
          <w:color w:val="auto"/>
          <w:sz w:val="21"/>
          <w:highlight w:val="none"/>
        </w:r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9" w:line="213" w:lineRule="auto"/>
        <w:ind w:left="51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(3)采购文件内容违反国家有关强制性规定的；</w:t>
      </w:r>
    </w:p>
    <w:p>
      <w:pPr>
        <w:spacing w:before="117" w:line="213" w:lineRule="auto"/>
        <w:ind w:left="49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(4)因重大变故，采购任务取消的。</w:t>
      </w:r>
    </w:p>
    <w:p>
      <w:pPr>
        <w:spacing w:before="124" w:line="222" w:lineRule="auto"/>
        <w:ind w:left="412"/>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31.开标、评标过程的监控</w:t>
      </w:r>
    </w:p>
    <w:p>
      <w:pPr>
        <w:spacing w:before="97" w:line="314" w:lineRule="auto"/>
        <w:ind w:left="3" w:right="12" w:firstLine="409"/>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本项目开标、评标过程实行全程录音、录像监控，投标人在评标过程中所进</w:t>
      </w:r>
      <w:r>
        <w:rPr>
          <w:rFonts w:ascii="黑体" w:hAnsi="黑体" w:eastAsia="黑体" w:cs="黑体"/>
          <w:b/>
          <w:bCs/>
          <w:color w:val="auto"/>
          <w:sz w:val="21"/>
          <w:szCs w:val="21"/>
          <w:highlight w:val="none"/>
        </w:rPr>
        <w:t>行的试图影响评标结果的</w:t>
      </w:r>
      <w:r>
        <w:rPr>
          <w:rFonts w:ascii="黑体" w:hAnsi="黑体" w:eastAsia="黑体" w:cs="黑体"/>
          <w:color w:val="auto"/>
          <w:sz w:val="21"/>
          <w:szCs w:val="21"/>
          <w:highlight w:val="none"/>
        </w:rPr>
        <w:t xml:space="preserve"> </w:t>
      </w:r>
      <w:r>
        <w:rPr>
          <w:rFonts w:ascii="黑体" w:hAnsi="黑体" w:eastAsia="黑体" w:cs="黑体"/>
          <w:b/>
          <w:bCs/>
          <w:color w:val="auto"/>
          <w:sz w:val="21"/>
          <w:szCs w:val="21"/>
          <w:highlight w:val="none"/>
        </w:rPr>
        <w:t>不公正活动，可能导致其投标被拒绝。</w:t>
      </w:r>
    </w:p>
    <w:p>
      <w:pPr>
        <w:pStyle w:val="3"/>
        <w:spacing w:before="17" w:line="222" w:lineRule="auto"/>
        <w:ind w:left="412"/>
        <w:rPr>
          <w:rFonts w:ascii="黑体" w:hAnsi="黑体" w:eastAsia="黑体" w:cs="黑体"/>
          <w:color w:val="auto"/>
          <w:sz w:val="21"/>
          <w:szCs w:val="21"/>
          <w:highlight w:val="none"/>
        </w:rPr>
      </w:pPr>
      <w:r>
        <w:rPr>
          <w:b/>
          <w:bCs/>
          <w:color w:val="auto"/>
          <w:sz w:val="21"/>
          <w:szCs w:val="21"/>
          <w:highlight w:val="none"/>
        </w:rPr>
        <w:t>32.</w:t>
      </w:r>
      <w:r>
        <w:rPr>
          <w:rFonts w:ascii="黑体" w:hAnsi="黑体" w:eastAsia="黑体" w:cs="黑体"/>
          <w:b/>
          <w:bCs/>
          <w:color w:val="auto"/>
          <w:sz w:val="21"/>
          <w:szCs w:val="21"/>
          <w:highlight w:val="none"/>
        </w:rPr>
        <w:t>信用查询</w:t>
      </w:r>
    </w:p>
    <w:p>
      <w:pPr>
        <w:spacing w:before="109" w:line="296" w:lineRule="auto"/>
        <w:ind w:right="9" w:firstLine="409"/>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根据《关于做好政府采购有关信用主体标识码登记及在政府采购活动中查询使用信用记录有关问题的</w:t>
      </w:r>
      <w:r>
        <w:rPr>
          <w:rFonts w:ascii="黑体" w:hAnsi="黑体" w:eastAsia="黑体" w:cs="黑体"/>
          <w:color w:val="auto"/>
          <w:spacing w:val="4"/>
          <w:sz w:val="21"/>
          <w:szCs w:val="21"/>
          <w:highlight w:val="none"/>
        </w:rPr>
        <w:t xml:space="preserve"> </w:t>
      </w:r>
      <w:r>
        <w:rPr>
          <w:rFonts w:ascii="黑体" w:hAnsi="黑体" w:eastAsia="黑体" w:cs="黑体"/>
          <w:color w:val="auto"/>
          <w:spacing w:val="2"/>
          <w:sz w:val="21"/>
          <w:szCs w:val="21"/>
          <w:highlight w:val="none"/>
        </w:rPr>
        <w:t>通知》(桂财采〔2016〕37号)的通知，中标通知书发出前，由采购代理机构对第一中标候选人进行信用查</w:t>
      </w:r>
      <w:r>
        <w:rPr>
          <w:rFonts w:ascii="黑体" w:hAnsi="黑体" w:eastAsia="黑体" w:cs="黑体"/>
          <w:color w:val="auto"/>
          <w:spacing w:val="17"/>
          <w:sz w:val="21"/>
          <w:szCs w:val="21"/>
          <w:highlight w:val="none"/>
        </w:rPr>
        <w:t xml:space="preserve"> </w:t>
      </w:r>
      <w:r>
        <w:rPr>
          <w:rFonts w:ascii="黑体" w:hAnsi="黑体" w:eastAsia="黑体" w:cs="黑体"/>
          <w:color w:val="auto"/>
          <w:spacing w:val="-2"/>
          <w:sz w:val="21"/>
          <w:szCs w:val="21"/>
          <w:highlight w:val="none"/>
        </w:rPr>
        <w:t>询：</w:t>
      </w:r>
    </w:p>
    <w:p>
      <w:pPr>
        <w:pStyle w:val="3"/>
        <w:spacing w:before="1" w:line="284" w:lineRule="auto"/>
        <w:ind w:left="99" w:right="10" w:firstLine="30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w:t>
      </w:r>
      <w:r>
        <w:rPr>
          <w:rFonts w:ascii="黑体" w:hAnsi="黑体" w:eastAsia="黑体" w:cs="黑体"/>
          <w:color w:val="auto"/>
          <w:spacing w:val="-31"/>
          <w:sz w:val="21"/>
          <w:szCs w:val="21"/>
          <w:highlight w:val="none"/>
        </w:rPr>
        <w:t xml:space="preserve"> </w:t>
      </w:r>
      <w:r>
        <w:rPr>
          <w:rFonts w:ascii="黑体" w:hAnsi="黑体" w:eastAsia="黑体" w:cs="黑体"/>
          <w:color w:val="auto"/>
          <w:spacing w:val="-5"/>
          <w:sz w:val="21"/>
          <w:szCs w:val="21"/>
          <w:highlight w:val="none"/>
        </w:rPr>
        <w:t>1</w:t>
      </w:r>
      <w:r>
        <w:rPr>
          <w:rFonts w:ascii="黑体" w:hAnsi="黑体" w:eastAsia="黑体" w:cs="黑体"/>
          <w:color w:val="auto"/>
          <w:spacing w:val="-46"/>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40"/>
          <w:sz w:val="21"/>
          <w:szCs w:val="21"/>
          <w:highlight w:val="none"/>
        </w:rPr>
        <w:t xml:space="preserve"> </w:t>
      </w:r>
      <w:r>
        <w:rPr>
          <w:rFonts w:ascii="黑体" w:hAnsi="黑体" w:eastAsia="黑体" w:cs="黑体"/>
          <w:color w:val="auto"/>
          <w:spacing w:val="-5"/>
          <w:sz w:val="21"/>
          <w:szCs w:val="21"/>
          <w:highlight w:val="none"/>
        </w:rPr>
        <w:t>查</w:t>
      </w:r>
      <w:r>
        <w:rPr>
          <w:rFonts w:ascii="黑体" w:hAnsi="黑体" w:eastAsia="黑体" w:cs="黑体"/>
          <w:color w:val="auto"/>
          <w:spacing w:val="-43"/>
          <w:sz w:val="21"/>
          <w:szCs w:val="21"/>
          <w:highlight w:val="none"/>
        </w:rPr>
        <w:t xml:space="preserve"> </w:t>
      </w:r>
      <w:r>
        <w:rPr>
          <w:rFonts w:ascii="黑体" w:hAnsi="黑体" w:eastAsia="黑体" w:cs="黑体"/>
          <w:color w:val="auto"/>
          <w:spacing w:val="-5"/>
          <w:sz w:val="21"/>
          <w:szCs w:val="21"/>
          <w:highlight w:val="none"/>
        </w:rPr>
        <w:t>询</w:t>
      </w:r>
      <w:r>
        <w:rPr>
          <w:rFonts w:ascii="黑体" w:hAnsi="黑体" w:eastAsia="黑体" w:cs="黑体"/>
          <w:color w:val="auto"/>
          <w:spacing w:val="-42"/>
          <w:sz w:val="21"/>
          <w:szCs w:val="21"/>
          <w:highlight w:val="none"/>
        </w:rPr>
        <w:t xml:space="preserve"> </w:t>
      </w:r>
      <w:r>
        <w:rPr>
          <w:rFonts w:ascii="黑体" w:hAnsi="黑体" w:eastAsia="黑体" w:cs="黑体"/>
          <w:color w:val="auto"/>
          <w:spacing w:val="-5"/>
          <w:sz w:val="21"/>
          <w:szCs w:val="21"/>
          <w:highlight w:val="none"/>
        </w:rPr>
        <w:t>渠</w:t>
      </w:r>
      <w:r>
        <w:rPr>
          <w:rFonts w:ascii="黑体" w:hAnsi="黑体" w:eastAsia="黑体" w:cs="黑体"/>
          <w:color w:val="auto"/>
          <w:spacing w:val="-44"/>
          <w:sz w:val="21"/>
          <w:szCs w:val="21"/>
          <w:highlight w:val="none"/>
        </w:rPr>
        <w:t xml:space="preserve"> </w:t>
      </w:r>
      <w:r>
        <w:rPr>
          <w:rFonts w:ascii="黑体" w:hAnsi="黑体" w:eastAsia="黑体" w:cs="黑体"/>
          <w:color w:val="auto"/>
          <w:spacing w:val="-5"/>
          <w:sz w:val="21"/>
          <w:szCs w:val="21"/>
          <w:highlight w:val="none"/>
        </w:rPr>
        <w:t>道</w:t>
      </w:r>
      <w:r>
        <w:rPr>
          <w:rFonts w:ascii="黑体" w:hAnsi="黑体" w:eastAsia="黑体" w:cs="黑体"/>
          <w:color w:val="auto"/>
          <w:spacing w:val="-50"/>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50"/>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41"/>
          <w:sz w:val="21"/>
          <w:szCs w:val="21"/>
          <w:highlight w:val="none"/>
        </w:rPr>
        <w:t xml:space="preserve"> </w:t>
      </w:r>
      <w:r>
        <w:rPr>
          <w:rFonts w:ascii="黑体" w:hAnsi="黑体" w:eastAsia="黑体" w:cs="黑体"/>
          <w:color w:val="auto"/>
          <w:spacing w:val="-5"/>
          <w:sz w:val="21"/>
          <w:szCs w:val="21"/>
          <w:highlight w:val="none"/>
        </w:rPr>
        <w:t>信</w:t>
      </w:r>
      <w:r>
        <w:rPr>
          <w:rFonts w:ascii="黑体" w:hAnsi="黑体" w:eastAsia="黑体" w:cs="黑体"/>
          <w:color w:val="auto"/>
          <w:spacing w:val="-39"/>
          <w:sz w:val="21"/>
          <w:szCs w:val="21"/>
          <w:highlight w:val="none"/>
        </w:rPr>
        <w:t xml:space="preserve"> </w:t>
      </w:r>
      <w:r>
        <w:rPr>
          <w:rFonts w:ascii="黑体" w:hAnsi="黑体" w:eastAsia="黑体" w:cs="黑体"/>
          <w:color w:val="auto"/>
          <w:spacing w:val="-5"/>
          <w:sz w:val="21"/>
          <w:szCs w:val="21"/>
          <w:highlight w:val="none"/>
        </w:rPr>
        <w:t>用</w:t>
      </w:r>
      <w:r>
        <w:rPr>
          <w:rFonts w:ascii="黑体" w:hAnsi="黑体" w:eastAsia="黑体" w:cs="黑体"/>
          <w:color w:val="auto"/>
          <w:spacing w:val="-25"/>
          <w:sz w:val="21"/>
          <w:szCs w:val="21"/>
          <w:highlight w:val="none"/>
        </w:rPr>
        <w:t xml:space="preserve"> </w:t>
      </w:r>
      <w:r>
        <w:rPr>
          <w:rFonts w:ascii="黑体" w:hAnsi="黑体" w:eastAsia="黑体" w:cs="黑体"/>
          <w:color w:val="auto"/>
          <w:spacing w:val="-5"/>
          <w:sz w:val="21"/>
          <w:szCs w:val="21"/>
          <w:highlight w:val="none"/>
        </w:rPr>
        <w:t>中</w:t>
      </w:r>
      <w:r>
        <w:rPr>
          <w:rFonts w:ascii="黑体" w:hAnsi="黑体" w:eastAsia="黑体" w:cs="黑体"/>
          <w:color w:val="auto"/>
          <w:spacing w:val="-30"/>
          <w:sz w:val="21"/>
          <w:szCs w:val="21"/>
          <w:highlight w:val="none"/>
        </w:rPr>
        <w:t xml:space="preserve"> </w:t>
      </w:r>
      <w:r>
        <w:rPr>
          <w:rFonts w:ascii="黑体" w:hAnsi="黑体" w:eastAsia="黑体" w:cs="黑体"/>
          <w:color w:val="auto"/>
          <w:spacing w:val="-5"/>
          <w:sz w:val="21"/>
          <w:szCs w:val="21"/>
          <w:highlight w:val="none"/>
        </w:rPr>
        <w:t>国</w:t>
      </w:r>
      <w:r>
        <w:rPr>
          <w:rFonts w:ascii="黑体" w:hAnsi="黑体" w:eastAsia="黑体" w:cs="黑体"/>
          <w:color w:val="auto"/>
          <w:spacing w:val="-33"/>
          <w:sz w:val="21"/>
          <w:szCs w:val="21"/>
          <w:highlight w:val="none"/>
        </w:rPr>
        <w:t xml:space="preserve"> </w:t>
      </w:r>
      <w:r>
        <w:rPr>
          <w:rFonts w:ascii="黑体" w:hAnsi="黑体" w:eastAsia="黑体" w:cs="黑体"/>
          <w:color w:val="auto"/>
          <w:spacing w:val="-5"/>
          <w:sz w:val="21"/>
          <w:szCs w:val="21"/>
          <w:highlight w:val="none"/>
        </w:rPr>
        <w:t>”</w:t>
      </w:r>
      <w:r>
        <w:rPr>
          <w:rFonts w:ascii="黑体" w:hAnsi="黑体" w:eastAsia="黑体" w:cs="黑体"/>
          <w:color w:val="auto"/>
          <w:spacing w:val="-49"/>
          <w:sz w:val="21"/>
          <w:szCs w:val="21"/>
          <w:highlight w:val="none"/>
        </w:rPr>
        <w:t xml:space="preserve"> </w:t>
      </w:r>
      <w:r>
        <w:rPr>
          <w:rFonts w:ascii="黑体" w:hAnsi="黑体" w:eastAsia="黑体" w:cs="黑体"/>
          <w:color w:val="auto"/>
          <w:spacing w:val="-5"/>
          <w:sz w:val="21"/>
          <w:szCs w:val="21"/>
          <w:highlight w:val="none"/>
        </w:rPr>
        <w:t>网</w:t>
      </w:r>
      <w:r>
        <w:rPr>
          <w:rFonts w:ascii="黑体" w:hAnsi="黑体" w:eastAsia="黑体" w:cs="黑体"/>
          <w:color w:val="auto"/>
          <w:spacing w:val="-39"/>
          <w:sz w:val="21"/>
          <w:szCs w:val="21"/>
          <w:highlight w:val="none"/>
        </w:rPr>
        <w:t xml:space="preserve"> </w:t>
      </w:r>
      <w:r>
        <w:rPr>
          <w:rFonts w:ascii="黑体" w:hAnsi="黑体" w:eastAsia="黑体" w:cs="黑体"/>
          <w:color w:val="auto"/>
          <w:spacing w:val="-5"/>
          <w:sz w:val="21"/>
          <w:szCs w:val="21"/>
          <w:highlight w:val="none"/>
        </w:rPr>
        <w:t>站</w:t>
      </w:r>
      <w:r>
        <w:rPr>
          <w:rFonts w:ascii="黑体" w:hAnsi="黑体" w:eastAsia="黑体" w:cs="黑体"/>
          <w:color w:val="auto"/>
          <w:spacing w:val="-37"/>
          <w:sz w:val="21"/>
          <w:szCs w:val="21"/>
          <w:highlight w:val="none"/>
        </w:rPr>
        <w:t xml:space="preserve"> </w:t>
      </w:r>
      <w:r>
        <w:rPr>
          <w:rFonts w:ascii="Arial" w:hAnsi="Arial" w:eastAsia="Arial" w:cs="Arial"/>
          <w:color w:val="auto"/>
          <w:spacing w:val="-5"/>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Arial" w:hAnsi="Arial" w:eastAsia="Arial" w:cs="Arial"/>
          <w:color w:val="auto"/>
          <w:spacing w:val="-5"/>
          <w:sz w:val="21"/>
          <w:szCs w:val="21"/>
          <w:highlight w:val="none"/>
        </w:rPr>
        <w:t>http://ww</w:t>
      </w:r>
      <w:r>
        <w:rPr>
          <w:rFonts w:ascii="Arial" w:hAnsi="Arial" w:eastAsia="Arial" w:cs="Arial"/>
          <w:color w:val="auto"/>
          <w:spacing w:val="-6"/>
          <w:sz w:val="21"/>
          <w:szCs w:val="21"/>
          <w:highlight w:val="none"/>
        </w:rPr>
        <w:t>w.creditchina.gov.cn</w:t>
      </w:r>
      <w:r>
        <w:rPr>
          <w:rFonts w:ascii="Arial" w:hAnsi="Arial" w:eastAsia="Arial" w:cs="Arial"/>
          <w:color w:val="auto"/>
          <w:spacing w:val="-6"/>
          <w:sz w:val="21"/>
          <w:szCs w:val="21"/>
          <w:highlight w:val="none"/>
        </w:rPr>
        <w:fldChar w:fldCharType="end"/>
      </w:r>
      <w:r>
        <w:rPr>
          <w:rFonts w:ascii="Arial" w:hAnsi="Arial" w:eastAsia="Arial" w:cs="Arial"/>
          <w:color w:val="auto"/>
          <w:spacing w:val="-6"/>
          <w:sz w:val="21"/>
          <w:szCs w:val="21"/>
          <w:highlight w:val="none"/>
        </w:rPr>
        <w:t>)</w:t>
      </w:r>
      <w:r>
        <w:rPr>
          <w:color w:val="auto"/>
          <w:spacing w:val="-6"/>
          <w:sz w:val="21"/>
          <w:szCs w:val="21"/>
          <w:highlight w:val="none"/>
        </w:rPr>
        <w:t xml:space="preserve">、 </w:t>
      </w:r>
      <w:r>
        <w:rPr>
          <w:rFonts w:ascii="黑体" w:hAnsi="黑体" w:eastAsia="黑体" w:cs="黑体"/>
          <w:color w:val="auto"/>
          <w:spacing w:val="-6"/>
          <w:sz w:val="21"/>
          <w:szCs w:val="21"/>
          <w:highlight w:val="none"/>
        </w:rPr>
        <w:t>中 国</w:t>
      </w:r>
      <w:r>
        <w:rPr>
          <w:rFonts w:ascii="黑体" w:hAnsi="黑体" w:eastAsia="黑体" w:cs="黑体"/>
          <w:color w:val="auto"/>
          <w:spacing w:val="-21"/>
          <w:sz w:val="21"/>
          <w:szCs w:val="21"/>
          <w:highlight w:val="none"/>
        </w:rPr>
        <w:t xml:space="preserve"> </w:t>
      </w:r>
      <w:r>
        <w:rPr>
          <w:rFonts w:ascii="黑体" w:hAnsi="黑体" w:eastAsia="黑体" w:cs="黑体"/>
          <w:color w:val="auto"/>
          <w:spacing w:val="-6"/>
          <w:sz w:val="21"/>
          <w:szCs w:val="21"/>
          <w:highlight w:val="none"/>
        </w:rPr>
        <w:t>政 府</w:t>
      </w:r>
      <w:r>
        <w:rPr>
          <w:rFonts w:ascii="黑体" w:hAnsi="黑体" w:eastAsia="黑体" w:cs="黑体"/>
          <w:color w:val="auto"/>
          <w:spacing w:val="-22"/>
          <w:sz w:val="21"/>
          <w:szCs w:val="21"/>
          <w:highlight w:val="none"/>
        </w:rPr>
        <w:t xml:space="preserve"> </w:t>
      </w:r>
      <w:r>
        <w:rPr>
          <w:rFonts w:ascii="黑体" w:hAnsi="黑体" w:eastAsia="黑体" w:cs="黑体"/>
          <w:color w:val="auto"/>
          <w:spacing w:val="-6"/>
          <w:sz w:val="21"/>
          <w:szCs w:val="21"/>
          <w:highlight w:val="none"/>
        </w:rPr>
        <w:t>采</w:t>
      </w:r>
      <w:r>
        <w:rPr>
          <w:rFonts w:ascii="黑体" w:hAnsi="黑体" w:eastAsia="黑体" w:cs="黑体"/>
          <w:color w:val="auto"/>
          <w:spacing w:val="-21"/>
          <w:sz w:val="21"/>
          <w:szCs w:val="21"/>
          <w:highlight w:val="none"/>
        </w:rPr>
        <w:t xml:space="preserve"> </w:t>
      </w:r>
      <w:r>
        <w:rPr>
          <w:rFonts w:ascii="黑体" w:hAnsi="黑体" w:eastAsia="黑体" w:cs="黑体"/>
          <w:color w:val="auto"/>
          <w:spacing w:val="-6"/>
          <w:sz w:val="21"/>
          <w:szCs w:val="21"/>
          <w:highlight w:val="none"/>
        </w:rPr>
        <w:t>购 网</w:t>
      </w:r>
      <w:r>
        <w:rPr>
          <w:rFonts w:ascii="黑体" w:hAnsi="黑体" w:eastAsia="黑体" w:cs="黑体"/>
          <w:color w:val="auto"/>
          <w:sz w:val="21"/>
          <w:szCs w:val="21"/>
          <w:highlight w:val="none"/>
        </w:rPr>
        <w:t xml:space="preserve"> </w:t>
      </w:r>
      <w:r>
        <w:rPr>
          <w:rFonts w:ascii="Times New Roman" w:hAnsi="Times New Roman" w:eastAsia="Times New Roman" w:cs="Times New Roman"/>
          <w:color w:val="auto"/>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ascii="Times New Roman" w:hAnsi="Times New Roman" w:eastAsia="Times New Roman" w:cs="Times New Roman"/>
          <w:color w:val="auto"/>
          <w:sz w:val="21"/>
          <w:szCs w:val="21"/>
          <w:highlight w:val="none"/>
        </w:rPr>
        <w:t>http://www.ccgp.gov.cn</w:t>
      </w:r>
      <w:r>
        <w:rPr>
          <w:rFonts w:ascii="Times New Roman" w:hAnsi="Times New Roman" w:eastAsia="Times New Roman" w:cs="Times New Roman"/>
          <w:color w:val="auto"/>
          <w:sz w:val="21"/>
          <w:szCs w:val="21"/>
          <w:highlight w:val="none"/>
        </w:rPr>
        <w:fldChar w:fldCharType="end"/>
      </w:r>
      <w:r>
        <w:rPr>
          <w:rFonts w:ascii="Times New Roman" w:hAnsi="Times New Roman" w:eastAsia="Times New Roman" w:cs="Times New Roman"/>
          <w:color w:val="auto"/>
          <w:sz w:val="21"/>
          <w:szCs w:val="21"/>
          <w:highlight w:val="none"/>
        </w:rPr>
        <w:t xml:space="preserve">) </w:t>
      </w:r>
      <w:r>
        <w:rPr>
          <w:rFonts w:ascii="Times New Roman" w:hAnsi="Times New Roman" w:eastAsia="Times New Roman" w:cs="Times New Roman"/>
          <w:color w:val="auto"/>
          <w:spacing w:val="-1"/>
          <w:sz w:val="21"/>
          <w:szCs w:val="21"/>
          <w:highlight w:val="none"/>
        </w:rPr>
        <w:t xml:space="preserve">        </w:t>
      </w:r>
      <w:r>
        <w:rPr>
          <w:rFonts w:ascii="黑体" w:hAnsi="黑体" w:eastAsia="黑体" w:cs="黑体"/>
          <w:color w:val="auto"/>
          <w:spacing w:val="-1"/>
          <w:sz w:val="21"/>
          <w:szCs w:val="21"/>
          <w:highlight w:val="none"/>
        </w:rPr>
        <w:t>等；</w:t>
      </w:r>
    </w:p>
    <w:p>
      <w:pPr>
        <w:spacing w:before="133" w:line="213" w:lineRule="auto"/>
        <w:ind w:left="40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(2)查询截止时间：中标通知书发出前；</w:t>
      </w:r>
    </w:p>
    <w:p>
      <w:pPr>
        <w:spacing w:before="117" w:line="265" w:lineRule="auto"/>
        <w:ind w:right="19" w:firstLine="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(3)信用信息查询记录和证据留存方式：在查询</w:t>
      </w:r>
      <w:r>
        <w:rPr>
          <w:rFonts w:ascii="黑体" w:hAnsi="黑体" w:eastAsia="黑体" w:cs="黑体"/>
          <w:color w:val="auto"/>
          <w:sz w:val="21"/>
          <w:szCs w:val="21"/>
          <w:highlight w:val="none"/>
        </w:rPr>
        <w:t xml:space="preserve">网站中直接打印查询记录，打印材料作为采购活动资料 </w:t>
      </w:r>
      <w:r>
        <w:rPr>
          <w:rFonts w:ascii="黑体" w:hAnsi="黑体" w:eastAsia="黑体" w:cs="黑体"/>
          <w:color w:val="auto"/>
          <w:spacing w:val="-2"/>
          <w:sz w:val="21"/>
          <w:szCs w:val="21"/>
          <w:highlight w:val="none"/>
        </w:rPr>
        <w:t>保存；</w:t>
      </w:r>
    </w:p>
    <w:p>
      <w:pPr>
        <w:pStyle w:val="3"/>
        <w:tabs>
          <w:tab w:val="left" w:pos="108"/>
        </w:tabs>
        <w:spacing w:before="112" w:line="294" w:lineRule="auto"/>
        <w:ind w:right="17" w:firstLine="40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(4)信用信息使用规则：对在“信用中国”网站</w:t>
      </w:r>
      <w:r>
        <w:rPr>
          <w:color w:val="auto"/>
          <w:spacing w:val="3"/>
          <w:sz w:val="21"/>
          <w:szCs w:val="21"/>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color w:val="auto"/>
          <w:sz w:val="21"/>
          <w:szCs w:val="21"/>
          <w:highlight w:val="none"/>
        </w:rPr>
        <w:t>http</w:t>
      </w:r>
      <w:r>
        <w:rPr>
          <w:color w:val="auto"/>
          <w:spacing w:val="3"/>
          <w:sz w:val="21"/>
          <w:szCs w:val="21"/>
          <w:highlight w:val="none"/>
        </w:rPr>
        <w:t>://</w:t>
      </w:r>
      <w:r>
        <w:rPr>
          <w:color w:val="auto"/>
          <w:sz w:val="21"/>
          <w:szCs w:val="21"/>
          <w:highlight w:val="none"/>
        </w:rPr>
        <w:t>www</w:t>
      </w:r>
      <w:r>
        <w:rPr>
          <w:color w:val="auto"/>
          <w:spacing w:val="3"/>
          <w:sz w:val="21"/>
          <w:szCs w:val="21"/>
          <w:highlight w:val="none"/>
        </w:rPr>
        <w:t>.</w:t>
      </w:r>
      <w:r>
        <w:rPr>
          <w:color w:val="auto"/>
          <w:sz w:val="21"/>
          <w:szCs w:val="21"/>
          <w:highlight w:val="none"/>
        </w:rPr>
        <w:t>creditchina</w:t>
      </w:r>
      <w:r>
        <w:rPr>
          <w:color w:val="auto"/>
          <w:spacing w:val="3"/>
          <w:sz w:val="21"/>
          <w:szCs w:val="21"/>
          <w:highlight w:val="none"/>
        </w:rPr>
        <w:t>.</w:t>
      </w:r>
      <w:r>
        <w:rPr>
          <w:color w:val="auto"/>
          <w:sz w:val="21"/>
          <w:szCs w:val="21"/>
          <w:highlight w:val="none"/>
        </w:rPr>
        <w:t>gov</w:t>
      </w:r>
      <w:r>
        <w:rPr>
          <w:color w:val="auto"/>
          <w:spacing w:val="3"/>
          <w:sz w:val="21"/>
          <w:szCs w:val="21"/>
          <w:highlight w:val="none"/>
        </w:rPr>
        <w:t>.</w:t>
      </w:r>
      <w:r>
        <w:rPr>
          <w:color w:val="auto"/>
          <w:sz w:val="21"/>
          <w:szCs w:val="21"/>
          <w:highlight w:val="none"/>
        </w:rPr>
        <w:t>cn</w:t>
      </w:r>
      <w:r>
        <w:rPr>
          <w:color w:val="auto"/>
          <w:sz w:val="21"/>
          <w:szCs w:val="21"/>
          <w:highlight w:val="none"/>
        </w:rPr>
        <w:fldChar w:fldCharType="end"/>
      </w:r>
      <w:r>
        <w:rPr>
          <w:color w:val="auto"/>
          <w:spacing w:val="3"/>
          <w:sz w:val="21"/>
          <w:szCs w:val="21"/>
          <w:highlight w:val="none"/>
        </w:rPr>
        <w:t>)、</w:t>
      </w:r>
      <w:r>
        <w:rPr>
          <w:rFonts w:ascii="黑体" w:hAnsi="黑体" w:eastAsia="黑体" w:cs="黑体"/>
          <w:color w:val="auto"/>
          <w:spacing w:val="3"/>
          <w:sz w:val="21"/>
          <w:szCs w:val="21"/>
          <w:highlight w:val="none"/>
        </w:rPr>
        <w:t>中国政府采购网</w:t>
      </w:r>
      <w:r>
        <w:rPr>
          <w:rFonts w:ascii="黑体" w:hAnsi="黑体" w:eastAsia="黑体" w:cs="黑体"/>
          <w:color w:val="auto"/>
          <w:spacing w:val="2"/>
          <w:sz w:val="21"/>
          <w:szCs w:val="21"/>
          <w:highlight w:val="none"/>
        </w:rPr>
        <w:t xml:space="preserve"> </w:t>
      </w:r>
      <w:r>
        <w:rPr>
          <w:color w:val="auto"/>
          <w:sz w:val="21"/>
          <w:szCs w:val="21"/>
          <w:highlight w:val="none"/>
        </w:rPr>
        <w:tab/>
      </w:r>
      <w:r>
        <w:rPr>
          <w:color w:val="auto"/>
          <w:spacing w:val="2"/>
          <w:sz w:val="21"/>
          <w:szCs w:val="21"/>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color w:val="auto"/>
          <w:sz w:val="21"/>
          <w:szCs w:val="21"/>
          <w:highlight w:val="none"/>
        </w:rPr>
        <w:t>http</w:t>
      </w:r>
      <w:r>
        <w:rPr>
          <w:color w:val="auto"/>
          <w:spacing w:val="2"/>
          <w:sz w:val="21"/>
          <w:szCs w:val="21"/>
          <w:highlight w:val="none"/>
        </w:rPr>
        <w:t>://</w:t>
      </w:r>
      <w:r>
        <w:rPr>
          <w:color w:val="auto"/>
          <w:sz w:val="21"/>
          <w:szCs w:val="21"/>
          <w:highlight w:val="none"/>
        </w:rPr>
        <w:t>www</w:t>
      </w:r>
      <w:r>
        <w:rPr>
          <w:color w:val="auto"/>
          <w:spacing w:val="2"/>
          <w:sz w:val="21"/>
          <w:szCs w:val="21"/>
          <w:highlight w:val="none"/>
        </w:rPr>
        <w:t>.</w:t>
      </w:r>
      <w:r>
        <w:rPr>
          <w:color w:val="auto"/>
          <w:sz w:val="21"/>
          <w:szCs w:val="21"/>
          <w:highlight w:val="none"/>
        </w:rPr>
        <w:t>ccgp</w:t>
      </w:r>
      <w:r>
        <w:rPr>
          <w:color w:val="auto"/>
          <w:spacing w:val="2"/>
          <w:sz w:val="21"/>
          <w:szCs w:val="21"/>
          <w:highlight w:val="none"/>
        </w:rPr>
        <w:t>.</w:t>
      </w:r>
      <w:r>
        <w:rPr>
          <w:color w:val="auto"/>
          <w:sz w:val="21"/>
          <w:szCs w:val="21"/>
          <w:highlight w:val="none"/>
        </w:rPr>
        <w:t>gov</w:t>
      </w:r>
      <w:r>
        <w:rPr>
          <w:color w:val="auto"/>
          <w:spacing w:val="2"/>
          <w:sz w:val="21"/>
          <w:szCs w:val="21"/>
          <w:highlight w:val="none"/>
        </w:rPr>
        <w:t>.</w:t>
      </w:r>
      <w:r>
        <w:rPr>
          <w:color w:val="auto"/>
          <w:sz w:val="21"/>
          <w:szCs w:val="21"/>
          <w:highlight w:val="none"/>
        </w:rPr>
        <w:t>cn</w:t>
      </w:r>
      <w:r>
        <w:rPr>
          <w:color w:val="auto"/>
          <w:sz w:val="21"/>
          <w:szCs w:val="21"/>
          <w:highlight w:val="none"/>
        </w:rPr>
        <w:fldChar w:fldCharType="end"/>
      </w:r>
      <w:r>
        <w:rPr>
          <w:color w:val="auto"/>
          <w:spacing w:val="2"/>
          <w:sz w:val="21"/>
          <w:szCs w:val="21"/>
          <w:highlight w:val="none"/>
        </w:rPr>
        <w:t>)</w:t>
      </w:r>
      <w:r>
        <w:rPr>
          <w:color w:val="auto"/>
          <w:spacing w:val="50"/>
          <w:sz w:val="21"/>
          <w:szCs w:val="21"/>
          <w:highlight w:val="none"/>
        </w:rPr>
        <w:t xml:space="preserve"> </w:t>
      </w:r>
      <w:r>
        <w:rPr>
          <w:rFonts w:ascii="黑体" w:hAnsi="黑体" w:eastAsia="黑体" w:cs="黑体"/>
          <w:color w:val="auto"/>
          <w:spacing w:val="2"/>
          <w:sz w:val="21"/>
          <w:szCs w:val="21"/>
          <w:highlight w:val="none"/>
        </w:rPr>
        <w:t>等渠道列入失信被执行人、重大税收</w:t>
      </w:r>
      <w:r>
        <w:rPr>
          <w:rFonts w:ascii="黑体" w:hAnsi="黑体" w:eastAsia="黑体" w:cs="黑体"/>
          <w:color w:val="auto"/>
          <w:spacing w:val="1"/>
          <w:sz w:val="21"/>
          <w:szCs w:val="21"/>
          <w:highlight w:val="none"/>
        </w:rPr>
        <w:t>违法失信主体、政府采购严重违法失信</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行为记录名单及其他不符合《中华人民共和国政府采购</w:t>
      </w:r>
      <w:r>
        <w:rPr>
          <w:rFonts w:ascii="黑体" w:hAnsi="黑体" w:eastAsia="黑体" w:cs="黑体"/>
          <w:color w:val="auto"/>
          <w:spacing w:val="2"/>
          <w:sz w:val="21"/>
          <w:szCs w:val="21"/>
          <w:highlight w:val="none"/>
        </w:rPr>
        <w:t>法》第二十二条规定条件的供应商，取消其中标候</w:t>
      </w:r>
      <w:r>
        <w:rPr>
          <w:rFonts w:ascii="黑体" w:hAnsi="黑体" w:eastAsia="黑体" w:cs="黑体"/>
          <w:color w:val="auto"/>
          <w:sz w:val="21"/>
          <w:szCs w:val="21"/>
          <w:highlight w:val="none"/>
        </w:rPr>
        <w:t xml:space="preserve"> </w:t>
      </w:r>
      <w:r>
        <w:rPr>
          <w:rFonts w:ascii="黑体" w:hAnsi="黑体" w:eastAsia="黑体" w:cs="黑体"/>
          <w:color w:val="auto"/>
          <w:spacing w:val="2"/>
          <w:sz w:val="21"/>
          <w:szCs w:val="21"/>
          <w:highlight w:val="none"/>
        </w:rPr>
        <w:t>选人资格。</w:t>
      </w:r>
    </w:p>
    <w:p>
      <w:pPr>
        <w:pStyle w:val="3"/>
        <w:spacing w:before="116" w:line="222" w:lineRule="auto"/>
        <w:ind w:left="412"/>
        <w:rPr>
          <w:rFonts w:ascii="黑体" w:hAnsi="黑体" w:eastAsia="黑体" w:cs="黑体"/>
          <w:color w:val="auto"/>
          <w:sz w:val="21"/>
          <w:szCs w:val="21"/>
          <w:highlight w:val="none"/>
        </w:rPr>
      </w:pPr>
      <w:r>
        <w:rPr>
          <w:b/>
          <w:bCs/>
          <w:color w:val="auto"/>
          <w:sz w:val="21"/>
          <w:szCs w:val="21"/>
          <w:highlight w:val="none"/>
        </w:rPr>
        <w:t>33.</w:t>
      </w:r>
      <w:r>
        <w:rPr>
          <w:color w:val="auto"/>
          <w:sz w:val="21"/>
          <w:szCs w:val="21"/>
          <w:highlight w:val="none"/>
        </w:rPr>
        <w:t xml:space="preserve"> </w:t>
      </w:r>
      <w:r>
        <w:rPr>
          <w:rFonts w:ascii="黑体" w:hAnsi="黑体" w:eastAsia="黑体" w:cs="黑体"/>
          <w:b/>
          <w:bCs/>
          <w:color w:val="auto"/>
          <w:sz w:val="21"/>
          <w:szCs w:val="21"/>
          <w:highlight w:val="none"/>
        </w:rPr>
        <w:t>中标公告及中标通知书</w:t>
      </w:r>
    </w:p>
    <w:p>
      <w:pPr>
        <w:spacing w:before="98" w:line="296" w:lineRule="auto"/>
        <w:ind w:right="17" w:firstLine="40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33.1采购代理机构于评标结束后两个工作</w:t>
      </w:r>
      <w:r>
        <w:rPr>
          <w:rFonts w:ascii="黑体" w:hAnsi="黑体" w:eastAsia="黑体" w:cs="黑体"/>
          <w:color w:val="auto"/>
          <w:spacing w:val="2"/>
          <w:sz w:val="21"/>
          <w:szCs w:val="21"/>
          <w:highlight w:val="none"/>
        </w:rPr>
        <w:t>日内将评标报告送交采购人，采购人应当自收到评标报告五</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个工作日内在评标报告推荐的中标候选人中按顺序确定中标人</w:t>
      </w:r>
      <w:r>
        <w:rPr>
          <w:rFonts w:ascii="黑体" w:hAnsi="黑体" w:eastAsia="黑体" w:cs="黑体"/>
          <w:color w:val="auto"/>
          <w:spacing w:val="2"/>
          <w:sz w:val="21"/>
          <w:szCs w:val="21"/>
          <w:highlight w:val="none"/>
        </w:rPr>
        <w:t>；采购人在收到评标报告五个工作日内未按</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评标报告推荐的中标候选人顺序确定中标人，又不能说</w:t>
      </w:r>
      <w:r>
        <w:rPr>
          <w:rFonts w:ascii="黑体" w:hAnsi="黑体" w:eastAsia="黑体" w:cs="黑体"/>
          <w:color w:val="auto"/>
          <w:spacing w:val="2"/>
          <w:sz w:val="21"/>
          <w:szCs w:val="21"/>
          <w:highlight w:val="none"/>
        </w:rPr>
        <w:t>明合法理由的，视同按评标报告推荐的顺序确定排</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名第一的中标候选人为中标人。采购代理机构在中标人</w:t>
      </w:r>
      <w:r>
        <w:rPr>
          <w:rFonts w:ascii="黑体" w:hAnsi="黑体" w:eastAsia="黑体" w:cs="黑体"/>
          <w:color w:val="auto"/>
          <w:spacing w:val="2"/>
          <w:sz w:val="21"/>
          <w:szCs w:val="21"/>
          <w:highlight w:val="none"/>
        </w:rPr>
        <w:t>确定之日起两个工作日内在指定媒体上公告中标结</w:t>
      </w:r>
      <w:r>
        <w:rPr>
          <w:rFonts w:ascii="黑体" w:hAnsi="黑体" w:eastAsia="黑体" w:cs="黑体"/>
          <w:color w:val="auto"/>
          <w:sz w:val="21"/>
          <w:szCs w:val="21"/>
          <w:highlight w:val="none"/>
        </w:rPr>
        <w:t xml:space="preserve"> </w:t>
      </w:r>
      <w:r>
        <w:rPr>
          <w:rFonts w:ascii="黑体" w:hAnsi="黑体" w:eastAsia="黑体" w:cs="黑体"/>
          <w:color w:val="auto"/>
          <w:spacing w:val="7"/>
          <w:sz w:val="21"/>
          <w:szCs w:val="21"/>
          <w:highlight w:val="none"/>
        </w:rPr>
        <w:t>果，中标公告期限为1个工作日。</w:t>
      </w:r>
    </w:p>
    <w:p>
      <w:pPr>
        <w:spacing w:before="119" w:line="287" w:lineRule="auto"/>
        <w:ind w:firstLine="40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33.2中小企业在政府采购活动过程中，请根据自己的真实情况出具《中小企业声明函》。依法享受中</w:t>
      </w:r>
      <w:r>
        <w:rPr>
          <w:rFonts w:ascii="黑体" w:hAnsi="黑体" w:eastAsia="黑体" w:cs="黑体"/>
          <w:color w:val="auto"/>
          <w:spacing w:val="12"/>
          <w:sz w:val="21"/>
          <w:szCs w:val="21"/>
          <w:highlight w:val="none"/>
        </w:rPr>
        <w:t xml:space="preserve"> </w:t>
      </w:r>
      <w:r>
        <w:rPr>
          <w:rFonts w:ascii="黑体" w:hAnsi="黑体" w:eastAsia="黑体" w:cs="黑体"/>
          <w:color w:val="auto"/>
          <w:spacing w:val="5"/>
          <w:sz w:val="21"/>
          <w:szCs w:val="21"/>
          <w:highlight w:val="none"/>
        </w:rPr>
        <w:t>小企业优惠政策的，采购人或采购代理机构在公告中标结果时，同时公告其《中小企业声明函》,接受社</w:t>
      </w:r>
      <w:r>
        <w:rPr>
          <w:rFonts w:ascii="黑体" w:hAnsi="黑体" w:eastAsia="黑体" w:cs="黑体"/>
          <w:color w:val="auto"/>
          <w:spacing w:val="11"/>
          <w:sz w:val="21"/>
          <w:szCs w:val="21"/>
          <w:highlight w:val="none"/>
        </w:rPr>
        <w:t xml:space="preserve"> </w:t>
      </w:r>
      <w:r>
        <w:rPr>
          <w:rFonts w:ascii="黑体" w:hAnsi="黑体" w:eastAsia="黑体" w:cs="黑体"/>
          <w:color w:val="auto"/>
          <w:spacing w:val="6"/>
          <w:sz w:val="21"/>
          <w:szCs w:val="21"/>
          <w:highlight w:val="none"/>
        </w:rPr>
        <w:t>会监督。</w:t>
      </w:r>
    </w:p>
    <w:p>
      <w:pPr>
        <w:spacing w:before="99" w:line="265" w:lineRule="auto"/>
        <w:ind w:right="41" w:firstLine="40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33.3中标公告发布同时，采购代理机构通过广西政府采购云平台在线向中标人发出中标通知书，中标</w:t>
      </w:r>
      <w:r>
        <w:rPr>
          <w:rFonts w:ascii="黑体" w:hAnsi="黑体" w:eastAsia="黑体" w:cs="黑体"/>
          <w:color w:val="auto"/>
          <w:spacing w:val="13"/>
          <w:sz w:val="21"/>
          <w:szCs w:val="21"/>
          <w:highlight w:val="none"/>
        </w:rPr>
        <w:t xml:space="preserve"> </w:t>
      </w:r>
      <w:r>
        <w:rPr>
          <w:rFonts w:ascii="黑体" w:hAnsi="黑体" w:eastAsia="黑体" w:cs="黑体"/>
          <w:color w:val="auto"/>
          <w:sz w:val="21"/>
          <w:szCs w:val="21"/>
          <w:highlight w:val="none"/>
        </w:rPr>
        <w:t>人应自行关注广西政府采购云平台信息，确保及时查收中标通知书。</w:t>
      </w:r>
    </w:p>
    <w:p>
      <w:pPr>
        <w:spacing w:line="355" w:lineRule="auto"/>
        <w:rPr>
          <w:rFonts w:ascii="Arial"/>
          <w:color w:val="auto"/>
          <w:sz w:val="21"/>
          <w:highlight w:val="none"/>
        </w:rPr>
      </w:pPr>
    </w:p>
    <w:p>
      <w:pPr>
        <w:pStyle w:val="3"/>
        <w:spacing w:before="91" w:line="220" w:lineRule="auto"/>
        <w:ind w:left="3413"/>
        <w:rPr>
          <w:color w:val="auto"/>
          <w:sz w:val="28"/>
          <w:szCs w:val="28"/>
          <w:highlight w:val="none"/>
        </w:rPr>
      </w:pPr>
      <w:r>
        <w:rPr>
          <w:b/>
          <w:bCs/>
          <w:color w:val="auto"/>
          <w:spacing w:val="-1"/>
          <w:sz w:val="28"/>
          <w:szCs w:val="28"/>
          <w:highlight w:val="none"/>
        </w:rPr>
        <w:t>七、履约保证金及签订合同</w:t>
      </w:r>
    </w:p>
    <w:p>
      <w:pPr>
        <w:spacing w:line="351" w:lineRule="auto"/>
        <w:rPr>
          <w:rFonts w:ascii="Arial"/>
          <w:color w:val="auto"/>
          <w:sz w:val="21"/>
          <w:highlight w:val="none"/>
        </w:rPr>
      </w:pPr>
    </w:p>
    <w:p>
      <w:pPr>
        <w:pStyle w:val="3"/>
        <w:spacing w:before="69" w:line="222" w:lineRule="auto"/>
        <w:ind w:left="412"/>
        <w:rPr>
          <w:rFonts w:ascii="黑体" w:hAnsi="黑体" w:eastAsia="黑体" w:cs="黑体"/>
          <w:color w:val="auto"/>
          <w:sz w:val="21"/>
          <w:szCs w:val="21"/>
          <w:highlight w:val="none"/>
        </w:rPr>
      </w:pPr>
      <w:r>
        <w:rPr>
          <w:b/>
          <w:bCs/>
          <w:color w:val="auto"/>
          <w:spacing w:val="-3"/>
          <w:sz w:val="21"/>
          <w:szCs w:val="21"/>
          <w:highlight w:val="none"/>
        </w:rPr>
        <w:t>34.</w:t>
      </w:r>
      <w:r>
        <w:rPr>
          <w:rFonts w:ascii="黑体" w:hAnsi="黑体" w:eastAsia="黑体" w:cs="黑体"/>
          <w:b/>
          <w:bCs/>
          <w:color w:val="auto"/>
          <w:spacing w:val="-3"/>
          <w:sz w:val="21"/>
          <w:szCs w:val="21"/>
          <w:highlight w:val="none"/>
        </w:rPr>
        <w:t>履约保证金：</w:t>
      </w:r>
    </w:p>
    <w:p>
      <w:pPr>
        <w:spacing w:before="110" w:line="221" w:lineRule="auto"/>
        <w:ind w:left="40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本项目不收取履约保证金。</w:t>
      </w:r>
    </w:p>
    <w:p>
      <w:pPr>
        <w:spacing w:before="108" w:line="223" w:lineRule="auto"/>
        <w:ind w:left="412"/>
        <w:rPr>
          <w:rFonts w:ascii="黑体" w:hAnsi="黑体" w:eastAsia="黑体" w:cs="黑体"/>
          <w:color w:val="auto"/>
          <w:sz w:val="21"/>
          <w:szCs w:val="21"/>
          <w:highlight w:val="none"/>
        </w:rPr>
      </w:pPr>
      <w:r>
        <w:rPr>
          <w:rFonts w:ascii="黑体" w:hAnsi="黑体" w:eastAsia="黑体" w:cs="黑体"/>
          <w:b/>
          <w:bCs/>
          <w:color w:val="auto"/>
          <w:spacing w:val="1"/>
          <w:sz w:val="21"/>
          <w:szCs w:val="21"/>
          <w:highlight w:val="none"/>
        </w:rPr>
        <w:t>35.签订合同</w:t>
      </w:r>
    </w:p>
    <w:p>
      <w:pPr>
        <w:spacing w:before="107" w:line="221" w:lineRule="auto"/>
        <w:ind w:left="40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35.1签订合同时间：中标通知书发出之日起8个工作日内。中标人应按规定与采购人签订合同。</w:t>
      </w:r>
    </w:p>
    <w:p>
      <w:pPr>
        <w:spacing w:before="99" w:line="265" w:lineRule="auto"/>
        <w:ind w:right="18" w:firstLine="40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35.2如中标人有下列情形之一，情节严重的，由财政部门</w:t>
      </w:r>
      <w:r>
        <w:rPr>
          <w:rFonts w:ascii="黑体" w:hAnsi="黑体" w:eastAsia="黑体" w:cs="黑体"/>
          <w:color w:val="auto"/>
          <w:spacing w:val="2"/>
          <w:sz w:val="21"/>
          <w:szCs w:val="21"/>
          <w:highlight w:val="none"/>
        </w:rPr>
        <w:t>将其列入不良行为记录名单，在一至三年内</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禁止参加政府采购活动，并予以通报。采购人可从评标委员</w:t>
      </w:r>
      <w:r>
        <w:rPr>
          <w:rFonts w:ascii="黑体" w:hAnsi="黑体" w:eastAsia="黑体" w:cs="黑体"/>
          <w:color w:val="auto"/>
          <w:spacing w:val="2"/>
          <w:sz w:val="21"/>
          <w:szCs w:val="21"/>
          <w:highlight w:val="none"/>
        </w:rPr>
        <w:t>会推荐的中标候选人中按顺序重新确定中标人</w:t>
      </w:r>
    </w:p>
    <w:p>
      <w:pPr>
        <w:spacing w:line="265" w:lineRule="auto"/>
        <w:rPr>
          <w:rFonts w:ascii="黑体" w:hAnsi="黑体" w:eastAsia="黑体" w:cs="黑体"/>
          <w:color w:val="auto"/>
          <w:sz w:val="21"/>
          <w:szCs w:val="21"/>
          <w:highlight w:val="none"/>
        </w:rPr>
        <w:sectPr>
          <w:footerReference r:id="rId25" w:type="default"/>
          <w:pgSz w:w="11900" w:h="16830"/>
          <w:pgMar w:top="400" w:right="1052" w:bottom="799" w:left="1050" w:header="0" w:footer="655" w:gutter="0"/>
          <w:cols w:space="720" w:num="1"/>
        </w:sectPr>
      </w:pPr>
    </w:p>
    <w:p>
      <w:pPr>
        <w:spacing w:line="267"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before="69" w:line="221" w:lineRule="auto"/>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或重新组织招标。</w:t>
      </w:r>
    </w:p>
    <w:p>
      <w:pPr>
        <w:spacing w:before="109"/>
        <w:ind w:firstLine="529"/>
        <w:rPr>
          <w:rFonts w:ascii="黑体" w:hAnsi="黑体" w:eastAsia="黑体" w:cs="黑体"/>
          <w:color w:val="auto"/>
          <w:sz w:val="25"/>
          <w:szCs w:val="25"/>
          <w:highlight w:val="none"/>
        </w:rPr>
      </w:pPr>
      <w:r>
        <w:rPr>
          <w:rFonts w:ascii="黑体" w:hAnsi="黑体" w:eastAsia="黑体" w:cs="黑体"/>
          <w:color w:val="auto"/>
          <w:spacing w:val="8"/>
          <w:sz w:val="21"/>
          <w:szCs w:val="21"/>
          <w:highlight w:val="none"/>
        </w:rPr>
        <w:t>(1)中标后不与采购人签订合同的(不可抗力除外)或应当向采购人提</w:t>
      </w:r>
      <w:r>
        <w:rPr>
          <w:rFonts w:ascii="黑体" w:hAnsi="黑体" w:eastAsia="黑体" w:cs="黑体"/>
          <w:color w:val="auto"/>
          <w:spacing w:val="7"/>
          <w:sz w:val="21"/>
          <w:szCs w:val="21"/>
          <w:highlight w:val="none"/>
        </w:rPr>
        <w:t>交履约保证金而未按规定提交</w:t>
      </w:r>
      <w:r>
        <w:rPr>
          <w:rFonts w:ascii="黑体" w:hAnsi="黑体" w:eastAsia="黑体" w:cs="黑体"/>
          <w:color w:val="auto"/>
          <w:sz w:val="21"/>
          <w:szCs w:val="21"/>
          <w:highlight w:val="none"/>
        </w:rPr>
        <w:t xml:space="preserve"> </w:t>
      </w:r>
      <w:r>
        <w:rPr>
          <w:rFonts w:ascii="黑体" w:hAnsi="黑体" w:eastAsia="黑体" w:cs="黑体"/>
          <w:color w:val="auto"/>
          <w:spacing w:val="-18"/>
          <w:sz w:val="25"/>
          <w:szCs w:val="25"/>
          <w:highlight w:val="none"/>
        </w:rPr>
        <w:t>的；</w:t>
      </w:r>
    </w:p>
    <w:p>
      <w:pPr>
        <w:spacing w:before="112" w:line="244" w:lineRule="auto"/>
        <w:ind w:right="3" w:firstLine="529"/>
        <w:rPr>
          <w:rFonts w:ascii="黑体" w:hAnsi="黑体" w:eastAsia="黑体" w:cs="黑体"/>
          <w:color w:val="auto"/>
          <w:sz w:val="25"/>
          <w:szCs w:val="25"/>
          <w:highlight w:val="none"/>
        </w:rPr>
      </w:pPr>
      <w:r>
        <w:rPr>
          <w:rFonts w:ascii="黑体" w:hAnsi="黑体" w:eastAsia="黑体" w:cs="黑体"/>
          <w:color w:val="auto"/>
          <w:spacing w:val="3"/>
          <w:sz w:val="21"/>
          <w:szCs w:val="21"/>
          <w:highlight w:val="none"/>
        </w:rPr>
        <w:t>(2)将中标项目转让给他人，或者在投标文件中未说明，且未经采购人同意，将中标项目分包给</w:t>
      </w:r>
      <w:r>
        <w:rPr>
          <w:rFonts w:ascii="黑体" w:hAnsi="黑体" w:eastAsia="黑体" w:cs="黑体"/>
          <w:color w:val="auto"/>
          <w:spacing w:val="2"/>
          <w:sz w:val="21"/>
          <w:szCs w:val="21"/>
          <w:highlight w:val="none"/>
        </w:rPr>
        <w:t>他人</w:t>
      </w:r>
      <w:r>
        <w:rPr>
          <w:rFonts w:ascii="黑体" w:hAnsi="黑体" w:eastAsia="黑体" w:cs="黑体"/>
          <w:color w:val="auto"/>
          <w:sz w:val="21"/>
          <w:szCs w:val="21"/>
          <w:highlight w:val="none"/>
        </w:rPr>
        <w:t xml:space="preserve"> </w:t>
      </w:r>
      <w:r>
        <w:rPr>
          <w:rFonts w:ascii="黑体" w:hAnsi="黑体" w:eastAsia="黑体" w:cs="黑体"/>
          <w:color w:val="auto"/>
          <w:spacing w:val="-18"/>
          <w:sz w:val="25"/>
          <w:szCs w:val="25"/>
          <w:highlight w:val="none"/>
        </w:rPr>
        <w:t>的；</w:t>
      </w:r>
    </w:p>
    <w:p>
      <w:pPr>
        <w:spacing w:before="110" w:line="221" w:lineRule="auto"/>
        <w:ind w:left="52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(3)拒绝履行合同义务的。</w:t>
      </w:r>
    </w:p>
    <w:p>
      <w:pPr>
        <w:spacing w:before="119" w:line="279" w:lineRule="auto"/>
        <w:ind w:right="27" w:firstLine="4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35.3合同存档：政府采购合同双方自签订之日起1个工作日内将合同原件二</w:t>
      </w:r>
      <w:r>
        <w:rPr>
          <w:rFonts w:ascii="黑体" w:hAnsi="黑体" w:eastAsia="黑体" w:cs="黑体"/>
          <w:color w:val="auto"/>
          <w:spacing w:val="4"/>
          <w:sz w:val="21"/>
          <w:szCs w:val="21"/>
          <w:highlight w:val="none"/>
        </w:rPr>
        <w:t>份交采购代理机构。采购</w:t>
      </w:r>
      <w:r>
        <w:rPr>
          <w:rFonts w:ascii="黑体" w:hAnsi="黑体" w:eastAsia="黑体" w:cs="黑体"/>
          <w:color w:val="auto"/>
          <w:sz w:val="21"/>
          <w:szCs w:val="21"/>
          <w:highlight w:val="none"/>
        </w:rPr>
        <w:t xml:space="preserve"> </w:t>
      </w:r>
      <w:r>
        <w:rPr>
          <w:rFonts w:ascii="黑体" w:hAnsi="黑体" w:eastAsia="黑体" w:cs="黑体"/>
          <w:color w:val="auto"/>
          <w:spacing w:val="5"/>
          <w:sz w:val="21"/>
          <w:szCs w:val="21"/>
          <w:highlight w:val="none"/>
        </w:rPr>
        <w:t>人应当自政府采购合同签订之日起2个工作日内，将政府采购合</w:t>
      </w:r>
      <w:r>
        <w:rPr>
          <w:rFonts w:ascii="黑体" w:hAnsi="黑体" w:eastAsia="黑体" w:cs="黑体"/>
          <w:color w:val="auto"/>
          <w:spacing w:val="4"/>
          <w:sz w:val="21"/>
          <w:szCs w:val="21"/>
          <w:highlight w:val="none"/>
        </w:rPr>
        <w:t>同在省级以上人民政府财政部门指定的媒</w:t>
      </w:r>
      <w:r>
        <w:rPr>
          <w:rFonts w:ascii="黑体" w:hAnsi="黑体" w:eastAsia="黑体" w:cs="黑体"/>
          <w:color w:val="auto"/>
          <w:sz w:val="21"/>
          <w:szCs w:val="21"/>
          <w:highlight w:val="none"/>
        </w:rPr>
        <w:t xml:space="preserve"> 体上公告，但政府采购合同中涉及国家秘密、商业秘密的内容除外。</w:t>
      </w:r>
    </w:p>
    <w:p>
      <w:pPr>
        <w:spacing w:before="118" w:line="213" w:lineRule="auto"/>
        <w:ind w:left="41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35.4验收证明存档：项目验收合格后，采购人应妥善保存验收证明(详见附表3)。</w:t>
      </w:r>
    </w:p>
    <w:p>
      <w:pPr>
        <w:spacing w:line="355" w:lineRule="auto"/>
        <w:rPr>
          <w:rFonts w:ascii="Arial"/>
          <w:color w:val="auto"/>
          <w:sz w:val="21"/>
          <w:highlight w:val="none"/>
        </w:rPr>
      </w:pPr>
    </w:p>
    <w:p>
      <w:pPr>
        <w:pStyle w:val="3"/>
        <w:spacing w:before="91" w:line="220" w:lineRule="auto"/>
        <w:ind w:left="4073"/>
        <w:rPr>
          <w:color w:val="auto"/>
          <w:sz w:val="28"/>
          <w:szCs w:val="28"/>
          <w:highlight w:val="none"/>
        </w:rPr>
      </w:pPr>
      <w:r>
        <w:rPr>
          <w:b/>
          <w:bCs/>
          <w:color w:val="auto"/>
          <w:spacing w:val="1"/>
          <w:sz w:val="28"/>
          <w:szCs w:val="28"/>
          <w:highlight w:val="none"/>
        </w:rPr>
        <w:t>八、其他事项</w:t>
      </w:r>
    </w:p>
    <w:p>
      <w:pPr>
        <w:spacing w:before="62" w:line="221" w:lineRule="auto"/>
        <w:ind w:left="422"/>
        <w:rPr>
          <w:rFonts w:ascii="黑体" w:hAnsi="黑体" w:eastAsia="黑体" w:cs="黑体"/>
          <w:color w:val="auto"/>
          <w:sz w:val="21"/>
          <w:szCs w:val="21"/>
          <w:highlight w:val="none"/>
        </w:rPr>
      </w:pPr>
      <w:r>
        <w:rPr>
          <w:rFonts w:ascii="黑体" w:hAnsi="黑体" w:eastAsia="黑体" w:cs="黑体"/>
          <w:b/>
          <w:bCs/>
          <w:color w:val="auto"/>
          <w:spacing w:val="-3"/>
          <w:sz w:val="21"/>
          <w:szCs w:val="21"/>
          <w:highlight w:val="none"/>
        </w:rPr>
        <w:t>36.采购代理服务费</w:t>
      </w:r>
    </w:p>
    <w:p>
      <w:pPr>
        <w:spacing w:before="101" w:line="291" w:lineRule="auto"/>
        <w:ind w:right="32" w:firstLine="419"/>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36.1中标人领取中标通知书前，向</w:t>
      </w:r>
      <w:r>
        <w:rPr>
          <w:rFonts w:hint="eastAsia" w:ascii="黑体" w:hAnsi="黑体" w:eastAsia="黑体" w:cs="黑体"/>
          <w:color w:val="auto"/>
          <w:spacing w:val="2"/>
          <w:sz w:val="21"/>
          <w:szCs w:val="21"/>
          <w:highlight w:val="none"/>
          <w:lang w:eastAsia="zh-CN"/>
        </w:rPr>
        <w:t>广西泰新工程信息咨询有限公司</w:t>
      </w:r>
      <w:r>
        <w:rPr>
          <w:rFonts w:ascii="黑体" w:hAnsi="黑体" w:eastAsia="黑体" w:cs="黑体"/>
          <w:color w:val="auto"/>
          <w:spacing w:val="2"/>
          <w:sz w:val="21"/>
          <w:szCs w:val="21"/>
          <w:highlight w:val="none"/>
        </w:rPr>
        <w:t>一次性付清代理服务费。本项目采</w:t>
      </w:r>
      <w:r>
        <w:rPr>
          <w:rFonts w:ascii="黑体" w:hAnsi="黑体" w:eastAsia="黑体" w:cs="黑体"/>
          <w:color w:val="auto"/>
          <w:spacing w:val="15"/>
          <w:sz w:val="21"/>
          <w:szCs w:val="21"/>
          <w:highlight w:val="none"/>
        </w:rPr>
        <w:t xml:space="preserve"> </w:t>
      </w:r>
      <w:r>
        <w:rPr>
          <w:rFonts w:ascii="黑体" w:hAnsi="黑体" w:eastAsia="黑体" w:cs="黑体"/>
          <w:color w:val="auto"/>
          <w:spacing w:val="6"/>
          <w:sz w:val="21"/>
          <w:szCs w:val="21"/>
          <w:highlight w:val="none"/>
        </w:rPr>
        <w:t>购代理服务费按国家计委《招标代理服务收费管理暂行办法》(计价格[2002]1980号)</w:t>
      </w:r>
      <w:r>
        <w:rPr>
          <w:rFonts w:ascii="黑体" w:hAnsi="黑体" w:eastAsia="黑体" w:cs="黑体"/>
          <w:color w:val="auto"/>
          <w:spacing w:val="8"/>
          <w:sz w:val="21"/>
          <w:szCs w:val="21"/>
          <w:highlight w:val="none"/>
        </w:rPr>
        <w:t xml:space="preserve"> </w:t>
      </w:r>
      <w:r>
        <w:rPr>
          <w:rFonts w:hint="eastAsia" w:ascii="黑体" w:hAnsi="黑体" w:eastAsia="黑体" w:cs="黑体"/>
          <w:color w:val="auto"/>
          <w:spacing w:val="8"/>
          <w:sz w:val="21"/>
          <w:szCs w:val="21"/>
          <w:highlight w:val="none"/>
          <w:lang w:val="en-US" w:eastAsia="zh-CN"/>
        </w:rPr>
        <w:t>服务类</w:t>
      </w:r>
      <w:r>
        <w:rPr>
          <w:rFonts w:ascii="黑体" w:hAnsi="黑体" w:eastAsia="黑体" w:cs="黑体"/>
          <w:color w:val="auto"/>
          <w:spacing w:val="8"/>
          <w:sz w:val="21"/>
          <w:szCs w:val="21"/>
          <w:highlight w:val="none"/>
        </w:rPr>
        <w:t>收费标准</w:t>
      </w:r>
      <w:r>
        <w:rPr>
          <w:rFonts w:hint="eastAsia" w:ascii="黑体" w:hAnsi="黑体" w:eastAsia="黑体" w:cs="黑体"/>
          <w:color w:val="auto"/>
          <w:spacing w:val="8"/>
          <w:sz w:val="21"/>
          <w:szCs w:val="21"/>
          <w:highlight w:val="none"/>
          <w:lang w:val="en-US" w:eastAsia="zh-CN"/>
        </w:rPr>
        <w:t>的41.5%</w:t>
      </w:r>
      <w:bookmarkStart w:id="39" w:name="_GoBack"/>
      <w:bookmarkEnd w:id="39"/>
      <w:r>
        <w:rPr>
          <w:rFonts w:ascii="黑体" w:hAnsi="黑体" w:eastAsia="黑体" w:cs="黑体"/>
          <w:color w:val="auto"/>
          <w:spacing w:val="8"/>
          <w:sz w:val="21"/>
          <w:szCs w:val="21"/>
          <w:highlight w:val="none"/>
        </w:rPr>
        <w:t>向中标人收取。</w:t>
      </w:r>
    </w:p>
    <w:p>
      <w:pPr>
        <w:pStyle w:val="3"/>
        <w:spacing w:before="117" w:line="216" w:lineRule="auto"/>
        <w:ind w:left="439"/>
        <w:rPr>
          <w:color w:val="auto"/>
          <w:sz w:val="22"/>
          <w:szCs w:val="22"/>
          <w:highlight w:val="none"/>
        </w:rPr>
      </w:pPr>
      <w:r>
        <w:rPr>
          <w:color w:val="auto"/>
          <w:sz w:val="22"/>
          <w:szCs w:val="22"/>
          <w:highlight w:val="none"/>
        </w:rPr>
        <w:t>36.2采购代理服务收费标准：</w:t>
      </w:r>
    </w:p>
    <w:tbl>
      <w:tblPr>
        <w:tblStyle w:val="8"/>
        <w:tblW w:w="9009" w:type="dxa"/>
        <w:tblInd w:w="19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82"/>
        <w:gridCol w:w="1848"/>
        <w:gridCol w:w="1997"/>
        <w:gridCol w:w="22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83" w:hRule="atLeast"/>
        </w:trPr>
        <w:tc>
          <w:tcPr>
            <w:tcW w:w="2882" w:type="dxa"/>
            <w:tcBorders>
              <w:tl2br w:val="single" w:color="000000" w:sz="4" w:space="0"/>
            </w:tcBorders>
            <w:vAlign w:val="top"/>
          </w:tcPr>
          <w:p>
            <w:pPr>
              <w:pStyle w:val="9"/>
              <w:spacing w:before="84" w:line="227" w:lineRule="auto"/>
              <w:ind w:left="115"/>
              <w:rPr>
                <w:color w:val="auto"/>
                <w:sz w:val="24"/>
                <w:szCs w:val="24"/>
                <w:highlight w:val="none"/>
              </w:rPr>
            </w:pPr>
            <w:r>
              <w:rPr>
                <w:color w:val="auto"/>
                <w:spacing w:val="4"/>
                <w:sz w:val="24"/>
                <w:szCs w:val="24"/>
                <w:highlight w:val="none"/>
              </w:rPr>
              <w:t>费率</w:t>
            </w:r>
            <w:r>
              <w:rPr>
                <w:color w:val="auto"/>
                <w:spacing w:val="1"/>
                <w:sz w:val="24"/>
                <w:szCs w:val="24"/>
                <w:highlight w:val="none"/>
              </w:rPr>
              <w:t xml:space="preserve">         </w:t>
            </w:r>
            <w:r>
              <w:rPr>
                <w:color w:val="auto"/>
                <w:spacing w:val="4"/>
                <w:sz w:val="24"/>
                <w:szCs w:val="24"/>
                <w:highlight w:val="none"/>
              </w:rPr>
              <w:t>服务类型</w:t>
            </w:r>
          </w:p>
          <w:p>
            <w:pPr>
              <w:spacing w:line="344" w:lineRule="auto"/>
              <w:rPr>
                <w:rFonts w:ascii="Arial"/>
                <w:color w:val="auto"/>
                <w:sz w:val="21"/>
                <w:highlight w:val="none"/>
              </w:rPr>
            </w:pPr>
          </w:p>
          <w:p>
            <w:pPr>
              <w:pStyle w:val="9"/>
              <w:spacing w:before="78" w:line="207" w:lineRule="auto"/>
              <w:ind w:left="115"/>
              <w:rPr>
                <w:color w:val="auto"/>
                <w:sz w:val="24"/>
                <w:szCs w:val="24"/>
                <w:highlight w:val="none"/>
              </w:rPr>
            </w:pPr>
            <w:r>
              <w:rPr>
                <w:color w:val="auto"/>
                <w:spacing w:val="2"/>
                <w:sz w:val="24"/>
                <w:szCs w:val="24"/>
                <w:highlight w:val="none"/>
              </w:rPr>
              <w:t>中标金额</w:t>
            </w:r>
          </w:p>
        </w:tc>
        <w:tc>
          <w:tcPr>
            <w:tcW w:w="1848" w:type="dxa"/>
            <w:vAlign w:val="top"/>
          </w:tcPr>
          <w:p>
            <w:pPr>
              <w:spacing w:line="343" w:lineRule="auto"/>
              <w:rPr>
                <w:rFonts w:ascii="Arial"/>
                <w:color w:val="auto"/>
                <w:sz w:val="21"/>
                <w:highlight w:val="none"/>
              </w:rPr>
            </w:pPr>
          </w:p>
          <w:p>
            <w:pPr>
              <w:pStyle w:val="9"/>
              <w:spacing w:before="78" w:line="219" w:lineRule="auto"/>
              <w:ind w:left="432"/>
              <w:rPr>
                <w:color w:val="auto"/>
                <w:sz w:val="24"/>
                <w:szCs w:val="24"/>
                <w:highlight w:val="none"/>
              </w:rPr>
            </w:pPr>
            <w:r>
              <w:rPr>
                <w:color w:val="auto"/>
                <w:spacing w:val="2"/>
                <w:sz w:val="24"/>
                <w:szCs w:val="24"/>
                <w:highlight w:val="none"/>
              </w:rPr>
              <w:t>货物招标</w:t>
            </w:r>
          </w:p>
        </w:tc>
        <w:tc>
          <w:tcPr>
            <w:tcW w:w="1997" w:type="dxa"/>
            <w:vAlign w:val="top"/>
          </w:tcPr>
          <w:p>
            <w:pPr>
              <w:spacing w:line="344" w:lineRule="auto"/>
              <w:rPr>
                <w:rFonts w:ascii="Arial"/>
                <w:color w:val="auto"/>
                <w:sz w:val="21"/>
                <w:highlight w:val="none"/>
              </w:rPr>
            </w:pPr>
          </w:p>
          <w:p>
            <w:pPr>
              <w:pStyle w:val="9"/>
              <w:spacing w:before="78" w:line="219" w:lineRule="auto"/>
              <w:ind w:left="515"/>
              <w:rPr>
                <w:color w:val="auto"/>
                <w:sz w:val="24"/>
                <w:szCs w:val="24"/>
                <w:highlight w:val="none"/>
              </w:rPr>
            </w:pPr>
            <w:r>
              <w:rPr>
                <w:color w:val="auto"/>
                <w:spacing w:val="-2"/>
                <w:sz w:val="24"/>
                <w:szCs w:val="24"/>
                <w:highlight w:val="none"/>
              </w:rPr>
              <w:t>服务招标</w:t>
            </w:r>
          </w:p>
        </w:tc>
        <w:tc>
          <w:tcPr>
            <w:tcW w:w="2282" w:type="dxa"/>
            <w:vAlign w:val="top"/>
          </w:tcPr>
          <w:p>
            <w:pPr>
              <w:spacing w:line="345" w:lineRule="auto"/>
              <w:rPr>
                <w:rFonts w:ascii="Arial"/>
                <w:color w:val="auto"/>
                <w:sz w:val="21"/>
                <w:highlight w:val="none"/>
              </w:rPr>
            </w:pPr>
          </w:p>
          <w:p>
            <w:pPr>
              <w:pStyle w:val="9"/>
              <w:spacing w:before="78" w:line="220" w:lineRule="auto"/>
              <w:ind w:left="658"/>
              <w:rPr>
                <w:color w:val="auto"/>
                <w:sz w:val="24"/>
                <w:szCs w:val="24"/>
                <w:highlight w:val="none"/>
              </w:rPr>
            </w:pPr>
            <w:r>
              <w:rPr>
                <w:color w:val="auto"/>
                <w:spacing w:val="2"/>
                <w:sz w:val="24"/>
                <w:szCs w:val="24"/>
                <w:highlight w:val="none"/>
              </w:rPr>
              <w:t>工程招标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82" w:type="dxa"/>
            <w:vAlign w:val="top"/>
          </w:tcPr>
          <w:p>
            <w:pPr>
              <w:pStyle w:val="9"/>
              <w:spacing w:before="72" w:line="220" w:lineRule="auto"/>
              <w:ind w:left="115"/>
              <w:rPr>
                <w:color w:val="auto"/>
                <w:sz w:val="24"/>
                <w:szCs w:val="24"/>
                <w:highlight w:val="none"/>
              </w:rPr>
            </w:pPr>
            <w:r>
              <w:rPr>
                <w:color w:val="auto"/>
                <w:spacing w:val="2"/>
                <w:sz w:val="24"/>
                <w:szCs w:val="24"/>
                <w:highlight w:val="none"/>
              </w:rPr>
              <w:t>100万元以下</w:t>
            </w:r>
          </w:p>
        </w:tc>
        <w:tc>
          <w:tcPr>
            <w:tcW w:w="1848" w:type="dxa"/>
            <w:vAlign w:val="top"/>
          </w:tcPr>
          <w:p>
            <w:pPr>
              <w:pStyle w:val="9"/>
              <w:spacing w:before="108" w:line="239" w:lineRule="auto"/>
              <w:ind w:left="722"/>
              <w:rPr>
                <w:color w:val="auto"/>
                <w:sz w:val="19"/>
                <w:szCs w:val="19"/>
                <w:highlight w:val="none"/>
              </w:rPr>
            </w:pPr>
            <w:r>
              <w:rPr>
                <w:color w:val="auto"/>
                <w:spacing w:val="-4"/>
                <w:sz w:val="19"/>
                <w:szCs w:val="19"/>
                <w:highlight w:val="none"/>
              </w:rPr>
              <w:t>1.5%</w:t>
            </w:r>
          </w:p>
        </w:tc>
        <w:tc>
          <w:tcPr>
            <w:tcW w:w="1997" w:type="dxa"/>
            <w:vAlign w:val="top"/>
          </w:tcPr>
          <w:p>
            <w:pPr>
              <w:pStyle w:val="9"/>
              <w:spacing w:before="108" w:line="239" w:lineRule="auto"/>
              <w:ind w:left="805"/>
              <w:rPr>
                <w:color w:val="auto"/>
                <w:sz w:val="19"/>
                <w:szCs w:val="19"/>
                <w:highlight w:val="none"/>
              </w:rPr>
            </w:pPr>
            <w:r>
              <w:rPr>
                <w:color w:val="auto"/>
                <w:spacing w:val="-4"/>
                <w:sz w:val="19"/>
                <w:szCs w:val="19"/>
                <w:highlight w:val="none"/>
              </w:rPr>
              <w:t>1.5%</w:t>
            </w:r>
          </w:p>
        </w:tc>
        <w:tc>
          <w:tcPr>
            <w:tcW w:w="2282" w:type="dxa"/>
            <w:vAlign w:val="top"/>
          </w:tcPr>
          <w:p>
            <w:pPr>
              <w:pStyle w:val="9"/>
              <w:spacing w:before="108" w:line="239" w:lineRule="auto"/>
              <w:ind w:left="948"/>
              <w:rPr>
                <w:color w:val="auto"/>
                <w:sz w:val="19"/>
                <w:szCs w:val="19"/>
                <w:highlight w:val="none"/>
              </w:rPr>
            </w:pPr>
            <w:r>
              <w:rPr>
                <w:color w:val="auto"/>
                <w:spacing w:val="-5"/>
                <w:sz w:val="19"/>
                <w:szCs w:val="19"/>
                <w:highlight w:val="none"/>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82" w:type="dxa"/>
            <w:vAlign w:val="top"/>
          </w:tcPr>
          <w:p>
            <w:pPr>
              <w:pStyle w:val="9"/>
              <w:spacing w:before="63" w:line="212" w:lineRule="auto"/>
              <w:ind w:left="115"/>
              <w:rPr>
                <w:color w:val="auto"/>
                <w:sz w:val="24"/>
                <w:szCs w:val="24"/>
                <w:highlight w:val="none"/>
              </w:rPr>
            </w:pPr>
            <w:r>
              <w:rPr>
                <w:color w:val="auto"/>
                <w:spacing w:val="1"/>
                <w:sz w:val="24"/>
                <w:szCs w:val="24"/>
                <w:highlight w:val="none"/>
              </w:rPr>
              <w:t>100~500万元</w:t>
            </w:r>
          </w:p>
        </w:tc>
        <w:tc>
          <w:tcPr>
            <w:tcW w:w="1848" w:type="dxa"/>
            <w:vAlign w:val="top"/>
          </w:tcPr>
          <w:p>
            <w:pPr>
              <w:pStyle w:val="9"/>
              <w:spacing w:before="100" w:line="232" w:lineRule="auto"/>
              <w:ind w:left="722"/>
              <w:rPr>
                <w:color w:val="auto"/>
                <w:sz w:val="19"/>
                <w:szCs w:val="19"/>
                <w:highlight w:val="none"/>
              </w:rPr>
            </w:pPr>
            <w:r>
              <w:rPr>
                <w:color w:val="auto"/>
                <w:spacing w:val="-3"/>
                <w:sz w:val="19"/>
                <w:szCs w:val="19"/>
                <w:highlight w:val="none"/>
              </w:rPr>
              <w:t>1.1%</w:t>
            </w:r>
          </w:p>
        </w:tc>
        <w:tc>
          <w:tcPr>
            <w:tcW w:w="1997" w:type="dxa"/>
            <w:vAlign w:val="top"/>
          </w:tcPr>
          <w:p>
            <w:pPr>
              <w:pStyle w:val="9"/>
              <w:spacing w:before="100" w:line="232" w:lineRule="auto"/>
              <w:ind w:left="805"/>
              <w:rPr>
                <w:color w:val="auto"/>
                <w:sz w:val="19"/>
                <w:szCs w:val="19"/>
                <w:highlight w:val="none"/>
              </w:rPr>
            </w:pPr>
            <w:r>
              <w:rPr>
                <w:color w:val="auto"/>
                <w:spacing w:val="-2"/>
                <w:sz w:val="19"/>
                <w:szCs w:val="19"/>
                <w:highlight w:val="none"/>
              </w:rPr>
              <w:t>0.8%</w:t>
            </w:r>
          </w:p>
        </w:tc>
        <w:tc>
          <w:tcPr>
            <w:tcW w:w="2282" w:type="dxa"/>
            <w:vAlign w:val="top"/>
          </w:tcPr>
          <w:p>
            <w:pPr>
              <w:pStyle w:val="9"/>
              <w:spacing w:before="100" w:line="232" w:lineRule="auto"/>
              <w:ind w:left="948"/>
              <w:rPr>
                <w:color w:val="auto"/>
                <w:sz w:val="19"/>
                <w:szCs w:val="19"/>
                <w:highlight w:val="none"/>
              </w:rPr>
            </w:pPr>
            <w:r>
              <w:rPr>
                <w:color w:val="auto"/>
                <w:spacing w:val="-1"/>
                <w:sz w:val="19"/>
                <w:szCs w:val="19"/>
                <w:highlight w:val="none"/>
              </w:rPr>
              <w:t>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82" w:type="dxa"/>
            <w:vAlign w:val="top"/>
          </w:tcPr>
          <w:p>
            <w:pPr>
              <w:pStyle w:val="9"/>
              <w:spacing w:before="64" w:line="211" w:lineRule="auto"/>
              <w:ind w:left="115"/>
              <w:rPr>
                <w:color w:val="auto"/>
                <w:sz w:val="24"/>
                <w:szCs w:val="24"/>
                <w:highlight w:val="none"/>
              </w:rPr>
            </w:pPr>
            <w:r>
              <w:rPr>
                <w:color w:val="auto"/>
                <w:spacing w:val="1"/>
                <w:sz w:val="24"/>
                <w:szCs w:val="24"/>
                <w:highlight w:val="none"/>
              </w:rPr>
              <w:t>500~1000万元</w:t>
            </w:r>
          </w:p>
        </w:tc>
        <w:tc>
          <w:tcPr>
            <w:tcW w:w="1848" w:type="dxa"/>
            <w:vAlign w:val="top"/>
          </w:tcPr>
          <w:p>
            <w:pPr>
              <w:pStyle w:val="9"/>
              <w:spacing w:before="140" w:line="193" w:lineRule="auto"/>
              <w:ind w:left="722"/>
              <w:rPr>
                <w:color w:val="auto"/>
                <w:sz w:val="19"/>
                <w:szCs w:val="19"/>
                <w:highlight w:val="none"/>
              </w:rPr>
            </w:pPr>
            <w:r>
              <w:rPr>
                <w:color w:val="auto"/>
                <w:spacing w:val="-2"/>
                <w:sz w:val="19"/>
                <w:szCs w:val="19"/>
                <w:highlight w:val="none"/>
              </w:rPr>
              <w:t>0.8%</w:t>
            </w:r>
          </w:p>
        </w:tc>
        <w:tc>
          <w:tcPr>
            <w:tcW w:w="1997" w:type="dxa"/>
            <w:vAlign w:val="top"/>
          </w:tcPr>
          <w:p>
            <w:pPr>
              <w:pStyle w:val="9"/>
              <w:spacing w:before="140" w:line="193" w:lineRule="auto"/>
              <w:ind w:left="755"/>
              <w:rPr>
                <w:color w:val="auto"/>
                <w:sz w:val="19"/>
                <w:szCs w:val="19"/>
                <w:highlight w:val="none"/>
              </w:rPr>
            </w:pPr>
            <w:r>
              <w:rPr>
                <w:color w:val="auto"/>
                <w:spacing w:val="-2"/>
                <w:sz w:val="19"/>
                <w:szCs w:val="19"/>
                <w:highlight w:val="none"/>
              </w:rPr>
              <w:t>0.45%</w:t>
            </w:r>
          </w:p>
        </w:tc>
        <w:tc>
          <w:tcPr>
            <w:tcW w:w="2282" w:type="dxa"/>
            <w:vAlign w:val="top"/>
          </w:tcPr>
          <w:p>
            <w:pPr>
              <w:pStyle w:val="9"/>
              <w:spacing w:before="140" w:line="193" w:lineRule="auto"/>
              <w:ind w:left="898"/>
              <w:rPr>
                <w:color w:val="auto"/>
                <w:sz w:val="19"/>
                <w:szCs w:val="19"/>
                <w:highlight w:val="none"/>
              </w:rPr>
            </w:pPr>
            <w:r>
              <w:rPr>
                <w:color w:val="auto"/>
                <w:spacing w:val="-2"/>
                <w:sz w:val="19"/>
                <w:szCs w:val="19"/>
                <w:highlight w:val="none"/>
              </w:rPr>
              <w:t>0.55%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82" w:type="dxa"/>
            <w:vAlign w:val="top"/>
          </w:tcPr>
          <w:p>
            <w:pPr>
              <w:pStyle w:val="9"/>
              <w:spacing w:before="75" w:line="218" w:lineRule="auto"/>
              <w:ind w:left="115"/>
              <w:rPr>
                <w:color w:val="auto"/>
                <w:sz w:val="24"/>
                <w:szCs w:val="24"/>
                <w:highlight w:val="none"/>
              </w:rPr>
            </w:pPr>
            <w:r>
              <w:rPr>
                <w:color w:val="auto"/>
                <w:sz w:val="24"/>
                <w:szCs w:val="24"/>
                <w:highlight w:val="none"/>
              </w:rPr>
              <w:t>1000~5000万元</w:t>
            </w:r>
          </w:p>
        </w:tc>
        <w:tc>
          <w:tcPr>
            <w:tcW w:w="1848" w:type="dxa"/>
            <w:vAlign w:val="top"/>
          </w:tcPr>
          <w:p>
            <w:pPr>
              <w:pStyle w:val="9"/>
              <w:spacing w:before="111" w:line="239" w:lineRule="auto"/>
              <w:ind w:left="722"/>
              <w:rPr>
                <w:color w:val="auto"/>
                <w:sz w:val="19"/>
                <w:szCs w:val="19"/>
                <w:highlight w:val="none"/>
              </w:rPr>
            </w:pPr>
            <w:r>
              <w:rPr>
                <w:color w:val="auto"/>
                <w:spacing w:val="-1"/>
                <w:sz w:val="19"/>
                <w:szCs w:val="19"/>
                <w:highlight w:val="none"/>
              </w:rPr>
              <w:t>0.5%</w:t>
            </w:r>
          </w:p>
        </w:tc>
        <w:tc>
          <w:tcPr>
            <w:tcW w:w="1997" w:type="dxa"/>
            <w:vAlign w:val="top"/>
          </w:tcPr>
          <w:p>
            <w:pPr>
              <w:pStyle w:val="9"/>
              <w:spacing w:before="111" w:line="239" w:lineRule="auto"/>
              <w:ind w:left="755"/>
              <w:rPr>
                <w:color w:val="auto"/>
                <w:sz w:val="19"/>
                <w:szCs w:val="19"/>
                <w:highlight w:val="none"/>
              </w:rPr>
            </w:pPr>
            <w:r>
              <w:rPr>
                <w:color w:val="auto"/>
                <w:spacing w:val="-2"/>
                <w:sz w:val="19"/>
                <w:szCs w:val="19"/>
                <w:highlight w:val="none"/>
              </w:rPr>
              <w:t>0.25%</w:t>
            </w:r>
          </w:p>
        </w:tc>
        <w:tc>
          <w:tcPr>
            <w:tcW w:w="2282" w:type="dxa"/>
            <w:vAlign w:val="top"/>
          </w:tcPr>
          <w:p>
            <w:pPr>
              <w:pStyle w:val="9"/>
              <w:spacing w:before="111" w:line="239" w:lineRule="auto"/>
              <w:ind w:left="898"/>
              <w:rPr>
                <w:color w:val="auto"/>
                <w:sz w:val="19"/>
                <w:szCs w:val="19"/>
                <w:highlight w:val="none"/>
              </w:rPr>
            </w:pPr>
            <w:r>
              <w:rPr>
                <w:color w:val="auto"/>
                <w:spacing w:val="-2"/>
                <w:sz w:val="19"/>
                <w:szCs w:val="19"/>
                <w:highlight w:val="none"/>
              </w:rPr>
              <w:t>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882" w:type="dxa"/>
            <w:vAlign w:val="top"/>
          </w:tcPr>
          <w:p>
            <w:pPr>
              <w:pStyle w:val="9"/>
              <w:spacing w:before="66" w:line="217" w:lineRule="auto"/>
              <w:ind w:left="115"/>
              <w:rPr>
                <w:color w:val="auto"/>
                <w:sz w:val="24"/>
                <w:szCs w:val="24"/>
                <w:highlight w:val="none"/>
              </w:rPr>
            </w:pPr>
            <w:r>
              <w:rPr>
                <w:color w:val="auto"/>
                <w:spacing w:val="1"/>
                <w:sz w:val="24"/>
                <w:szCs w:val="24"/>
                <w:highlight w:val="none"/>
              </w:rPr>
              <w:t>5000万元~1亿元</w:t>
            </w:r>
          </w:p>
        </w:tc>
        <w:tc>
          <w:tcPr>
            <w:tcW w:w="1848" w:type="dxa"/>
            <w:vAlign w:val="top"/>
          </w:tcPr>
          <w:p>
            <w:pPr>
              <w:pStyle w:val="9"/>
              <w:spacing w:before="112" w:line="230" w:lineRule="auto"/>
              <w:ind w:left="673"/>
              <w:rPr>
                <w:color w:val="auto"/>
                <w:sz w:val="19"/>
                <w:szCs w:val="19"/>
                <w:highlight w:val="none"/>
              </w:rPr>
            </w:pPr>
            <w:r>
              <w:rPr>
                <w:color w:val="auto"/>
                <w:spacing w:val="-2"/>
                <w:sz w:val="19"/>
                <w:szCs w:val="19"/>
                <w:highlight w:val="none"/>
              </w:rPr>
              <w:t>0.25%</w:t>
            </w:r>
          </w:p>
        </w:tc>
        <w:tc>
          <w:tcPr>
            <w:tcW w:w="1997" w:type="dxa"/>
            <w:vAlign w:val="top"/>
          </w:tcPr>
          <w:p>
            <w:pPr>
              <w:pStyle w:val="9"/>
              <w:spacing w:before="112" w:line="230" w:lineRule="auto"/>
              <w:ind w:left="805"/>
              <w:rPr>
                <w:color w:val="auto"/>
                <w:sz w:val="19"/>
                <w:szCs w:val="19"/>
                <w:highlight w:val="none"/>
              </w:rPr>
            </w:pPr>
            <w:r>
              <w:rPr>
                <w:color w:val="auto"/>
                <w:sz w:val="19"/>
                <w:szCs w:val="19"/>
                <w:highlight w:val="none"/>
              </w:rPr>
              <w:t>0.1%</w:t>
            </w:r>
          </w:p>
        </w:tc>
        <w:tc>
          <w:tcPr>
            <w:tcW w:w="2282" w:type="dxa"/>
            <w:vAlign w:val="top"/>
          </w:tcPr>
          <w:p>
            <w:pPr>
              <w:pStyle w:val="9"/>
              <w:spacing w:before="112" w:line="230" w:lineRule="auto"/>
              <w:ind w:left="948"/>
              <w:rPr>
                <w:color w:val="auto"/>
                <w:sz w:val="19"/>
                <w:szCs w:val="19"/>
                <w:highlight w:val="none"/>
              </w:rPr>
            </w:pPr>
            <w:r>
              <w:rPr>
                <w:color w:val="auto"/>
                <w:spacing w:val="-2"/>
                <w:sz w:val="19"/>
                <w:szCs w:val="19"/>
                <w:highlight w:val="none"/>
              </w:rPr>
              <w:t>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2882" w:type="dxa"/>
            <w:vAlign w:val="top"/>
          </w:tcPr>
          <w:p>
            <w:pPr>
              <w:pStyle w:val="9"/>
              <w:spacing w:before="78" w:line="216" w:lineRule="auto"/>
              <w:ind w:left="115"/>
              <w:rPr>
                <w:color w:val="auto"/>
                <w:sz w:val="24"/>
                <w:szCs w:val="24"/>
                <w:highlight w:val="none"/>
              </w:rPr>
            </w:pPr>
            <w:r>
              <w:rPr>
                <w:color w:val="auto"/>
                <w:spacing w:val="2"/>
                <w:sz w:val="24"/>
                <w:szCs w:val="24"/>
                <w:highlight w:val="none"/>
              </w:rPr>
              <w:t>1～5亿元</w:t>
            </w:r>
          </w:p>
        </w:tc>
        <w:tc>
          <w:tcPr>
            <w:tcW w:w="1848" w:type="dxa"/>
            <w:vAlign w:val="top"/>
          </w:tcPr>
          <w:p>
            <w:pPr>
              <w:pStyle w:val="9"/>
              <w:spacing w:before="163" w:line="190" w:lineRule="auto"/>
              <w:ind w:left="673"/>
              <w:rPr>
                <w:color w:val="auto"/>
                <w:sz w:val="19"/>
                <w:szCs w:val="19"/>
                <w:highlight w:val="none"/>
              </w:rPr>
            </w:pPr>
            <w:r>
              <w:rPr>
                <w:color w:val="auto"/>
                <w:spacing w:val="-2"/>
                <w:sz w:val="19"/>
                <w:szCs w:val="19"/>
                <w:highlight w:val="none"/>
              </w:rPr>
              <w:t>0.05%</w:t>
            </w:r>
          </w:p>
        </w:tc>
        <w:tc>
          <w:tcPr>
            <w:tcW w:w="1997" w:type="dxa"/>
            <w:vAlign w:val="top"/>
          </w:tcPr>
          <w:p>
            <w:pPr>
              <w:pStyle w:val="9"/>
              <w:spacing w:before="163" w:line="190" w:lineRule="auto"/>
              <w:ind w:left="755"/>
              <w:rPr>
                <w:color w:val="auto"/>
                <w:sz w:val="19"/>
                <w:szCs w:val="19"/>
                <w:highlight w:val="none"/>
              </w:rPr>
            </w:pPr>
            <w:r>
              <w:rPr>
                <w:color w:val="auto"/>
                <w:spacing w:val="-2"/>
                <w:sz w:val="19"/>
                <w:szCs w:val="19"/>
                <w:highlight w:val="none"/>
              </w:rPr>
              <w:t>0.05%</w:t>
            </w:r>
          </w:p>
        </w:tc>
        <w:tc>
          <w:tcPr>
            <w:tcW w:w="2282" w:type="dxa"/>
            <w:vAlign w:val="top"/>
          </w:tcPr>
          <w:p>
            <w:pPr>
              <w:pStyle w:val="9"/>
              <w:spacing w:before="173" w:line="180" w:lineRule="auto"/>
              <w:ind w:left="898"/>
              <w:rPr>
                <w:color w:val="auto"/>
                <w:sz w:val="19"/>
                <w:szCs w:val="19"/>
                <w:highlight w:val="none"/>
              </w:rPr>
            </w:pPr>
            <w:r>
              <w:rPr>
                <w:color w:val="auto"/>
                <w:spacing w:val="-2"/>
                <w:sz w:val="19"/>
                <w:szCs w:val="19"/>
                <w:highlight w:val="none"/>
              </w:rPr>
              <w:t>0.05%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2882" w:type="dxa"/>
            <w:vAlign w:val="top"/>
          </w:tcPr>
          <w:p>
            <w:pPr>
              <w:pStyle w:val="9"/>
              <w:spacing w:before="68" w:line="208" w:lineRule="auto"/>
              <w:ind w:left="115"/>
              <w:rPr>
                <w:color w:val="auto"/>
                <w:sz w:val="24"/>
                <w:szCs w:val="24"/>
                <w:highlight w:val="none"/>
              </w:rPr>
            </w:pPr>
            <w:r>
              <w:rPr>
                <w:color w:val="auto"/>
                <w:spacing w:val="1"/>
                <w:sz w:val="24"/>
                <w:szCs w:val="24"/>
                <w:highlight w:val="none"/>
              </w:rPr>
              <w:t>5~10亿元</w:t>
            </w:r>
          </w:p>
        </w:tc>
        <w:tc>
          <w:tcPr>
            <w:tcW w:w="1848" w:type="dxa"/>
            <w:vAlign w:val="top"/>
          </w:tcPr>
          <w:p>
            <w:pPr>
              <w:pStyle w:val="9"/>
              <w:spacing w:before="104" w:line="228" w:lineRule="auto"/>
              <w:ind w:left="633"/>
              <w:rPr>
                <w:color w:val="auto"/>
                <w:sz w:val="19"/>
                <w:szCs w:val="19"/>
                <w:highlight w:val="none"/>
              </w:rPr>
            </w:pPr>
            <w:r>
              <w:rPr>
                <w:color w:val="auto"/>
                <w:spacing w:val="-2"/>
                <w:sz w:val="19"/>
                <w:szCs w:val="19"/>
                <w:highlight w:val="none"/>
              </w:rPr>
              <w:t>0.035%</w:t>
            </w:r>
          </w:p>
        </w:tc>
        <w:tc>
          <w:tcPr>
            <w:tcW w:w="1997" w:type="dxa"/>
            <w:vAlign w:val="top"/>
          </w:tcPr>
          <w:p>
            <w:pPr>
              <w:pStyle w:val="9"/>
              <w:spacing w:before="104" w:line="228" w:lineRule="auto"/>
              <w:ind w:left="704"/>
              <w:rPr>
                <w:color w:val="auto"/>
                <w:sz w:val="19"/>
                <w:szCs w:val="19"/>
                <w:highlight w:val="none"/>
              </w:rPr>
            </w:pPr>
            <w:r>
              <w:rPr>
                <w:color w:val="auto"/>
                <w:spacing w:val="-2"/>
                <w:sz w:val="19"/>
                <w:szCs w:val="19"/>
                <w:highlight w:val="none"/>
              </w:rPr>
              <w:t>0.035%</w:t>
            </w:r>
          </w:p>
        </w:tc>
        <w:tc>
          <w:tcPr>
            <w:tcW w:w="2282" w:type="dxa"/>
            <w:vAlign w:val="top"/>
          </w:tcPr>
          <w:p>
            <w:pPr>
              <w:pStyle w:val="9"/>
              <w:spacing w:before="104" w:line="228" w:lineRule="auto"/>
              <w:ind w:left="848"/>
              <w:rPr>
                <w:color w:val="auto"/>
                <w:sz w:val="19"/>
                <w:szCs w:val="19"/>
                <w:highlight w:val="none"/>
              </w:rPr>
            </w:pPr>
            <w:r>
              <w:rPr>
                <w:color w:val="auto"/>
                <w:spacing w:val="-2"/>
                <w:sz w:val="19"/>
                <w:szCs w:val="19"/>
                <w:highlight w:val="none"/>
              </w:rPr>
              <w:t>0.035%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2882" w:type="dxa"/>
            <w:vAlign w:val="top"/>
          </w:tcPr>
          <w:p>
            <w:pPr>
              <w:pStyle w:val="9"/>
              <w:spacing w:before="89" w:line="196" w:lineRule="auto"/>
              <w:ind w:left="115"/>
              <w:rPr>
                <w:color w:val="auto"/>
                <w:sz w:val="24"/>
                <w:szCs w:val="24"/>
                <w:highlight w:val="none"/>
              </w:rPr>
            </w:pPr>
            <w:r>
              <w:rPr>
                <w:color w:val="auto"/>
                <w:spacing w:val="1"/>
                <w:sz w:val="24"/>
                <w:szCs w:val="24"/>
                <w:highlight w:val="none"/>
              </w:rPr>
              <w:t>10~50亿元</w:t>
            </w:r>
          </w:p>
        </w:tc>
        <w:tc>
          <w:tcPr>
            <w:tcW w:w="1848" w:type="dxa"/>
            <w:vAlign w:val="top"/>
          </w:tcPr>
          <w:p>
            <w:pPr>
              <w:pStyle w:val="9"/>
              <w:spacing w:before="155" w:line="183" w:lineRule="auto"/>
              <w:ind w:left="633"/>
              <w:rPr>
                <w:color w:val="auto"/>
                <w:sz w:val="19"/>
                <w:szCs w:val="19"/>
                <w:highlight w:val="none"/>
              </w:rPr>
            </w:pPr>
            <w:r>
              <w:rPr>
                <w:color w:val="auto"/>
                <w:spacing w:val="-2"/>
                <w:sz w:val="19"/>
                <w:szCs w:val="19"/>
                <w:highlight w:val="none"/>
              </w:rPr>
              <w:t>0.008%</w:t>
            </w:r>
          </w:p>
        </w:tc>
        <w:tc>
          <w:tcPr>
            <w:tcW w:w="1997" w:type="dxa"/>
            <w:vAlign w:val="top"/>
          </w:tcPr>
          <w:p>
            <w:pPr>
              <w:pStyle w:val="9"/>
              <w:spacing w:before="165" w:line="173" w:lineRule="auto"/>
              <w:ind w:left="704"/>
              <w:rPr>
                <w:color w:val="auto"/>
                <w:sz w:val="19"/>
                <w:szCs w:val="19"/>
                <w:highlight w:val="none"/>
              </w:rPr>
            </w:pPr>
            <w:r>
              <w:rPr>
                <w:color w:val="auto"/>
                <w:spacing w:val="-2"/>
                <w:sz w:val="19"/>
                <w:szCs w:val="19"/>
                <w:highlight w:val="none"/>
              </w:rPr>
              <w:t>0.008%</w:t>
            </w:r>
          </w:p>
        </w:tc>
        <w:tc>
          <w:tcPr>
            <w:tcW w:w="2282" w:type="dxa"/>
            <w:vAlign w:val="top"/>
          </w:tcPr>
          <w:p>
            <w:pPr>
              <w:pStyle w:val="9"/>
              <w:spacing w:before="165" w:line="173" w:lineRule="auto"/>
              <w:ind w:left="848"/>
              <w:rPr>
                <w:color w:val="auto"/>
                <w:sz w:val="19"/>
                <w:szCs w:val="19"/>
                <w:highlight w:val="none"/>
              </w:rPr>
            </w:pPr>
            <w:r>
              <w:rPr>
                <w:color w:val="auto"/>
                <w:spacing w:val="-2"/>
                <w:sz w:val="19"/>
                <w:szCs w:val="19"/>
                <w:highlight w:val="none"/>
              </w:rPr>
              <w:t>0.008%</w:t>
            </w:r>
          </w:p>
        </w:tc>
      </w:tr>
    </w:tbl>
    <w:p>
      <w:pPr>
        <w:spacing w:before="122" w:line="221" w:lineRule="auto"/>
        <w:ind w:left="4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注：采购代理服务收费按差额定率累进法计算。</w:t>
      </w:r>
    </w:p>
    <w:p>
      <w:pPr>
        <w:pStyle w:val="3"/>
        <w:spacing w:before="115" w:line="221" w:lineRule="auto"/>
        <w:ind w:left="422"/>
        <w:rPr>
          <w:rFonts w:ascii="黑体" w:hAnsi="黑体" w:eastAsia="黑体" w:cs="黑体"/>
          <w:color w:val="auto"/>
          <w:sz w:val="21"/>
          <w:szCs w:val="21"/>
          <w:highlight w:val="none"/>
        </w:rPr>
      </w:pPr>
      <w:r>
        <w:rPr>
          <w:b/>
          <w:bCs/>
          <w:color w:val="auto"/>
          <w:spacing w:val="7"/>
          <w:sz w:val="21"/>
          <w:szCs w:val="21"/>
          <w:highlight w:val="none"/>
        </w:rPr>
        <w:t>37.</w:t>
      </w:r>
      <w:r>
        <w:rPr>
          <w:rFonts w:ascii="黑体" w:hAnsi="黑体" w:eastAsia="黑体" w:cs="黑体"/>
          <w:b/>
          <w:bCs/>
          <w:color w:val="auto"/>
          <w:spacing w:val="7"/>
          <w:sz w:val="21"/>
          <w:szCs w:val="21"/>
          <w:highlight w:val="none"/>
        </w:rPr>
        <w:t>采购代理机构银行账户(用于交纳采购代理服务费):</w:t>
      </w:r>
    </w:p>
    <w:p>
      <w:pPr>
        <w:spacing w:before="113" w:line="222"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开户名称：</w:t>
      </w:r>
      <w:r>
        <w:rPr>
          <w:rFonts w:hint="eastAsia" w:ascii="黑体" w:hAnsi="黑体" w:eastAsia="黑体" w:cs="黑体"/>
          <w:color w:val="auto"/>
          <w:sz w:val="21"/>
          <w:szCs w:val="21"/>
          <w:highlight w:val="none"/>
          <w:lang w:eastAsia="zh-CN"/>
        </w:rPr>
        <w:t>广西泰新工程信息咨询有限公司</w:t>
      </w:r>
      <w:r>
        <w:rPr>
          <w:rFonts w:ascii="黑体" w:hAnsi="黑体" w:eastAsia="黑体" w:cs="黑体"/>
          <w:color w:val="auto"/>
          <w:sz w:val="21"/>
          <w:szCs w:val="21"/>
          <w:highlight w:val="none"/>
        </w:rPr>
        <w:t>桂林分公司</w:t>
      </w:r>
    </w:p>
    <w:p>
      <w:pPr>
        <w:spacing w:before="96" w:line="221"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开户银行：</w:t>
      </w:r>
      <w:r>
        <w:rPr>
          <w:rFonts w:hint="eastAsia" w:ascii="黑体" w:hAnsi="黑体" w:eastAsia="黑体" w:cs="黑体"/>
          <w:color w:val="auto"/>
          <w:spacing w:val="1"/>
          <w:sz w:val="21"/>
          <w:szCs w:val="21"/>
          <w:highlight w:val="none"/>
        </w:rPr>
        <w:t>桂林银行股份有限公司秀峰支行</w:t>
      </w:r>
    </w:p>
    <w:p>
      <w:pPr>
        <w:spacing w:before="99" w:line="221"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银行账号：</w:t>
      </w:r>
      <w:r>
        <w:rPr>
          <w:rFonts w:hint="eastAsia" w:ascii="黑体" w:hAnsi="黑体" w:eastAsia="黑体" w:cs="黑体"/>
          <w:color w:val="auto"/>
          <w:sz w:val="21"/>
          <w:szCs w:val="21"/>
          <w:highlight w:val="none"/>
        </w:rPr>
        <w:t>660000022639800015</w:t>
      </w:r>
    </w:p>
    <w:p>
      <w:pPr>
        <w:spacing w:before="128" w:line="219" w:lineRule="auto"/>
        <w:ind w:left="419"/>
        <w:rPr>
          <w:rFonts w:ascii="黑体" w:hAnsi="黑体" w:eastAsia="黑体" w:cs="黑体"/>
          <w:color w:val="auto"/>
          <w:sz w:val="21"/>
          <w:szCs w:val="21"/>
          <w:highlight w:val="none"/>
        </w:rPr>
      </w:pPr>
      <w:r>
        <w:rPr>
          <w:rFonts w:ascii="黑体" w:hAnsi="黑体" w:eastAsia="黑体" w:cs="黑体"/>
          <w:color w:val="auto"/>
          <w:spacing w:val="6"/>
          <w:sz w:val="21"/>
          <w:szCs w:val="21"/>
          <w:highlight w:val="none"/>
        </w:rPr>
        <w:t>38.广西线上“政采贷”政策详见附表4.</w:t>
      </w:r>
    </w:p>
    <w:p>
      <w:pPr>
        <w:pStyle w:val="3"/>
        <w:spacing w:before="92" w:line="285" w:lineRule="auto"/>
        <w:ind w:right="36" w:firstLine="419"/>
        <w:rPr>
          <w:rFonts w:ascii="黑体" w:hAnsi="黑体" w:eastAsia="黑体" w:cs="黑体"/>
          <w:color w:val="auto"/>
          <w:sz w:val="21"/>
          <w:szCs w:val="21"/>
          <w:highlight w:val="none"/>
        </w:rPr>
      </w:pPr>
      <w:r>
        <w:rPr>
          <w:color w:val="auto"/>
          <w:sz w:val="21"/>
          <w:szCs w:val="21"/>
          <w:highlight w:val="none"/>
        </w:rPr>
        <w:t>39.</w:t>
      </w:r>
      <w:r>
        <w:rPr>
          <w:rFonts w:ascii="黑体" w:hAnsi="黑体" w:eastAsia="黑体" w:cs="黑体"/>
          <w:color w:val="auto"/>
          <w:sz w:val="21"/>
          <w:szCs w:val="21"/>
          <w:highlight w:val="none"/>
        </w:rPr>
        <w:t xml:space="preserve">解释权：本招标文件是根据《中华人民共和国政府采购法》、《中华人民共和国政府采购法实施条 </w:t>
      </w:r>
      <w:r>
        <w:rPr>
          <w:rFonts w:ascii="黑体" w:hAnsi="黑体" w:eastAsia="黑体" w:cs="黑体"/>
          <w:color w:val="auto"/>
          <w:spacing w:val="2"/>
          <w:sz w:val="21"/>
          <w:szCs w:val="21"/>
          <w:highlight w:val="none"/>
        </w:rPr>
        <w:t>例》及财政部令第87号《政府采购货物和服务招标投标管理办法》和政府采购管理有关规定编制，本招标</w:t>
      </w:r>
      <w:r>
        <w:rPr>
          <w:rFonts w:ascii="黑体" w:hAnsi="黑体" w:eastAsia="黑体" w:cs="黑体"/>
          <w:color w:val="auto"/>
          <w:spacing w:val="11"/>
          <w:sz w:val="21"/>
          <w:szCs w:val="21"/>
          <w:highlight w:val="none"/>
        </w:rPr>
        <w:t xml:space="preserve"> </w:t>
      </w:r>
      <w:r>
        <w:rPr>
          <w:rFonts w:ascii="黑体" w:hAnsi="黑体" w:eastAsia="黑体" w:cs="黑体"/>
          <w:color w:val="auto"/>
          <w:sz w:val="21"/>
          <w:szCs w:val="21"/>
          <w:highlight w:val="none"/>
        </w:rPr>
        <w:t>文件的解释权属于采购代理机构。</w:t>
      </w:r>
    </w:p>
    <w:p>
      <w:pPr>
        <w:spacing w:line="285" w:lineRule="auto"/>
        <w:rPr>
          <w:rFonts w:ascii="黑体" w:hAnsi="黑体" w:eastAsia="黑体" w:cs="黑体"/>
          <w:color w:val="auto"/>
          <w:sz w:val="21"/>
          <w:szCs w:val="21"/>
          <w:highlight w:val="none"/>
        </w:rPr>
        <w:sectPr>
          <w:footerReference r:id="rId26" w:type="default"/>
          <w:pgSz w:w="11900" w:h="16830"/>
          <w:pgMar w:top="400" w:right="1046" w:bottom="801" w:left="1050" w:header="0" w:footer="657" w:gutter="0"/>
          <w:cols w:space="720" w:num="1"/>
        </w:sectPr>
      </w:pPr>
    </w:p>
    <w:p>
      <w:pPr>
        <w:spacing w:line="265"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line="266" w:lineRule="auto"/>
        <w:rPr>
          <w:rFonts w:ascii="Arial"/>
          <w:color w:val="auto"/>
          <w:sz w:val="21"/>
          <w:highlight w:val="none"/>
        </w:rPr>
      </w:pPr>
    </w:p>
    <w:p>
      <w:pPr>
        <w:spacing w:before="68" w:line="226" w:lineRule="auto"/>
        <w:ind w:left="412"/>
        <w:rPr>
          <w:rFonts w:hint="eastAsia" w:ascii="黑体" w:hAnsi="黑体" w:eastAsia="黑体" w:cs="黑体"/>
          <w:color w:val="auto"/>
          <w:sz w:val="21"/>
          <w:szCs w:val="21"/>
          <w:highlight w:val="none"/>
          <w:lang w:eastAsia="zh-CN"/>
        </w:rPr>
      </w:pPr>
      <w:r>
        <w:rPr>
          <w:rFonts w:ascii="黑体" w:hAnsi="黑体" w:eastAsia="黑体" w:cs="黑体"/>
          <w:b/>
          <w:bCs/>
          <w:color w:val="auto"/>
          <w:sz w:val="21"/>
          <w:szCs w:val="21"/>
          <w:highlight w:val="none"/>
        </w:rPr>
        <w:t>40.监督管理机构：</w:t>
      </w:r>
      <w:r>
        <w:rPr>
          <w:rFonts w:hint="eastAsia" w:ascii="黑体" w:hAnsi="黑体" w:eastAsia="黑体" w:cs="黑体"/>
          <w:color w:val="auto"/>
          <w:sz w:val="21"/>
          <w:szCs w:val="21"/>
          <w:highlight w:val="none"/>
          <w:lang w:eastAsia="zh-CN"/>
        </w:rPr>
        <w:t>桂林市秀峰区政府采购管理办公室</w:t>
      </w:r>
      <w:r>
        <w:rPr>
          <w:rFonts w:ascii="黑体" w:hAnsi="黑体" w:eastAsia="黑体" w:cs="黑体"/>
          <w:color w:val="auto"/>
          <w:spacing w:val="34"/>
          <w:sz w:val="21"/>
          <w:szCs w:val="21"/>
          <w:highlight w:val="none"/>
        </w:rPr>
        <w:t xml:space="preserve">   </w:t>
      </w:r>
      <w:r>
        <w:rPr>
          <w:rFonts w:ascii="黑体" w:hAnsi="黑体" w:eastAsia="黑体" w:cs="黑体"/>
          <w:color w:val="auto"/>
          <w:sz w:val="21"/>
          <w:szCs w:val="21"/>
          <w:highlight w:val="none"/>
        </w:rPr>
        <w:t>联系电话：</w:t>
      </w:r>
      <w:r>
        <w:rPr>
          <w:rFonts w:hint="eastAsia" w:ascii="黑体" w:hAnsi="黑体" w:eastAsia="黑体" w:cs="黑体"/>
          <w:color w:val="auto"/>
          <w:sz w:val="21"/>
          <w:szCs w:val="21"/>
          <w:highlight w:val="none"/>
          <w:lang w:eastAsia="zh-CN"/>
        </w:rPr>
        <w:t>0773-2831930</w:t>
      </w:r>
    </w:p>
    <w:p>
      <w:pPr>
        <w:pStyle w:val="3"/>
        <w:spacing w:before="89" w:line="265" w:lineRule="auto"/>
        <w:ind w:left="3" w:right="108" w:firstLine="409"/>
        <w:rPr>
          <w:rFonts w:ascii="黑体" w:hAnsi="黑体" w:eastAsia="黑体" w:cs="黑体"/>
          <w:color w:val="auto"/>
          <w:sz w:val="21"/>
          <w:szCs w:val="21"/>
          <w:highlight w:val="none"/>
        </w:rPr>
      </w:pPr>
      <w:r>
        <w:rPr>
          <w:b/>
          <w:bCs/>
          <w:color w:val="auto"/>
          <w:spacing w:val="-2"/>
          <w:sz w:val="21"/>
          <w:szCs w:val="21"/>
          <w:highlight w:val="none"/>
        </w:rPr>
        <w:t>41.</w:t>
      </w:r>
      <w:r>
        <w:rPr>
          <w:rFonts w:ascii="黑体" w:hAnsi="黑体" w:eastAsia="黑体" w:cs="黑体"/>
          <w:b/>
          <w:bCs/>
          <w:color w:val="auto"/>
          <w:spacing w:val="-2"/>
          <w:sz w:val="21"/>
          <w:szCs w:val="21"/>
          <w:highlight w:val="none"/>
        </w:rPr>
        <w:t>采购过程中出现以下情形，导致电子交易平台无</w:t>
      </w:r>
      <w:r>
        <w:rPr>
          <w:rFonts w:ascii="黑体" w:hAnsi="黑体" w:eastAsia="黑体" w:cs="黑体"/>
          <w:b/>
          <w:bCs/>
          <w:color w:val="auto"/>
          <w:spacing w:val="-3"/>
          <w:sz w:val="21"/>
          <w:szCs w:val="21"/>
          <w:highlight w:val="none"/>
        </w:rPr>
        <w:t>法正常运行，或者无法保证电子交易的公平、公正</w:t>
      </w:r>
      <w:r>
        <w:rPr>
          <w:rFonts w:ascii="黑体" w:hAnsi="黑体" w:eastAsia="黑体" w:cs="黑体"/>
          <w:color w:val="auto"/>
          <w:sz w:val="21"/>
          <w:szCs w:val="21"/>
          <w:highlight w:val="none"/>
        </w:rPr>
        <w:t xml:space="preserve"> </w:t>
      </w:r>
      <w:r>
        <w:rPr>
          <w:rFonts w:ascii="黑体" w:hAnsi="黑体" w:eastAsia="黑体" w:cs="黑体"/>
          <w:b/>
          <w:bCs/>
          <w:color w:val="auto"/>
          <w:spacing w:val="-2"/>
          <w:sz w:val="21"/>
          <w:szCs w:val="21"/>
          <w:highlight w:val="none"/>
        </w:rPr>
        <w:t>和安全时，采购代理机构可以中止电子交易活动：</w:t>
      </w:r>
    </w:p>
    <w:p>
      <w:pPr>
        <w:spacing w:before="130" w:line="213" w:lineRule="auto"/>
        <w:ind w:left="519"/>
        <w:rPr>
          <w:rFonts w:ascii="黑体" w:hAnsi="黑体" w:eastAsia="黑体" w:cs="黑体"/>
          <w:color w:val="auto"/>
          <w:sz w:val="21"/>
          <w:szCs w:val="21"/>
          <w:highlight w:val="none"/>
        </w:rPr>
      </w:pPr>
      <w:r>
        <w:rPr>
          <w:rFonts w:ascii="黑体" w:hAnsi="黑体" w:eastAsia="黑体" w:cs="黑体"/>
          <w:color w:val="auto"/>
          <w:spacing w:val="5"/>
          <w:sz w:val="21"/>
          <w:szCs w:val="21"/>
          <w:highlight w:val="none"/>
        </w:rPr>
        <w:t>(1)电子交易平台发生故障而无法登录访问的；</w:t>
      </w:r>
    </w:p>
    <w:p>
      <w:pPr>
        <w:spacing w:before="117" w:line="213" w:lineRule="auto"/>
        <w:ind w:left="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(2)电子交易平台应用或数据库出现错误，不能进行正常操作的；</w:t>
      </w:r>
    </w:p>
    <w:p>
      <w:pPr>
        <w:spacing w:before="107" w:line="213" w:lineRule="auto"/>
        <w:ind w:left="519"/>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(3)电子交易平台发现严重安全漏洞，有潜在泄密危险的；</w:t>
      </w:r>
    </w:p>
    <w:p>
      <w:pPr>
        <w:spacing w:before="128" w:line="213" w:lineRule="auto"/>
        <w:ind w:left="51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(4)病毒发作导致不能进行正常操作的；</w:t>
      </w:r>
    </w:p>
    <w:p>
      <w:pPr>
        <w:spacing w:before="119" w:line="222" w:lineRule="auto"/>
        <w:ind w:left="519"/>
        <w:rPr>
          <w:rFonts w:ascii="黑体" w:hAnsi="黑体" w:eastAsia="黑体" w:cs="黑体"/>
          <w:color w:val="auto"/>
          <w:sz w:val="21"/>
          <w:szCs w:val="21"/>
          <w:highlight w:val="none"/>
        </w:rPr>
      </w:pPr>
      <w:r>
        <w:rPr>
          <w:rFonts w:ascii="黑体" w:hAnsi="黑体" w:eastAsia="黑体" w:cs="黑体"/>
          <w:color w:val="auto"/>
          <w:spacing w:val="4"/>
          <w:sz w:val="21"/>
          <w:szCs w:val="21"/>
          <w:highlight w:val="none"/>
        </w:rPr>
        <w:t>(5)其他无法保证电子交易的公平、公正和安全的情况。</w:t>
      </w:r>
    </w:p>
    <w:p>
      <w:pPr>
        <w:spacing w:before="95" w:line="315" w:lineRule="auto"/>
        <w:ind w:firstLine="409"/>
        <w:jc w:val="both"/>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出现以上情形，不影响采购公平、公正性的，采购代理机构可以待上述情形消除</w:t>
      </w:r>
      <w:r>
        <w:rPr>
          <w:rFonts w:ascii="黑体" w:hAnsi="黑体" w:eastAsia="黑体" w:cs="黑体"/>
          <w:color w:val="auto"/>
          <w:spacing w:val="2"/>
          <w:sz w:val="21"/>
          <w:szCs w:val="21"/>
          <w:highlight w:val="none"/>
        </w:rPr>
        <w:t>后继续组织电子交易</w:t>
      </w:r>
      <w:r>
        <w:rPr>
          <w:rFonts w:ascii="黑体" w:hAnsi="黑体" w:eastAsia="黑体" w:cs="黑体"/>
          <w:color w:val="auto"/>
          <w:sz w:val="21"/>
          <w:szCs w:val="21"/>
          <w:highlight w:val="none"/>
        </w:rPr>
        <w:t xml:space="preserve"> 活动；影响或可能影响采购公平、公正性的，经采购代理机构确认、报</w:t>
      </w:r>
      <w:r>
        <w:rPr>
          <w:rFonts w:ascii="黑体" w:hAnsi="黑体" w:eastAsia="黑体" w:cs="黑体"/>
          <w:color w:val="auto"/>
          <w:spacing w:val="-1"/>
          <w:sz w:val="21"/>
          <w:szCs w:val="21"/>
          <w:highlight w:val="none"/>
        </w:rPr>
        <w:t>采购人同意后，终止电子采购活动，</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应当重新采购。采购代理机构必须对原有的资料及信息</w:t>
      </w:r>
      <w:r>
        <w:rPr>
          <w:rFonts w:ascii="黑体" w:hAnsi="黑体" w:eastAsia="黑体" w:cs="黑体"/>
          <w:color w:val="auto"/>
          <w:sz w:val="21"/>
          <w:szCs w:val="21"/>
          <w:highlight w:val="none"/>
        </w:rPr>
        <w:t>作出妥善保密处理，并报财政部门备案。</w:t>
      </w: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pStyle w:val="3"/>
        <w:spacing w:before="98" w:line="219" w:lineRule="auto"/>
        <w:ind w:left="2794"/>
        <w:rPr>
          <w:color w:val="auto"/>
          <w:sz w:val="30"/>
          <w:szCs w:val="30"/>
          <w:highlight w:val="none"/>
        </w:rPr>
      </w:pPr>
      <w:r>
        <w:rPr>
          <w:b/>
          <w:bCs/>
          <w:color w:val="auto"/>
          <w:spacing w:val="-3"/>
          <w:sz w:val="30"/>
          <w:szCs w:val="30"/>
          <w:highlight w:val="none"/>
        </w:rPr>
        <w:t>统计上大中小微型企业划分标准</w:t>
      </w:r>
    </w:p>
    <w:p>
      <w:pPr>
        <w:spacing w:before="14"/>
        <w:rPr>
          <w:color w:val="auto"/>
          <w:highlight w:val="none"/>
        </w:rPr>
      </w:pPr>
    </w:p>
    <w:tbl>
      <w:tblPr>
        <w:tblStyle w:val="8"/>
        <w:tblW w:w="9420" w:type="dxa"/>
        <w:tblInd w:w="1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123"/>
        <w:gridCol w:w="1359"/>
        <w:gridCol w:w="699"/>
        <w:gridCol w:w="1139"/>
        <w:gridCol w:w="1698"/>
        <w:gridCol w:w="1408"/>
        <w:gridCol w:w="9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123" w:type="dxa"/>
            <w:vAlign w:val="top"/>
          </w:tcPr>
          <w:p>
            <w:pPr>
              <w:pStyle w:val="9"/>
              <w:spacing w:before="210" w:line="220" w:lineRule="auto"/>
              <w:ind w:left="677"/>
              <w:rPr>
                <w:color w:val="auto"/>
                <w:sz w:val="20"/>
                <w:szCs w:val="20"/>
                <w:highlight w:val="none"/>
              </w:rPr>
            </w:pPr>
            <w:r>
              <w:rPr>
                <w:b/>
                <w:bCs/>
                <w:color w:val="auto"/>
                <w:spacing w:val="-5"/>
                <w:sz w:val="20"/>
                <w:szCs w:val="20"/>
                <w:highlight w:val="none"/>
              </w:rPr>
              <w:t>行业名称</w:t>
            </w:r>
          </w:p>
        </w:tc>
        <w:tc>
          <w:tcPr>
            <w:tcW w:w="1359" w:type="dxa"/>
            <w:vAlign w:val="top"/>
          </w:tcPr>
          <w:p>
            <w:pPr>
              <w:pStyle w:val="9"/>
              <w:spacing w:before="210" w:line="220" w:lineRule="auto"/>
              <w:ind w:left="294"/>
              <w:rPr>
                <w:color w:val="auto"/>
                <w:sz w:val="20"/>
                <w:szCs w:val="20"/>
                <w:highlight w:val="none"/>
              </w:rPr>
            </w:pPr>
            <w:r>
              <w:rPr>
                <w:b/>
                <w:bCs/>
                <w:color w:val="auto"/>
                <w:spacing w:val="-5"/>
                <w:sz w:val="20"/>
                <w:szCs w:val="20"/>
                <w:highlight w:val="none"/>
              </w:rPr>
              <w:t>指标名称</w:t>
            </w:r>
          </w:p>
        </w:tc>
        <w:tc>
          <w:tcPr>
            <w:tcW w:w="699" w:type="dxa"/>
            <w:vAlign w:val="top"/>
          </w:tcPr>
          <w:p>
            <w:pPr>
              <w:pStyle w:val="9"/>
              <w:spacing w:before="81" w:line="221" w:lineRule="auto"/>
              <w:ind w:left="145"/>
              <w:rPr>
                <w:color w:val="auto"/>
                <w:sz w:val="20"/>
                <w:szCs w:val="20"/>
                <w:highlight w:val="none"/>
              </w:rPr>
            </w:pPr>
            <w:r>
              <w:rPr>
                <w:b/>
                <w:bCs/>
                <w:color w:val="auto"/>
                <w:spacing w:val="-5"/>
                <w:sz w:val="20"/>
                <w:szCs w:val="20"/>
                <w:highlight w:val="none"/>
              </w:rPr>
              <w:t>计量</w:t>
            </w:r>
          </w:p>
          <w:p>
            <w:pPr>
              <w:pStyle w:val="9"/>
              <w:spacing w:line="220" w:lineRule="auto"/>
              <w:ind w:left="145"/>
              <w:rPr>
                <w:color w:val="auto"/>
                <w:sz w:val="20"/>
                <w:szCs w:val="20"/>
                <w:highlight w:val="none"/>
              </w:rPr>
            </w:pPr>
            <w:r>
              <w:rPr>
                <w:b/>
                <w:bCs/>
                <w:color w:val="auto"/>
                <w:spacing w:val="-5"/>
                <w:sz w:val="20"/>
                <w:szCs w:val="20"/>
                <w:highlight w:val="none"/>
              </w:rPr>
              <w:t>单位</w:t>
            </w:r>
          </w:p>
        </w:tc>
        <w:tc>
          <w:tcPr>
            <w:tcW w:w="1139" w:type="dxa"/>
            <w:vAlign w:val="top"/>
          </w:tcPr>
          <w:p>
            <w:pPr>
              <w:pStyle w:val="9"/>
              <w:spacing w:before="210" w:line="220" w:lineRule="auto"/>
              <w:ind w:left="366"/>
              <w:rPr>
                <w:color w:val="auto"/>
                <w:sz w:val="20"/>
                <w:szCs w:val="20"/>
                <w:highlight w:val="none"/>
              </w:rPr>
            </w:pPr>
            <w:r>
              <w:rPr>
                <w:b/>
                <w:bCs/>
                <w:color w:val="auto"/>
                <w:spacing w:val="-5"/>
                <w:sz w:val="20"/>
                <w:szCs w:val="20"/>
                <w:highlight w:val="none"/>
              </w:rPr>
              <w:t>大型</w:t>
            </w:r>
          </w:p>
        </w:tc>
        <w:tc>
          <w:tcPr>
            <w:tcW w:w="1698" w:type="dxa"/>
            <w:vAlign w:val="top"/>
          </w:tcPr>
          <w:p>
            <w:pPr>
              <w:pStyle w:val="9"/>
              <w:spacing w:before="210" w:line="220" w:lineRule="auto"/>
              <w:ind w:left="647"/>
              <w:rPr>
                <w:color w:val="auto"/>
                <w:sz w:val="20"/>
                <w:szCs w:val="20"/>
                <w:highlight w:val="none"/>
              </w:rPr>
            </w:pPr>
            <w:r>
              <w:rPr>
                <w:b/>
                <w:bCs/>
                <w:color w:val="auto"/>
                <w:spacing w:val="1"/>
                <w:sz w:val="20"/>
                <w:szCs w:val="20"/>
                <w:highlight w:val="none"/>
              </w:rPr>
              <w:t>中型</w:t>
            </w:r>
          </w:p>
        </w:tc>
        <w:tc>
          <w:tcPr>
            <w:tcW w:w="1408" w:type="dxa"/>
            <w:vAlign w:val="top"/>
          </w:tcPr>
          <w:p>
            <w:pPr>
              <w:pStyle w:val="9"/>
              <w:spacing w:before="213" w:line="221" w:lineRule="auto"/>
              <w:ind w:left="499"/>
              <w:rPr>
                <w:color w:val="auto"/>
                <w:sz w:val="20"/>
                <w:szCs w:val="20"/>
                <w:highlight w:val="none"/>
              </w:rPr>
            </w:pPr>
            <w:r>
              <w:rPr>
                <w:b/>
                <w:bCs/>
                <w:color w:val="auto"/>
                <w:spacing w:val="1"/>
                <w:sz w:val="20"/>
                <w:szCs w:val="20"/>
                <w:highlight w:val="none"/>
              </w:rPr>
              <w:t>小型</w:t>
            </w:r>
          </w:p>
        </w:tc>
        <w:tc>
          <w:tcPr>
            <w:tcW w:w="994" w:type="dxa"/>
            <w:vAlign w:val="top"/>
          </w:tcPr>
          <w:p>
            <w:pPr>
              <w:pStyle w:val="9"/>
              <w:spacing w:before="210" w:line="219" w:lineRule="auto"/>
              <w:ind w:left="291"/>
              <w:rPr>
                <w:color w:val="auto"/>
                <w:sz w:val="20"/>
                <w:szCs w:val="20"/>
                <w:highlight w:val="none"/>
              </w:rPr>
            </w:pPr>
            <w:r>
              <w:rPr>
                <w:b/>
                <w:bCs/>
                <w:color w:val="auto"/>
                <w:spacing w:val="-5"/>
                <w:sz w:val="20"/>
                <w:szCs w:val="20"/>
                <w:highlight w:val="none"/>
              </w:rPr>
              <w:t>微型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 w:hRule="atLeast"/>
        </w:trPr>
        <w:tc>
          <w:tcPr>
            <w:tcW w:w="2123" w:type="dxa"/>
            <w:vAlign w:val="top"/>
          </w:tcPr>
          <w:p>
            <w:pPr>
              <w:pStyle w:val="9"/>
              <w:spacing w:before="109" w:line="219" w:lineRule="auto"/>
              <w:ind w:left="74"/>
              <w:rPr>
                <w:color w:val="auto"/>
                <w:sz w:val="20"/>
                <w:szCs w:val="20"/>
                <w:highlight w:val="none"/>
              </w:rPr>
            </w:pPr>
            <w:r>
              <w:rPr>
                <w:color w:val="auto"/>
                <w:spacing w:val="-1"/>
                <w:sz w:val="20"/>
                <w:szCs w:val="20"/>
                <w:highlight w:val="none"/>
              </w:rPr>
              <w:t>农、林、牧、渔业</w:t>
            </w:r>
          </w:p>
        </w:tc>
        <w:tc>
          <w:tcPr>
            <w:tcW w:w="1359" w:type="dxa"/>
            <w:vAlign w:val="top"/>
          </w:tcPr>
          <w:p>
            <w:pPr>
              <w:pStyle w:val="9"/>
              <w:spacing w:before="109"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109"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29" w:line="237" w:lineRule="auto"/>
              <w:ind w:left="164"/>
              <w:rPr>
                <w:color w:val="auto"/>
                <w:sz w:val="20"/>
                <w:szCs w:val="20"/>
                <w:highlight w:val="none"/>
              </w:rPr>
            </w:pPr>
            <w:r>
              <w:rPr>
                <w:color w:val="auto"/>
                <w:spacing w:val="-1"/>
                <w:sz w:val="20"/>
                <w:szCs w:val="20"/>
                <w:highlight w:val="none"/>
              </w:rPr>
              <w:t>Y≥20000</w:t>
            </w:r>
          </w:p>
        </w:tc>
        <w:tc>
          <w:tcPr>
            <w:tcW w:w="1698" w:type="dxa"/>
            <w:vAlign w:val="top"/>
          </w:tcPr>
          <w:p>
            <w:pPr>
              <w:pStyle w:val="9"/>
              <w:spacing w:before="126" w:line="236" w:lineRule="auto"/>
              <w:ind w:left="245"/>
              <w:rPr>
                <w:color w:val="auto"/>
                <w:sz w:val="20"/>
                <w:szCs w:val="20"/>
                <w:highlight w:val="none"/>
              </w:rPr>
            </w:pPr>
            <w:r>
              <w:rPr>
                <w:color w:val="auto"/>
                <w:spacing w:val="-1"/>
                <w:sz w:val="20"/>
                <w:szCs w:val="20"/>
                <w:highlight w:val="none"/>
              </w:rPr>
              <w:t>500≤Y&lt;20000</w:t>
            </w:r>
          </w:p>
        </w:tc>
        <w:tc>
          <w:tcPr>
            <w:tcW w:w="1408" w:type="dxa"/>
            <w:vAlign w:val="top"/>
          </w:tcPr>
          <w:p>
            <w:pPr>
              <w:pStyle w:val="9"/>
              <w:spacing w:before="126" w:line="236" w:lineRule="auto"/>
              <w:ind w:left="247"/>
              <w:rPr>
                <w:color w:val="auto"/>
                <w:sz w:val="20"/>
                <w:szCs w:val="20"/>
                <w:highlight w:val="none"/>
              </w:rPr>
            </w:pPr>
            <w:r>
              <w:rPr>
                <w:color w:val="auto"/>
                <w:spacing w:val="-2"/>
                <w:sz w:val="20"/>
                <w:szCs w:val="20"/>
                <w:highlight w:val="none"/>
              </w:rPr>
              <w:t>50≤Y&lt;500</w:t>
            </w:r>
          </w:p>
        </w:tc>
        <w:tc>
          <w:tcPr>
            <w:tcW w:w="994" w:type="dxa"/>
            <w:vAlign w:val="top"/>
          </w:tcPr>
          <w:p>
            <w:pPr>
              <w:pStyle w:val="9"/>
              <w:spacing w:before="128"/>
              <w:ind w:left="288"/>
              <w:rPr>
                <w:color w:val="auto"/>
                <w:sz w:val="20"/>
                <w:szCs w:val="20"/>
                <w:highlight w:val="none"/>
              </w:rPr>
            </w:pPr>
            <w:r>
              <w:rPr>
                <w:color w:val="auto"/>
                <w:spacing w:val="-1"/>
                <w:sz w:val="20"/>
                <w:szCs w:val="20"/>
                <w:highlight w:val="none"/>
              </w:rPr>
              <w:t>Y&lt;50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restart"/>
            <w:tcBorders>
              <w:bottom w:val="nil"/>
            </w:tcBorders>
            <w:vAlign w:val="top"/>
          </w:tcPr>
          <w:p>
            <w:pPr>
              <w:pStyle w:val="9"/>
              <w:spacing w:before="292" w:line="232" w:lineRule="auto"/>
              <w:ind w:left="74"/>
              <w:rPr>
                <w:color w:val="auto"/>
                <w:sz w:val="20"/>
                <w:szCs w:val="20"/>
                <w:highlight w:val="none"/>
              </w:rPr>
            </w:pPr>
            <w:r>
              <w:rPr>
                <w:color w:val="auto"/>
                <w:spacing w:val="-3"/>
                <w:sz w:val="20"/>
                <w:szCs w:val="20"/>
                <w:highlight w:val="none"/>
              </w:rPr>
              <w:t>工业*</w:t>
            </w:r>
          </w:p>
        </w:tc>
        <w:tc>
          <w:tcPr>
            <w:tcW w:w="1359" w:type="dxa"/>
            <w:vAlign w:val="top"/>
          </w:tcPr>
          <w:p>
            <w:pPr>
              <w:pStyle w:val="9"/>
              <w:spacing w:before="90"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3"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09" w:line="231" w:lineRule="auto"/>
              <w:ind w:left="214"/>
              <w:rPr>
                <w:color w:val="auto"/>
                <w:sz w:val="20"/>
                <w:szCs w:val="20"/>
                <w:highlight w:val="none"/>
              </w:rPr>
            </w:pPr>
            <w:r>
              <w:rPr>
                <w:color w:val="auto"/>
                <w:spacing w:val="-1"/>
                <w:sz w:val="20"/>
                <w:szCs w:val="20"/>
                <w:highlight w:val="none"/>
              </w:rPr>
              <w:t>X≥1000</w:t>
            </w:r>
          </w:p>
        </w:tc>
        <w:tc>
          <w:tcPr>
            <w:tcW w:w="1698" w:type="dxa"/>
            <w:vAlign w:val="top"/>
          </w:tcPr>
          <w:p>
            <w:pPr>
              <w:pStyle w:val="9"/>
              <w:spacing w:before="107" w:line="233"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107" w:line="233" w:lineRule="auto"/>
              <w:ind w:left="247"/>
              <w:rPr>
                <w:color w:val="auto"/>
                <w:sz w:val="20"/>
                <w:szCs w:val="20"/>
                <w:highlight w:val="none"/>
              </w:rPr>
            </w:pPr>
            <w:r>
              <w:rPr>
                <w:color w:val="auto"/>
                <w:spacing w:val="-2"/>
                <w:sz w:val="20"/>
                <w:szCs w:val="20"/>
                <w:highlight w:val="none"/>
              </w:rPr>
              <w:t>20≤X&lt;300</w:t>
            </w:r>
          </w:p>
        </w:tc>
        <w:tc>
          <w:tcPr>
            <w:tcW w:w="994" w:type="dxa"/>
            <w:vAlign w:val="top"/>
          </w:tcPr>
          <w:p>
            <w:pPr>
              <w:pStyle w:val="9"/>
              <w:spacing w:before="109" w:line="231" w:lineRule="auto"/>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0"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0"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09" w:line="237" w:lineRule="auto"/>
              <w:ind w:left="164"/>
              <w:rPr>
                <w:color w:val="auto"/>
                <w:sz w:val="20"/>
                <w:szCs w:val="20"/>
                <w:highlight w:val="none"/>
              </w:rPr>
            </w:pPr>
            <w:r>
              <w:rPr>
                <w:color w:val="auto"/>
                <w:spacing w:val="-1"/>
                <w:sz w:val="20"/>
                <w:szCs w:val="20"/>
                <w:highlight w:val="none"/>
              </w:rPr>
              <w:t>Y≥40000</w:t>
            </w:r>
          </w:p>
        </w:tc>
        <w:tc>
          <w:tcPr>
            <w:tcW w:w="1698" w:type="dxa"/>
            <w:vAlign w:val="top"/>
          </w:tcPr>
          <w:p>
            <w:pPr>
              <w:pStyle w:val="9"/>
              <w:spacing w:before="107" w:line="236" w:lineRule="auto"/>
              <w:ind w:left="195"/>
              <w:rPr>
                <w:color w:val="auto"/>
                <w:sz w:val="20"/>
                <w:szCs w:val="20"/>
                <w:highlight w:val="none"/>
              </w:rPr>
            </w:pPr>
            <w:r>
              <w:rPr>
                <w:color w:val="auto"/>
                <w:spacing w:val="-1"/>
                <w:sz w:val="20"/>
                <w:szCs w:val="20"/>
                <w:highlight w:val="none"/>
              </w:rPr>
              <w:t>2000≤Y&lt;40000</w:t>
            </w:r>
          </w:p>
        </w:tc>
        <w:tc>
          <w:tcPr>
            <w:tcW w:w="1408" w:type="dxa"/>
            <w:vAlign w:val="top"/>
          </w:tcPr>
          <w:p>
            <w:pPr>
              <w:pStyle w:val="9"/>
              <w:spacing w:before="107" w:line="236" w:lineRule="auto"/>
              <w:ind w:left="146"/>
              <w:rPr>
                <w:color w:val="auto"/>
                <w:sz w:val="20"/>
                <w:szCs w:val="20"/>
                <w:highlight w:val="none"/>
              </w:rPr>
            </w:pPr>
            <w:r>
              <w:rPr>
                <w:color w:val="auto"/>
                <w:spacing w:val="-2"/>
                <w:sz w:val="20"/>
                <w:szCs w:val="20"/>
                <w:highlight w:val="none"/>
              </w:rPr>
              <w:t>300≤Y&lt;2000</w:t>
            </w:r>
          </w:p>
        </w:tc>
        <w:tc>
          <w:tcPr>
            <w:tcW w:w="994" w:type="dxa"/>
            <w:vAlign w:val="top"/>
          </w:tcPr>
          <w:p>
            <w:pPr>
              <w:pStyle w:val="9"/>
              <w:spacing w:before="110" w:line="239" w:lineRule="auto"/>
              <w:ind w:left="238"/>
              <w:rPr>
                <w:color w:val="auto"/>
                <w:sz w:val="20"/>
                <w:szCs w:val="20"/>
                <w:highlight w:val="none"/>
              </w:rPr>
            </w:pPr>
            <w:r>
              <w:rPr>
                <w:color w:val="auto"/>
                <w:spacing w:val="-1"/>
                <w:sz w:val="20"/>
                <w:szCs w:val="20"/>
                <w:highlight w:val="none"/>
              </w:rPr>
              <w:t>Y&lt;300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1" w:line="220" w:lineRule="auto"/>
              <w:ind w:left="74"/>
              <w:rPr>
                <w:color w:val="auto"/>
                <w:sz w:val="20"/>
                <w:szCs w:val="20"/>
                <w:highlight w:val="none"/>
              </w:rPr>
            </w:pPr>
            <w:r>
              <w:rPr>
                <w:color w:val="auto"/>
                <w:spacing w:val="-3"/>
                <w:sz w:val="20"/>
                <w:szCs w:val="20"/>
                <w:highlight w:val="none"/>
              </w:rPr>
              <w:t>建筑业</w:t>
            </w:r>
          </w:p>
        </w:tc>
        <w:tc>
          <w:tcPr>
            <w:tcW w:w="1359" w:type="dxa"/>
            <w:vAlign w:val="top"/>
          </w:tcPr>
          <w:p>
            <w:pPr>
              <w:pStyle w:val="9"/>
              <w:spacing w:before="101"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101"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20" w:line="237" w:lineRule="auto"/>
              <w:ind w:left="164"/>
              <w:rPr>
                <w:color w:val="auto"/>
                <w:sz w:val="20"/>
                <w:szCs w:val="20"/>
                <w:highlight w:val="none"/>
              </w:rPr>
            </w:pPr>
            <w:r>
              <w:rPr>
                <w:color w:val="auto"/>
                <w:spacing w:val="-1"/>
                <w:sz w:val="20"/>
                <w:szCs w:val="20"/>
                <w:highlight w:val="none"/>
              </w:rPr>
              <w:t>Y≥80000</w:t>
            </w:r>
          </w:p>
        </w:tc>
        <w:tc>
          <w:tcPr>
            <w:tcW w:w="1698" w:type="dxa"/>
            <w:vAlign w:val="top"/>
          </w:tcPr>
          <w:p>
            <w:pPr>
              <w:pStyle w:val="9"/>
              <w:spacing w:before="118" w:line="236" w:lineRule="auto"/>
              <w:ind w:left="195"/>
              <w:rPr>
                <w:color w:val="auto"/>
                <w:sz w:val="20"/>
                <w:szCs w:val="20"/>
                <w:highlight w:val="none"/>
              </w:rPr>
            </w:pPr>
            <w:r>
              <w:rPr>
                <w:color w:val="auto"/>
                <w:spacing w:val="-1"/>
                <w:sz w:val="20"/>
                <w:szCs w:val="20"/>
                <w:highlight w:val="none"/>
              </w:rPr>
              <w:t>6000≤Y&lt;80000</w:t>
            </w:r>
          </w:p>
        </w:tc>
        <w:tc>
          <w:tcPr>
            <w:tcW w:w="1408" w:type="dxa"/>
            <w:vAlign w:val="top"/>
          </w:tcPr>
          <w:p>
            <w:pPr>
              <w:pStyle w:val="9"/>
              <w:spacing w:before="118" w:line="236" w:lineRule="auto"/>
              <w:ind w:left="146"/>
              <w:rPr>
                <w:color w:val="auto"/>
                <w:sz w:val="20"/>
                <w:szCs w:val="20"/>
                <w:highlight w:val="none"/>
              </w:rPr>
            </w:pPr>
            <w:r>
              <w:rPr>
                <w:color w:val="auto"/>
                <w:spacing w:val="-2"/>
                <w:sz w:val="20"/>
                <w:szCs w:val="20"/>
                <w:highlight w:val="none"/>
              </w:rPr>
              <w:t>300≤Y&lt;6000</w:t>
            </w:r>
          </w:p>
        </w:tc>
        <w:tc>
          <w:tcPr>
            <w:tcW w:w="994" w:type="dxa"/>
            <w:vAlign w:val="top"/>
          </w:tcPr>
          <w:p>
            <w:pPr>
              <w:pStyle w:val="9"/>
              <w:spacing w:before="120"/>
              <w:ind w:left="238"/>
              <w:rPr>
                <w:color w:val="auto"/>
                <w:sz w:val="20"/>
                <w:szCs w:val="20"/>
                <w:highlight w:val="none"/>
              </w:rPr>
            </w:pPr>
            <w:r>
              <w:rPr>
                <w:color w:val="auto"/>
                <w:spacing w:val="-1"/>
                <w:sz w:val="20"/>
                <w:szCs w:val="20"/>
                <w:highlight w:val="none"/>
              </w:rPr>
              <w:t>Y&lt;300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1" w:line="219" w:lineRule="auto"/>
              <w:ind w:left="51"/>
              <w:rPr>
                <w:color w:val="auto"/>
                <w:sz w:val="20"/>
                <w:szCs w:val="20"/>
                <w:highlight w:val="none"/>
              </w:rPr>
            </w:pPr>
            <w:r>
              <w:rPr>
                <w:color w:val="auto"/>
                <w:spacing w:val="6"/>
                <w:sz w:val="20"/>
                <w:szCs w:val="20"/>
                <w:highlight w:val="none"/>
              </w:rPr>
              <w:t>资产总额(Z)</w:t>
            </w:r>
          </w:p>
        </w:tc>
        <w:tc>
          <w:tcPr>
            <w:tcW w:w="699" w:type="dxa"/>
            <w:vAlign w:val="top"/>
          </w:tcPr>
          <w:p>
            <w:pPr>
              <w:pStyle w:val="9"/>
              <w:spacing w:before="91"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1" w:line="237" w:lineRule="auto"/>
              <w:ind w:left="114"/>
              <w:rPr>
                <w:color w:val="auto"/>
                <w:sz w:val="20"/>
                <w:szCs w:val="20"/>
                <w:highlight w:val="none"/>
              </w:rPr>
            </w:pPr>
            <w:r>
              <w:rPr>
                <w:color w:val="auto"/>
                <w:spacing w:val="-1"/>
                <w:sz w:val="20"/>
                <w:szCs w:val="20"/>
                <w:highlight w:val="none"/>
              </w:rPr>
              <w:t>Z≥&gt;80000</w:t>
            </w:r>
          </w:p>
        </w:tc>
        <w:tc>
          <w:tcPr>
            <w:tcW w:w="1698" w:type="dxa"/>
            <w:vAlign w:val="top"/>
          </w:tcPr>
          <w:p>
            <w:pPr>
              <w:pStyle w:val="9"/>
              <w:spacing w:before="108" w:line="236" w:lineRule="auto"/>
              <w:ind w:left="195"/>
              <w:rPr>
                <w:color w:val="auto"/>
                <w:sz w:val="20"/>
                <w:szCs w:val="20"/>
                <w:highlight w:val="none"/>
              </w:rPr>
            </w:pPr>
            <w:r>
              <w:rPr>
                <w:color w:val="auto"/>
                <w:spacing w:val="-1"/>
                <w:sz w:val="20"/>
                <w:szCs w:val="20"/>
                <w:highlight w:val="none"/>
              </w:rPr>
              <w:t>5000≤Z&lt;80000</w:t>
            </w:r>
          </w:p>
        </w:tc>
        <w:tc>
          <w:tcPr>
            <w:tcW w:w="1408" w:type="dxa"/>
            <w:vAlign w:val="top"/>
          </w:tcPr>
          <w:p>
            <w:pPr>
              <w:pStyle w:val="9"/>
              <w:spacing w:before="108" w:line="236" w:lineRule="auto"/>
              <w:ind w:left="146"/>
              <w:rPr>
                <w:color w:val="auto"/>
                <w:sz w:val="20"/>
                <w:szCs w:val="20"/>
                <w:highlight w:val="none"/>
              </w:rPr>
            </w:pPr>
            <w:r>
              <w:rPr>
                <w:color w:val="auto"/>
                <w:spacing w:val="-2"/>
                <w:sz w:val="20"/>
                <w:szCs w:val="20"/>
                <w:highlight w:val="none"/>
              </w:rPr>
              <w:t>300≤Z&lt;5000</w:t>
            </w:r>
          </w:p>
        </w:tc>
        <w:tc>
          <w:tcPr>
            <w:tcW w:w="994" w:type="dxa"/>
            <w:vAlign w:val="top"/>
          </w:tcPr>
          <w:p>
            <w:pPr>
              <w:pStyle w:val="9"/>
              <w:spacing w:before="111" w:line="239" w:lineRule="auto"/>
              <w:ind w:left="238"/>
              <w:rPr>
                <w:color w:val="auto"/>
                <w:sz w:val="20"/>
                <w:szCs w:val="20"/>
                <w:highlight w:val="none"/>
              </w:rPr>
            </w:pPr>
            <w:r>
              <w:rPr>
                <w:color w:val="auto"/>
                <w:spacing w:val="-2"/>
                <w:sz w:val="20"/>
                <w:szCs w:val="20"/>
                <w:highlight w:val="none"/>
              </w:rPr>
              <w:t>Z&lt;300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1" w:line="220" w:lineRule="auto"/>
              <w:ind w:left="74"/>
              <w:rPr>
                <w:color w:val="auto"/>
                <w:sz w:val="20"/>
                <w:szCs w:val="20"/>
                <w:highlight w:val="none"/>
              </w:rPr>
            </w:pPr>
            <w:r>
              <w:rPr>
                <w:color w:val="auto"/>
                <w:spacing w:val="-2"/>
                <w:sz w:val="20"/>
                <w:szCs w:val="20"/>
                <w:highlight w:val="none"/>
              </w:rPr>
              <w:t>批发业</w:t>
            </w:r>
          </w:p>
        </w:tc>
        <w:tc>
          <w:tcPr>
            <w:tcW w:w="1359" w:type="dxa"/>
            <w:vAlign w:val="top"/>
          </w:tcPr>
          <w:p>
            <w:pPr>
              <w:pStyle w:val="9"/>
              <w:spacing w:before="101"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4"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0" w:line="237" w:lineRule="auto"/>
              <w:ind w:left="264"/>
              <w:rPr>
                <w:color w:val="auto"/>
                <w:sz w:val="20"/>
                <w:szCs w:val="20"/>
                <w:highlight w:val="none"/>
              </w:rPr>
            </w:pPr>
            <w:r>
              <w:rPr>
                <w:color w:val="auto"/>
                <w:spacing w:val="-1"/>
                <w:sz w:val="20"/>
                <w:szCs w:val="20"/>
                <w:highlight w:val="none"/>
              </w:rPr>
              <w:t>X≥200</w:t>
            </w:r>
          </w:p>
        </w:tc>
        <w:tc>
          <w:tcPr>
            <w:tcW w:w="1698" w:type="dxa"/>
            <w:vAlign w:val="top"/>
          </w:tcPr>
          <w:p>
            <w:pPr>
              <w:pStyle w:val="9"/>
              <w:spacing w:before="118" w:line="236" w:lineRule="auto"/>
              <w:ind w:left="394"/>
              <w:rPr>
                <w:color w:val="auto"/>
                <w:sz w:val="20"/>
                <w:szCs w:val="20"/>
                <w:highlight w:val="none"/>
              </w:rPr>
            </w:pPr>
            <w:r>
              <w:rPr>
                <w:color w:val="auto"/>
                <w:spacing w:val="-2"/>
                <w:sz w:val="20"/>
                <w:szCs w:val="20"/>
                <w:highlight w:val="none"/>
              </w:rPr>
              <w:t>20≤X&lt;200</w:t>
            </w:r>
          </w:p>
        </w:tc>
        <w:tc>
          <w:tcPr>
            <w:tcW w:w="1408" w:type="dxa"/>
            <w:vAlign w:val="top"/>
          </w:tcPr>
          <w:p>
            <w:pPr>
              <w:pStyle w:val="9"/>
              <w:spacing w:before="118" w:line="236" w:lineRule="auto"/>
              <w:ind w:left="347"/>
              <w:rPr>
                <w:color w:val="auto"/>
                <w:sz w:val="20"/>
                <w:szCs w:val="20"/>
                <w:highlight w:val="none"/>
              </w:rPr>
            </w:pPr>
            <w:r>
              <w:rPr>
                <w:color w:val="auto"/>
                <w:spacing w:val="-2"/>
                <w:sz w:val="20"/>
                <w:szCs w:val="20"/>
                <w:highlight w:val="none"/>
              </w:rPr>
              <w:t>5≤X&lt;20</w:t>
            </w:r>
          </w:p>
        </w:tc>
        <w:tc>
          <w:tcPr>
            <w:tcW w:w="994" w:type="dxa"/>
            <w:vAlign w:val="top"/>
          </w:tcPr>
          <w:p>
            <w:pPr>
              <w:pStyle w:val="9"/>
              <w:spacing w:before="120"/>
              <w:ind w:left="339"/>
              <w:rPr>
                <w:color w:val="auto"/>
                <w:sz w:val="20"/>
                <w:szCs w:val="20"/>
                <w:highlight w:val="none"/>
              </w:rPr>
            </w:pPr>
            <w:r>
              <w:rPr>
                <w:color w:val="auto"/>
                <w:spacing w:val="-2"/>
                <w:sz w:val="20"/>
                <w:szCs w:val="20"/>
                <w:highlight w:val="none"/>
              </w:rPr>
              <w:t>X&lt;5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1"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1"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0" w:line="237" w:lineRule="auto"/>
              <w:ind w:left="164"/>
              <w:rPr>
                <w:color w:val="auto"/>
                <w:sz w:val="20"/>
                <w:szCs w:val="20"/>
                <w:highlight w:val="none"/>
              </w:rPr>
            </w:pPr>
            <w:r>
              <w:rPr>
                <w:color w:val="auto"/>
                <w:spacing w:val="-1"/>
                <w:sz w:val="20"/>
                <w:szCs w:val="20"/>
                <w:highlight w:val="none"/>
              </w:rPr>
              <w:t>Y≥40000</w:t>
            </w:r>
          </w:p>
        </w:tc>
        <w:tc>
          <w:tcPr>
            <w:tcW w:w="1698" w:type="dxa"/>
            <w:vAlign w:val="top"/>
          </w:tcPr>
          <w:p>
            <w:pPr>
              <w:pStyle w:val="9"/>
              <w:spacing w:before="108" w:line="236" w:lineRule="auto"/>
              <w:ind w:left="195"/>
              <w:rPr>
                <w:color w:val="auto"/>
                <w:sz w:val="20"/>
                <w:szCs w:val="20"/>
                <w:highlight w:val="none"/>
              </w:rPr>
            </w:pPr>
            <w:r>
              <w:rPr>
                <w:color w:val="auto"/>
                <w:spacing w:val="-1"/>
                <w:sz w:val="20"/>
                <w:szCs w:val="20"/>
                <w:highlight w:val="none"/>
              </w:rPr>
              <w:t>5000≤Y&lt;40000</w:t>
            </w:r>
          </w:p>
        </w:tc>
        <w:tc>
          <w:tcPr>
            <w:tcW w:w="1408" w:type="dxa"/>
            <w:vAlign w:val="top"/>
          </w:tcPr>
          <w:p>
            <w:pPr>
              <w:pStyle w:val="9"/>
              <w:spacing w:before="108" w:line="236" w:lineRule="auto"/>
              <w:ind w:left="97"/>
              <w:rPr>
                <w:color w:val="auto"/>
                <w:sz w:val="20"/>
                <w:szCs w:val="20"/>
                <w:highlight w:val="none"/>
              </w:rPr>
            </w:pPr>
            <w:r>
              <w:rPr>
                <w:color w:val="auto"/>
                <w:spacing w:val="-2"/>
                <w:sz w:val="20"/>
                <w:szCs w:val="20"/>
                <w:highlight w:val="none"/>
              </w:rPr>
              <w:t>1000≤Y&lt;5000</w:t>
            </w:r>
          </w:p>
        </w:tc>
        <w:tc>
          <w:tcPr>
            <w:tcW w:w="994" w:type="dxa"/>
            <w:vAlign w:val="top"/>
          </w:tcPr>
          <w:p>
            <w:pPr>
              <w:pStyle w:val="9"/>
              <w:spacing w:before="111" w:line="238" w:lineRule="auto"/>
              <w:ind w:left="189"/>
              <w:rPr>
                <w:color w:val="auto"/>
                <w:sz w:val="20"/>
                <w:szCs w:val="20"/>
                <w:highlight w:val="none"/>
              </w:rPr>
            </w:pPr>
            <w:r>
              <w:rPr>
                <w:color w:val="auto"/>
                <w:spacing w:val="-1"/>
                <w:sz w:val="20"/>
                <w:szCs w:val="20"/>
                <w:highlight w:val="none"/>
              </w:rPr>
              <w:t>Y&lt;1000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restart"/>
            <w:tcBorders>
              <w:bottom w:val="nil"/>
            </w:tcBorders>
            <w:vAlign w:val="top"/>
          </w:tcPr>
          <w:p>
            <w:pPr>
              <w:pStyle w:val="9"/>
              <w:spacing w:before="292" w:line="219" w:lineRule="auto"/>
              <w:ind w:left="74"/>
              <w:rPr>
                <w:color w:val="auto"/>
                <w:sz w:val="20"/>
                <w:szCs w:val="20"/>
                <w:highlight w:val="none"/>
              </w:rPr>
            </w:pPr>
            <w:r>
              <w:rPr>
                <w:color w:val="auto"/>
                <w:spacing w:val="-2"/>
                <w:sz w:val="20"/>
                <w:szCs w:val="20"/>
                <w:highlight w:val="none"/>
              </w:rPr>
              <w:t>零售业</w:t>
            </w:r>
          </w:p>
        </w:tc>
        <w:tc>
          <w:tcPr>
            <w:tcW w:w="1359" w:type="dxa"/>
            <w:vAlign w:val="top"/>
          </w:tcPr>
          <w:p>
            <w:pPr>
              <w:pStyle w:val="9"/>
              <w:spacing w:before="92"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5"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11" w:line="237" w:lineRule="auto"/>
              <w:ind w:left="264"/>
              <w:rPr>
                <w:color w:val="auto"/>
                <w:sz w:val="20"/>
                <w:szCs w:val="20"/>
                <w:highlight w:val="none"/>
              </w:rPr>
            </w:pPr>
            <w:r>
              <w:rPr>
                <w:color w:val="auto"/>
                <w:spacing w:val="-1"/>
                <w:sz w:val="20"/>
                <w:szCs w:val="20"/>
                <w:highlight w:val="none"/>
              </w:rPr>
              <w:t>X≥300</w:t>
            </w:r>
          </w:p>
        </w:tc>
        <w:tc>
          <w:tcPr>
            <w:tcW w:w="1698" w:type="dxa"/>
            <w:vAlign w:val="top"/>
          </w:tcPr>
          <w:p>
            <w:pPr>
              <w:pStyle w:val="9"/>
              <w:spacing w:before="109" w:line="236" w:lineRule="auto"/>
              <w:ind w:left="394"/>
              <w:rPr>
                <w:color w:val="auto"/>
                <w:sz w:val="20"/>
                <w:szCs w:val="20"/>
                <w:highlight w:val="none"/>
              </w:rPr>
            </w:pPr>
            <w:r>
              <w:rPr>
                <w:color w:val="auto"/>
                <w:spacing w:val="-2"/>
                <w:sz w:val="20"/>
                <w:szCs w:val="20"/>
                <w:highlight w:val="none"/>
              </w:rPr>
              <w:t>50≤X&lt;300</w:t>
            </w:r>
          </w:p>
        </w:tc>
        <w:tc>
          <w:tcPr>
            <w:tcW w:w="1408" w:type="dxa"/>
            <w:vAlign w:val="top"/>
          </w:tcPr>
          <w:p>
            <w:pPr>
              <w:pStyle w:val="9"/>
              <w:spacing w:before="109" w:line="236" w:lineRule="auto"/>
              <w:ind w:left="297"/>
              <w:rPr>
                <w:color w:val="auto"/>
                <w:sz w:val="20"/>
                <w:szCs w:val="20"/>
                <w:highlight w:val="none"/>
              </w:rPr>
            </w:pPr>
            <w:r>
              <w:rPr>
                <w:color w:val="auto"/>
                <w:spacing w:val="-3"/>
                <w:sz w:val="20"/>
                <w:szCs w:val="20"/>
                <w:highlight w:val="none"/>
              </w:rPr>
              <w:t>10≤X&lt;50</w:t>
            </w:r>
          </w:p>
        </w:tc>
        <w:tc>
          <w:tcPr>
            <w:tcW w:w="994" w:type="dxa"/>
            <w:vAlign w:val="top"/>
          </w:tcPr>
          <w:p>
            <w:pPr>
              <w:pStyle w:val="9"/>
              <w:spacing w:before="112" w:line="237"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103"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103"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22" w:line="237" w:lineRule="auto"/>
              <w:ind w:left="164"/>
              <w:rPr>
                <w:color w:val="auto"/>
                <w:sz w:val="20"/>
                <w:szCs w:val="20"/>
                <w:highlight w:val="none"/>
              </w:rPr>
            </w:pPr>
            <w:r>
              <w:rPr>
                <w:color w:val="auto"/>
                <w:spacing w:val="-1"/>
                <w:sz w:val="20"/>
                <w:szCs w:val="20"/>
                <w:highlight w:val="none"/>
              </w:rPr>
              <w:t>Y≥20000</w:t>
            </w:r>
          </w:p>
        </w:tc>
        <w:tc>
          <w:tcPr>
            <w:tcW w:w="1698" w:type="dxa"/>
            <w:vAlign w:val="top"/>
          </w:tcPr>
          <w:p>
            <w:pPr>
              <w:pStyle w:val="9"/>
              <w:spacing w:before="120" w:line="236" w:lineRule="auto"/>
              <w:ind w:left="245"/>
              <w:rPr>
                <w:color w:val="auto"/>
                <w:sz w:val="20"/>
                <w:szCs w:val="20"/>
                <w:highlight w:val="none"/>
              </w:rPr>
            </w:pPr>
            <w:r>
              <w:rPr>
                <w:color w:val="auto"/>
                <w:spacing w:val="-1"/>
                <w:sz w:val="20"/>
                <w:szCs w:val="20"/>
                <w:highlight w:val="none"/>
              </w:rPr>
              <w:t>500≤Y&lt;20000</w:t>
            </w:r>
          </w:p>
        </w:tc>
        <w:tc>
          <w:tcPr>
            <w:tcW w:w="1408" w:type="dxa"/>
            <w:vAlign w:val="top"/>
          </w:tcPr>
          <w:p>
            <w:pPr>
              <w:pStyle w:val="9"/>
              <w:spacing w:before="120" w:line="236" w:lineRule="auto"/>
              <w:ind w:left="196"/>
              <w:rPr>
                <w:color w:val="auto"/>
                <w:sz w:val="20"/>
                <w:szCs w:val="20"/>
                <w:highlight w:val="none"/>
              </w:rPr>
            </w:pPr>
            <w:r>
              <w:rPr>
                <w:color w:val="auto"/>
                <w:spacing w:val="-3"/>
                <w:sz w:val="20"/>
                <w:szCs w:val="20"/>
                <w:highlight w:val="none"/>
              </w:rPr>
              <w:t>100≤Y&lt;500</w:t>
            </w:r>
          </w:p>
        </w:tc>
        <w:tc>
          <w:tcPr>
            <w:tcW w:w="994" w:type="dxa"/>
            <w:vAlign w:val="top"/>
          </w:tcPr>
          <w:p>
            <w:pPr>
              <w:pStyle w:val="9"/>
              <w:spacing w:before="123" w:line="237"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0" w:hRule="atLeast"/>
        </w:trPr>
        <w:tc>
          <w:tcPr>
            <w:tcW w:w="2123" w:type="dxa"/>
            <w:vMerge w:val="restart"/>
            <w:tcBorders>
              <w:bottom w:val="nil"/>
            </w:tcBorders>
            <w:vAlign w:val="top"/>
          </w:tcPr>
          <w:p>
            <w:pPr>
              <w:pStyle w:val="9"/>
              <w:spacing w:before="293" w:line="219" w:lineRule="auto"/>
              <w:ind w:left="74"/>
              <w:rPr>
                <w:color w:val="auto"/>
                <w:sz w:val="20"/>
                <w:szCs w:val="20"/>
                <w:highlight w:val="none"/>
              </w:rPr>
            </w:pPr>
            <w:r>
              <w:rPr>
                <w:color w:val="auto"/>
                <w:spacing w:val="-2"/>
                <w:sz w:val="20"/>
                <w:szCs w:val="20"/>
                <w:highlight w:val="none"/>
              </w:rPr>
              <w:t>交通运输业*</w:t>
            </w:r>
          </w:p>
        </w:tc>
        <w:tc>
          <w:tcPr>
            <w:tcW w:w="1359" w:type="dxa"/>
            <w:vAlign w:val="top"/>
          </w:tcPr>
          <w:p>
            <w:pPr>
              <w:pStyle w:val="9"/>
              <w:spacing w:before="103"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6"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2" w:line="237" w:lineRule="auto"/>
              <w:ind w:left="214"/>
              <w:rPr>
                <w:color w:val="auto"/>
                <w:sz w:val="20"/>
                <w:szCs w:val="20"/>
                <w:highlight w:val="none"/>
              </w:rPr>
            </w:pPr>
            <w:r>
              <w:rPr>
                <w:color w:val="auto"/>
                <w:spacing w:val="-1"/>
                <w:sz w:val="20"/>
                <w:szCs w:val="20"/>
                <w:highlight w:val="none"/>
              </w:rPr>
              <w:t>X≥1000</w:t>
            </w:r>
          </w:p>
        </w:tc>
        <w:tc>
          <w:tcPr>
            <w:tcW w:w="1698" w:type="dxa"/>
            <w:vAlign w:val="top"/>
          </w:tcPr>
          <w:p>
            <w:pPr>
              <w:pStyle w:val="9"/>
              <w:spacing w:before="120" w:line="236"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120" w:line="236" w:lineRule="auto"/>
              <w:ind w:left="247"/>
              <w:rPr>
                <w:color w:val="auto"/>
                <w:sz w:val="20"/>
                <w:szCs w:val="20"/>
                <w:highlight w:val="none"/>
              </w:rPr>
            </w:pPr>
            <w:r>
              <w:rPr>
                <w:color w:val="auto"/>
                <w:spacing w:val="-2"/>
                <w:sz w:val="20"/>
                <w:szCs w:val="20"/>
                <w:highlight w:val="none"/>
              </w:rPr>
              <w:t>20≤X&lt;300</w:t>
            </w:r>
          </w:p>
        </w:tc>
        <w:tc>
          <w:tcPr>
            <w:tcW w:w="994" w:type="dxa"/>
            <w:vAlign w:val="top"/>
          </w:tcPr>
          <w:p>
            <w:pPr>
              <w:pStyle w:val="9"/>
              <w:spacing w:before="123" w:line="237" w:lineRule="auto"/>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3"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3"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2" w:line="237" w:lineRule="auto"/>
              <w:ind w:left="164"/>
              <w:rPr>
                <w:color w:val="auto"/>
                <w:sz w:val="20"/>
                <w:szCs w:val="20"/>
                <w:highlight w:val="none"/>
              </w:rPr>
            </w:pPr>
            <w:r>
              <w:rPr>
                <w:color w:val="auto"/>
                <w:spacing w:val="-1"/>
                <w:sz w:val="20"/>
                <w:szCs w:val="20"/>
                <w:highlight w:val="none"/>
              </w:rPr>
              <w:t>Y≥30000</w:t>
            </w:r>
          </w:p>
        </w:tc>
        <w:tc>
          <w:tcPr>
            <w:tcW w:w="1698" w:type="dxa"/>
            <w:vAlign w:val="top"/>
          </w:tcPr>
          <w:p>
            <w:pPr>
              <w:pStyle w:val="9"/>
              <w:spacing w:before="110" w:line="236" w:lineRule="auto"/>
              <w:ind w:left="195"/>
              <w:rPr>
                <w:color w:val="auto"/>
                <w:sz w:val="20"/>
                <w:szCs w:val="20"/>
                <w:highlight w:val="none"/>
              </w:rPr>
            </w:pPr>
            <w:r>
              <w:rPr>
                <w:color w:val="auto"/>
                <w:spacing w:val="-1"/>
                <w:sz w:val="20"/>
                <w:szCs w:val="20"/>
                <w:highlight w:val="none"/>
              </w:rPr>
              <w:t>3000≤Y&lt;30000</w:t>
            </w:r>
          </w:p>
        </w:tc>
        <w:tc>
          <w:tcPr>
            <w:tcW w:w="1408" w:type="dxa"/>
            <w:vAlign w:val="top"/>
          </w:tcPr>
          <w:p>
            <w:pPr>
              <w:pStyle w:val="9"/>
              <w:spacing w:before="110" w:line="236" w:lineRule="auto"/>
              <w:ind w:left="146"/>
              <w:rPr>
                <w:color w:val="auto"/>
                <w:sz w:val="20"/>
                <w:szCs w:val="20"/>
                <w:highlight w:val="none"/>
              </w:rPr>
            </w:pPr>
            <w:r>
              <w:rPr>
                <w:color w:val="auto"/>
                <w:spacing w:val="-1"/>
                <w:sz w:val="20"/>
                <w:szCs w:val="20"/>
                <w:highlight w:val="none"/>
              </w:rPr>
              <w:t>200≤Y&lt;3000</w:t>
            </w:r>
          </w:p>
        </w:tc>
        <w:tc>
          <w:tcPr>
            <w:tcW w:w="994" w:type="dxa"/>
            <w:vAlign w:val="top"/>
          </w:tcPr>
          <w:p>
            <w:pPr>
              <w:pStyle w:val="9"/>
              <w:spacing w:before="113" w:line="236" w:lineRule="auto"/>
              <w:ind w:left="238"/>
              <w:rPr>
                <w:color w:val="auto"/>
                <w:sz w:val="20"/>
                <w:szCs w:val="20"/>
                <w:highlight w:val="none"/>
              </w:rPr>
            </w:pPr>
            <w:r>
              <w:rPr>
                <w:color w:val="auto"/>
                <w:spacing w:val="-1"/>
                <w:sz w:val="20"/>
                <w:szCs w:val="20"/>
                <w:highlight w:val="none"/>
              </w:rPr>
              <w:t>Y&lt;200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4" w:line="220" w:lineRule="auto"/>
              <w:ind w:left="74"/>
              <w:rPr>
                <w:color w:val="auto"/>
                <w:sz w:val="20"/>
                <w:szCs w:val="20"/>
                <w:highlight w:val="none"/>
              </w:rPr>
            </w:pPr>
            <w:r>
              <w:rPr>
                <w:color w:val="auto"/>
                <w:spacing w:val="-2"/>
                <w:sz w:val="20"/>
                <w:szCs w:val="20"/>
                <w:highlight w:val="none"/>
              </w:rPr>
              <w:t>仓储业*</w:t>
            </w:r>
          </w:p>
        </w:tc>
        <w:tc>
          <w:tcPr>
            <w:tcW w:w="1359" w:type="dxa"/>
            <w:vAlign w:val="top"/>
          </w:tcPr>
          <w:p>
            <w:pPr>
              <w:pStyle w:val="9"/>
              <w:spacing w:before="104"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7"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3" w:line="237" w:lineRule="auto"/>
              <w:ind w:left="264"/>
              <w:rPr>
                <w:color w:val="auto"/>
                <w:sz w:val="20"/>
                <w:szCs w:val="20"/>
                <w:highlight w:val="none"/>
              </w:rPr>
            </w:pPr>
            <w:r>
              <w:rPr>
                <w:color w:val="auto"/>
                <w:spacing w:val="-1"/>
                <w:sz w:val="20"/>
                <w:szCs w:val="20"/>
                <w:highlight w:val="none"/>
              </w:rPr>
              <w:t>X≥200</w:t>
            </w:r>
          </w:p>
        </w:tc>
        <w:tc>
          <w:tcPr>
            <w:tcW w:w="1698" w:type="dxa"/>
            <w:vAlign w:val="top"/>
          </w:tcPr>
          <w:p>
            <w:pPr>
              <w:pStyle w:val="9"/>
              <w:spacing w:before="121" w:line="236" w:lineRule="auto"/>
              <w:ind w:left="344"/>
              <w:rPr>
                <w:color w:val="auto"/>
                <w:sz w:val="20"/>
                <w:szCs w:val="20"/>
                <w:highlight w:val="none"/>
              </w:rPr>
            </w:pPr>
            <w:r>
              <w:rPr>
                <w:color w:val="auto"/>
                <w:spacing w:val="-3"/>
                <w:sz w:val="20"/>
                <w:szCs w:val="20"/>
                <w:highlight w:val="none"/>
              </w:rPr>
              <w:t>100≤X&lt;200</w:t>
            </w:r>
          </w:p>
        </w:tc>
        <w:tc>
          <w:tcPr>
            <w:tcW w:w="1408" w:type="dxa"/>
            <w:vAlign w:val="top"/>
          </w:tcPr>
          <w:p>
            <w:pPr>
              <w:pStyle w:val="9"/>
              <w:spacing w:before="121" w:line="236" w:lineRule="auto"/>
              <w:ind w:left="247"/>
              <w:rPr>
                <w:color w:val="auto"/>
                <w:sz w:val="20"/>
                <w:szCs w:val="20"/>
                <w:highlight w:val="none"/>
              </w:rPr>
            </w:pPr>
            <w:r>
              <w:rPr>
                <w:color w:val="auto"/>
                <w:spacing w:val="-2"/>
                <w:sz w:val="20"/>
                <w:szCs w:val="20"/>
                <w:highlight w:val="none"/>
              </w:rPr>
              <w:t>20≤K&lt;100</w:t>
            </w:r>
          </w:p>
        </w:tc>
        <w:tc>
          <w:tcPr>
            <w:tcW w:w="994" w:type="dxa"/>
            <w:vAlign w:val="top"/>
          </w:tcPr>
          <w:p>
            <w:pPr>
              <w:pStyle w:val="9"/>
              <w:spacing w:before="123"/>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4"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4"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3" w:line="237" w:lineRule="auto"/>
              <w:ind w:left="164"/>
              <w:rPr>
                <w:color w:val="auto"/>
                <w:sz w:val="20"/>
                <w:szCs w:val="20"/>
                <w:highlight w:val="none"/>
              </w:rPr>
            </w:pPr>
            <w:r>
              <w:rPr>
                <w:color w:val="auto"/>
                <w:spacing w:val="-1"/>
                <w:sz w:val="20"/>
                <w:szCs w:val="20"/>
                <w:highlight w:val="none"/>
              </w:rPr>
              <w:t>Y≥30000</w:t>
            </w:r>
          </w:p>
        </w:tc>
        <w:tc>
          <w:tcPr>
            <w:tcW w:w="1698" w:type="dxa"/>
            <w:vAlign w:val="top"/>
          </w:tcPr>
          <w:p>
            <w:pPr>
              <w:pStyle w:val="9"/>
              <w:spacing w:before="111" w:line="236" w:lineRule="auto"/>
              <w:ind w:left="195"/>
              <w:rPr>
                <w:color w:val="auto"/>
                <w:sz w:val="20"/>
                <w:szCs w:val="20"/>
                <w:highlight w:val="none"/>
              </w:rPr>
            </w:pPr>
            <w:r>
              <w:rPr>
                <w:color w:val="auto"/>
                <w:spacing w:val="-2"/>
                <w:sz w:val="20"/>
                <w:szCs w:val="20"/>
                <w:highlight w:val="none"/>
              </w:rPr>
              <w:t>1000≤Y&lt;30000</w:t>
            </w:r>
          </w:p>
        </w:tc>
        <w:tc>
          <w:tcPr>
            <w:tcW w:w="1408" w:type="dxa"/>
            <w:vAlign w:val="top"/>
          </w:tcPr>
          <w:p>
            <w:pPr>
              <w:pStyle w:val="9"/>
              <w:spacing w:before="111" w:line="236" w:lineRule="auto"/>
              <w:ind w:left="146"/>
              <w:rPr>
                <w:color w:val="auto"/>
                <w:sz w:val="20"/>
                <w:szCs w:val="20"/>
                <w:highlight w:val="none"/>
              </w:rPr>
            </w:pPr>
            <w:r>
              <w:rPr>
                <w:color w:val="auto"/>
                <w:spacing w:val="-3"/>
                <w:sz w:val="20"/>
                <w:szCs w:val="20"/>
                <w:highlight w:val="none"/>
              </w:rPr>
              <w:t>100≤Y&lt;1000</w:t>
            </w:r>
          </w:p>
        </w:tc>
        <w:tc>
          <w:tcPr>
            <w:tcW w:w="994" w:type="dxa"/>
            <w:vAlign w:val="top"/>
          </w:tcPr>
          <w:p>
            <w:pPr>
              <w:pStyle w:val="9"/>
              <w:spacing w:before="114" w:line="236"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5" w:line="221" w:lineRule="auto"/>
              <w:ind w:left="74"/>
              <w:rPr>
                <w:color w:val="auto"/>
                <w:sz w:val="20"/>
                <w:szCs w:val="20"/>
                <w:highlight w:val="none"/>
              </w:rPr>
            </w:pPr>
            <w:r>
              <w:rPr>
                <w:color w:val="auto"/>
                <w:spacing w:val="1"/>
                <w:sz w:val="20"/>
                <w:szCs w:val="20"/>
                <w:highlight w:val="none"/>
              </w:rPr>
              <w:t>由邮政业</w:t>
            </w:r>
          </w:p>
        </w:tc>
        <w:tc>
          <w:tcPr>
            <w:tcW w:w="1359" w:type="dxa"/>
            <w:vAlign w:val="top"/>
          </w:tcPr>
          <w:p>
            <w:pPr>
              <w:pStyle w:val="9"/>
              <w:spacing w:before="104"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7"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3" w:line="237" w:lineRule="auto"/>
              <w:ind w:left="214"/>
              <w:rPr>
                <w:color w:val="auto"/>
                <w:sz w:val="20"/>
                <w:szCs w:val="20"/>
                <w:highlight w:val="none"/>
              </w:rPr>
            </w:pPr>
            <w:r>
              <w:rPr>
                <w:color w:val="auto"/>
                <w:spacing w:val="-2"/>
                <w:sz w:val="20"/>
                <w:szCs w:val="20"/>
                <w:highlight w:val="none"/>
              </w:rPr>
              <w:t>x≥1000</w:t>
            </w:r>
          </w:p>
        </w:tc>
        <w:tc>
          <w:tcPr>
            <w:tcW w:w="1698" w:type="dxa"/>
            <w:vAlign w:val="top"/>
          </w:tcPr>
          <w:p>
            <w:pPr>
              <w:pStyle w:val="9"/>
              <w:spacing w:before="121" w:line="236"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121" w:line="236" w:lineRule="auto"/>
              <w:ind w:left="247"/>
              <w:rPr>
                <w:color w:val="auto"/>
                <w:sz w:val="20"/>
                <w:szCs w:val="20"/>
                <w:highlight w:val="none"/>
              </w:rPr>
            </w:pPr>
            <w:r>
              <w:rPr>
                <w:color w:val="auto"/>
                <w:spacing w:val="-2"/>
                <w:sz w:val="20"/>
                <w:szCs w:val="20"/>
                <w:highlight w:val="none"/>
              </w:rPr>
              <w:t>20≤X&lt;300</w:t>
            </w:r>
          </w:p>
        </w:tc>
        <w:tc>
          <w:tcPr>
            <w:tcW w:w="994" w:type="dxa"/>
            <w:vAlign w:val="top"/>
          </w:tcPr>
          <w:p>
            <w:pPr>
              <w:pStyle w:val="9"/>
              <w:spacing w:before="123"/>
              <w:ind w:left="288"/>
              <w:rPr>
                <w:color w:val="auto"/>
                <w:sz w:val="20"/>
                <w:szCs w:val="20"/>
                <w:highlight w:val="none"/>
              </w:rPr>
            </w:pPr>
            <w:r>
              <w:rPr>
                <w:color w:val="auto"/>
                <w:spacing w:val="-2"/>
                <w:sz w:val="20"/>
                <w:szCs w:val="20"/>
                <w:highlight w:val="none"/>
              </w:rPr>
              <w:t>X&lt;20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4"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4"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3" w:line="236" w:lineRule="auto"/>
              <w:ind w:left="164"/>
              <w:rPr>
                <w:color w:val="auto"/>
                <w:sz w:val="20"/>
                <w:szCs w:val="20"/>
                <w:highlight w:val="none"/>
              </w:rPr>
            </w:pPr>
            <w:r>
              <w:rPr>
                <w:color w:val="auto"/>
                <w:spacing w:val="-1"/>
                <w:sz w:val="20"/>
                <w:szCs w:val="20"/>
                <w:highlight w:val="none"/>
              </w:rPr>
              <w:t>Y≥30000</w:t>
            </w:r>
          </w:p>
        </w:tc>
        <w:tc>
          <w:tcPr>
            <w:tcW w:w="1698" w:type="dxa"/>
            <w:vAlign w:val="top"/>
          </w:tcPr>
          <w:p>
            <w:pPr>
              <w:pStyle w:val="9"/>
              <w:spacing w:before="111" w:line="236" w:lineRule="auto"/>
              <w:ind w:left="195"/>
              <w:rPr>
                <w:color w:val="auto"/>
                <w:sz w:val="20"/>
                <w:szCs w:val="20"/>
                <w:highlight w:val="none"/>
              </w:rPr>
            </w:pPr>
            <w:r>
              <w:rPr>
                <w:color w:val="auto"/>
                <w:spacing w:val="-1"/>
                <w:sz w:val="20"/>
                <w:szCs w:val="20"/>
                <w:highlight w:val="none"/>
              </w:rPr>
              <w:t>2000≤Y&lt;30000</w:t>
            </w:r>
          </w:p>
        </w:tc>
        <w:tc>
          <w:tcPr>
            <w:tcW w:w="1408" w:type="dxa"/>
            <w:vAlign w:val="top"/>
          </w:tcPr>
          <w:p>
            <w:pPr>
              <w:pStyle w:val="9"/>
              <w:spacing w:before="111" w:line="236" w:lineRule="auto"/>
              <w:ind w:left="146"/>
              <w:rPr>
                <w:color w:val="auto"/>
                <w:sz w:val="20"/>
                <w:szCs w:val="20"/>
                <w:highlight w:val="none"/>
              </w:rPr>
            </w:pPr>
            <w:r>
              <w:rPr>
                <w:color w:val="auto"/>
                <w:spacing w:val="-3"/>
                <w:sz w:val="20"/>
                <w:szCs w:val="20"/>
                <w:highlight w:val="none"/>
              </w:rPr>
              <w:t>100≤Y&lt;2000</w:t>
            </w:r>
          </w:p>
        </w:tc>
        <w:tc>
          <w:tcPr>
            <w:tcW w:w="994" w:type="dxa"/>
            <w:vAlign w:val="top"/>
          </w:tcPr>
          <w:p>
            <w:pPr>
              <w:pStyle w:val="9"/>
              <w:spacing w:before="114" w:line="235"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305" w:line="219" w:lineRule="auto"/>
              <w:ind w:left="74"/>
              <w:rPr>
                <w:color w:val="auto"/>
                <w:sz w:val="20"/>
                <w:szCs w:val="20"/>
                <w:highlight w:val="none"/>
              </w:rPr>
            </w:pPr>
            <w:r>
              <w:rPr>
                <w:color w:val="auto"/>
                <w:spacing w:val="-2"/>
                <w:sz w:val="20"/>
                <w:szCs w:val="20"/>
                <w:highlight w:val="none"/>
              </w:rPr>
              <w:t>住宿业</w:t>
            </w:r>
          </w:p>
        </w:tc>
        <w:tc>
          <w:tcPr>
            <w:tcW w:w="1359" w:type="dxa"/>
            <w:vAlign w:val="top"/>
          </w:tcPr>
          <w:p>
            <w:pPr>
              <w:pStyle w:val="9"/>
              <w:spacing w:before="105"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08"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5" w:line="237" w:lineRule="auto"/>
              <w:ind w:left="264"/>
              <w:rPr>
                <w:color w:val="auto"/>
                <w:sz w:val="20"/>
                <w:szCs w:val="20"/>
                <w:highlight w:val="none"/>
              </w:rPr>
            </w:pPr>
            <w:r>
              <w:rPr>
                <w:color w:val="auto"/>
                <w:spacing w:val="-1"/>
                <w:sz w:val="20"/>
                <w:szCs w:val="20"/>
                <w:highlight w:val="none"/>
              </w:rPr>
              <w:t>X≥300</w:t>
            </w:r>
          </w:p>
        </w:tc>
        <w:tc>
          <w:tcPr>
            <w:tcW w:w="1698" w:type="dxa"/>
            <w:vAlign w:val="top"/>
          </w:tcPr>
          <w:p>
            <w:pPr>
              <w:pStyle w:val="9"/>
              <w:spacing w:before="122" w:line="236"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22"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24"/>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5"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5"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4" w:line="235" w:lineRule="auto"/>
              <w:ind w:left="164"/>
              <w:rPr>
                <w:color w:val="auto"/>
                <w:sz w:val="20"/>
                <w:szCs w:val="20"/>
                <w:highlight w:val="none"/>
              </w:rPr>
            </w:pPr>
            <w:r>
              <w:rPr>
                <w:color w:val="auto"/>
                <w:spacing w:val="-1"/>
                <w:sz w:val="20"/>
                <w:szCs w:val="20"/>
                <w:highlight w:val="none"/>
              </w:rPr>
              <w:t>Y≥10000</w:t>
            </w:r>
          </w:p>
        </w:tc>
        <w:tc>
          <w:tcPr>
            <w:tcW w:w="1698" w:type="dxa"/>
            <w:vAlign w:val="top"/>
          </w:tcPr>
          <w:p>
            <w:pPr>
              <w:pStyle w:val="9"/>
              <w:spacing w:before="112" w:line="236" w:lineRule="auto"/>
              <w:ind w:left="195"/>
              <w:rPr>
                <w:color w:val="auto"/>
                <w:sz w:val="20"/>
                <w:szCs w:val="20"/>
                <w:highlight w:val="none"/>
              </w:rPr>
            </w:pPr>
            <w:r>
              <w:rPr>
                <w:color w:val="auto"/>
                <w:spacing w:val="-1"/>
                <w:sz w:val="20"/>
                <w:szCs w:val="20"/>
                <w:highlight w:val="none"/>
              </w:rPr>
              <w:t>2000≤Y&lt;10000</w:t>
            </w:r>
          </w:p>
        </w:tc>
        <w:tc>
          <w:tcPr>
            <w:tcW w:w="1408" w:type="dxa"/>
            <w:vAlign w:val="top"/>
          </w:tcPr>
          <w:p>
            <w:pPr>
              <w:pStyle w:val="9"/>
              <w:spacing w:before="112" w:line="236" w:lineRule="auto"/>
              <w:ind w:left="146"/>
              <w:rPr>
                <w:color w:val="auto"/>
                <w:sz w:val="20"/>
                <w:szCs w:val="20"/>
                <w:highlight w:val="none"/>
              </w:rPr>
            </w:pPr>
            <w:r>
              <w:rPr>
                <w:color w:val="auto"/>
                <w:spacing w:val="-3"/>
                <w:sz w:val="20"/>
                <w:szCs w:val="20"/>
                <w:highlight w:val="none"/>
              </w:rPr>
              <w:t>100≤Y&lt;2000</w:t>
            </w:r>
          </w:p>
        </w:tc>
        <w:tc>
          <w:tcPr>
            <w:tcW w:w="994" w:type="dxa"/>
            <w:vAlign w:val="top"/>
          </w:tcPr>
          <w:p>
            <w:pPr>
              <w:pStyle w:val="9"/>
              <w:spacing w:before="115" w:line="234"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trPr>
        <w:tc>
          <w:tcPr>
            <w:tcW w:w="2123" w:type="dxa"/>
            <w:vMerge w:val="restart"/>
            <w:tcBorders>
              <w:bottom w:val="nil"/>
            </w:tcBorders>
            <w:vAlign w:val="top"/>
          </w:tcPr>
          <w:p>
            <w:pPr>
              <w:pStyle w:val="9"/>
              <w:spacing w:before="296" w:line="219" w:lineRule="auto"/>
              <w:ind w:left="74"/>
              <w:rPr>
                <w:color w:val="auto"/>
                <w:sz w:val="20"/>
                <w:szCs w:val="20"/>
                <w:highlight w:val="none"/>
              </w:rPr>
            </w:pPr>
            <w:r>
              <w:rPr>
                <w:color w:val="auto"/>
                <w:spacing w:val="-3"/>
                <w:sz w:val="20"/>
                <w:szCs w:val="20"/>
                <w:highlight w:val="none"/>
              </w:rPr>
              <w:t>餐饮业</w:t>
            </w:r>
          </w:p>
        </w:tc>
        <w:tc>
          <w:tcPr>
            <w:tcW w:w="1359" w:type="dxa"/>
            <w:vAlign w:val="top"/>
          </w:tcPr>
          <w:p>
            <w:pPr>
              <w:pStyle w:val="9"/>
              <w:spacing w:before="96"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9"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15" w:line="235" w:lineRule="auto"/>
              <w:ind w:left="264"/>
              <w:rPr>
                <w:color w:val="auto"/>
                <w:sz w:val="20"/>
                <w:szCs w:val="20"/>
                <w:highlight w:val="none"/>
              </w:rPr>
            </w:pPr>
            <w:r>
              <w:rPr>
                <w:color w:val="auto"/>
                <w:spacing w:val="-2"/>
                <w:sz w:val="20"/>
                <w:szCs w:val="20"/>
                <w:highlight w:val="none"/>
              </w:rPr>
              <w:t>x≥300</w:t>
            </w:r>
          </w:p>
        </w:tc>
        <w:tc>
          <w:tcPr>
            <w:tcW w:w="1698" w:type="dxa"/>
            <w:vAlign w:val="top"/>
          </w:tcPr>
          <w:p>
            <w:pPr>
              <w:pStyle w:val="9"/>
              <w:spacing w:before="113" w:line="236"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13"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16" w:line="234"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6"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6"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5" w:line="234" w:lineRule="auto"/>
              <w:ind w:left="164"/>
              <w:rPr>
                <w:color w:val="auto"/>
                <w:sz w:val="20"/>
                <w:szCs w:val="20"/>
                <w:highlight w:val="none"/>
              </w:rPr>
            </w:pPr>
            <w:r>
              <w:rPr>
                <w:color w:val="auto"/>
                <w:spacing w:val="-1"/>
                <w:sz w:val="20"/>
                <w:szCs w:val="20"/>
                <w:highlight w:val="none"/>
              </w:rPr>
              <w:t>Y≥10000</w:t>
            </w:r>
          </w:p>
        </w:tc>
        <w:tc>
          <w:tcPr>
            <w:tcW w:w="1698" w:type="dxa"/>
            <w:vAlign w:val="top"/>
          </w:tcPr>
          <w:p>
            <w:pPr>
              <w:pStyle w:val="9"/>
              <w:spacing w:before="114" w:line="235" w:lineRule="auto"/>
              <w:ind w:left="195"/>
              <w:rPr>
                <w:color w:val="auto"/>
                <w:sz w:val="20"/>
                <w:szCs w:val="20"/>
                <w:highlight w:val="none"/>
              </w:rPr>
            </w:pPr>
            <w:r>
              <w:rPr>
                <w:color w:val="auto"/>
                <w:spacing w:val="-1"/>
                <w:sz w:val="20"/>
                <w:szCs w:val="20"/>
                <w:highlight w:val="none"/>
              </w:rPr>
              <w:t>2000≤Y&lt;10000</w:t>
            </w:r>
          </w:p>
        </w:tc>
        <w:tc>
          <w:tcPr>
            <w:tcW w:w="1408" w:type="dxa"/>
            <w:vAlign w:val="top"/>
          </w:tcPr>
          <w:p>
            <w:pPr>
              <w:pStyle w:val="9"/>
              <w:spacing w:before="114" w:line="235" w:lineRule="auto"/>
              <w:ind w:left="146"/>
              <w:rPr>
                <w:color w:val="auto"/>
                <w:sz w:val="20"/>
                <w:szCs w:val="20"/>
                <w:highlight w:val="none"/>
              </w:rPr>
            </w:pPr>
            <w:r>
              <w:rPr>
                <w:color w:val="auto"/>
                <w:spacing w:val="-3"/>
                <w:sz w:val="20"/>
                <w:szCs w:val="20"/>
                <w:highlight w:val="none"/>
              </w:rPr>
              <w:t>100≤Y&lt;2000</w:t>
            </w:r>
          </w:p>
        </w:tc>
        <w:tc>
          <w:tcPr>
            <w:tcW w:w="994" w:type="dxa"/>
            <w:vAlign w:val="top"/>
          </w:tcPr>
          <w:p>
            <w:pPr>
              <w:pStyle w:val="9"/>
              <w:spacing w:before="116" w:line="233"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2123" w:type="dxa"/>
            <w:vMerge w:val="restart"/>
            <w:tcBorders>
              <w:bottom w:val="nil"/>
            </w:tcBorders>
            <w:vAlign w:val="top"/>
          </w:tcPr>
          <w:p>
            <w:pPr>
              <w:pStyle w:val="9"/>
              <w:spacing w:before="295" w:line="219" w:lineRule="auto"/>
              <w:ind w:left="74"/>
              <w:rPr>
                <w:color w:val="auto"/>
                <w:sz w:val="20"/>
                <w:szCs w:val="20"/>
                <w:highlight w:val="none"/>
              </w:rPr>
            </w:pPr>
            <w:r>
              <w:rPr>
                <w:color w:val="auto"/>
                <w:spacing w:val="-2"/>
                <w:sz w:val="20"/>
                <w:szCs w:val="20"/>
                <w:highlight w:val="none"/>
              </w:rPr>
              <w:t>信息传输业*</w:t>
            </w:r>
          </w:p>
        </w:tc>
        <w:tc>
          <w:tcPr>
            <w:tcW w:w="1359" w:type="dxa"/>
            <w:vAlign w:val="top"/>
          </w:tcPr>
          <w:p>
            <w:pPr>
              <w:pStyle w:val="9"/>
              <w:spacing w:before="107"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10"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7" w:line="237" w:lineRule="auto"/>
              <w:ind w:left="214"/>
              <w:rPr>
                <w:color w:val="auto"/>
                <w:sz w:val="20"/>
                <w:szCs w:val="20"/>
                <w:highlight w:val="none"/>
              </w:rPr>
            </w:pPr>
            <w:r>
              <w:rPr>
                <w:color w:val="auto"/>
                <w:spacing w:val="-1"/>
                <w:sz w:val="20"/>
                <w:szCs w:val="20"/>
                <w:highlight w:val="none"/>
              </w:rPr>
              <w:t>X≥2000</w:t>
            </w:r>
          </w:p>
        </w:tc>
        <w:tc>
          <w:tcPr>
            <w:tcW w:w="1698" w:type="dxa"/>
            <w:vAlign w:val="top"/>
          </w:tcPr>
          <w:p>
            <w:pPr>
              <w:pStyle w:val="9"/>
              <w:spacing w:before="124" w:line="236" w:lineRule="auto"/>
              <w:ind w:left="295"/>
              <w:rPr>
                <w:color w:val="auto"/>
                <w:sz w:val="20"/>
                <w:szCs w:val="20"/>
                <w:highlight w:val="none"/>
              </w:rPr>
            </w:pPr>
            <w:r>
              <w:rPr>
                <w:color w:val="auto"/>
                <w:spacing w:val="-3"/>
                <w:sz w:val="20"/>
                <w:szCs w:val="20"/>
                <w:highlight w:val="none"/>
              </w:rPr>
              <w:t>100≤X&lt;2000</w:t>
            </w:r>
          </w:p>
        </w:tc>
        <w:tc>
          <w:tcPr>
            <w:tcW w:w="1408" w:type="dxa"/>
            <w:vAlign w:val="top"/>
          </w:tcPr>
          <w:p>
            <w:pPr>
              <w:pStyle w:val="9"/>
              <w:spacing w:before="124"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26"/>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97"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97"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16" w:line="225" w:lineRule="auto"/>
              <w:ind w:left="114"/>
              <w:rPr>
                <w:color w:val="auto"/>
                <w:sz w:val="20"/>
                <w:szCs w:val="20"/>
                <w:highlight w:val="none"/>
              </w:rPr>
            </w:pPr>
            <w:r>
              <w:rPr>
                <w:color w:val="auto"/>
                <w:spacing w:val="-3"/>
                <w:sz w:val="20"/>
                <w:szCs w:val="20"/>
                <w:highlight w:val="none"/>
              </w:rPr>
              <w:t>I≥100000</w:t>
            </w:r>
          </w:p>
        </w:tc>
        <w:tc>
          <w:tcPr>
            <w:tcW w:w="1698" w:type="dxa"/>
            <w:vAlign w:val="top"/>
          </w:tcPr>
          <w:p>
            <w:pPr>
              <w:pStyle w:val="9"/>
              <w:spacing w:before="115" w:line="226" w:lineRule="auto"/>
              <w:ind w:left="144"/>
              <w:rPr>
                <w:color w:val="auto"/>
                <w:sz w:val="20"/>
                <w:szCs w:val="20"/>
                <w:highlight w:val="none"/>
              </w:rPr>
            </w:pPr>
            <w:r>
              <w:rPr>
                <w:color w:val="auto"/>
                <w:spacing w:val="-2"/>
                <w:sz w:val="20"/>
                <w:szCs w:val="20"/>
                <w:highlight w:val="none"/>
              </w:rPr>
              <w:t>1000≤Y&lt;100000</w:t>
            </w:r>
          </w:p>
        </w:tc>
        <w:tc>
          <w:tcPr>
            <w:tcW w:w="1408" w:type="dxa"/>
            <w:vAlign w:val="top"/>
          </w:tcPr>
          <w:p>
            <w:pPr>
              <w:pStyle w:val="9"/>
              <w:spacing w:before="115" w:line="226" w:lineRule="auto"/>
              <w:ind w:left="146"/>
              <w:rPr>
                <w:color w:val="auto"/>
                <w:sz w:val="20"/>
                <w:szCs w:val="20"/>
                <w:highlight w:val="none"/>
              </w:rPr>
            </w:pPr>
            <w:r>
              <w:rPr>
                <w:color w:val="auto"/>
                <w:spacing w:val="-3"/>
                <w:sz w:val="20"/>
                <w:szCs w:val="20"/>
                <w:highlight w:val="none"/>
              </w:rPr>
              <w:t>100≤Y&lt;1000</w:t>
            </w:r>
          </w:p>
        </w:tc>
        <w:tc>
          <w:tcPr>
            <w:tcW w:w="994" w:type="dxa"/>
            <w:vAlign w:val="top"/>
          </w:tcPr>
          <w:p>
            <w:pPr>
              <w:pStyle w:val="9"/>
              <w:spacing w:before="117" w:line="224"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2123" w:type="dxa"/>
            <w:vMerge w:val="restart"/>
            <w:tcBorders>
              <w:bottom w:val="nil"/>
            </w:tcBorders>
            <w:vAlign w:val="top"/>
          </w:tcPr>
          <w:p>
            <w:pPr>
              <w:pStyle w:val="9"/>
              <w:spacing w:before="247" w:line="219" w:lineRule="auto"/>
              <w:ind w:left="74"/>
              <w:rPr>
                <w:color w:val="auto"/>
                <w:sz w:val="20"/>
                <w:szCs w:val="20"/>
                <w:highlight w:val="none"/>
              </w:rPr>
            </w:pPr>
            <w:r>
              <w:rPr>
                <w:color w:val="auto"/>
                <w:spacing w:val="-2"/>
                <w:sz w:val="20"/>
                <w:szCs w:val="20"/>
                <w:highlight w:val="none"/>
              </w:rPr>
              <w:t>软件和言息技术脇业</w:t>
            </w:r>
          </w:p>
        </w:tc>
        <w:tc>
          <w:tcPr>
            <w:tcW w:w="1359" w:type="dxa"/>
            <w:vAlign w:val="top"/>
          </w:tcPr>
          <w:p>
            <w:pPr>
              <w:pStyle w:val="9"/>
              <w:spacing w:before="77"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80"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96" w:line="216" w:lineRule="auto"/>
              <w:ind w:left="264"/>
              <w:rPr>
                <w:color w:val="auto"/>
                <w:sz w:val="20"/>
                <w:szCs w:val="20"/>
                <w:highlight w:val="none"/>
              </w:rPr>
            </w:pPr>
            <w:r>
              <w:rPr>
                <w:color w:val="auto"/>
                <w:spacing w:val="-2"/>
                <w:sz w:val="20"/>
                <w:szCs w:val="20"/>
                <w:highlight w:val="none"/>
              </w:rPr>
              <w:t>x≥300</w:t>
            </w:r>
          </w:p>
        </w:tc>
        <w:tc>
          <w:tcPr>
            <w:tcW w:w="1698" w:type="dxa"/>
            <w:vAlign w:val="top"/>
          </w:tcPr>
          <w:p>
            <w:pPr>
              <w:pStyle w:val="9"/>
              <w:spacing w:before="94" w:line="217"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94" w:line="217"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97" w:line="215"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67"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67"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86" w:line="205" w:lineRule="auto"/>
              <w:ind w:left="164"/>
              <w:rPr>
                <w:color w:val="auto"/>
                <w:sz w:val="20"/>
                <w:szCs w:val="20"/>
                <w:highlight w:val="none"/>
              </w:rPr>
            </w:pPr>
            <w:r>
              <w:rPr>
                <w:color w:val="auto"/>
                <w:spacing w:val="-1"/>
                <w:sz w:val="20"/>
                <w:szCs w:val="20"/>
                <w:highlight w:val="none"/>
              </w:rPr>
              <w:t>Y≥10000</w:t>
            </w:r>
          </w:p>
        </w:tc>
        <w:tc>
          <w:tcPr>
            <w:tcW w:w="1698" w:type="dxa"/>
            <w:vAlign w:val="top"/>
          </w:tcPr>
          <w:p>
            <w:pPr>
              <w:pStyle w:val="9"/>
              <w:spacing w:before="84" w:line="207" w:lineRule="auto"/>
              <w:ind w:left="195"/>
              <w:rPr>
                <w:color w:val="auto"/>
                <w:sz w:val="20"/>
                <w:szCs w:val="20"/>
                <w:highlight w:val="none"/>
              </w:rPr>
            </w:pPr>
            <w:r>
              <w:rPr>
                <w:color w:val="auto"/>
                <w:spacing w:val="-2"/>
                <w:sz w:val="20"/>
                <w:szCs w:val="20"/>
                <w:highlight w:val="none"/>
              </w:rPr>
              <w:t>1000≤Y&lt;10000</w:t>
            </w:r>
          </w:p>
        </w:tc>
        <w:tc>
          <w:tcPr>
            <w:tcW w:w="1408" w:type="dxa"/>
            <w:vAlign w:val="top"/>
          </w:tcPr>
          <w:p>
            <w:pPr>
              <w:pStyle w:val="9"/>
              <w:spacing w:before="84" w:line="207" w:lineRule="auto"/>
              <w:ind w:left="196"/>
              <w:rPr>
                <w:color w:val="auto"/>
                <w:sz w:val="20"/>
                <w:szCs w:val="20"/>
                <w:highlight w:val="none"/>
              </w:rPr>
            </w:pPr>
            <w:r>
              <w:rPr>
                <w:color w:val="auto"/>
                <w:spacing w:val="-2"/>
                <w:sz w:val="20"/>
                <w:szCs w:val="20"/>
                <w:highlight w:val="none"/>
              </w:rPr>
              <w:t>50≤Y&lt;1000</w:t>
            </w:r>
          </w:p>
        </w:tc>
        <w:tc>
          <w:tcPr>
            <w:tcW w:w="994" w:type="dxa"/>
            <w:vAlign w:val="top"/>
          </w:tcPr>
          <w:p>
            <w:pPr>
              <w:pStyle w:val="9"/>
              <w:spacing w:before="86" w:line="205" w:lineRule="auto"/>
              <w:ind w:left="288"/>
              <w:rPr>
                <w:color w:val="auto"/>
                <w:sz w:val="20"/>
                <w:szCs w:val="20"/>
                <w:highlight w:val="none"/>
              </w:rPr>
            </w:pPr>
            <w:r>
              <w:rPr>
                <w:color w:val="auto"/>
                <w:spacing w:val="-1"/>
                <w:sz w:val="20"/>
                <w:szCs w:val="20"/>
                <w:highlight w:val="none"/>
              </w:rPr>
              <w:t>Y&lt;50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23" w:type="dxa"/>
            <w:vMerge w:val="restart"/>
            <w:tcBorders>
              <w:bottom w:val="nil"/>
            </w:tcBorders>
            <w:vAlign w:val="top"/>
          </w:tcPr>
          <w:p>
            <w:pPr>
              <w:pStyle w:val="9"/>
              <w:spacing w:before="258" w:line="219" w:lineRule="auto"/>
              <w:ind w:left="74"/>
              <w:rPr>
                <w:color w:val="auto"/>
                <w:sz w:val="20"/>
                <w:szCs w:val="20"/>
                <w:highlight w:val="none"/>
              </w:rPr>
            </w:pPr>
            <w:r>
              <w:rPr>
                <w:color w:val="auto"/>
                <w:spacing w:val="1"/>
                <w:sz w:val="20"/>
                <w:szCs w:val="20"/>
                <w:highlight w:val="none"/>
              </w:rPr>
              <w:t>房地产开发经营</w:t>
            </w:r>
          </w:p>
        </w:tc>
        <w:tc>
          <w:tcPr>
            <w:tcW w:w="1359" w:type="dxa"/>
            <w:vAlign w:val="top"/>
          </w:tcPr>
          <w:p>
            <w:pPr>
              <w:pStyle w:val="9"/>
              <w:spacing w:before="78"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78"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97" w:line="205" w:lineRule="auto"/>
              <w:ind w:left="114"/>
              <w:rPr>
                <w:color w:val="auto"/>
                <w:sz w:val="20"/>
                <w:szCs w:val="20"/>
                <w:highlight w:val="none"/>
              </w:rPr>
            </w:pPr>
            <w:r>
              <w:rPr>
                <w:color w:val="auto"/>
                <w:spacing w:val="-3"/>
                <w:sz w:val="20"/>
                <w:szCs w:val="20"/>
                <w:highlight w:val="none"/>
              </w:rPr>
              <w:t>I≥200000</w:t>
            </w:r>
          </w:p>
        </w:tc>
        <w:tc>
          <w:tcPr>
            <w:tcW w:w="1698" w:type="dxa"/>
            <w:vAlign w:val="top"/>
          </w:tcPr>
          <w:p>
            <w:pPr>
              <w:pStyle w:val="9"/>
              <w:spacing w:before="95" w:line="207" w:lineRule="auto"/>
              <w:ind w:left="144"/>
              <w:rPr>
                <w:color w:val="auto"/>
                <w:sz w:val="20"/>
                <w:szCs w:val="20"/>
                <w:highlight w:val="none"/>
              </w:rPr>
            </w:pPr>
            <w:r>
              <w:rPr>
                <w:color w:val="auto"/>
                <w:spacing w:val="-2"/>
                <w:sz w:val="20"/>
                <w:szCs w:val="20"/>
                <w:highlight w:val="none"/>
              </w:rPr>
              <w:t>1000≤Y&lt;200000</w:t>
            </w:r>
          </w:p>
        </w:tc>
        <w:tc>
          <w:tcPr>
            <w:tcW w:w="1408" w:type="dxa"/>
            <w:vAlign w:val="top"/>
          </w:tcPr>
          <w:p>
            <w:pPr>
              <w:pStyle w:val="9"/>
              <w:spacing w:before="95" w:line="207" w:lineRule="auto"/>
              <w:ind w:left="146"/>
              <w:rPr>
                <w:color w:val="auto"/>
                <w:sz w:val="20"/>
                <w:szCs w:val="20"/>
                <w:highlight w:val="none"/>
              </w:rPr>
            </w:pPr>
            <w:r>
              <w:rPr>
                <w:color w:val="auto"/>
                <w:spacing w:val="-3"/>
                <w:sz w:val="20"/>
                <w:szCs w:val="20"/>
                <w:highlight w:val="none"/>
              </w:rPr>
              <w:t>100≤Y&lt;1000</w:t>
            </w:r>
          </w:p>
        </w:tc>
        <w:tc>
          <w:tcPr>
            <w:tcW w:w="994" w:type="dxa"/>
            <w:vAlign w:val="top"/>
          </w:tcPr>
          <w:p>
            <w:pPr>
              <w:pStyle w:val="9"/>
              <w:spacing w:before="97" w:line="205" w:lineRule="auto"/>
              <w:ind w:left="238"/>
              <w:rPr>
                <w:color w:val="auto"/>
                <w:sz w:val="20"/>
                <w:szCs w:val="20"/>
                <w:highlight w:val="none"/>
              </w:rPr>
            </w:pPr>
            <w:r>
              <w:rPr>
                <w:color w:val="auto"/>
                <w:spacing w:val="-1"/>
                <w:sz w:val="20"/>
                <w:szCs w:val="20"/>
                <w:highlight w:val="none"/>
              </w:rPr>
              <w:t>Y&lt;100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88" w:line="219" w:lineRule="auto"/>
              <w:ind w:left="51"/>
              <w:rPr>
                <w:color w:val="auto"/>
                <w:sz w:val="20"/>
                <w:szCs w:val="20"/>
                <w:highlight w:val="none"/>
              </w:rPr>
            </w:pPr>
            <w:r>
              <w:rPr>
                <w:color w:val="auto"/>
                <w:spacing w:val="6"/>
                <w:sz w:val="20"/>
                <w:szCs w:val="20"/>
                <w:highlight w:val="none"/>
              </w:rPr>
              <w:t>资产总额(Z)</w:t>
            </w:r>
          </w:p>
        </w:tc>
        <w:tc>
          <w:tcPr>
            <w:tcW w:w="699" w:type="dxa"/>
            <w:vAlign w:val="top"/>
          </w:tcPr>
          <w:p>
            <w:pPr>
              <w:pStyle w:val="9"/>
              <w:spacing w:before="88"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107" w:line="223" w:lineRule="auto"/>
              <w:ind w:left="164"/>
              <w:rPr>
                <w:color w:val="auto"/>
                <w:sz w:val="20"/>
                <w:szCs w:val="20"/>
                <w:highlight w:val="none"/>
              </w:rPr>
            </w:pPr>
            <w:r>
              <w:rPr>
                <w:color w:val="auto"/>
                <w:spacing w:val="-1"/>
                <w:sz w:val="20"/>
                <w:szCs w:val="20"/>
                <w:highlight w:val="none"/>
              </w:rPr>
              <w:t>Z≥10000</w:t>
            </w:r>
          </w:p>
        </w:tc>
        <w:tc>
          <w:tcPr>
            <w:tcW w:w="1698" w:type="dxa"/>
            <w:vAlign w:val="top"/>
          </w:tcPr>
          <w:p>
            <w:pPr>
              <w:pStyle w:val="9"/>
              <w:spacing w:before="106" w:line="224" w:lineRule="auto"/>
              <w:ind w:left="195"/>
              <w:rPr>
                <w:color w:val="auto"/>
                <w:sz w:val="20"/>
                <w:szCs w:val="20"/>
                <w:highlight w:val="none"/>
              </w:rPr>
            </w:pPr>
            <w:r>
              <w:rPr>
                <w:color w:val="auto"/>
                <w:spacing w:val="-1"/>
                <w:sz w:val="20"/>
                <w:szCs w:val="20"/>
                <w:highlight w:val="none"/>
              </w:rPr>
              <w:t>5000≤Z&lt;10000</w:t>
            </w:r>
          </w:p>
        </w:tc>
        <w:tc>
          <w:tcPr>
            <w:tcW w:w="1408" w:type="dxa"/>
            <w:vAlign w:val="top"/>
          </w:tcPr>
          <w:p>
            <w:pPr>
              <w:pStyle w:val="9"/>
              <w:spacing w:before="106" w:line="224" w:lineRule="auto"/>
              <w:ind w:left="97"/>
              <w:rPr>
                <w:color w:val="auto"/>
                <w:sz w:val="20"/>
                <w:szCs w:val="20"/>
                <w:highlight w:val="none"/>
              </w:rPr>
            </w:pPr>
            <w:r>
              <w:rPr>
                <w:color w:val="auto"/>
                <w:spacing w:val="-1"/>
                <w:sz w:val="20"/>
                <w:szCs w:val="20"/>
                <w:highlight w:val="none"/>
              </w:rPr>
              <w:t>2000≤Z&lt;5000</w:t>
            </w:r>
          </w:p>
        </w:tc>
        <w:tc>
          <w:tcPr>
            <w:tcW w:w="994" w:type="dxa"/>
            <w:vAlign w:val="top"/>
          </w:tcPr>
          <w:p>
            <w:pPr>
              <w:pStyle w:val="9"/>
              <w:spacing w:before="108" w:line="222" w:lineRule="auto"/>
              <w:ind w:left="189"/>
              <w:rPr>
                <w:color w:val="auto"/>
                <w:sz w:val="20"/>
                <w:szCs w:val="20"/>
                <w:highlight w:val="none"/>
              </w:rPr>
            </w:pPr>
            <w:r>
              <w:rPr>
                <w:color w:val="auto"/>
                <w:spacing w:val="-1"/>
                <w:sz w:val="20"/>
                <w:szCs w:val="20"/>
                <w:highlight w:val="none"/>
              </w:rPr>
              <w:t>Z&lt;2000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2123" w:type="dxa"/>
            <w:vMerge w:val="restart"/>
            <w:tcBorders>
              <w:bottom w:val="nil"/>
            </w:tcBorders>
            <w:vAlign w:val="top"/>
          </w:tcPr>
          <w:p>
            <w:pPr>
              <w:pStyle w:val="9"/>
              <w:spacing w:before="229" w:line="219" w:lineRule="auto"/>
              <w:ind w:left="74"/>
              <w:rPr>
                <w:color w:val="auto"/>
                <w:sz w:val="20"/>
                <w:szCs w:val="20"/>
                <w:highlight w:val="none"/>
              </w:rPr>
            </w:pPr>
            <w:r>
              <w:rPr>
                <w:color w:val="auto"/>
                <w:spacing w:val="-2"/>
                <w:sz w:val="20"/>
                <w:szCs w:val="20"/>
                <w:highlight w:val="none"/>
              </w:rPr>
              <w:t>物业管理</w:t>
            </w:r>
          </w:p>
        </w:tc>
        <w:tc>
          <w:tcPr>
            <w:tcW w:w="1359" w:type="dxa"/>
            <w:vAlign w:val="top"/>
          </w:tcPr>
          <w:p>
            <w:pPr>
              <w:pStyle w:val="9"/>
              <w:spacing w:before="60" w:line="212"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62" w:line="210"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78" w:line="195" w:lineRule="auto"/>
              <w:ind w:left="214"/>
              <w:rPr>
                <w:color w:val="auto"/>
                <w:sz w:val="20"/>
                <w:szCs w:val="20"/>
                <w:highlight w:val="none"/>
              </w:rPr>
            </w:pPr>
            <w:r>
              <w:rPr>
                <w:color w:val="auto"/>
                <w:spacing w:val="-1"/>
                <w:sz w:val="20"/>
                <w:szCs w:val="20"/>
                <w:highlight w:val="none"/>
              </w:rPr>
              <w:t>X≥1000</w:t>
            </w:r>
          </w:p>
        </w:tc>
        <w:tc>
          <w:tcPr>
            <w:tcW w:w="1698" w:type="dxa"/>
            <w:vAlign w:val="top"/>
          </w:tcPr>
          <w:p>
            <w:pPr>
              <w:pStyle w:val="9"/>
              <w:spacing w:before="76" w:line="197" w:lineRule="auto"/>
              <w:ind w:left="295"/>
              <w:rPr>
                <w:color w:val="auto"/>
                <w:sz w:val="20"/>
                <w:szCs w:val="20"/>
                <w:highlight w:val="none"/>
              </w:rPr>
            </w:pPr>
            <w:r>
              <w:rPr>
                <w:color w:val="auto"/>
                <w:spacing w:val="-2"/>
                <w:sz w:val="20"/>
                <w:szCs w:val="20"/>
                <w:highlight w:val="none"/>
              </w:rPr>
              <w:t>300≤X&lt;1000</w:t>
            </w:r>
          </w:p>
        </w:tc>
        <w:tc>
          <w:tcPr>
            <w:tcW w:w="1408" w:type="dxa"/>
            <w:vAlign w:val="top"/>
          </w:tcPr>
          <w:p>
            <w:pPr>
              <w:pStyle w:val="9"/>
              <w:spacing w:before="76" w:line="197" w:lineRule="auto"/>
              <w:ind w:left="196"/>
              <w:rPr>
                <w:color w:val="auto"/>
                <w:sz w:val="20"/>
                <w:szCs w:val="20"/>
                <w:highlight w:val="none"/>
              </w:rPr>
            </w:pPr>
            <w:r>
              <w:rPr>
                <w:color w:val="auto"/>
                <w:spacing w:val="-3"/>
                <w:sz w:val="20"/>
                <w:szCs w:val="20"/>
                <w:highlight w:val="none"/>
              </w:rPr>
              <w:t>100≤X&lt;300</w:t>
            </w:r>
          </w:p>
        </w:tc>
        <w:tc>
          <w:tcPr>
            <w:tcW w:w="994" w:type="dxa"/>
            <w:vAlign w:val="top"/>
          </w:tcPr>
          <w:p>
            <w:pPr>
              <w:pStyle w:val="9"/>
              <w:spacing w:before="78" w:line="195" w:lineRule="auto"/>
              <w:ind w:left="238"/>
              <w:rPr>
                <w:color w:val="auto"/>
                <w:sz w:val="20"/>
                <w:szCs w:val="20"/>
                <w:highlight w:val="none"/>
              </w:rPr>
            </w:pPr>
            <w:r>
              <w:rPr>
                <w:color w:val="auto"/>
                <w:spacing w:val="-1"/>
                <w:sz w:val="20"/>
                <w:szCs w:val="20"/>
                <w:highlight w:val="none"/>
              </w:rPr>
              <w:t>X&lt;100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79" w:line="219" w:lineRule="auto"/>
              <w:ind w:left="51"/>
              <w:rPr>
                <w:color w:val="auto"/>
                <w:sz w:val="20"/>
                <w:szCs w:val="20"/>
                <w:highlight w:val="none"/>
              </w:rPr>
            </w:pPr>
            <w:r>
              <w:rPr>
                <w:color w:val="auto"/>
                <w:spacing w:val="6"/>
                <w:sz w:val="20"/>
                <w:szCs w:val="20"/>
                <w:highlight w:val="none"/>
              </w:rPr>
              <w:t>营业收入(Y)</w:t>
            </w:r>
          </w:p>
        </w:tc>
        <w:tc>
          <w:tcPr>
            <w:tcW w:w="699" w:type="dxa"/>
            <w:vAlign w:val="top"/>
          </w:tcPr>
          <w:p>
            <w:pPr>
              <w:pStyle w:val="9"/>
              <w:spacing w:before="79" w:line="220"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98" w:line="204" w:lineRule="auto"/>
              <w:ind w:left="214"/>
              <w:rPr>
                <w:color w:val="auto"/>
                <w:sz w:val="20"/>
                <w:szCs w:val="20"/>
                <w:highlight w:val="none"/>
              </w:rPr>
            </w:pPr>
            <w:r>
              <w:rPr>
                <w:color w:val="auto"/>
                <w:spacing w:val="-3"/>
                <w:sz w:val="20"/>
                <w:szCs w:val="20"/>
                <w:highlight w:val="none"/>
              </w:rPr>
              <w:t>I≥5000</w:t>
            </w:r>
          </w:p>
        </w:tc>
        <w:tc>
          <w:tcPr>
            <w:tcW w:w="1698" w:type="dxa"/>
            <w:vAlign w:val="top"/>
          </w:tcPr>
          <w:p>
            <w:pPr>
              <w:pStyle w:val="9"/>
              <w:spacing w:before="96" w:line="206" w:lineRule="auto"/>
              <w:ind w:left="245"/>
              <w:rPr>
                <w:color w:val="auto"/>
                <w:sz w:val="20"/>
                <w:szCs w:val="20"/>
                <w:highlight w:val="none"/>
              </w:rPr>
            </w:pPr>
            <w:r>
              <w:rPr>
                <w:color w:val="auto"/>
                <w:spacing w:val="-2"/>
                <w:sz w:val="20"/>
                <w:szCs w:val="20"/>
                <w:highlight w:val="none"/>
              </w:rPr>
              <w:t>1000≤Y&lt;5000</w:t>
            </w:r>
          </w:p>
        </w:tc>
        <w:tc>
          <w:tcPr>
            <w:tcW w:w="1408" w:type="dxa"/>
            <w:vAlign w:val="top"/>
          </w:tcPr>
          <w:p>
            <w:pPr>
              <w:pStyle w:val="9"/>
              <w:spacing w:before="96" w:line="206" w:lineRule="auto"/>
              <w:ind w:left="146"/>
              <w:rPr>
                <w:color w:val="auto"/>
                <w:sz w:val="20"/>
                <w:szCs w:val="20"/>
                <w:highlight w:val="none"/>
              </w:rPr>
            </w:pPr>
            <w:r>
              <w:rPr>
                <w:color w:val="auto"/>
                <w:spacing w:val="-2"/>
                <w:sz w:val="20"/>
                <w:szCs w:val="20"/>
                <w:highlight w:val="none"/>
              </w:rPr>
              <w:t>500≤Y&lt;1000</w:t>
            </w:r>
          </w:p>
        </w:tc>
        <w:tc>
          <w:tcPr>
            <w:tcW w:w="994" w:type="dxa"/>
            <w:vAlign w:val="top"/>
          </w:tcPr>
          <w:p>
            <w:pPr>
              <w:pStyle w:val="9"/>
              <w:spacing w:before="98" w:line="204" w:lineRule="auto"/>
              <w:ind w:left="238"/>
              <w:rPr>
                <w:color w:val="auto"/>
                <w:sz w:val="20"/>
                <w:szCs w:val="20"/>
                <w:highlight w:val="none"/>
              </w:rPr>
            </w:pPr>
            <w:r>
              <w:rPr>
                <w:color w:val="auto"/>
                <w:spacing w:val="-1"/>
                <w:sz w:val="20"/>
                <w:szCs w:val="20"/>
                <w:highlight w:val="none"/>
              </w:rPr>
              <w:t>Y&lt;500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2123" w:type="dxa"/>
            <w:vMerge w:val="restart"/>
            <w:tcBorders>
              <w:bottom w:val="nil"/>
            </w:tcBorders>
            <w:vAlign w:val="top"/>
          </w:tcPr>
          <w:p>
            <w:pPr>
              <w:pStyle w:val="9"/>
              <w:spacing w:before="249" w:line="219" w:lineRule="auto"/>
              <w:ind w:left="74"/>
              <w:rPr>
                <w:color w:val="auto"/>
                <w:sz w:val="20"/>
                <w:szCs w:val="20"/>
                <w:highlight w:val="none"/>
              </w:rPr>
            </w:pPr>
            <w:r>
              <w:rPr>
                <w:color w:val="auto"/>
                <w:spacing w:val="-2"/>
                <w:sz w:val="20"/>
                <w:szCs w:val="20"/>
                <w:highlight w:val="none"/>
              </w:rPr>
              <w:t>租赁和商务服务业</w:t>
            </w:r>
          </w:p>
        </w:tc>
        <w:tc>
          <w:tcPr>
            <w:tcW w:w="1359" w:type="dxa"/>
            <w:vAlign w:val="top"/>
          </w:tcPr>
          <w:p>
            <w:pPr>
              <w:pStyle w:val="9"/>
              <w:spacing w:before="89"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92"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08" w:line="214" w:lineRule="auto"/>
              <w:ind w:left="264"/>
              <w:rPr>
                <w:color w:val="auto"/>
                <w:sz w:val="20"/>
                <w:szCs w:val="20"/>
                <w:highlight w:val="none"/>
              </w:rPr>
            </w:pPr>
            <w:r>
              <w:rPr>
                <w:color w:val="auto"/>
                <w:spacing w:val="-1"/>
                <w:sz w:val="20"/>
                <w:szCs w:val="20"/>
                <w:highlight w:val="none"/>
              </w:rPr>
              <w:t>X≥300</w:t>
            </w:r>
          </w:p>
        </w:tc>
        <w:tc>
          <w:tcPr>
            <w:tcW w:w="1698" w:type="dxa"/>
            <w:vAlign w:val="top"/>
          </w:tcPr>
          <w:p>
            <w:pPr>
              <w:pStyle w:val="9"/>
              <w:spacing w:before="107" w:line="215"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07" w:line="215"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09" w:line="213" w:lineRule="auto"/>
              <w:ind w:left="288"/>
              <w:rPr>
                <w:color w:val="auto"/>
                <w:sz w:val="20"/>
                <w:szCs w:val="20"/>
                <w:highlight w:val="none"/>
              </w:rPr>
            </w:pPr>
            <w:r>
              <w:rPr>
                <w:color w:val="auto"/>
                <w:spacing w:val="-2"/>
                <w:sz w:val="20"/>
                <w:szCs w:val="20"/>
                <w:highlight w:val="none"/>
              </w:rPr>
              <w:t>X&lt;10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0" w:hRule="atLeast"/>
        </w:trPr>
        <w:tc>
          <w:tcPr>
            <w:tcW w:w="2123" w:type="dxa"/>
            <w:vMerge w:val="continue"/>
            <w:tcBorders>
              <w:top w:val="nil"/>
            </w:tcBorders>
            <w:vAlign w:val="top"/>
          </w:tcPr>
          <w:p>
            <w:pPr>
              <w:rPr>
                <w:rFonts w:ascii="Arial"/>
                <w:color w:val="auto"/>
                <w:sz w:val="21"/>
                <w:highlight w:val="none"/>
              </w:rPr>
            </w:pPr>
          </w:p>
        </w:tc>
        <w:tc>
          <w:tcPr>
            <w:tcW w:w="1359" w:type="dxa"/>
            <w:vAlign w:val="top"/>
          </w:tcPr>
          <w:p>
            <w:pPr>
              <w:pStyle w:val="9"/>
              <w:spacing w:before="69" w:line="213" w:lineRule="auto"/>
              <w:ind w:left="51"/>
              <w:rPr>
                <w:color w:val="auto"/>
                <w:sz w:val="20"/>
                <w:szCs w:val="20"/>
                <w:highlight w:val="none"/>
              </w:rPr>
            </w:pPr>
            <w:r>
              <w:rPr>
                <w:color w:val="auto"/>
                <w:spacing w:val="6"/>
                <w:sz w:val="20"/>
                <w:szCs w:val="20"/>
                <w:highlight w:val="none"/>
              </w:rPr>
              <w:t>资产总额(Z)</w:t>
            </w:r>
          </w:p>
        </w:tc>
        <w:tc>
          <w:tcPr>
            <w:tcW w:w="699" w:type="dxa"/>
            <w:vAlign w:val="top"/>
          </w:tcPr>
          <w:p>
            <w:pPr>
              <w:pStyle w:val="9"/>
              <w:spacing w:before="69" w:line="213" w:lineRule="auto"/>
              <w:ind w:left="142"/>
              <w:rPr>
                <w:color w:val="auto"/>
                <w:sz w:val="20"/>
                <w:szCs w:val="20"/>
                <w:highlight w:val="none"/>
              </w:rPr>
            </w:pPr>
            <w:r>
              <w:rPr>
                <w:color w:val="auto"/>
                <w:spacing w:val="4"/>
                <w:sz w:val="20"/>
                <w:szCs w:val="20"/>
                <w:highlight w:val="none"/>
              </w:rPr>
              <w:t>万元</w:t>
            </w:r>
          </w:p>
        </w:tc>
        <w:tc>
          <w:tcPr>
            <w:tcW w:w="1139" w:type="dxa"/>
            <w:vAlign w:val="top"/>
          </w:tcPr>
          <w:p>
            <w:pPr>
              <w:pStyle w:val="9"/>
              <w:spacing w:before="88" w:line="195" w:lineRule="auto"/>
              <w:ind w:left="114"/>
              <w:rPr>
                <w:color w:val="auto"/>
                <w:sz w:val="20"/>
                <w:szCs w:val="20"/>
                <w:highlight w:val="none"/>
              </w:rPr>
            </w:pPr>
            <w:r>
              <w:rPr>
                <w:color w:val="auto"/>
                <w:spacing w:val="-1"/>
                <w:sz w:val="20"/>
                <w:szCs w:val="20"/>
                <w:highlight w:val="none"/>
              </w:rPr>
              <w:t>Z≥120000</w:t>
            </w:r>
          </w:p>
        </w:tc>
        <w:tc>
          <w:tcPr>
            <w:tcW w:w="1698" w:type="dxa"/>
            <w:vAlign w:val="top"/>
          </w:tcPr>
          <w:p>
            <w:pPr>
              <w:pStyle w:val="9"/>
              <w:spacing w:before="86" w:line="197" w:lineRule="auto"/>
              <w:ind w:left="144"/>
              <w:rPr>
                <w:color w:val="auto"/>
                <w:sz w:val="20"/>
                <w:szCs w:val="20"/>
                <w:highlight w:val="none"/>
              </w:rPr>
            </w:pPr>
            <w:r>
              <w:rPr>
                <w:color w:val="auto"/>
                <w:spacing w:val="-1"/>
                <w:sz w:val="20"/>
                <w:szCs w:val="20"/>
                <w:highlight w:val="none"/>
              </w:rPr>
              <w:t>8000≤Z&lt;120000</w:t>
            </w:r>
          </w:p>
        </w:tc>
        <w:tc>
          <w:tcPr>
            <w:tcW w:w="1408" w:type="dxa"/>
            <w:vAlign w:val="top"/>
          </w:tcPr>
          <w:p>
            <w:pPr>
              <w:pStyle w:val="9"/>
              <w:spacing w:before="86" w:line="197" w:lineRule="auto"/>
              <w:ind w:left="146"/>
              <w:rPr>
                <w:color w:val="auto"/>
                <w:sz w:val="20"/>
                <w:szCs w:val="20"/>
                <w:highlight w:val="none"/>
              </w:rPr>
            </w:pPr>
            <w:r>
              <w:rPr>
                <w:color w:val="auto"/>
                <w:spacing w:val="-3"/>
                <w:sz w:val="20"/>
                <w:szCs w:val="20"/>
                <w:highlight w:val="none"/>
              </w:rPr>
              <w:t>100≤Z&lt;8000</w:t>
            </w:r>
          </w:p>
        </w:tc>
        <w:tc>
          <w:tcPr>
            <w:tcW w:w="994" w:type="dxa"/>
            <w:vAlign w:val="top"/>
          </w:tcPr>
          <w:p>
            <w:pPr>
              <w:pStyle w:val="9"/>
              <w:spacing w:before="88" w:line="195" w:lineRule="auto"/>
              <w:ind w:left="238"/>
              <w:rPr>
                <w:color w:val="auto"/>
                <w:sz w:val="20"/>
                <w:szCs w:val="20"/>
                <w:highlight w:val="none"/>
              </w:rPr>
            </w:pPr>
            <w:r>
              <w:rPr>
                <w:color w:val="auto"/>
                <w:spacing w:val="-2"/>
                <w:sz w:val="20"/>
                <w:szCs w:val="20"/>
                <w:highlight w:val="none"/>
              </w:rPr>
              <w:t>Z&lt;100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2123" w:type="dxa"/>
            <w:vAlign w:val="top"/>
          </w:tcPr>
          <w:p>
            <w:pPr>
              <w:pStyle w:val="9"/>
              <w:spacing w:before="109" w:line="219" w:lineRule="auto"/>
              <w:ind w:left="74"/>
              <w:rPr>
                <w:color w:val="auto"/>
                <w:sz w:val="20"/>
                <w:szCs w:val="20"/>
                <w:highlight w:val="none"/>
              </w:rPr>
            </w:pPr>
            <w:r>
              <w:rPr>
                <w:rFonts w:hint="eastAsia"/>
                <w:color w:val="auto"/>
                <w:spacing w:val="-2"/>
                <w:sz w:val="20"/>
                <w:szCs w:val="20"/>
                <w:highlight w:val="none"/>
                <w:lang w:eastAsia="zh-CN"/>
              </w:rPr>
              <w:t>租赁和商务服务业</w:t>
            </w:r>
            <w:r>
              <w:rPr>
                <w:color w:val="auto"/>
                <w:spacing w:val="-2"/>
                <w:sz w:val="20"/>
                <w:szCs w:val="20"/>
                <w:highlight w:val="none"/>
              </w:rPr>
              <w:t>*</w:t>
            </w:r>
          </w:p>
        </w:tc>
        <w:tc>
          <w:tcPr>
            <w:tcW w:w="1359" w:type="dxa"/>
            <w:vAlign w:val="top"/>
          </w:tcPr>
          <w:p>
            <w:pPr>
              <w:pStyle w:val="9"/>
              <w:spacing w:before="109" w:line="220" w:lineRule="auto"/>
              <w:ind w:left="51"/>
              <w:rPr>
                <w:color w:val="auto"/>
                <w:sz w:val="20"/>
                <w:szCs w:val="20"/>
                <w:highlight w:val="none"/>
              </w:rPr>
            </w:pPr>
            <w:r>
              <w:rPr>
                <w:color w:val="auto"/>
                <w:spacing w:val="6"/>
                <w:sz w:val="20"/>
                <w:szCs w:val="20"/>
                <w:highlight w:val="none"/>
              </w:rPr>
              <w:t>从业人员(X)</w:t>
            </w:r>
          </w:p>
        </w:tc>
        <w:tc>
          <w:tcPr>
            <w:tcW w:w="699" w:type="dxa"/>
            <w:vAlign w:val="top"/>
          </w:tcPr>
          <w:p>
            <w:pPr>
              <w:pStyle w:val="9"/>
              <w:spacing w:before="112" w:line="222" w:lineRule="auto"/>
              <w:ind w:left="243"/>
              <w:rPr>
                <w:color w:val="auto"/>
                <w:sz w:val="20"/>
                <w:szCs w:val="20"/>
                <w:highlight w:val="none"/>
              </w:rPr>
            </w:pPr>
            <w:r>
              <w:rPr>
                <w:color w:val="auto"/>
                <w:sz w:val="20"/>
                <w:szCs w:val="20"/>
                <w:highlight w:val="none"/>
              </w:rPr>
              <w:t>人</w:t>
            </w:r>
          </w:p>
        </w:tc>
        <w:tc>
          <w:tcPr>
            <w:tcW w:w="1139" w:type="dxa"/>
            <w:vAlign w:val="top"/>
          </w:tcPr>
          <w:p>
            <w:pPr>
              <w:pStyle w:val="9"/>
              <w:spacing w:before="128" w:line="237" w:lineRule="auto"/>
              <w:ind w:left="264"/>
              <w:rPr>
                <w:color w:val="auto"/>
                <w:sz w:val="20"/>
                <w:szCs w:val="20"/>
                <w:highlight w:val="none"/>
              </w:rPr>
            </w:pPr>
            <w:r>
              <w:rPr>
                <w:color w:val="auto"/>
                <w:spacing w:val="-2"/>
                <w:sz w:val="20"/>
                <w:szCs w:val="20"/>
                <w:highlight w:val="none"/>
              </w:rPr>
              <w:t>x≥300</w:t>
            </w:r>
          </w:p>
        </w:tc>
        <w:tc>
          <w:tcPr>
            <w:tcW w:w="1698" w:type="dxa"/>
            <w:vAlign w:val="top"/>
          </w:tcPr>
          <w:p>
            <w:pPr>
              <w:pStyle w:val="9"/>
              <w:spacing w:before="126" w:line="236" w:lineRule="auto"/>
              <w:ind w:left="344"/>
              <w:rPr>
                <w:color w:val="auto"/>
                <w:sz w:val="20"/>
                <w:szCs w:val="20"/>
                <w:highlight w:val="none"/>
              </w:rPr>
            </w:pPr>
            <w:r>
              <w:rPr>
                <w:color w:val="auto"/>
                <w:spacing w:val="-3"/>
                <w:sz w:val="20"/>
                <w:szCs w:val="20"/>
                <w:highlight w:val="none"/>
              </w:rPr>
              <w:t>100≤X&lt;300</w:t>
            </w:r>
          </w:p>
        </w:tc>
        <w:tc>
          <w:tcPr>
            <w:tcW w:w="1408" w:type="dxa"/>
            <w:vAlign w:val="top"/>
          </w:tcPr>
          <w:p>
            <w:pPr>
              <w:pStyle w:val="9"/>
              <w:spacing w:before="126" w:line="236" w:lineRule="auto"/>
              <w:ind w:left="247"/>
              <w:rPr>
                <w:color w:val="auto"/>
                <w:sz w:val="20"/>
                <w:szCs w:val="20"/>
                <w:highlight w:val="none"/>
              </w:rPr>
            </w:pPr>
            <w:r>
              <w:rPr>
                <w:color w:val="auto"/>
                <w:spacing w:val="-3"/>
                <w:sz w:val="20"/>
                <w:szCs w:val="20"/>
                <w:highlight w:val="none"/>
              </w:rPr>
              <w:t>10≤X&lt;100</w:t>
            </w:r>
          </w:p>
        </w:tc>
        <w:tc>
          <w:tcPr>
            <w:tcW w:w="994" w:type="dxa"/>
            <w:vAlign w:val="top"/>
          </w:tcPr>
          <w:p>
            <w:pPr>
              <w:pStyle w:val="9"/>
              <w:spacing w:before="128"/>
              <w:ind w:left="288"/>
              <w:rPr>
                <w:color w:val="auto"/>
                <w:sz w:val="20"/>
                <w:szCs w:val="20"/>
                <w:highlight w:val="none"/>
              </w:rPr>
            </w:pPr>
            <w:r>
              <w:rPr>
                <w:color w:val="auto"/>
                <w:spacing w:val="-2"/>
                <w:sz w:val="20"/>
                <w:szCs w:val="20"/>
                <w:highlight w:val="none"/>
              </w:rPr>
              <w:t>X&lt;10</w:t>
            </w:r>
          </w:p>
        </w:tc>
      </w:tr>
    </w:tbl>
    <w:p>
      <w:pPr>
        <w:pStyle w:val="3"/>
        <w:spacing w:before="91" w:line="275" w:lineRule="auto"/>
        <w:ind w:firstLine="449"/>
        <w:rPr>
          <w:rFonts w:ascii="黑体" w:hAnsi="黑体" w:eastAsia="黑体" w:cs="黑体"/>
          <w:color w:val="auto"/>
          <w:sz w:val="22"/>
          <w:szCs w:val="22"/>
          <w:highlight w:val="none"/>
        </w:rPr>
      </w:pPr>
      <w:r>
        <w:rPr>
          <w:color w:val="auto"/>
          <w:spacing w:val="7"/>
          <w:sz w:val="22"/>
          <w:szCs w:val="22"/>
          <w:highlight w:val="none"/>
        </w:rPr>
        <w:t>1.</w:t>
      </w:r>
      <w:r>
        <w:rPr>
          <w:rFonts w:ascii="黑体" w:hAnsi="黑体" w:eastAsia="黑体" w:cs="黑体"/>
          <w:color w:val="auto"/>
          <w:spacing w:val="7"/>
          <w:sz w:val="22"/>
          <w:szCs w:val="22"/>
          <w:highlight w:val="none"/>
        </w:rPr>
        <w:t>大型、中型和小型企业须同时满足所列指标的下限，否则下划一档</w:t>
      </w:r>
      <w:r>
        <w:rPr>
          <w:rFonts w:ascii="黑体" w:hAnsi="黑体" w:eastAsia="黑体" w:cs="黑体"/>
          <w:color w:val="auto"/>
          <w:spacing w:val="6"/>
          <w:sz w:val="22"/>
          <w:szCs w:val="22"/>
          <w:highlight w:val="none"/>
        </w:rPr>
        <w:t>；微型企业只须满足所列</w:t>
      </w:r>
      <w:r>
        <w:rPr>
          <w:rFonts w:ascii="黑体" w:hAnsi="黑体" w:eastAsia="黑体" w:cs="黑体"/>
          <w:color w:val="auto"/>
          <w:sz w:val="22"/>
          <w:szCs w:val="22"/>
          <w:highlight w:val="none"/>
        </w:rPr>
        <w:t xml:space="preserve"> </w:t>
      </w:r>
      <w:r>
        <w:rPr>
          <w:rFonts w:ascii="黑体" w:hAnsi="黑体" w:eastAsia="黑体" w:cs="黑体"/>
          <w:color w:val="auto"/>
          <w:spacing w:val="6"/>
          <w:sz w:val="22"/>
          <w:szCs w:val="22"/>
          <w:highlight w:val="none"/>
        </w:rPr>
        <w:t>指标中的一项即可。</w:t>
      </w:r>
    </w:p>
    <w:p>
      <w:pPr>
        <w:pStyle w:val="3"/>
        <w:spacing w:before="124" w:line="262" w:lineRule="auto"/>
        <w:ind w:right="3" w:firstLine="459"/>
        <w:rPr>
          <w:rFonts w:ascii="黑体" w:hAnsi="黑体" w:eastAsia="黑体" w:cs="黑体"/>
          <w:color w:val="auto"/>
          <w:sz w:val="22"/>
          <w:szCs w:val="22"/>
          <w:highlight w:val="none"/>
        </w:rPr>
      </w:pPr>
      <w:r>
        <w:rPr>
          <w:color w:val="auto"/>
          <w:spacing w:val="3"/>
          <w:sz w:val="22"/>
          <w:szCs w:val="22"/>
          <w:highlight w:val="none"/>
        </w:rPr>
        <w:t>2.</w:t>
      </w:r>
      <w:r>
        <w:rPr>
          <w:rFonts w:ascii="黑体" w:hAnsi="黑体" w:eastAsia="黑体" w:cs="黑体"/>
          <w:color w:val="auto"/>
          <w:spacing w:val="3"/>
          <w:sz w:val="22"/>
          <w:szCs w:val="22"/>
          <w:highlight w:val="none"/>
        </w:rPr>
        <w:t xml:space="preserve">附表中各行业的范围以《国民经济行业分类》 </w:t>
      </w:r>
      <w:r>
        <w:rPr>
          <w:color w:val="auto"/>
          <w:spacing w:val="3"/>
          <w:sz w:val="22"/>
          <w:szCs w:val="22"/>
          <w:highlight w:val="none"/>
        </w:rPr>
        <w:t>(</w:t>
      </w:r>
      <w:r>
        <w:rPr>
          <w:color w:val="auto"/>
          <w:sz w:val="22"/>
          <w:szCs w:val="22"/>
          <w:highlight w:val="none"/>
        </w:rPr>
        <w:t>GB</w:t>
      </w:r>
      <w:r>
        <w:rPr>
          <w:color w:val="auto"/>
          <w:spacing w:val="3"/>
          <w:sz w:val="22"/>
          <w:szCs w:val="22"/>
          <w:highlight w:val="none"/>
        </w:rPr>
        <w:t xml:space="preserve">/T4754-2017)  </w:t>
      </w:r>
      <w:r>
        <w:rPr>
          <w:rFonts w:ascii="黑体" w:hAnsi="黑体" w:eastAsia="黑体" w:cs="黑体"/>
          <w:color w:val="auto"/>
          <w:spacing w:val="3"/>
          <w:sz w:val="22"/>
          <w:szCs w:val="22"/>
          <w:highlight w:val="none"/>
        </w:rPr>
        <w:t>为准。带*的项为行业组合</w:t>
      </w:r>
      <w:r>
        <w:rPr>
          <w:rFonts w:ascii="黑体" w:hAnsi="黑体" w:eastAsia="黑体" w:cs="黑体"/>
          <w:color w:val="auto"/>
          <w:spacing w:val="9"/>
          <w:sz w:val="22"/>
          <w:szCs w:val="22"/>
          <w:highlight w:val="none"/>
        </w:rPr>
        <w:t xml:space="preserve"> </w:t>
      </w:r>
      <w:r>
        <w:rPr>
          <w:rFonts w:ascii="黑体" w:hAnsi="黑体" w:eastAsia="黑体" w:cs="黑体"/>
          <w:color w:val="auto"/>
          <w:spacing w:val="7"/>
          <w:sz w:val="22"/>
          <w:szCs w:val="22"/>
          <w:highlight w:val="none"/>
        </w:rPr>
        <w:t>类别，其中，工业包括采矿业，制造业，电力、热力、燃气及水生产</w:t>
      </w:r>
      <w:r>
        <w:rPr>
          <w:rFonts w:ascii="黑体" w:hAnsi="黑体" w:eastAsia="黑体" w:cs="黑体"/>
          <w:color w:val="auto"/>
          <w:spacing w:val="6"/>
          <w:sz w:val="22"/>
          <w:szCs w:val="22"/>
          <w:highlight w:val="none"/>
        </w:rPr>
        <w:t>和供应业；交通运输业包括道</w:t>
      </w:r>
    </w:p>
    <w:p>
      <w:pPr>
        <w:spacing w:line="262" w:lineRule="auto"/>
        <w:rPr>
          <w:rFonts w:ascii="黑体" w:hAnsi="黑体" w:eastAsia="黑体" w:cs="黑体"/>
          <w:color w:val="auto"/>
          <w:sz w:val="22"/>
          <w:szCs w:val="22"/>
          <w:highlight w:val="none"/>
        </w:rPr>
        <w:sectPr>
          <w:footerReference r:id="rId27" w:type="default"/>
          <w:pgSz w:w="11900" w:h="16830"/>
          <w:pgMar w:top="400" w:right="1085" w:bottom="801" w:left="1060" w:header="0" w:footer="657" w:gutter="0"/>
          <w:cols w:space="720" w:num="1"/>
        </w:sect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line="259" w:lineRule="auto"/>
        <w:rPr>
          <w:rFonts w:ascii="Arial"/>
          <w:color w:val="auto"/>
          <w:sz w:val="21"/>
          <w:highlight w:val="none"/>
        </w:rPr>
      </w:pPr>
    </w:p>
    <w:p>
      <w:pPr>
        <w:spacing w:before="75" w:line="293" w:lineRule="auto"/>
        <w:ind w:right="4"/>
        <w:jc w:val="both"/>
        <w:rPr>
          <w:rFonts w:ascii="黑体" w:hAnsi="黑体" w:eastAsia="黑体" w:cs="黑体"/>
          <w:color w:val="auto"/>
          <w:sz w:val="23"/>
          <w:szCs w:val="23"/>
          <w:highlight w:val="none"/>
        </w:rPr>
      </w:pPr>
      <w:r>
        <w:rPr>
          <w:rFonts w:ascii="黑体" w:hAnsi="黑体" w:eastAsia="黑体" w:cs="黑体"/>
          <w:color w:val="auto"/>
          <w:spacing w:val="-3"/>
          <w:sz w:val="23"/>
          <w:szCs w:val="23"/>
          <w:highlight w:val="none"/>
        </w:rPr>
        <w:t>路运输业，水上运输业，航空运输业，管道运输业，多式联运和运输代理业、装卸搬</w:t>
      </w:r>
      <w:r>
        <w:rPr>
          <w:rFonts w:ascii="黑体" w:hAnsi="黑体" w:eastAsia="黑体" w:cs="黑体"/>
          <w:color w:val="auto"/>
          <w:spacing w:val="-4"/>
          <w:sz w:val="23"/>
          <w:szCs w:val="23"/>
          <w:highlight w:val="none"/>
        </w:rPr>
        <w:t>运，不包括铁</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路运输业；仓储业包括通用仓储，低温仓储，危险品仓储，谷物、棉花等农产品仓储，中</w:t>
      </w:r>
      <w:r>
        <w:rPr>
          <w:rFonts w:ascii="黑体" w:hAnsi="黑体" w:eastAsia="黑体" w:cs="黑体"/>
          <w:color w:val="auto"/>
          <w:spacing w:val="-4"/>
          <w:sz w:val="23"/>
          <w:szCs w:val="23"/>
          <w:highlight w:val="none"/>
        </w:rPr>
        <w:t>药材仓储</w:t>
      </w:r>
      <w:r>
        <w:rPr>
          <w:rFonts w:ascii="黑体" w:hAnsi="黑体" w:eastAsia="黑体" w:cs="黑体"/>
          <w:color w:val="auto"/>
          <w:sz w:val="23"/>
          <w:szCs w:val="23"/>
          <w:highlight w:val="none"/>
        </w:rPr>
        <w:t xml:space="preserve"> </w:t>
      </w:r>
      <w:r>
        <w:rPr>
          <w:rFonts w:ascii="黑体" w:hAnsi="黑体" w:eastAsia="黑体" w:cs="黑体"/>
          <w:color w:val="auto"/>
          <w:spacing w:val="-8"/>
          <w:sz w:val="23"/>
          <w:szCs w:val="23"/>
          <w:highlight w:val="none"/>
        </w:rPr>
        <w:t>和其他仓储业；信息传输业包括电信、广播电视和卫星传输服务，互联网</w:t>
      </w:r>
      <w:r>
        <w:rPr>
          <w:rFonts w:ascii="黑体" w:hAnsi="黑体" w:eastAsia="黑体" w:cs="黑体"/>
          <w:color w:val="auto"/>
          <w:spacing w:val="-9"/>
          <w:sz w:val="23"/>
          <w:szCs w:val="23"/>
          <w:highlight w:val="none"/>
        </w:rPr>
        <w:t>和相关服务；其他未列明行</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业包括科学研究和技术服务业，水利、环境和公共设施管理业，居民服务、修理和其他服</w:t>
      </w:r>
      <w:r>
        <w:rPr>
          <w:rFonts w:ascii="黑体" w:hAnsi="黑体" w:eastAsia="黑体" w:cs="黑体"/>
          <w:color w:val="auto"/>
          <w:spacing w:val="-4"/>
          <w:sz w:val="23"/>
          <w:szCs w:val="23"/>
          <w:highlight w:val="none"/>
        </w:rPr>
        <w:t>务业，社</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会工作，文化、体育和娱乐业，以及房地产中介服务，其他房地产业等，不包括自有房地产经营活</w:t>
      </w:r>
      <w:r>
        <w:rPr>
          <w:rFonts w:ascii="黑体" w:hAnsi="黑体" w:eastAsia="黑体" w:cs="黑体"/>
          <w:color w:val="auto"/>
          <w:sz w:val="23"/>
          <w:szCs w:val="23"/>
          <w:highlight w:val="none"/>
        </w:rPr>
        <w:t xml:space="preserve"> </w:t>
      </w:r>
      <w:r>
        <w:rPr>
          <w:rFonts w:ascii="黑体" w:hAnsi="黑体" w:eastAsia="黑体" w:cs="黑体"/>
          <w:color w:val="auto"/>
          <w:spacing w:val="2"/>
          <w:sz w:val="23"/>
          <w:szCs w:val="23"/>
          <w:highlight w:val="none"/>
        </w:rPr>
        <w:t>动。</w:t>
      </w:r>
    </w:p>
    <w:p>
      <w:pPr>
        <w:spacing w:before="1" w:line="219" w:lineRule="auto"/>
        <w:jc w:val="both"/>
        <w:rPr>
          <w:rFonts w:ascii="黑体" w:hAnsi="黑体" w:eastAsia="黑体" w:cs="黑体"/>
          <w:color w:val="auto"/>
          <w:sz w:val="23"/>
          <w:szCs w:val="23"/>
          <w:highlight w:val="none"/>
        </w:rPr>
      </w:pPr>
      <w:r>
        <w:rPr>
          <w:rFonts w:ascii="黑体" w:hAnsi="黑体" w:eastAsia="黑体" w:cs="黑体"/>
          <w:color w:val="auto"/>
          <w:sz w:val="23"/>
          <w:szCs w:val="23"/>
          <w:highlight w:val="none"/>
        </w:rPr>
        <w:t>3.企业划分指标以现行统计制度为准。(1)从业人员，是指期末从业人员数</w:t>
      </w:r>
      <w:r>
        <w:rPr>
          <w:rFonts w:ascii="黑体" w:hAnsi="黑体" w:eastAsia="黑体" w:cs="黑体"/>
          <w:color w:val="auto"/>
          <w:spacing w:val="-1"/>
          <w:sz w:val="23"/>
          <w:szCs w:val="23"/>
          <w:highlight w:val="none"/>
        </w:rPr>
        <w:t>，没有期末从业人员数</w:t>
      </w:r>
      <w:r>
        <w:rPr>
          <w:rFonts w:ascii="黑体" w:hAnsi="黑体" w:eastAsia="黑体" w:cs="黑体"/>
          <w:color w:val="auto"/>
          <w:sz w:val="23"/>
          <w:szCs w:val="23"/>
          <w:highlight w:val="none"/>
        </w:rPr>
        <w:t xml:space="preserve"> </w:t>
      </w:r>
      <w:r>
        <w:rPr>
          <w:rFonts w:ascii="黑体" w:hAnsi="黑体" w:eastAsia="黑体" w:cs="黑体"/>
          <w:color w:val="auto"/>
          <w:spacing w:val="-1"/>
          <w:sz w:val="23"/>
          <w:szCs w:val="23"/>
          <w:highlight w:val="none"/>
        </w:rPr>
        <w:t>的，采用全年平均人员数代替。(2)营业收入，工业、建筑业、限额以上</w:t>
      </w:r>
      <w:r>
        <w:rPr>
          <w:rFonts w:ascii="黑体" w:hAnsi="黑体" w:eastAsia="黑体" w:cs="黑体"/>
          <w:color w:val="auto"/>
          <w:spacing w:val="-2"/>
          <w:sz w:val="23"/>
          <w:szCs w:val="23"/>
          <w:highlight w:val="none"/>
        </w:rPr>
        <w:t>批发和零售业、限额以上</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住宿和餐饮业以及其他设置主营业务收入指标的行业，采用主营业务收入；限额以下批发与零售业</w:t>
      </w:r>
      <w:r>
        <w:rPr>
          <w:rFonts w:ascii="黑体" w:hAnsi="黑体" w:eastAsia="黑体" w:cs="黑体"/>
          <w:color w:val="auto"/>
          <w:sz w:val="23"/>
          <w:szCs w:val="23"/>
          <w:highlight w:val="none"/>
        </w:rPr>
        <w:t xml:space="preserve"> </w:t>
      </w:r>
      <w:r>
        <w:rPr>
          <w:rFonts w:ascii="黑体" w:hAnsi="黑体" w:eastAsia="黑体" w:cs="黑体"/>
          <w:color w:val="auto"/>
          <w:spacing w:val="-3"/>
          <w:sz w:val="23"/>
          <w:szCs w:val="23"/>
          <w:highlight w:val="none"/>
        </w:rPr>
        <w:t>企业采用商品销售额代替；限额以下住宿与餐饮业企业采用营业额代替；农、林、牧、渔业</w:t>
      </w:r>
      <w:r>
        <w:rPr>
          <w:rFonts w:ascii="黑体" w:hAnsi="黑体" w:eastAsia="黑体" w:cs="黑体"/>
          <w:color w:val="auto"/>
          <w:spacing w:val="-4"/>
          <w:sz w:val="23"/>
          <w:szCs w:val="23"/>
          <w:highlight w:val="none"/>
        </w:rPr>
        <w:t>企业采</w:t>
      </w:r>
      <w:r>
        <w:rPr>
          <w:rFonts w:ascii="黑体" w:hAnsi="黑体" w:eastAsia="黑体" w:cs="黑体"/>
          <w:color w:val="auto"/>
          <w:sz w:val="23"/>
          <w:szCs w:val="23"/>
          <w:highlight w:val="none"/>
        </w:rPr>
        <w:t xml:space="preserve"> </w:t>
      </w:r>
      <w:r>
        <w:rPr>
          <w:rFonts w:ascii="黑体" w:hAnsi="黑体" w:eastAsia="黑体" w:cs="黑体"/>
          <w:color w:val="auto"/>
          <w:spacing w:val="-1"/>
          <w:sz w:val="23"/>
          <w:szCs w:val="23"/>
          <w:highlight w:val="none"/>
        </w:rPr>
        <w:t>用营业总收入代替；其他未设置主营业务收入的行业，采用营业收入指</w:t>
      </w:r>
      <w:r>
        <w:rPr>
          <w:rFonts w:ascii="黑体" w:hAnsi="黑体" w:eastAsia="黑体" w:cs="黑体"/>
          <w:color w:val="auto"/>
          <w:spacing w:val="-2"/>
          <w:sz w:val="23"/>
          <w:szCs w:val="23"/>
          <w:highlight w:val="none"/>
        </w:rPr>
        <w:t>标。(3)资产总额，采用资</w:t>
      </w:r>
      <w:r>
        <w:rPr>
          <w:rFonts w:ascii="黑体" w:hAnsi="黑体" w:eastAsia="黑体" w:cs="黑体"/>
          <w:color w:val="auto"/>
          <w:sz w:val="23"/>
          <w:szCs w:val="23"/>
          <w:highlight w:val="none"/>
        </w:rPr>
        <w:t xml:space="preserve"> </w:t>
      </w:r>
      <w:r>
        <w:rPr>
          <w:rFonts w:ascii="黑体" w:hAnsi="黑体" w:eastAsia="黑体" w:cs="黑体"/>
          <w:color w:val="auto"/>
          <w:spacing w:val="-6"/>
          <w:sz w:val="23"/>
          <w:szCs w:val="23"/>
          <w:highlight w:val="none"/>
        </w:rPr>
        <w:t>产总计代替。</w:t>
      </w: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before="75" w:line="223" w:lineRule="auto"/>
        <w:ind w:left="3"/>
        <w:rPr>
          <w:rFonts w:ascii="黑体" w:hAnsi="黑体" w:eastAsia="黑体" w:cs="黑体"/>
          <w:color w:val="auto"/>
          <w:sz w:val="23"/>
          <w:szCs w:val="23"/>
          <w:highlight w:val="none"/>
        </w:rPr>
      </w:pPr>
      <w:r>
        <w:rPr>
          <w:rFonts w:ascii="黑体" w:hAnsi="黑体" w:eastAsia="黑体" w:cs="黑体"/>
          <w:b/>
          <w:bCs/>
          <w:color w:val="auto"/>
          <w:spacing w:val="23"/>
          <w:sz w:val="23"/>
          <w:szCs w:val="23"/>
          <w:highlight w:val="none"/>
        </w:rPr>
        <w:t>附表1:</w:t>
      </w:r>
    </w:p>
    <w:p>
      <w:pPr>
        <w:spacing w:line="223" w:lineRule="auto"/>
        <w:rPr>
          <w:rFonts w:ascii="黑体" w:hAnsi="黑体" w:eastAsia="黑体" w:cs="黑体"/>
          <w:color w:val="auto"/>
          <w:sz w:val="23"/>
          <w:szCs w:val="23"/>
          <w:highlight w:val="none"/>
        </w:rPr>
        <w:sectPr>
          <w:footerReference r:id="rId28" w:type="default"/>
          <w:pgSz w:w="11900" w:h="16830"/>
          <w:pgMar w:top="400" w:right="1083" w:bottom="801" w:left="1050" w:header="0" w:footer="657" w:gutter="0"/>
          <w:cols w:space="720" w:num="1"/>
        </w:sectPr>
      </w:pPr>
    </w:p>
    <w:p>
      <w:pPr>
        <w:spacing w:line="293" w:lineRule="auto"/>
        <w:rPr>
          <w:rFonts w:ascii="Arial"/>
          <w:color w:val="auto"/>
          <w:sz w:val="21"/>
          <w:highlight w:val="none"/>
        </w:rPr>
      </w:pPr>
    </w:p>
    <w:p>
      <w:pPr>
        <w:spacing w:line="293" w:lineRule="auto"/>
        <w:rPr>
          <w:rFonts w:ascii="Arial"/>
          <w:color w:val="auto"/>
          <w:sz w:val="21"/>
          <w:highlight w:val="none"/>
        </w:rPr>
      </w:pPr>
    </w:p>
    <w:p>
      <w:pPr>
        <w:spacing w:line="293" w:lineRule="auto"/>
        <w:rPr>
          <w:rFonts w:ascii="Arial"/>
          <w:color w:val="auto"/>
          <w:sz w:val="21"/>
          <w:highlight w:val="none"/>
        </w:rPr>
      </w:pPr>
    </w:p>
    <w:p>
      <w:pPr>
        <w:pStyle w:val="3"/>
        <w:spacing w:before="143" w:line="219" w:lineRule="auto"/>
        <w:ind w:left="3377"/>
        <w:rPr>
          <w:color w:val="auto"/>
          <w:sz w:val="44"/>
          <w:szCs w:val="44"/>
          <w:highlight w:val="none"/>
        </w:rPr>
      </w:pPr>
      <w:r>
        <w:rPr>
          <w:color w:val="auto"/>
          <w:spacing w:val="36"/>
          <w:sz w:val="44"/>
          <w:szCs w:val="44"/>
          <w:highlight w:val="none"/>
        </w:rPr>
        <w:t>质疑函(格式)</w:t>
      </w:r>
    </w:p>
    <w:p>
      <w:pPr>
        <w:spacing w:before="56" w:line="221" w:lineRule="auto"/>
        <w:ind w:left="417"/>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一</w:t>
      </w:r>
      <w:r>
        <w:rPr>
          <w:rFonts w:ascii="黑体" w:hAnsi="黑体" w:eastAsia="黑体" w:cs="黑体"/>
          <w:color w:val="auto"/>
          <w:spacing w:val="-22"/>
          <w:sz w:val="20"/>
          <w:szCs w:val="20"/>
          <w:highlight w:val="none"/>
        </w:rPr>
        <w:t xml:space="preserve"> </w:t>
      </w:r>
      <w:r>
        <w:rPr>
          <w:rFonts w:ascii="黑体" w:hAnsi="黑体" w:eastAsia="黑体" w:cs="黑体"/>
          <w:color w:val="auto"/>
          <w:spacing w:val="5"/>
          <w:sz w:val="20"/>
          <w:szCs w:val="20"/>
          <w:highlight w:val="none"/>
        </w:rPr>
        <w:t>、质疑供应商基本信息：</w:t>
      </w:r>
    </w:p>
    <w:p>
      <w:pPr>
        <w:spacing w:before="120" w:line="221"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质疑供应商：</w:t>
      </w:r>
      <w:r>
        <w:rPr>
          <w:rFonts w:ascii="黑体" w:hAnsi="黑体" w:eastAsia="黑体" w:cs="黑体"/>
          <w:color w:val="auto"/>
          <w:spacing w:val="-4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0" w:line="221" w:lineRule="auto"/>
        <w:ind w:left="417"/>
        <w:rPr>
          <w:rFonts w:ascii="黑体" w:hAnsi="黑体" w:eastAsia="黑体" w:cs="黑体"/>
          <w:color w:val="auto"/>
          <w:sz w:val="20"/>
          <w:szCs w:val="20"/>
          <w:highlight w:val="none"/>
        </w:rPr>
      </w:pPr>
      <w:r>
        <w:rPr>
          <w:rFonts w:ascii="黑体" w:hAnsi="黑体" w:eastAsia="黑体" w:cs="黑体"/>
          <w:color w:val="auto"/>
          <w:spacing w:val="-21"/>
          <w:sz w:val="20"/>
          <w:szCs w:val="20"/>
          <w:highlight w:val="none"/>
        </w:rPr>
        <w:t>地 址</w:t>
      </w:r>
      <w:r>
        <w:rPr>
          <w:rFonts w:ascii="黑体" w:hAnsi="黑体" w:eastAsia="黑体" w:cs="黑体"/>
          <w:color w:val="auto"/>
          <w:spacing w:val="-13"/>
          <w:sz w:val="20"/>
          <w:szCs w:val="20"/>
          <w:highlight w:val="none"/>
        </w:rPr>
        <w:t xml:space="preserve"> </w:t>
      </w:r>
      <w:r>
        <w:rPr>
          <w:rFonts w:ascii="黑体" w:hAnsi="黑体" w:eastAsia="黑体" w:cs="黑体"/>
          <w:color w:val="auto"/>
          <w:spacing w:val="-21"/>
          <w:sz w:val="20"/>
          <w:szCs w:val="20"/>
          <w:highlight w:val="none"/>
        </w:rPr>
        <w:t>：</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21"/>
          <w:sz w:val="20"/>
          <w:szCs w:val="20"/>
          <w:highlight w:val="none"/>
        </w:rPr>
        <w:t>邮编：</w:t>
      </w:r>
      <w:r>
        <w:rPr>
          <w:rFonts w:ascii="黑体" w:hAnsi="黑体" w:eastAsia="黑体" w:cs="黑体"/>
          <w:color w:val="auto"/>
          <w:spacing w:val="-6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1" w:line="222" w:lineRule="auto"/>
        <w:ind w:left="417"/>
        <w:rPr>
          <w:rFonts w:ascii="黑体" w:hAnsi="黑体" w:eastAsia="黑体" w:cs="黑体"/>
          <w:color w:val="auto"/>
          <w:sz w:val="20"/>
          <w:szCs w:val="20"/>
          <w:highlight w:val="none"/>
        </w:rPr>
      </w:pPr>
      <w:r>
        <w:rPr>
          <w:rFonts w:ascii="黑体" w:hAnsi="黑体" w:eastAsia="黑体" w:cs="黑体"/>
          <w:color w:val="auto"/>
          <w:spacing w:val="-28"/>
          <w:w w:val="95"/>
          <w:sz w:val="20"/>
          <w:szCs w:val="20"/>
          <w:highlight w:val="none"/>
        </w:rPr>
        <w:t>联</w:t>
      </w:r>
      <w:r>
        <w:rPr>
          <w:rFonts w:ascii="黑体" w:hAnsi="黑体" w:eastAsia="黑体" w:cs="黑体"/>
          <w:color w:val="auto"/>
          <w:spacing w:val="-8"/>
          <w:sz w:val="20"/>
          <w:szCs w:val="20"/>
          <w:highlight w:val="none"/>
        </w:rPr>
        <w:t xml:space="preserve"> </w:t>
      </w:r>
      <w:r>
        <w:rPr>
          <w:rFonts w:ascii="黑体" w:hAnsi="黑体" w:eastAsia="黑体" w:cs="黑体"/>
          <w:color w:val="auto"/>
          <w:spacing w:val="-28"/>
          <w:w w:val="95"/>
          <w:sz w:val="20"/>
          <w:szCs w:val="20"/>
          <w:highlight w:val="none"/>
        </w:rPr>
        <w:t>系</w:t>
      </w:r>
      <w:r>
        <w:rPr>
          <w:rFonts w:ascii="黑体" w:hAnsi="黑体" w:eastAsia="黑体" w:cs="黑体"/>
          <w:color w:val="auto"/>
          <w:spacing w:val="-24"/>
          <w:sz w:val="20"/>
          <w:szCs w:val="20"/>
          <w:highlight w:val="none"/>
        </w:rPr>
        <w:t xml:space="preserve"> </w:t>
      </w:r>
      <w:r>
        <w:rPr>
          <w:rFonts w:ascii="黑体" w:hAnsi="黑体" w:eastAsia="黑体" w:cs="黑体"/>
          <w:color w:val="auto"/>
          <w:spacing w:val="-28"/>
          <w:w w:val="95"/>
          <w:sz w:val="20"/>
          <w:szCs w:val="20"/>
          <w:highlight w:val="none"/>
        </w:rPr>
        <w:t>人</w:t>
      </w:r>
      <w:r>
        <w:rPr>
          <w:rFonts w:ascii="黑体" w:hAnsi="黑体" w:eastAsia="黑体" w:cs="黑体"/>
          <w:color w:val="auto"/>
          <w:spacing w:val="-35"/>
          <w:sz w:val="20"/>
          <w:szCs w:val="20"/>
          <w:highlight w:val="none"/>
        </w:rPr>
        <w:t xml:space="preserve"> </w:t>
      </w:r>
      <w:r>
        <w:rPr>
          <w:rFonts w:ascii="黑体" w:hAnsi="黑体" w:eastAsia="黑体" w:cs="黑体"/>
          <w:color w:val="auto"/>
          <w:spacing w:val="-28"/>
          <w:w w:val="95"/>
          <w:sz w:val="20"/>
          <w:szCs w:val="20"/>
          <w:highlight w:val="none"/>
        </w:rPr>
        <w:t>：</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70"/>
          <w:sz w:val="20"/>
          <w:szCs w:val="20"/>
          <w:highlight w:val="none"/>
        </w:rPr>
        <w:t xml:space="preserve"> </w:t>
      </w:r>
      <w:r>
        <w:rPr>
          <w:rFonts w:ascii="黑体" w:hAnsi="黑体" w:eastAsia="黑体" w:cs="黑体"/>
          <w:color w:val="auto"/>
          <w:spacing w:val="-28"/>
          <w:w w:val="95"/>
          <w:sz w:val="20"/>
          <w:szCs w:val="20"/>
          <w:highlight w:val="none"/>
        </w:rPr>
        <w:t>联</w:t>
      </w:r>
      <w:r>
        <w:rPr>
          <w:rFonts w:ascii="黑体" w:hAnsi="黑体" w:eastAsia="黑体" w:cs="黑体"/>
          <w:color w:val="auto"/>
          <w:spacing w:val="-39"/>
          <w:sz w:val="20"/>
          <w:szCs w:val="20"/>
          <w:highlight w:val="none"/>
        </w:rPr>
        <w:t xml:space="preserve"> </w:t>
      </w:r>
      <w:r>
        <w:rPr>
          <w:rFonts w:ascii="黑体" w:hAnsi="黑体" w:eastAsia="黑体" w:cs="黑体"/>
          <w:color w:val="auto"/>
          <w:spacing w:val="-28"/>
          <w:w w:val="95"/>
          <w:sz w:val="20"/>
          <w:szCs w:val="20"/>
          <w:highlight w:val="none"/>
        </w:rPr>
        <w:t>系</w:t>
      </w:r>
      <w:r>
        <w:rPr>
          <w:rFonts w:ascii="黑体" w:hAnsi="黑体" w:eastAsia="黑体" w:cs="黑体"/>
          <w:color w:val="auto"/>
          <w:spacing w:val="-31"/>
          <w:sz w:val="20"/>
          <w:szCs w:val="20"/>
          <w:highlight w:val="none"/>
        </w:rPr>
        <w:t xml:space="preserve"> </w:t>
      </w:r>
      <w:r>
        <w:rPr>
          <w:rFonts w:ascii="黑体" w:hAnsi="黑体" w:eastAsia="黑体" w:cs="黑体"/>
          <w:color w:val="auto"/>
          <w:spacing w:val="-28"/>
          <w:w w:val="95"/>
          <w:sz w:val="20"/>
          <w:szCs w:val="20"/>
          <w:highlight w:val="none"/>
        </w:rPr>
        <w:t>电</w:t>
      </w:r>
      <w:r>
        <w:rPr>
          <w:rFonts w:ascii="黑体" w:hAnsi="黑体" w:eastAsia="黑体" w:cs="黑体"/>
          <w:color w:val="auto"/>
          <w:spacing w:val="-41"/>
          <w:sz w:val="20"/>
          <w:szCs w:val="20"/>
          <w:highlight w:val="none"/>
        </w:rPr>
        <w:t xml:space="preserve"> </w:t>
      </w:r>
      <w:r>
        <w:rPr>
          <w:rFonts w:ascii="黑体" w:hAnsi="黑体" w:eastAsia="黑体" w:cs="黑体"/>
          <w:color w:val="auto"/>
          <w:spacing w:val="-28"/>
          <w:w w:val="95"/>
          <w:sz w:val="20"/>
          <w:szCs w:val="20"/>
          <w:highlight w:val="none"/>
        </w:rPr>
        <w:t>话</w:t>
      </w:r>
      <w:r>
        <w:rPr>
          <w:rFonts w:ascii="黑体" w:hAnsi="黑体" w:eastAsia="黑体" w:cs="黑体"/>
          <w:color w:val="auto"/>
          <w:spacing w:val="-51"/>
          <w:sz w:val="20"/>
          <w:szCs w:val="20"/>
          <w:highlight w:val="none"/>
        </w:rPr>
        <w:t xml:space="preserve"> </w:t>
      </w:r>
      <w:r>
        <w:rPr>
          <w:rFonts w:ascii="黑体" w:hAnsi="黑体" w:eastAsia="黑体" w:cs="黑体"/>
          <w:color w:val="auto"/>
          <w:spacing w:val="-28"/>
          <w:w w:val="95"/>
          <w:sz w:val="20"/>
          <w:szCs w:val="20"/>
          <w:highlight w:val="none"/>
        </w:rPr>
        <w:t>：</w:t>
      </w:r>
      <w:r>
        <w:rPr>
          <w:rFonts w:ascii="黑体" w:hAnsi="黑体" w:eastAsia="黑体" w:cs="黑体"/>
          <w:color w:val="auto"/>
          <w:sz w:val="20"/>
          <w:szCs w:val="20"/>
          <w:highlight w:val="none"/>
          <w:u w:val="single" w:color="auto"/>
        </w:rPr>
        <w:t xml:space="preserve">                  </w:t>
      </w:r>
    </w:p>
    <w:p>
      <w:pPr>
        <w:spacing w:before="121" w:line="222" w:lineRule="auto"/>
        <w:ind w:left="417"/>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授权代表</w:t>
      </w:r>
      <w:r>
        <w:rPr>
          <w:rFonts w:ascii="黑体" w:hAnsi="黑体" w:eastAsia="黑体" w:cs="黑体"/>
          <w:color w:val="auto"/>
          <w:spacing w:val="-46"/>
          <w:sz w:val="20"/>
          <w:szCs w:val="20"/>
          <w:highlight w:val="none"/>
        </w:rPr>
        <w:t xml:space="preserve"> </w:t>
      </w:r>
      <w:r>
        <w:rPr>
          <w:rFonts w:ascii="黑体" w:hAnsi="黑体" w:eastAsia="黑体" w:cs="黑体"/>
          <w:color w:val="auto"/>
          <w:spacing w:val="5"/>
          <w:sz w:val="20"/>
          <w:szCs w:val="20"/>
          <w:highlight w:val="none"/>
        </w:rPr>
        <w:t>：</w:t>
      </w:r>
      <w:r>
        <w:rPr>
          <w:rFonts w:ascii="黑体" w:hAnsi="黑体" w:eastAsia="黑体" w:cs="黑体"/>
          <w:color w:val="auto"/>
          <w:sz w:val="20"/>
          <w:szCs w:val="20"/>
          <w:highlight w:val="none"/>
          <w:u w:val="single" w:color="auto"/>
        </w:rPr>
        <w:t xml:space="preserve">                        </w:t>
      </w:r>
    </w:p>
    <w:p>
      <w:pPr>
        <w:spacing w:before="118" w:line="222"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联系电话：</w:t>
      </w:r>
      <w:r>
        <w:rPr>
          <w:rFonts w:ascii="黑体" w:hAnsi="黑体" w:eastAsia="黑体" w:cs="黑体"/>
          <w:color w:val="auto"/>
          <w:spacing w:val="-5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19" w:line="221" w:lineRule="auto"/>
        <w:ind w:left="417"/>
        <w:rPr>
          <w:rFonts w:ascii="黑体" w:hAnsi="黑体" w:eastAsia="黑体" w:cs="黑体"/>
          <w:color w:val="auto"/>
          <w:sz w:val="20"/>
          <w:szCs w:val="20"/>
          <w:highlight w:val="none"/>
        </w:rPr>
      </w:pPr>
      <w:r>
        <w:rPr>
          <w:rFonts w:ascii="黑体" w:hAnsi="黑体" w:eastAsia="黑体" w:cs="黑体"/>
          <w:color w:val="auto"/>
          <w:spacing w:val="-25"/>
          <w:sz w:val="20"/>
          <w:szCs w:val="20"/>
          <w:highlight w:val="none"/>
        </w:rPr>
        <w:t>地</w:t>
      </w:r>
      <w:r>
        <w:rPr>
          <w:rFonts w:ascii="黑体" w:hAnsi="黑体" w:eastAsia="黑体" w:cs="黑体"/>
          <w:color w:val="auto"/>
          <w:spacing w:val="3"/>
          <w:sz w:val="20"/>
          <w:szCs w:val="20"/>
          <w:highlight w:val="none"/>
        </w:rPr>
        <w:t xml:space="preserve"> </w:t>
      </w:r>
      <w:r>
        <w:rPr>
          <w:rFonts w:ascii="黑体" w:hAnsi="黑体" w:eastAsia="黑体" w:cs="黑体"/>
          <w:color w:val="auto"/>
          <w:spacing w:val="-25"/>
          <w:sz w:val="20"/>
          <w:szCs w:val="20"/>
          <w:highlight w:val="none"/>
        </w:rPr>
        <w:t>址 ：</w:t>
      </w:r>
      <w:r>
        <w:rPr>
          <w:rFonts w:ascii="黑体" w:hAnsi="黑体" w:eastAsia="黑体" w:cs="黑体"/>
          <w:color w:val="auto"/>
          <w:spacing w:val="5"/>
          <w:sz w:val="20"/>
          <w:szCs w:val="20"/>
          <w:highlight w:val="none"/>
          <w:u w:val="single" w:color="auto"/>
        </w:rPr>
        <w:t xml:space="preserve">                 </w:t>
      </w:r>
      <w:r>
        <w:rPr>
          <w:rFonts w:ascii="黑体" w:hAnsi="黑体" w:eastAsia="黑体" w:cs="黑体"/>
          <w:color w:val="auto"/>
          <w:spacing w:val="-75"/>
          <w:sz w:val="20"/>
          <w:szCs w:val="20"/>
          <w:highlight w:val="none"/>
        </w:rPr>
        <w:t xml:space="preserve"> </w:t>
      </w:r>
      <w:r>
        <w:rPr>
          <w:rFonts w:ascii="黑体" w:hAnsi="黑体" w:eastAsia="黑体" w:cs="黑体"/>
          <w:color w:val="auto"/>
          <w:spacing w:val="-25"/>
          <w:sz w:val="20"/>
          <w:szCs w:val="20"/>
          <w:highlight w:val="none"/>
        </w:rPr>
        <w:t>邮编：</w:t>
      </w:r>
      <w:r>
        <w:rPr>
          <w:rFonts w:ascii="黑体" w:hAnsi="黑体" w:eastAsia="黑体" w:cs="黑体"/>
          <w:color w:val="auto"/>
          <w:sz w:val="20"/>
          <w:szCs w:val="20"/>
          <w:highlight w:val="none"/>
          <w:u w:val="single" w:color="auto"/>
        </w:rPr>
        <w:t xml:space="preserve">                    </w:t>
      </w:r>
    </w:p>
    <w:p>
      <w:pPr>
        <w:spacing w:before="140" w:line="221" w:lineRule="auto"/>
        <w:ind w:left="417"/>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二</w:t>
      </w:r>
      <w:r>
        <w:rPr>
          <w:rFonts w:ascii="黑体" w:hAnsi="黑体" w:eastAsia="黑体" w:cs="黑体"/>
          <w:color w:val="auto"/>
          <w:spacing w:val="-16"/>
          <w:sz w:val="20"/>
          <w:szCs w:val="20"/>
          <w:highlight w:val="none"/>
        </w:rPr>
        <w:t xml:space="preserve"> </w:t>
      </w:r>
      <w:r>
        <w:rPr>
          <w:rFonts w:ascii="黑体" w:hAnsi="黑体" w:eastAsia="黑体" w:cs="黑体"/>
          <w:color w:val="auto"/>
          <w:spacing w:val="4"/>
          <w:sz w:val="20"/>
          <w:szCs w:val="20"/>
          <w:highlight w:val="none"/>
        </w:rPr>
        <w:t>、质疑项目基本情况：</w:t>
      </w:r>
    </w:p>
    <w:p>
      <w:pPr>
        <w:spacing w:before="121" w:line="221"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质疑项目的名称：</w:t>
      </w:r>
      <w:r>
        <w:rPr>
          <w:rFonts w:ascii="黑体" w:hAnsi="黑体" w:eastAsia="黑体" w:cs="黑体"/>
          <w:color w:val="auto"/>
          <w:spacing w:val="2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1" w:line="221"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 xml:space="preserve">质疑项目的编号：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1"/>
          <w:sz w:val="20"/>
          <w:szCs w:val="20"/>
          <w:highlight w:val="none"/>
          <w:u w:val="single" w:color="auto"/>
        </w:rPr>
        <w:t xml:space="preserve">  </w:t>
      </w:r>
    </w:p>
    <w:p>
      <w:pPr>
        <w:spacing w:before="121" w:line="222" w:lineRule="auto"/>
        <w:ind w:left="41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采购人名称：</w:t>
      </w:r>
      <w:r>
        <w:rPr>
          <w:rFonts w:ascii="黑体" w:hAnsi="黑体" w:eastAsia="黑体" w:cs="黑体"/>
          <w:color w:val="auto"/>
          <w:spacing w:val="-78"/>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19" w:line="221" w:lineRule="auto"/>
        <w:ind w:left="417"/>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质疑事项：</w:t>
      </w:r>
    </w:p>
    <w:p>
      <w:pPr>
        <w:spacing w:before="101" w:line="221" w:lineRule="auto"/>
        <w:ind w:left="487"/>
        <w:rPr>
          <w:rFonts w:ascii="黑体" w:hAnsi="黑体" w:eastAsia="黑体" w:cs="黑体"/>
          <w:color w:val="auto"/>
          <w:sz w:val="22"/>
          <w:szCs w:val="22"/>
          <w:highlight w:val="none"/>
        </w:rPr>
      </w:pPr>
      <w:r>
        <w:rPr>
          <w:rFonts w:ascii="黑体" w:hAnsi="黑体" w:eastAsia="黑体" w:cs="黑体"/>
          <w:color w:val="auto"/>
          <w:spacing w:val="-2"/>
          <w:sz w:val="22"/>
          <w:szCs w:val="22"/>
          <w:highlight w:val="none"/>
        </w:rPr>
        <w:t>□采购文件</w:t>
      </w:r>
      <w:r>
        <w:rPr>
          <w:rFonts w:ascii="黑体" w:hAnsi="黑体" w:eastAsia="黑体" w:cs="黑体"/>
          <w:color w:val="auto"/>
          <w:spacing w:val="42"/>
          <w:sz w:val="22"/>
          <w:szCs w:val="22"/>
          <w:highlight w:val="none"/>
        </w:rPr>
        <w:t xml:space="preserve">  </w:t>
      </w:r>
      <w:r>
        <w:rPr>
          <w:rFonts w:ascii="黑体" w:hAnsi="黑体" w:eastAsia="黑体" w:cs="黑体"/>
          <w:color w:val="auto"/>
          <w:spacing w:val="-2"/>
          <w:sz w:val="22"/>
          <w:szCs w:val="22"/>
          <w:highlight w:val="none"/>
        </w:rPr>
        <w:t>采购文件获取日期：</w:t>
      </w:r>
      <w:r>
        <w:rPr>
          <w:rFonts w:ascii="黑体" w:hAnsi="黑体" w:eastAsia="黑体" w:cs="黑体"/>
          <w:color w:val="auto"/>
          <w:spacing w:val="-2"/>
          <w:sz w:val="22"/>
          <w:szCs w:val="22"/>
          <w:highlight w:val="none"/>
          <w:u w:val="single" w:color="auto"/>
        </w:rPr>
        <w:t xml:space="preserve">                                  </w:t>
      </w:r>
    </w:p>
    <w:p>
      <w:pPr>
        <w:spacing w:before="127" w:line="222" w:lineRule="auto"/>
        <w:ind w:left="487"/>
        <w:rPr>
          <w:rFonts w:ascii="黑体" w:hAnsi="黑体" w:eastAsia="黑体" w:cs="黑体"/>
          <w:color w:val="auto"/>
          <w:sz w:val="22"/>
          <w:szCs w:val="22"/>
          <w:highlight w:val="none"/>
        </w:rPr>
      </w:pPr>
      <w:r>
        <w:rPr>
          <w:rFonts w:ascii="黑体" w:hAnsi="黑体" w:eastAsia="黑体" w:cs="黑体"/>
          <w:color w:val="auto"/>
          <w:spacing w:val="-9"/>
          <w:sz w:val="22"/>
          <w:szCs w:val="22"/>
          <w:highlight w:val="none"/>
        </w:rPr>
        <w:t>□</w:t>
      </w:r>
      <w:r>
        <w:rPr>
          <w:rFonts w:ascii="黑体" w:hAnsi="黑体" w:eastAsia="黑体" w:cs="黑体"/>
          <w:color w:val="auto"/>
          <w:spacing w:val="-41"/>
          <w:sz w:val="22"/>
          <w:szCs w:val="22"/>
          <w:highlight w:val="none"/>
        </w:rPr>
        <w:t xml:space="preserve"> </w:t>
      </w:r>
      <w:r>
        <w:rPr>
          <w:rFonts w:ascii="黑体" w:hAnsi="黑体" w:eastAsia="黑体" w:cs="黑体"/>
          <w:color w:val="auto"/>
          <w:spacing w:val="-9"/>
          <w:sz w:val="22"/>
          <w:szCs w:val="22"/>
          <w:highlight w:val="none"/>
        </w:rPr>
        <w:t>采购过程</w:t>
      </w:r>
    </w:p>
    <w:p>
      <w:pPr>
        <w:spacing w:before="127" w:line="224" w:lineRule="auto"/>
        <w:ind w:left="487"/>
        <w:rPr>
          <w:rFonts w:ascii="黑体" w:hAnsi="黑体" w:eastAsia="黑体" w:cs="黑体"/>
          <w:color w:val="auto"/>
          <w:sz w:val="20"/>
          <w:szCs w:val="20"/>
          <w:highlight w:val="none"/>
        </w:rPr>
      </w:pPr>
      <w:r>
        <w:rPr>
          <w:rFonts w:ascii="黑体" w:hAnsi="黑体" w:eastAsia="黑体" w:cs="黑体"/>
          <w:color w:val="auto"/>
          <w:spacing w:val="3"/>
          <w:sz w:val="20"/>
          <w:szCs w:val="20"/>
          <w:highlight w:val="none"/>
        </w:rPr>
        <w:t>□ 中标结果</w:t>
      </w:r>
    </w:p>
    <w:p>
      <w:pPr>
        <w:spacing w:before="62" w:line="221" w:lineRule="auto"/>
        <w:ind w:left="419"/>
        <w:rPr>
          <w:rFonts w:ascii="黑体" w:hAnsi="黑体" w:eastAsia="黑体" w:cs="黑体"/>
          <w:color w:val="auto"/>
          <w:sz w:val="20"/>
          <w:szCs w:val="20"/>
          <w:highlight w:val="none"/>
        </w:rPr>
      </w:pPr>
      <w:r>
        <w:rPr>
          <w:rFonts w:ascii="黑体" w:hAnsi="黑体" w:eastAsia="黑体" w:cs="黑体"/>
          <w:b/>
          <w:bCs/>
          <w:color w:val="auto"/>
          <w:spacing w:val="2"/>
          <w:sz w:val="20"/>
          <w:szCs w:val="20"/>
          <w:highlight w:val="none"/>
        </w:rPr>
        <w:t>三</w:t>
      </w:r>
      <w:r>
        <w:rPr>
          <w:rFonts w:ascii="黑体" w:hAnsi="黑体" w:eastAsia="黑体" w:cs="黑体"/>
          <w:color w:val="auto"/>
          <w:spacing w:val="-19"/>
          <w:sz w:val="20"/>
          <w:szCs w:val="20"/>
          <w:highlight w:val="none"/>
        </w:rPr>
        <w:t xml:space="preserve"> </w:t>
      </w:r>
      <w:r>
        <w:rPr>
          <w:rFonts w:ascii="黑体" w:hAnsi="黑体" w:eastAsia="黑体" w:cs="黑体"/>
          <w:b/>
          <w:bCs/>
          <w:color w:val="auto"/>
          <w:spacing w:val="2"/>
          <w:sz w:val="20"/>
          <w:szCs w:val="20"/>
          <w:highlight w:val="none"/>
        </w:rPr>
        <w:t>、质疑事项具体内容</w:t>
      </w:r>
    </w:p>
    <w:p>
      <w:pPr>
        <w:spacing w:before="114" w:line="221" w:lineRule="auto"/>
        <w:ind w:left="417"/>
        <w:rPr>
          <w:rFonts w:ascii="黑体" w:hAnsi="黑体" w:eastAsia="黑体" w:cs="黑体"/>
          <w:color w:val="auto"/>
          <w:sz w:val="22"/>
          <w:szCs w:val="22"/>
          <w:highlight w:val="none"/>
        </w:rPr>
      </w:pPr>
      <w:r>
        <w:rPr>
          <w:rFonts w:ascii="黑体" w:hAnsi="黑体" w:eastAsia="黑体" w:cs="黑体"/>
          <w:color w:val="auto"/>
          <w:spacing w:val="7"/>
          <w:sz w:val="22"/>
          <w:szCs w:val="22"/>
          <w:highlight w:val="none"/>
        </w:rPr>
        <w:t>质疑事项1:</w:t>
      </w:r>
      <w:r>
        <w:rPr>
          <w:rFonts w:ascii="黑体" w:hAnsi="黑体" w:eastAsia="黑体" w:cs="黑体"/>
          <w:color w:val="auto"/>
          <w:spacing w:val="-4"/>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06" w:line="222"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事实依据：</w:t>
      </w:r>
      <w:r>
        <w:rPr>
          <w:rFonts w:ascii="黑体" w:hAnsi="黑体" w:eastAsia="黑体" w:cs="黑体"/>
          <w:color w:val="auto"/>
          <w:spacing w:val="-1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20" w:line="342" w:lineRule="auto"/>
        <w:ind w:left="417" w:right="824"/>
        <w:rPr>
          <w:rFonts w:ascii="黑体" w:hAnsi="黑体" w:eastAsia="黑体" w:cs="黑体"/>
          <w:color w:val="auto"/>
          <w:sz w:val="20"/>
          <w:szCs w:val="20"/>
          <w:highlight w:val="none"/>
        </w:rPr>
      </w:pPr>
      <w:r>
        <w:rPr>
          <w:rFonts w:ascii="黑体" w:hAnsi="黑体" w:eastAsia="黑体" w:cs="黑体"/>
          <w:color w:val="auto"/>
          <w:sz w:val="20"/>
          <w:szCs w:val="20"/>
          <w:highlight w:val="none"/>
        </w:rPr>
        <w:t>法律依据：</w:t>
      </w:r>
      <w:r>
        <w:rPr>
          <w:rFonts w:ascii="黑体" w:hAnsi="黑体" w:eastAsia="黑体" w:cs="黑体"/>
          <w:color w:val="auto"/>
          <w:spacing w:val="-20"/>
          <w:sz w:val="20"/>
          <w:szCs w:val="20"/>
          <w:highlight w:val="none"/>
        </w:rPr>
        <w:t xml:space="preserve"> </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1"/>
          <w:sz w:val="20"/>
          <w:szCs w:val="20"/>
          <w:highlight w:val="none"/>
        </w:rPr>
        <w:t xml:space="preserve"> </w:t>
      </w:r>
      <w:r>
        <w:rPr>
          <w:rFonts w:ascii="黑体" w:hAnsi="黑体" w:eastAsia="黑体" w:cs="黑体"/>
          <w:color w:val="auto"/>
          <w:spacing w:val="22"/>
          <w:sz w:val="20"/>
          <w:szCs w:val="20"/>
          <w:highlight w:val="none"/>
        </w:rPr>
        <w:t>质疑事项2</w:t>
      </w:r>
    </w:p>
    <w:p>
      <w:pPr>
        <w:pStyle w:val="3"/>
        <w:spacing w:before="76" w:line="20" w:lineRule="exact"/>
        <w:ind w:left="667"/>
        <w:rPr>
          <w:color w:val="auto"/>
          <w:sz w:val="5"/>
          <w:szCs w:val="5"/>
          <w:highlight w:val="none"/>
        </w:rPr>
      </w:pPr>
      <w:r>
        <w:rPr>
          <w:color w:val="auto"/>
          <w:spacing w:val="-1"/>
          <w:sz w:val="5"/>
          <w:szCs w:val="5"/>
          <w:highlight w:val="none"/>
        </w:rPr>
        <w:t>..</w:t>
      </w:r>
    </w:p>
    <w:p>
      <w:pPr>
        <w:spacing w:before="252" w:line="221" w:lineRule="auto"/>
        <w:ind w:left="417"/>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四</w:t>
      </w:r>
      <w:r>
        <w:rPr>
          <w:rFonts w:ascii="黑体" w:hAnsi="黑体" w:eastAsia="黑体" w:cs="黑体"/>
          <w:color w:val="auto"/>
          <w:spacing w:val="-41"/>
          <w:sz w:val="20"/>
          <w:szCs w:val="20"/>
          <w:highlight w:val="none"/>
        </w:rPr>
        <w:t xml:space="preserve"> </w:t>
      </w:r>
      <w:r>
        <w:rPr>
          <w:rFonts w:ascii="黑体" w:hAnsi="黑体" w:eastAsia="黑体" w:cs="黑体"/>
          <w:color w:val="auto"/>
          <w:spacing w:val="4"/>
          <w:sz w:val="20"/>
          <w:szCs w:val="20"/>
          <w:highlight w:val="none"/>
        </w:rPr>
        <w:t>、与质疑事项相关的质疑请求：</w:t>
      </w:r>
    </w:p>
    <w:p>
      <w:pPr>
        <w:spacing w:before="113" w:line="223"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请求：</w:t>
      </w:r>
      <w:r>
        <w:rPr>
          <w:rFonts w:ascii="黑体" w:hAnsi="黑体" w:eastAsia="黑体" w:cs="黑体"/>
          <w:color w:val="auto"/>
          <w:spacing w:val="-4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82"/>
        <w:rPr>
          <w:color w:val="auto"/>
          <w:highlight w:val="none"/>
        </w:rPr>
      </w:pPr>
    </w:p>
    <w:p>
      <w:pPr>
        <w:rPr>
          <w:color w:val="auto"/>
          <w:highlight w:val="none"/>
        </w:rPr>
        <w:sectPr>
          <w:footerReference r:id="rId29" w:type="default"/>
          <w:pgSz w:w="11900" w:h="16830"/>
          <w:pgMar w:top="400" w:right="1055" w:bottom="829" w:left="1052" w:header="0" w:footer="649" w:gutter="0"/>
          <w:cols w:equalWidth="0" w:num="1">
            <w:col w:w="9792"/>
          </w:cols>
        </w:sectPr>
      </w:pPr>
    </w:p>
    <w:p>
      <w:pPr>
        <w:spacing w:before="44" w:line="222" w:lineRule="auto"/>
        <w:ind w:left="417"/>
        <w:rPr>
          <w:rFonts w:ascii="黑体" w:hAnsi="黑体" w:eastAsia="黑体" w:cs="黑体"/>
          <w:color w:val="auto"/>
          <w:sz w:val="22"/>
          <w:szCs w:val="22"/>
          <w:highlight w:val="none"/>
        </w:rPr>
      </w:pPr>
      <w:r>
        <w:rPr>
          <w:rFonts w:ascii="黑体" w:hAnsi="黑体" w:eastAsia="黑体" w:cs="黑体"/>
          <w:color w:val="auto"/>
          <w:spacing w:val="26"/>
          <w:sz w:val="22"/>
          <w:szCs w:val="22"/>
          <w:highlight w:val="none"/>
        </w:rPr>
        <w:t>签字(签章):</w:t>
      </w:r>
    </w:p>
    <w:p>
      <w:pPr>
        <w:spacing w:before="107" w:line="224" w:lineRule="auto"/>
        <w:ind w:left="417"/>
        <w:rPr>
          <w:rFonts w:ascii="黑体" w:hAnsi="黑体" w:eastAsia="黑体" w:cs="黑体"/>
          <w:color w:val="auto"/>
          <w:sz w:val="20"/>
          <w:szCs w:val="20"/>
          <w:highlight w:val="none"/>
        </w:rPr>
      </w:pPr>
      <w:r>
        <w:rPr>
          <w:rFonts w:ascii="黑体" w:hAnsi="黑体" w:eastAsia="黑体" w:cs="黑体"/>
          <w:color w:val="auto"/>
          <w:spacing w:val="2"/>
          <w:sz w:val="20"/>
          <w:szCs w:val="20"/>
          <w:highlight w:val="none"/>
        </w:rPr>
        <w:t>日期</w:t>
      </w:r>
      <w:r>
        <w:rPr>
          <w:rFonts w:ascii="黑体" w:hAnsi="黑体" w:eastAsia="黑体" w:cs="黑体"/>
          <w:color w:val="auto"/>
          <w:spacing w:val="-51"/>
          <w:sz w:val="20"/>
          <w:szCs w:val="20"/>
          <w:highlight w:val="none"/>
        </w:rPr>
        <w:t xml:space="preserve"> </w:t>
      </w:r>
      <w:r>
        <w:rPr>
          <w:rFonts w:ascii="黑体" w:hAnsi="黑体" w:eastAsia="黑体" w:cs="黑体"/>
          <w:color w:val="auto"/>
          <w:spacing w:val="2"/>
          <w:sz w:val="20"/>
          <w:szCs w:val="20"/>
          <w:highlight w:val="none"/>
        </w:rPr>
        <w:t>：</w:t>
      </w:r>
    </w:p>
    <w:p>
      <w:pPr>
        <w:spacing w:line="14" w:lineRule="auto"/>
        <w:rPr>
          <w:rFonts w:ascii="Arial"/>
          <w:color w:val="auto"/>
          <w:sz w:val="2"/>
          <w:highlight w:val="none"/>
        </w:rPr>
      </w:pPr>
      <w:r>
        <w:rPr>
          <w:rFonts w:ascii="Arial" w:hAnsi="Arial" w:eastAsia="Arial" w:cs="Arial"/>
          <w:color w:val="auto"/>
          <w:sz w:val="2"/>
          <w:szCs w:val="2"/>
          <w:highlight w:val="none"/>
        </w:rPr>
        <w:br w:type="column"/>
      </w:r>
    </w:p>
    <w:p>
      <w:pPr>
        <w:spacing w:before="49" w:line="222" w:lineRule="auto"/>
        <w:rPr>
          <w:rFonts w:ascii="黑体" w:hAnsi="黑体" w:eastAsia="黑体" w:cs="黑体"/>
          <w:color w:val="auto"/>
          <w:sz w:val="20"/>
          <w:szCs w:val="20"/>
          <w:highlight w:val="none"/>
        </w:rPr>
      </w:pPr>
      <w:r>
        <w:rPr>
          <w:rFonts w:ascii="黑体" w:hAnsi="黑体" w:eastAsia="黑体" w:cs="黑体"/>
          <w:b/>
          <w:bCs/>
          <w:color w:val="auto"/>
          <w:spacing w:val="2"/>
          <w:sz w:val="20"/>
          <w:szCs w:val="20"/>
          <w:highlight w:val="none"/>
        </w:rPr>
        <w:t>公章：</w:t>
      </w:r>
    </w:p>
    <w:p>
      <w:pPr>
        <w:spacing w:line="222" w:lineRule="auto"/>
        <w:rPr>
          <w:rFonts w:ascii="黑体" w:hAnsi="黑体" w:eastAsia="黑体" w:cs="黑体"/>
          <w:color w:val="auto"/>
          <w:sz w:val="20"/>
          <w:szCs w:val="20"/>
          <w:highlight w:val="none"/>
        </w:rPr>
        <w:sectPr>
          <w:type w:val="continuous"/>
          <w:pgSz w:w="11900" w:h="16830"/>
          <w:pgMar w:top="400" w:right="1055" w:bottom="829" w:left="1052" w:header="0" w:footer="649" w:gutter="0"/>
          <w:cols w:equalWidth="0" w:num="2">
            <w:col w:w="5900" w:space="100"/>
            <w:col w:w="3792"/>
          </w:cols>
        </w:sectPr>
      </w:pPr>
    </w:p>
    <w:p>
      <w:pPr>
        <w:spacing w:line="363" w:lineRule="auto"/>
        <w:rPr>
          <w:rFonts w:ascii="Arial"/>
          <w:color w:val="auto"/>
          <w:sz w:val="21"/>
          <w:highlight w:val="none"/>
        </w:rPr>
      </w:pPr>
    </w:p>
    <w:p>
      <w:pPr>
        <w:spacing w:before="65" w:line="221" w:lineRule="auto"/>
        <w:rPr>
          <w:rFonts w:ascii="黑体" w:hAnsi="黑体" w:eastAsia="黑体" w:cs="黑体"/>
          <w:color w:val="auto"/>
          <w:sz w:val="20"/>
          <w:szCs w:val="20"/>
          <w:highlight w:val="none"/>
        </w:rPr>
      </w:pPr>
      <w:r>
        <w:rPr>
          <w:rFonts w:ascii="黑体" w:hAnsi="黑体" w:eastAsia="黑体" w:cs="黑体"/>
          <w:b/>
          <w:bCs/>
          <w:color w:val="auto"/>
          <w:spacing w:val="5"/>
          <w:sz w:val="20"/>
          <w:szCs w:val="20"/>
          <w:highlight w:val="none"/>
        </w:rPr>
        <w:t>说明：</w:t>
      </w:r>
    </w:p>
    <w:p>
      <w:pPr>
        <w:spacing w:before="105" w:line="213" w:lineRule="auto"/>
        <w:ind w:left="34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1.供应商提出质疑时，应提交质疑函和必</w:t>
      </w:r>
      <w:r>
        <w:rPr>
          <w:rFonts w:ascii="黑体" w:hAnsi="黑体" w:eastAsia="黑体" w:cs="黑体"/>
          <w:color w:val="auto"/>
          <w:spacing w:val="10"/>
          <w:sz w:val="20"/>
          <w:szCs w:val="20"/>
          <w:highlight w:val="none"/>
        </w:rPr>
        <w:t>要的证明材料。</w:t>
      </w:r>
    </w:p>
    <w:p>
      <w:pPr>
        <w:pStyle w:val="3"/>
        <w:spacing w:before="109" w:line="280" w:lineRule="auto"/>
        <w:ind w:left="37" w:firstLine="309"/>
        <w:rPr>
          <w:rFonts w:ascii="黑体" w:hAnsi="黑体" w:eastAsia="黑体" w:cs="黑体"/>
          <w:color w:val="auto"/>
          <w:sz w:val="20"/>
          <w:szCs w:val="20"/>
          <w:highlight w:val="none"/>
        </w:rPr>
      </w:pPr>
      <w:r>
        <w:rPr>
          <w:color w:val="auto"/>
          <w:spacing w:val="10"/>
          <w:sz w:val="20"/>
          <w:szCs w:val="20"/>
          <w:highlight w:val="none"/>
        </w:rPr>
        <w:t>2.</w:t>
      </w:r>
      <w:r>
        <w:rPr>
          <w:rFonts w:ascii="黑体" w:hAnsi="黑体" w:eastAsia="黑体" w:cs="黑体"/>
          <w:color w:val="auto"/>
          <w:spacing w:val="10"/>
          <w:sz w:val="20"/>
          <w:szCs w:val="20"/>
          <w:highlight w:val="none"/>
        </w:rPr>
        <w:t>质疑供应商若委托代理人进行质疑的，质疑函应</w:t>
      </w:r>
      <w:r>
        <w:rPr>
          <w:rFonts w:ascii="黑体" w:hAnsi="黑体" w:eastAsia="黑体" w:cs="黑体"/>
          <w:color w:val="auto"/>
          <w:spacing w:val="9"/>
          <w:sz w:val="20"/>
          <w:szCs w:val="20"/>
          <w:highlight w:val="none"/>
        </w:rPr>
        <w:t>按要求列明“授权代表”的有关内容，并在附件中提</w:t>
      </w:r>
      <w:r>
        <w:rPr>
          <w:rFonts w:ascii="黑体" w:hAnsi="黑体" w:eastAsia="黑体" w:cs="黑体"/>
          <w:color w:val="auto"/>
          <w:sz w:val="20"/>
          <w:szCs w:val="20"/>
          <w:highlight w:val="none"/>
        </w:rPr>
        <w:t xml:space="preserve"> </w:t>
      </w:r>
      <w:r>
        <w:rPr>
          <w:rFonts w:ascii="黑体" w:hAnsi="黑体" w:eastAsia="黑体" w:cs="黑体"/>
          <w:color w:val="auto"/>
          <w:spacing w:val="12"/>
          <w:sz w:val="20"/>
          <w:szCs w:val="20"/>
          <w:highlight w:val="none"/>
        </w:rPr>
        <w:t>交由质疑供应商签署的授权委托书。授权委托书应载明代理人的姓名或者名称、代理事顶、具体权限、期</w:t>
      </w:r>
      <w:r>
        <w:rPr>
          <w:rFonts w:ascii="黑体" w:hAnsi="黑体" w:eastAsia="黑体" w:cs="黑体"/>
          <w:color w:val="auto"/>
          <w:spacing w:val="1"/>
          <w:sz w:val="20"/>
          <w:szCs w:val="20"/>
          <w:highlight w:val="none"/>
        </w:rPr>
        <w:t xml:space="preserve"> </w:t>
      </w:r>
      <w:r>
        <w:rPr>
          <w:rFonts w:ascii="黑体" w:hAnsi="黑体" w:eastAsia="黑体" w:cs="黑体"/>
          <w:color w:val="auto"/>
          <w:spacing w:val="11"/>
          <w:sz w:val="20"/>
          <w:szCs w:val="20"/>
          <w:highlight w:val="none"/>
        </w:rPr>
        <w:t>限和相关事项。</w:t>
      </w:r>
    </w:p>
    <w:p>
      <w:pPr>
        <w:spacing w:before="111" w:line="213" w:lineRule="auto"/>
        <w:ind w:left="34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3.质疑函的质疑事项应具体、明确，并有必要的事实依据和法律</w:t>
      </w:r>
      <w:r>
        <w:rPr>
          <w:rFonts w:ascii="黑体" w:hAnsi="黑体" w:eastAsia="黑体" w:cs="黑体"/>
          <w:color w:val="auto"/>
          <w:spacing w:val="10"/>
          <w:sz w:val="20"/>
          <w:szCs w:val="20"/>
          <w:highlight w:val="none"/>
        </w:rPr>
        <w:t>依据。</w:t>
      </w:r>
    </w:p>
    <w:p>
      <w:pPr>
        <w:spacing w:before="107" w:line="221" w:lineRule="auto"/>
        <w:ind w:left="347"/>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4.质疑函的质疑请求应与质疑事项相关。</w:t>
      </w:r>
    </w:p>
    <w:p>
      <w:pPr>
        <w:spacing w:before="82" w:line="260" w:lineRule="auto"/>
        <w:ind w:left="37" w:right="3" w:firstLine="309"/>
        <w:rPr>
          <w:rFonts w:ascii="黑体" w:hAnsi="黑体" w:eastAsia="黑体" w:cs="黑体"/>
          <w:color w:val="auto"/>
          <w:sz w:val="20"/>
          <w:szCs w:val="20"/>
          <w:highlight w:val="none"/>
        </w:rPr>
      </w:pPr>
      <w:r>
        <w:rPr>
          <w:rFonts w:ascii="黑体" w:hAnsi="黑体" w:eastAsia="黑体" w:cs="黑体"/>
          <w:color w:val="auto"/>
          <w:spacing w:val="10"/>
          <w:sz w:val="20"/>
          <w:szCs w:val="20"/>
          <w:highlight w:val="none"/>
        </w:rPr>
        <w:t>5.质疑供应商为自然人的，质疑函应由本人签字；质疑</w:t>
      </w:r>
      <w:r>
        <w:rPr>
          <w:rFonts w:ascii="黑体" w:hAnsi="黑体" w:eastAsia="黑体" w:cs="黑体"/>
          <w:color w:val="auto"/>
          <w:spacing w:val="9"/>
          <w:sz w:val="20"/>
          <w:szCs w:val="20"/>
          <w:highlight w:val="none"/>
        </w:rPr>
        <w:t>供应商为法人或者其他组织的，质疑函应由法定</w:t>
      </w:r>
      <w:r>
        <w:rPr>
          <w:rFonts w:ascii="黑体" w:hAnsi="黑体" w:eastAsia="黑体" w:cs="黑体"/>
          <w:color w:val="auto"/>
          <w:sz w:val="20"/>
          <w:szCs w:val="20"/>
          <w:highlight w:val="none"/>
        </w:rPr>
        <w:t xml:space="preserve"> </w:t>
      </w:r>
      <w:r>
        <w:rPr>
          <w:rFonts w:ascii="黑体" w:hAnsi="黑体" w:eastAsia="黑体" w:cs="黑体"/>
          <w:color w:val="auto"/>
          <w:spacing w:val="11"/>
          <w:sz w:val="20"/>
          <w:szCs w:val="20"/>
          <w:highlight w:val="none"/>
        </w:rPr>
        <w:t>代表人、主要负责人，或者其授权代表签字或者盖章，并加盖公章。</w:t>
      </w:r>
    </w:p>
    <w:p>
      <w:pPr>
        <w:spacing w:line="260" w:lineRule="auto"/>
        <w:rPr>
          <w:rFonts w:ascii="黑体" w:hAnsi="黑体" w:eastAsia="黑体" w:cs="黑体"/>
          <w:color w:val="auto"/>
          <w:sz w:val="20"/>
          <w:szCs w:val="20"/>
          <w:highlight w:val="none"/>
        </w:rPr>
        <w:sectPr>
          <w:type w:val="continuous"/>
          <w:pgSz w:w="11900" w:h="16830"/>
          <w:pgMar w:top="400" w:right="1055" w:bottom="829" w:left="1052" w:header="0" w:footer="649" w:gutter="0"/>
          <w:cols w:equalWidth="0" w:num="1">
            <w:col w:w="9792"/>
          </w:cols>
        </w:sectPr>
      </w:pPr>
    </w:p>
    <w:p>
      <w:pPr>
        <w:spacing w:line="254" w:lineRule="auto"/>
        <w:rPr>
          <w:rFonts w:ascii="Arial"/>
          <w:color w:val="auto"/>
          <w:sz w:val="21"/>
          <w:highlight w:val="none"/>
        </w:rPr>
      </w:pPr>
    </w:p>
    <w:p>
      <w:pPr>
        <w:spacing w:line="254"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before="72" w:line="223" w:lineRule="auto"/>
        <w:rPr>
          <w:rFonts w:ascii="黑体" w:hAnsi="黑体" w:eastAsia="黑体" w:cs="黑体"/>
          <w:color w:val="auto"/>
          <w:sz w:val="22"/>
          <w:szCs w:val="22"/>
          <w:highlight w:val="none"/>
        </w:rPr>
      </w:pPr>
      <w:r>
        <w:rPr>
          <w:rFonts w:ascii="黑体" w:hAnsi="黑体" w:eastAsia="黑体" w:cs="黑体"/>
          <w:b/>
          <w:bCs/>
          <w:color w:val="auto"/>
          <w:spacing w:val="30"/>
          <w:sz w:val="22"/>
          <w:szCs w:val="22"/>
          <w:highlight w:val="none"/>
        </w:rPr>
        <w:t>附表2:</w:t>
      </w:r>
    </w:p>
    <w:p>
      <w:pPr>
        <w:spacing w:line="295" w:lineRule="auto"/>
        <w:rPr>
          <w:rFonts w:ascii="Arial"/>
          <w:color w:val="auto"/>
          <w:sz w:val="21"/>
          <w:highlight w:val="none"/>
        </w:rPr>
      </w:pPr>
    </w:p>
    <w:p>
      <w:pPr>
        <w:pStyle w:val="3"/>
        <w:spacing w:before="146" w:line="219" w:lineRule="auto"/>
        <w:ind w:left="3336"/>
        <w:rPr>
          <w:color w:val="auto"/>
          <w:sz w:val="45"/>
          <w:szCs w:val="45"/>
          <w:highlight w:val="none"/>
        </w:rPr>
      </w:pPr>
      <w:r>
        <w:rPr>
          <w:color w:val="auto"/>
          <w:spacing w:val="32"/>
          <w:sz w:val="45"/>
          <w:szCs w:val="45"/>
          <w:highlight w:val="none"/>
        </w:rPr>
        <w:t>投诉书(格式)</w:t>
      </w:r>
    </w:p>
    <w:p>
      <w:pPr>
        <w:spacing w:before="73" w:line="220" w:lineRule="auto"/>
        <w:ind w:left="399"/>
        <w:rPr>
          <w:rFonts w:ascii="黑体" w:hAnsi="黑体" w:eastAsia="黑体" w:cs="黑体"/>
          <w:color w:val="auto"/>
          <w:sz w:val="20"/>
          <w:szCs w:val="20"/>
          <w:highlight w:val="none"/>
        </w:rPr>
      </w:pPr>
      <w:r>
        <w:rPr>
          <w:rFonts w:ascii="黑体" w:hAnsi="黑体" w:eastAsia="黑体" w:cs="黑体"/>
          <w:b/>
          <w:bCs/>
          <w:color w:val="auto"/>
          <w:spacing w:val="2"/>
          <w:sz w:val="20"/>
          <w:szCs w:val="20"/>
          <w:highlight w:val="none"/>
        </w:rPr>
        <w:t>一</w:t>
      </w:r>
      <w:r>
        <w:rPr>
          <w:rFonts w:ascii="黑体" w:hAnsi="黑体" w:eastAsia="黑体" w:cs="黑体"/>
          <w:color w:val="auto"/>
          <w:spacing w:val="-10"/>
          <w:sz w:val="20"/>
          <w:szCs w:val="20"/>
          <w:highlight w:val="none"/>
        </w:rPr>
        <w:t xml:space="preserve"> </w:t>
      </w:r>
      <w:r>
        <w:rPr>
          <w:rFonts w:ascii="黑体" w:hAnsi="黑体" w:eastAsia="黑体" w:cs="黑体"/>
          <w:b/>
          <w:bCs/>
          <w:color w:val="auto"/>
          <w:spacing w:val="2"/>
          <w:sz w:val="20"/>
          <w:szCs w:val="20"/>
          <w:highlight w:val="none"/>
        </w:rPr>
        <w:t>、投诉相关主体基本情况：</w:t>
      </w:r>
    </w:p>
    <w:p>
      <w:pPr>
        <w:spacing w:before="186" w:line="222" w:lineRule="auto"/>
        <w:ind w:left="396"/>
        <w:rPr>
          <w:rFonts w:ascii="黑体" w:hAnsi="黑体" w:eastAsia="黑体" w:cs="黑体"/>
          <w:color w:val="auto"/>
          <w:sz w:val="20"/>
          <w:szCs w:val="20"/>
          <w:highlight w:val="none"/>
        </w:rPr>
      </w:pPr>
      <w:r>
        <w:rPr>
          <w:rFonts w:ascii="黑体" w:hAnsi="黑体" w:eastAsia="黑体" w:cs="黑体"/>
          <w:color w:val="auto"/>
          <w:sz w:val="20"/>
          <w:szCs w:val="20"/>
          <w:highlight w:val="none"/>
        </w:rPr>
        <w:t>投标人：</w:t>
      </w:r>
      <w:r>
        <w:rPr>
          <w:rFonts w:ascii="黑体" w:hAnsi="黑体" w:eastAsia="黑体" w:cs="黑体"/>
          <w:color w:val="auto"/>
          <w:sz w:val="20"/>
          <w:szCs w:val="20"/>
          <w:highlight w:val="none"/>
          <w:u w:val="single" w:color="auto"/>
        </w:rPr>
        <w:t xml:space="preserve">                                                                             </w:t>
      </w:r>
    </w:p>
    <w:p>
      <w:pPr>
        <w:spacing w:before="129" w:line="239" w:lineRule="auto"/>
        <w:ind w:left="396"/>
        <w:rPr>
          <w:rFonts w:ascii="黑体" w:hAnsi="黑体" w:eastAsia="黑体" w:cs="黑体"/>
          <w:color w:val="auto"/>
          <w:sz w:val="22"/>
          <w:szCs w:val="22"/>
          <w:highlight w:val="none"/>
        </w:rPr>
      </w:pPr>
      <w:r>
        <w:rPr>
          <w:rFonts w:ascii="黑体" w:hAnsi="黑体" w:eastAsia="黑体" w:cs="黑体"/>
          <w:color w:val="auto"/>
          <w:spacing w:val="-38"/>
          <w:position w:val="-1"/>
          <w:sz w:val="22"/>
          <w:szCs w:val="22"/>
          <w:highlight w:val="none"/>
        </w:rPr>
        <w:t>地</w:t>
      </w:r>
      <w:r>
        <w:rPr>
          <w:rFonts w:ascii="黑体" w:hAnsi="黑体" w:eastAsia="黑体" w:cs="黑体"/>
          <w:color w:val="auto"/>
          <w:spacing w:val="-33"/>
          <w:position w:val="-1"/>
          <w:sz w:val="22"/>
          <w:szCs w:val="22"/>
          <w:highlight w:val="none"/>
        </w:rPr>
        <w:t xml:space="preserve"> </w:t>
      </w:r>
      <w:r>
        <w:rPr>
          <w:rFonts w:ascii="黑体" w:hAnsi="黑体" w:eastAsia="黑体" w:cs="黑体"/>
          <w:color w:val="auto"/>
          <w:spacing w:val="-38"/>
          <w:position w:val="-1"/>
          <w:sz w:val="22"/>
          <w:szCs w:val="22"/>
          <w:highlight w:val="none"/>
        </w:rPr>
        <w:t>址</w:t>
      </w:r>
      <w:r>
        <w:rPr>
          <w:rFonts w:ascii="黑体" w:hAnsi="黑体" w:eastAsia="黑体" w:cs="黑体"/>
          <w:color w:val="auto"/>
          <w:spacing w:val="-40"/>
          <w:position w:val="-1"/>
          <w:sz w:val="22"/>
          <w:szCs w:val="22"/>
          <w:highlight w:val="none"/>
        </w:rPr>
        <w:t xml:space="preserve"> </w:t>
      </w:r>
      <w:r>
        <w:rPr>
          <w:rFonts w:ascii="黑体" w:hAnsi="黑体" w:eastAsia="黑体" w:cs="黑体"/>
          <w:color w:val="auto"/>
          <w:spacing w:val="-38"/>
          <w:position w:val="-1"/>
          <w:sz w:val="22"/>
          <w:szCs w:val="22"/>
          <w:highlight w:val="none"/>
        </w:rPr>
        <w:t>：</w:t>
      </w:r>
      <w:r>
        <w:rPr>
          <w:rFonts w:ascii="黑体" w:hAnsi="黑体" w:eastAsia="黑体" w:cs="黑体"/>
          <w:color w:val="auto"/>
          <w:spacing w:val="1"/>
          <w:position w:val="-1"/>
          <w:sz w:val="22"/>
          <w:szCs w:val="22"/>
          <w:highlight w:val="none"/>
          <w:u w:val="single" w:color="auto"/>
        </w:rPr>
        <w:t xml:space="preserve">                   </w:t>
      </w:r>
      <w:r>
        <w:rPr>
          <w:rFonts w:ascii="黑体" w:hAnsi="黑体" w:eastAsia="黑体" w:cs="黑体"/>
          <w:color w:val="auto"/>
          <w:position w:val="-1"/>
          <w:sz w:val="22"/>
          <w:szCs w:val="22"/>
          <w:highlight w:val="none"/>
          <w:u w:val="single" w:color="auto"/>
        </w:rPr>
        <w:t xml:space="preserve">                     </w:t>
      </w:r>
      <w:r>
        <w:rPr>
          <w:rFonts w:ascii="黑体" w:hAnsi="黑体" w:eastAsia="黑体" w:cs="黑体"/>
          <w:color w:val="auto"/>
          <w:spacing w:val="-38"/>
          <w:position w:val="1"/>
          <w:sz w:val="22"/>
          <w:szCs w:val="22"/>
          <w:highlight w:val="none"/>
        </w:rPr>
        <w:t>邮编：</w:t>
      </w:r>
      <w:r>
        <w:rPr>
          <w:rFonts w:ascii="黑体" w:hAnsi="黑体" w:eastAsia="黑体" w:cs="黑体"/>
          <w:color w:val="auto"/>
          <w:position w:val="1"/>
          <w:sz w:val="22"/>
          <w:szCs w:val="22"/>
          <w:highlight w:val="none"/>
          <w:u w:val="single" w:color="auto"/>
        </w:rPr>
        <w:t xml:space="preserve">                          </w:t>
      </w:r>
    </w:p>
    <w:p>
      <w:pPr>
        <w:spacing w:before="84" w:line="221" w:lineRule="auto"/>
        <w:ind w:left="396"/>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法定代表人/主要负责人：</w:t>
      </w:r>
      <w:r>
        <w:rPr>
          <w:rFonts w:ascii="黑体" w:hAnsi="黑体" w:eastAsia="黑体" w:cs="黑体"/>
          <w:color w:val="auto"/>
          <w:spacing w:val="-1"/>
          <w:sz w:val="21"/>
          <w:szCs w:val="21"/>
          <w:highlight w:val="none"/>
          <w:u w:val="single" w:color="auto"/>
        </w:rPr>
        <w:t xml:space="preserve">                                                          </w:t>
      </w:r>
    </w:p>
    <w:p>
      <w:pPr>
        <w:spacing w:before="189" w:line="222" w:lineRule="auto"/>
        <w:ind w:left="396"/>
        <w:rPr>
          <w:rFonts w:ascii="黑体" w:hAnsi="黑体" w:eastAsia="黑体" w:cs="黑体"/>
          <w:color w:val="auto"/>
          <w:sz w:val="20"/>
          <w:szCs w:val="20"/>
          <w:highlight w:val="none"/>
        </w:rPr>
      </w:pPr>
      <w:r>
        <w:rPr>
          <w:rFonts w:ascii="黑体" w:hAnsi="黑体" w:eastAsia="黑体" w:cs="黑体"/>
          <w:color w:val="auto"/>
          <w:spacing w:val="27"/>
          <w:sz w:val="20"/>
          <w:szCs w:val="20"/>
          <w:highlight w:val="none"/>
        </w:rPr>
        <w:t>联系电话</w:t>
      </w:r>
      <w:r>
        <w:rPr>
          <w:rFonts w:ascii="黑体" w:hAnsi="黑体" w:eastAsia="黑体" w:cs="黑体"/>
          <w:color w:val="auto"/>
          <w:spacing w:val="-50"/>
          <w:sz w:val="20"/>
          <w:szCs w:val="20"/>
          <w:highlight w:val="none"/>
        </w:rPr>
        <w:t xml:space="preserve"> </w:t>
      </w:r>
      <w:r>
        <w:rPr>
          <w:rFonts w:ascii="黑体" w:hAnsi="黑体" w:eastAsia="黑体" w:cs="黑体"/>
          <w:color w:val="auto"/>
          <w:spacing w:val="27"/>
          <w:sz w:val="20"/>
          <w:szCs w:val="20"/>
          <w:highlight w:val="none"/>
        </w:rPr>
        <w:t>：</w:t>
      </w:r>
      <w:r>
        <w:rPr>
          <w:rFonts w:ascii="黑体" w:hAnsi="黑体" w:eastAsia="黑体" w:cs="黑体"/>
          <w:color w:val="auto"/>
          <w:sz w:val="20"/>
          <w:szCs w:val="20"/>
          <w:highlight w:val="none"/>
          <w:u w:val="single" w:color="auto"/>
        </w:rPr>
        <w:t xml:space="preserve">                                          </w:t>
      </w:r>
    </w:p>
    <w:p>
      <w:pPr>
        <w:spacing w:before="164" w:line="227" w:lineRule="auto"/>
        <w:ind w:left="396"/>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授权代表：</w:t>
      </w:r>
      <w:r>
        <w:rPr>
          <w:rFonts w:ascii="黑体" w:hAnsi="黑体" w:eastAsia="黑体" w:cs="黑体"/>
          <w:color w:val="auto"/>
          <w:spacing w:val="-5"/>
          <w:sz w:val="20"/>
          <w:szCs w:val="20"/>
          <w:highlight w:val="none"/>
          <w:u w:val="single" w:color="auto"/>
        </w:rPr>
        <w:t xml:space="preserve">                             </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6"/>
          <w:sz w:val="20"/>
          <w:szCs w:val="20"/>
          <w:highlight w:val="none"/>
        </w:rPr>
        <w:t>联</w:t>
      </w:r>
      <w:r>
        <w:rPr>
          <w:rFonts w:ascii="黑体" w:hAnsi="黑体" w:eastAsia="黑体" w:cs="黑体"/>
          <w:color w:val="auto"/>
          <w:spacing w:val="-40"/>
          <w:sz w:val="20"/>
          <w:szCs w:val="20"/>
          <w:highlight w:val="none"/>
        </w:rPr>
        <w:t xml:space="preserve"> </w:t>
      </w:r>
      <w:r>
        <w:rPr>
          <w:rFonts w:ascii="黑体" w:hAnsi="黑体" w:eastAsia="黑体" w:cs="黑体"/>
          <w:color w:val="auto"/>
          <w:spacing w:val="-6"/>
          <w:sz w:val="20"/>
          <w:szCs w:val="20"/>
          <w:highlight w:val="none"/>
        </w:rPr>
        <w:t>系</w:t>
      </w:r>
      <w:r>
        <w:rPr>
          <w:rFonts w:ascii="黑体" w:hAnsi="黑体" w:eastAsia="黑体" w:cs="黑体"/>
          <w:color w:val="auto"/>
          <w:spacing w:val="-30"/>
          <w:sz w:val="20"/>
          <w:szCs w:val="20"/>
          <w:highlight w:val="none"/>
        </w:rPr>
        <w:t xml:space="preserve"> </w:t>
      </w:r>
      <w:r>
        <w:rPr>
          <w:rFonts w:ascii="黑体" w:hAnsi="黑体" w:eastAsia="黑体" w:cs="黑体"/>
          <w:color w:val="auto"/>
          <w:spacing w:val="-6"/>
          <w:sz w:val="20"/>
          <w:szCs w:val="20"/>
          <w:highlight w:val="none"/>
        </w:rPr>
        <w:t>电</w:t>
      </w:r>
      <w:r>
        <w:rPr>
          <w:rFonts w:ascii="黑体" w:hAnsi="黑体" w:eastAsia="黑体" w:cs="黑体"/>
          <w:color w:val="auto"/>
          <w:spacing w:val="-42"/>
          <w:sz w:val="20"/>
          <w:szCs w:val="20"/>
          <w:highlight w:val="none"/>
        </w:rPr>
        <w:t xml:space="preserve"> </w:t>
      </w:r>
      <w:r>
        <w:rPr>
          <w:rFonts w:ascii="黑体" w:hAnsi="黑体" w:eastAsia="黑体" w:cs="黑体"/>
          <w:color w:val="auto"/>
          <w:spacing w:val="-6"/>
          <w:sz w:val="20"/>
          <w:szCs w:val="20"/>
          <w:highlight w:val="none"/>
        </w:rPr>
        <w:t>话</w:t>
      </w:r>
      <w:r>
        <w:rPr>
          <w:rFonts w:ascii="黑体" w:hAnsi="黑体" w:eastAsia="黑体" w:cs="黑体"/>
          <w:color w:val="auto"/>
          <w:spacing w:val="-51"/>
          <w:sz w:val="20"/>
          <w:szCs w:val="20"/>
          <w:highlight w:val="none"/>
        </w:rPr>
        <w:t xml:space="preserve"> </w:t>
      </w:r>
      <w:r>
        <w:rPr>
          <w:rFonts w:ascii="黑体" w:hAnsi="黑体" w:eastAsia="黑体" w:cs="黑体"/>
          <w:color w:val="auto"/>
          <w:spacing w:val="-6"/>
          <w:sz w:val="20"/>
          <w:szCs w:val="20"/>
          <w:highlight w:val="none"/>
        </w:rPr>
        <w:t>：</w:t>
      </w:r>
      <w:r>
        <w:rPr>
          <w:rFonts w:ascii="黑体" w:hAnsi="黑体" w:eastAsia="黑体" w:cs="黑体"/>
          <w:color w:val="auto"/>
          <w:spacing w:val="-6"/>
          <w:sz w:val="20"/>
          <w:szCs w:val="20"/>
          <w:highlight w:val="none"/>
          <w:u w:val="single" w:color="auto"/>
        </w:rPr>
        <w:t xml:space="preserve">                    </w:t>
      </w:r>
    </w:p>
    <w:p>
      <w:pPr>
        <w:spacing w:before="140" w:line="223" w:lineRule="auto"/>
        <w:ind w:left="396"/>
        <w:rPr>
          <w:rFonts w:ascii="黑体" w:hAnsi="黑体" w:eastAsia="黑体" w:cs="黑体"/>
          <w:color w:val="auto"/>
          <w:sz w:val="20"/>
          <w:szCs w:val="20"/>
          <w:highlight w:val="none"/>
        </w:rPr>
      </w:pPr>
      <w:r>
        <w:rPr>
          <w:rFonts w:ascii="黑体" w:hAnsi="黑体" w:eastAsia="黑体" w:cs="黑体"/>
          <w:color w:val="auto"/>
          <w:spacing w:val="-3"/>
          <w:sz w:val="22"/>
          <w:szCs w:val="22"/>
          <w:highlight w:val="none"/>
        </w:rPr>
        <w:t>地址：</w:t>
      </w:r>
      <w:r>
        <w:rPr>
          <w:rFonts w:ascii="黑体" w:hAnsi="黑体" w:eastAsia="黑体" w:cs="黑体"/>
          <w:color w:val="auto"/>
          <w:spacing w:val="1"/>
          <w:sz w:val="22"/>
          <w:szCs w:val="22"/>
          <w:highlight w:val="none"/>
          <w:u w:val="single" w:color="auto"/>
        </w:rPr>
        <w:t xml:space="preserve">                      </w:t>
      </w:r>
      <w:r>
        <w:rPr>
          <w:rFonts w:ascii="黑体" w:hAnsi="黑体" w:eastAsia="黑体" w:cs="黑体"/>
          <w:color w:val="auto"/>
          <w:sz w:val="22"/>
          <w:szCs w:val="22"/>
          <w:highlight w:val="none"/>
          <w:u w:val="single" w:color="auto"/>
        </w:rPr>
        <w:t xml:space="preserve">                                   </w:t>
      </w:r>
      <w:r>
        <w:rPr>
          <w:rFonts w:ascii="黑体" w:hAnsi="黑体" w:eastAsia="黑体" w:cs="黑体"/>
          <w:color w:val="auto"/>
          <w:spacing w:val="-3"/>
          <w:sz w:val="20"/>
          <w:szCs w:val="20"/>
          <w:highlight w:val="none"/>
        </w:rPr>
        <w:t>邮</w:t>
      </w:r>
      <w:r>
        <w:rPr>
          <w:rFonts w:ascii="黑体" w:hAnsi="黑体" w:eastAsia="黑体" w:cs="黑体"/>
          <w:color w:val="auto"/>
          <w:spacing w:val="-56"/>
          <w:sz w:val="20"/>
          <w:szCs w:val="20"/>
          <w:highlight w:val="none"/>
        </w:rPr>
        <w:t xml:space="preserve"> </w:t>
      </w:r>
      <w:r>
        <w:rPr>
          <w:rFonts w:ascii="黑体" w:hAnsi="黑体" w:eastAsia="黑体" w:cs="黑体"/>
          <w:color w:val="auto"/>
          <w:spacing w:val="-3"/>
          <w:sz w:val="20"/>
          <w:szCs w:val="20"/>
          <w:highlight w:val="none"/>
        </w:rPr>
        <w:t>编：</w:t>
      </w:r>
      <w:r>
        <w:rPr>
          <w:rFonts w:ascii="黑体" w:hAnsi="黑体" w:eastAsia="黑体" w:cs="黑体"/>
          <w:color w:val="auto"/>
          <w:sz w:val="20"/>
          <w:szCs w:val="20"/>
          <w:highlight w:val="none"/>
          <w:u w:val="single" w:color="auto"/>
        </w:rPr>
        <w:t xml:space="preserve">          </w:t>
      </w:r>
    </w:p>
    <w:p>
      <w:pPr>
        <w:spacing w:before="113" w:line="220" w:lineRule="auto"/>
        <w:ind w:left="396"/>
        <w:rPr>
          <w:rFonts w:ascii="黑体" w:hAnsi="黑体" w:eastAsia="黑体" w:cs="黑体"/>
          <w:color w:val="auto"/>
          <w:sz w:val="22"/>
          <w:szCs w:val="22"/>
          <w:highlight w:val="none"/>
        </w:rPr>
      </w:pPr>
      <w:r>
        <w:rPr>
          <w:rFonts w:ascii="黑体" w:hAnsi="黑体" w:eastAsia="黑体" w:cs="黑体"/>
          <w:color w:val="auto"/>
          <w:spacing w:val="4"/>
          <w:sz w:val="22"/>
          <w:szCs w:val="22"/>
          <w:highlight w:val="none"/>
        </w:rPr>
        <w:t>被投诉人1:</w:t>
      </w:r>
    </w:p>
    <w:p>
      <w:pPr>
        <w:spacing w:before="169" w:line="223" w:lineRule="auto"/>
        <w:ind w:left="396"/>
        <w:rPr>
          <w:rFonts w:ascii="黑体" w:hAnsi="黑体" w:eastAsia="黑体" w:cs="黑体"/>
          <w:color w:val="auto"/>
          <w:sz w:val="20"/>
          <w:szCs w:val="20"/>
          <w:highlight w:val="none"/>
        </w:rPr>
      </w:pPr>
      <w:r>
        <w:rPr>
          <w:rFonts w:ascii="黑体" w:hAnsi="黑体" w:eastAsia="黑体" w:cs="黑体"/>
          <w:color w:val="auto"/>
          <w:spacing w:val="-28"/>
          <w:sz w:val="22"/>
          <w:szCs w:val="22"/>
          <w:highlight w:val="none"/>
        </w:rPr>
        <w:t>地</w:t>
      </w:r>
      <w:r>
        <w:rPr>
          <w:rFonts w:ascii="黑体" w:hAnsi="黑体" w:eastAsia="黑体" w:cs="黑体"/>
          <w:color w:val="auto"/>
          <w:spacing w:val="-27"/>
          <w:sz w:val="22"/>
          <w:szCs w:val="22"/>
          <w:highlight w:val="none"/>
        </w:rPr>
        <w:t xml:space="preserve"> </w:t>
      </w:r>
      <w:r>
        <w:rPr>
          <w:rFonts w:ascii="黑体" w:hAnsi="黑体" w:eastAsia="黑体" w:cs="黑体"/>
          <w:color w:val="auto"/>
          <w:spacing w:val="-28"/>
          <w:sz w:val="22"/>
          <w:szCs w:val="22"/>
          <w:highlight w:val="none"/>
        </w:rPr>
        <w:t>址</w:t>
      </w:r>
      <w:r>
        <w:rPr>
          <w:rFonts w:ascii="黑体" w:hAnsi="黑体" w:eastAsia="黑体" w:cs="黑体"/>
          <w:color w:val="auto"/>
          <w:spacing w:val="-40"/>
          <w:sz w:val="22"/>
          <w:szCs w:val="22"/>
          <w:highlight w:val="none"/>
        </w:rPr>
        <w:t xml:space="preserve"> </w:t>
      </w:r>
      <w:r>
        <w:rPr>
          <w:rFonts w:ascii="黑体" w:hAnsi="黑体" w:eastAsia="黑体" w:cs="黑体"/>
          <w:color w:val="auto"/>
          <w:spacing w:val="-28"/>
          <w:sz w:val="22"/>
          <w:szCs w:val="22"/>
          <w:highlight w:val="none"/>
        </w:rPr>
        <w:t>：</w:t>
      </w:r>
      <w:r>
        <w:rPr>
          <w:rFonts w:ascii="黑体" w:hAnsi="黑体" w:eastAsia="黑体" w:cs="黑体"/>
          <w:color w:val="auto"/>
          <w:spacing w:val="1"/>
          <w:sz w:val="22"/>
          <w:szCs w:val="22"/>
          <w:highlight w:val="none"/>
          <w:u w:val="single" w:color="auto"/>
        </w:rPr>
        <w:t xml:space="preserve">                             </w:t>
      </w:r>
      <w:r>
        <w:rPr>
          <w:rFonts w:ascii="黑体" w:hAnsi="黑体" w:eastAsia="黑体" w:cs="黑体"/>
          <w:color w:val="auto"/>
          <w:sz w:val="22"/>
          <w:szCs w:val="22"/>
          <w:highlight w:val="none"/>
          <w:u w:val="single" w:color="auto"/>
        </w:rPr>
        <w:t xml:space="preserve">                            </w:t>
      </w:r>
      <w:r>
        <w:rPr>
          <w:rFonts w:ascii="黑体" w:hAnsi="黑体" w:eastAsia="黑体" w:cs="黑体"/>
          <w:color w:val="auto"/>
          <w:spacing w:val="-28"/>
          <w:sz w:val="20"/>
          <w:szCs w:val="20"/>
          <w:highlight w:val="none"/>
        </w:rPr>
        <w:t>邮</w:t>
      </w:r>
      <w:r>
        <w:rPr>
          <w:rFonts w:ascii="黑体" w:hAnsi="黑体" w:eastAsia="黑体" w:cs="黑体"/>
          <w:color w:val="auto"/>
          <w:spacing w:val="-1"/>
          <w:sz w:val="20"/>
          <w:szCs w:val="20"/>
          <w:highlight w:val="none"/>
        </w:rPr>
        <w:t xml:space="preserve"> </w:t>
      </w:r>
      <w:r>
        <w:rPr>
          <w:rFonts w:ascii="黑体" w:hAnsi="黑体" w:eastAsia="黑体" w:cs="黑体"/>
          <w:color w:val="auto"/>
          <w:spacing w:val="-28"/>
          <w:sz w:val="20"/>
          <w:szCs w:val="20"/>
          <w:highlight w:val="none"/>
        </w:rPr>
        <w:t>编 ：</w:t>
      </w:r>
      <w:r>
        <w:rPr>
          <w:rFonts w:ascii="黑体" w:hAnsi="黑体" w:eastAsia="黑体" w:cs="黑体"/>
          <w:color w:val="auto"/>
          <w:sz w:val="20"/>
          <w:szCs w:val="20"/>
          <w:highlight w:val="none"/>
          <w:u w:val="single" w:color="auto"/>
        </w:rPr>
        <w:t xml:space="preserve">         </w:t>
      </w:r>
    </w:p>
    <w:p>
      <w:pPr>
        <w:spacing w:before="114" w:line="222" w:lineRule="auto"/>
        <w:ind w:left="396"/>
        <w:rPr>
          <w:rFonts w:ascii="黑体" w:hAnsi="黑体" w:eastAsia="黑体" w:cs="黑体"/>
          <w:color w:val="auto"/>
          <w:sz w:val="20"/>
          <w:szCs w:val="20"/>
          <w:highlight w:val="none"/>
        </w:rPr>
      </w:pPr>
      <w:r>
        <w:rPr>
          <w:rFonts w:ascii="黑体" w:hAnsi="黑体" w:eastAsia="黑体" w:cs="黑体"/>
          <w:color w:val="auto"/>
          <w:spacing w:val="1"/>
          <w:sz w:val="22"/>
          <w:szCs w:val="22"/>
          <w:highlight w:val="none"/>
        </w:rPr>
        <w:t>联系人：</w:t>
      </w:r>
      <w:r>
        <w:rPr>
          <w:rFonts w:ascii="黑体" w:hAnsi="黑体" w:eastAsia="黑体" w:cs="黑体"/>
          <w:color w:val="auto"/>
          <w:spacing w:val="2"/>
          <w:sz w:val="22"/>
          <w:szCs w:val="22"/>
          <w:highlight w:val="none"/>
          <w:u w:val="single" w:color="auto"/>
        </w:rPr>
        <w:t xml:space="preserve">                                             </w:t>
      </w:r>
      <w:r>
        <w:rPr>
          <w:rFonts w:ascii="黑体" w:hAnsi="黑体" w:eastAsia="黑体" w:cs="黑体"/>
          <w:color w:val="auto"/>
          <w:spacing w:val="1"/>
          <w:sz w:val="20"/>
          <w:szCs w:val="20"/>
          <w:highlight w:val="none"/>
        </w:rPr>
        <w:t>联系电话：</w:t>
      </w:r>
      <w:r>
        <w:rPr>
          <w:rFonts w:ascii="黑体" w:hAnsi="黑体" w:eastAsia="黑体" w:cs="黑体"/>
          <w:color w:val="auto"/>
          <w:spacing w:val="-8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44" w:line="220" w:lineRule="auto"/>
        <w:ind w:left="396"/>
        <w:rPr>
          <w:rFonts w:ascii="黑体" w:hAnsi="黑体" w:eastAsia="黑体" w:cs="黑体"/>
          <w:color w:val="auto"/>
          <w:sz w:val="20"/>
          <w:szCs w:val="20"/>
          <w:highlight w:val="none"/>
        </w:rPr>
      </w:pPr>
      <w:r>
        <w:rPr>
          <w:rFonts w:ascii="黑体" w:hAnsi="黑体" w:eastAsia="黑体" w:cs="黑体"/>
          <w:color w:val="auto"/>
          <w:spacing w:val="20"/>
          <w:sz w:val="20"/>
          <w:szCs w:val="20"/>
          <w:highlight w:val="none"/>
        </w:rPr>
        <w:t>被投诉人2:</w:t>
      </w:r>
    </w:p>
    <w:p>
      <w:pPr>
        <w:spacing w:line="246" w:lineRule="auto"/>
        <w:rPr>
          <w:rFonts w:ascii="Arial"/>
          <w:color w:val="auto"/>
          <w:sz w:val="21"/>
          <w:highlight w:val="none"/>
        </w:rPr>
      </w:pPr>
    </w:p>
    <w:p>
      <w:pPr>
        <w:pStyle w:val="3"/>
        <w:spacing w:before="13" w:line="17" w:lineRule="exact"/>
        <w:ind w:left="486"/>
        <w:rPr>
          <w:color w:val="auto"/>
          <w:sz w:val="4"/>
          <w:szCs w:val="4"/>
          <w:highlight w:val="none"/>
        </w:rPr>
      </w:pPr>
      <w:r>
        <w:rPr>
          <w:color w:val="auto"/>
          <w:sz w:val="4"/>
          <w:szCs w:val="4"/>
          <w:highlight w:val="none"/>
        </w:rPr>
        <w:t>.</w:t>
      </w:r>
    </w:p>
    <w:p>
      <w:pPr>
        <w:spacing w:before="256" w:line="222" w:lineRule="auto"/>
        <w:ind w:left="396"/>
        <w:rPr>
          <w:rFonts w:ascii="黑体" w:hAnsi="黑体" w:eastAsia="黑体" w:cs="黑体"/>
          <w:color w:val="auto"/>
          <w:sz w:val="22"/>
          <w:szCs w:val="22"/>
          <w:highlight w:val="none"/>
        </w:rPr>
      </w:pPr>
      <w:r>
        <w:rPr>
          <w:rFonts w:ascii="黑体" w:hAnsi="黑体" w:eastAsia="黑体" w:cs="黑体"/>
          <w:color w:val="auto"/>
          <w:spacing w:val="-12"/>
          <w:sz w:val="22"/>
          <w:szCs w:val="22"/>
          <w:highlight w:val="none"/>
        </w:rPr>
        <w:t>相关供应商：</w:t>
      </w:r>
      <w:r>
        <w:rPr>
          <w:rFonts w:ascii="黑体" w:hAnsi="黑体" w:eastAsia="黑体" w:cs="黑体"/>
          <w:color w:val="auto"/>
          <w:sz w:val="22"/>
          <w:szCs w:val="22"/>
          <w:highlight w:val="none"/>
          <w:u w:val="single" w:color="auto"/>
        </w:rPr>
        <w:t xml:space="preserve">                                                                     </w:t>
      </w:r>
    </w:p>
    <w:p>
      <w:pPr>
        <w:spacing w:before="166" w:line="223" w:lineRule="auto"/>
        <w:ind w:left="396"/>
        <w:rPr>
          <w:rFonts w:ascii="黑体" w:hAnsi="黑体" w:eastAsia="黑体" w:cs="黑体"/>
          <w:color w:val="auto"/>
          <w:sz w:val="20"/>
          <w:szCs w:val="20"/>
          <w:highlight w:val="none"/>
        </w:rPr>
      </w:pPr>
      <w:r>
        <w:rPr>
          <w:rFonts w:ascii="黑体" w:hAnsi="黑体" w:eastAsia="黑体" w:cs="黑体"/>
          <w:color w:val="auto"/>
          <w:spacing w:val="-16"/>
          <w:sz w:val="22"/>
          <w:szCs w:val="22"/>
          <w:highlight w:val="none"/>
        </w:rPr>
        <w:t>地</w:t>
      </w:r>
      <w:r>
        <w:rPr>
          <w:rFonts w:ascii="黑体" w:hAnsi="黑体" w:eastAsia="黑体" w:cs="黑体"/>
          <w:color w:val="auto"/>
          <w:spacing w:val="-32"/>
          <w:sz w:val="22"/>
          <w:szCs w:val="22"/>
          <w:highlight w:val="none"/>
        </w:rPr>
        <w:t xml:space="preserve"> </w:t>
      </w:r>
      <w:r>
        <w:rPr>
          <w:rFonts w:ascii="黑体" w:hAnsi="黑体" w:eastAsia="黑体" w:cs="黑体"/>
          <w:color w:val="auto"/>
          <w:spacing w:val="-16"/>
          <w:sz w:val="22"/>
          <w:szCs w:val="22"/>
          <w:highlight w:val="none"/>
        </w:rPr>
        <w:t>址</w:t>
      </w:r>
      <w:r>
        <w:rPr>
          <w:rFonts w:ascii="黑体" w:hAnsi="黑体" w:eastAsia="黑体" w:cs="黑体"/>
          <w:color w:val="auto"/>
          <w:spacing w:val="-40"/>
          <w:sz w:val="22"/>
          <w:szCs w:val="22"/>
          <w:highlight w:val="none"/>
        </w:rPr>
        <w:t xml:space="preserve"> </w:t>
      </w:r>
      <w:r>
        <w:rPr>
          <w:rFonts w:ascii="黑体" w:hAnsi="黑体" w:eastAsia="黑体" w:cs="黑体"/>
          <w:color w:val="auto"/>
          <w:spacing w:val="-16"/>
          <w:sz w:val="22"/>
          <w:szCs w:val="22"/>
          <w:highlight w:val="none"/>
        </w:rPr>
        <w:t>：</w:t>
      </w:r>
      <w:r>
        <w:rPr>
          <w:rFonts w:ascii="黑体" w:hAnsi="黑体" w:eastAsia="黑体" w:cs="黑体"/>
          <w:color w:val="auto"/>
          <w:spacing w:val="2"/>
          <w:sz w:val="22"/>
          <w:szCs w:val="22"/>
          <w:highlight w:val="none"/>
          <w:u w:val="single" w:color="auto"/>
        </w:rPr>
        <w:t xml:space="preserve">                                           </w:t>
      </w:r>
      <w:r>
        <w:rPr>
          <w:rFonts w:ascii="黑体" w:hAnsi="黑体" w:eastAsia="黑体" w:cs="黑体"/>
          <w:color w:val="auto"/>
          <w:spacing w:val="-16"/>
          <w:sz w:val="20"/>
          <w:szCs w:val="20"/>
          <w:highlight w:val="none"/>
        </w:rPr>
        <w:t>邮</w:t>
      </w:r>
      <w:r>
        <w:rPr>
          <w:rFonts w:ascii="黑体" w:hAnsi="黑体" w:eastAsia="黑体" w:cs="黑体"/>
          <w:color w:val="auto"/>
          <w:spacing w:val="3"/>
          <w:sz w:val="20"/>
          <w:szCs w:val="20"/>
          <w:highlight w:val="none"/>
        </w:rPr>
        <w:t xml:space="preserve"> </w:t>
      </w:r>
      <w:r>
        <w:rPr>
          <w:rFonts w:ascii="黑体" w:hAnsi="黑体" w:eastAsia="黑体" w:cs="黑体"/>
          <w:color w:val="auto"/>
          <w:spacing w:val="-16"/>
          <w:sz w:val="20"/>
          <w:szCs w:val="20"/>
          <w:highlight w:val="none"/>
        </w:rPr>
        <w:t>编 ：</w:t>
      </w:r>
      <w:r>
        <w:rPr>
          <w:rFonts w:ascii="黑体" w:hAnsi="黑体" w:eastAsia="黑体" w:cs="黑体"/>
          <w:color w:val="auto"/>
          <w:spacing w:val="-16"/>
          <w:sz w:val="20"/>
          <w:szCs w:val="20"/>
          <w:highlight w:val="none"/>
          <w:u w:val="single" w:color="auto"/>
        </w:rPr>
        <w:t xml:space="preserve">                     </w:t>
      </w:r>
      <w:r>
        <w:rPr>
          <w:rFonts w:ascii="黑体" w:hAnsi="黑体" w:eastAsia="黑体" w:cs="黑体"/>
          <w:color w:val="auto"/>
          <w:spacing w:val="-17"/>
          <w:sz w:val="20"/>
          <w:szCs w:val="20"/>
          <w:highlight w:val="none"/>
          <w:u w:val="single" w:color="auto"/>
        </w:rPr>
        <w:t xml:space="preserve">        </w:t>
      </w:r>
    </w:p>
    <w:p>
      <w:pPr>
        <w:spacing w:before="148" w:line="227" w:lineRule="auto"/>
        <w:ind w:left="396"/>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联系人：</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11"/>
          <w:sz w:val="20"/>
          <w:szCs w:val="20"/>
          <w:highlight w:val="none"/>
        </w:rPr>
        <w:t>联</w:t>
      </w:r>
      <w:r>
        <w:rPr>
          <w:rFonts w:ascii="黑体" w:hAnsi="黑体" w:eastAsia="黑体" w:cs="黑体"/>
          <w:color w:val="auto"/>
          <w:spacing w:val="-22"/>
          <w:sz w:val="20"/>
          <w:szCs w:val="20"/>
          <w:highlight w:val="none"/>
        </w:rPr>
        <w:t xml:space="preserve"> </w:t>
      </w:r>
      <w:r>
        <w:rPr>
          <w:rFonts w:ascii="黑体" w:hAnsi="黑体" w:eastAsia="黑体" w:cs="黑体"/>
          <w:color w:val="auto"/>
          <w:spacing w:val="-11"/>
          <w:sz w:val="20"/>
          <w:szCs w:val="20"/>
          <w:highlight w:val="none"/>
        </w:rPr>
        <w:t>系</w:t>
      </w:r>
      <w:r>
        <w:rPr>
          <w:rFonts w:ascii="黑体" w:hAnsi="黑体" w:eastAsia="黑体" w:cs="黑体"/>
          <w:color w:val="auto"/>
          <w:spacing w:val="-31"/>
          <w:sz w:val="20"/>
          <w:szCs w:val="20"/>
          <w:highlight w:val="none"/>
        </w:rPr>
        <w:t xml:space="preserve"> </w:t>
      </w:r>
      <w:r>
        <w:rPr>
          <w:rFonts w:ascii="黑体" w:hAnsi="黑体" w:eastAsia="黑体" w:cs="黑体"/>
          <w:color w:val="auto"/>
          <w:spacing w:val="-11"/>
          <w:sz w:val="20"/>
          <w:szCs w:val="20"/>
          <w:highlight w:val="none"/>
        </w:rPr>
        <w:t>电</w:t>
      </w:r>
      <w:r>
        <w:rPr>
          <w:rFonts w:ascii="黑体" w:hAnsi="黑体" w:eastAsia="黑体" w:cs="黑体"/>
          <w:color w:val="auto"/>
          <w:spacing w:val="-42"/>
          <w:sz w:val="20"/>
          <w:szCs w:val="20"/>
          <w:highlight w:val="none"/>
        </w:rPr>
        <w:t xml:space="preserve"> </w:t>
      </w:r>
      <w:r>
        <w:rPr>
          <w:rFonts w:ascii="黑体" w:hAnsi="黑体" w:eastAsia="黑体" w:cs="黑体"/>
          <w:color w:val="auto"/>
          <w:spacing w:val="-11"/>
          <w:sz w:val="20"/>
          <w:szCs w:val="20"/>
          <w:highlight w:val="none"/>
        </w:rPr>
        <w:t>话</w:t>
      </w:r>
      <w:r>
        <w:rPr>
          <w:rFonts w:ascii="黑体" w:hAnsi="黑体" w:eastAsia="黑体" w:cs="黑体"/>
          <w:color w:val="auto"/>
          <w:spacing w:val="-51"/>
          <w:sz w:val="20"/>
          <w:szCs w:val="20"/>
          <w:highlight w:val="none"/>
        </w:rPr>
        <w:t xml:space="preserve"> </w:t>
      </w:r>
      <w:r>
        <w:rPr>
          <w:rFonts w:ascii="黑体" w:hAnsi="黑体" w:eastAsia="黑体" w:cs="黑体"/>
          <w:color w:val="auto"/>
          <w:spacing w:val="-11"/>
          <w:sz w:val="20"/>
          <w:szCs w:val="20"/>
          <w:highlight w:val="none"/>
        </w:rPr>
        <w:t>：</w:t>
      </w:r>
      <w:r>
        <w:rPr>
          <w:rFonts w:ascii="黑体" w:hAnsi="黑体" w:eastAsia="黑体" w:cs="黑体"/>
          <w:color w:val="auto"/>
          <w:sz w:val="20"/>
          <w:szCs w:val="20"/>
          <w:highlight w:val="none"/>
          <w:u w:val="single" w:color="auto"/>
        </w:rPr>
        <w:t xml:space="preserve">                     </w:t>
      </w:r>
    </w:p>
    <w:p>
      <w:pPr>
        <w:spacing w:before="125" w:line="220" w:lineRule="auto"/>
        <w:ind w:left="399"/>
        <w:rPr>
          <w:rFonts w:ascii="黑体" w:hAnsi="黑体" w:eastAsia="黑体" w:cs="黑体"/>
          <w:color w:val="auto"/>
          <w:sz w:val="20"/>
          <w:szCs w:val="20"/>
          <w:highlight w:val="none"/>
        </w:rPr>
      </w:pPr>
      <w:r>
        <w:rPr>
          <w:rFonts w:ascii="黑体" w:hAnsi="黑体" w:eastAsia="黑体" w:cs="黑体"/>
          <w:b/>
          <w:bCs/>
          <w:color w:val="auto"/>
          <w:sz w:val="20"/>
          <w:szCs w:val="20"/>
          <w:highlight w:val="none"/>
        </w:rPr>
        <w:t>二</w:t>
      </w:r>
      <w:r>
        <w:rPr>
          <w:rFonts w:ascii="黑体" w:hAnsi="黑体" w:eastAsia="黑体" w:cs="黑体"/>
          <w:color w:val="auto"/>
          <w:spacing w:val="-10"/>
          <w:sz w:val="20"/>
          <w:szCs w:val="20"/>
          <w:highlight w:val="none"/>
        </w:rPr>
        <w:t xml:space="preserve"> </w:t>
      </w:r>
      <w:r>
        <w:rPr>
          <w:rFonts w:ascii="黑体" w:hAnsi="黑体" w:eastAsia="黑体" w:cs="黑体"/>
          <w:b/>
          <w:bCs/>
          <w:color w:val="auto"/>
          <w:sz w:val="20"/>
          <w:szCs w:val="20"/>
          <w:highlight w:val="none"/>
        </w:rPr>
        <w:t>、投诉项目基本情况：</w:t>
      </w:r>
    </w:p>
    <w:p>
      <w:pPr>
        <w:spacing w:before="166" w:line="222" w:lineRule="auto"/>
        <w:ind w:left="396"/>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采购项目的名称：</w:t>
      </w:r>
      <w:r>
        <w:rPr>
          <w:rFonts w:ascii="黑体" w:hAnsi="黑体" w:eastAsia="黑体" w:cs="黑体"/>
          <w:color w:val="auto"/>
          <w:spacing w:val="-55"/>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49" w:line="221" w:lineRule="auto"/>
        <w:ind w:left="396"/>
        <w:rPr>
          <w:rFonts w:ascii="黑体" w:hAnsi="黑体" w:eastAsia="黑体" w:cs="黑体"/>
          <w:color w:val="auto"/>
          <w:sz w:val="22"/>
          <w:szCs w:val="22"/>
          <w:highlight w:val="none"/>
        </w:rPr>
      </w:pPr>
      <w:r>
        <w:rPr>
          <w:rFonts w:ascii="黑体" w:hAnsi="黑体" w:eastAsia="黑体" w:cs="黑体"/>
          <w:color w:val="auto"/>
          <w:spacing w:val="-10"/>
          <w:sz w:val="22"/>
          <w:szCs w:val="22"/>
          <w:highlight w:val="none"/>
        </w:rPr>
        <w:t>采购项目的编号：</w:t>
      </w:r>
      <w:r>
        <w:rPr>
          <w:rFonts w:ascii="黑体" w:hAnsi="黑体" w:eastAsia="黑体" w:cs="黑体"/>
          <w:color w:val="auto"/>
          <w:sz w:val="22"/>
          <w:szCs w:val="22"/>
          <w:highlight w:val="none"/>
          <w:u w:val="single" w:color="auto"/>
        </w:rPr>
        <w:t xml:space="preserve">                                                   </w:t>
      </w:r>
    </w:p>
    <w:p>
      <w:pPr>
        <w:spacing w:before="127" w:line="222" w:lineRule="auto"/>
        <w:ind w:left="396"/>
        <w:rPr>
          <w:rFonts w:ascii="黑体" w:hAnsi="黑体" w:eastAsia="黑体" w:cs="黑体"/>
          <w:color w:val="auto"/>
          <w:sz w:val="21"/>
          <w:szCs w:val="21"/>
          <w:highlight w:val="none"/>
        </w:rPr>
      </w:pPr>
      <w:r>
        <w:rPr>
          <w:rFonts w:ascii="黑体" w:hAnsi="黑体" w:eastAsia="黑体" w:cs="黑体"/>
          <w:color w:val="auto"/>
          <w:sz w:val="21"/>
          <w:szCs w:val="21"/>
          <w:highlight w:val="none"/>
        </w:rPr>
        <w:t>采购人名称：</w:t>
      </w:r>
      <w:r>
        <w:rPr>
          <w:rFonts w:ascii="黑体" w:hAnsi="黑体" w:eastAsia="黑体" w:cs="黑体"/>
          <w:color w:val="auto"/>
          <w:spacing w:val="-76"/>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77" w:line="222" w:lineRule="auto"/>
        <w:ind w:left="396"/>
        <w:rPr>
          <w:rFonts w:ascii="黑体" w:hAnsi="黑体" w:eastAsia="黑体" w:cs="黑体"/>
          <w:color w:val="auto"/>
          <w:sz w:val="20"/>
          <w:szCs w:val="20"/>
          <w:highlight w:val="none"/>
        </w:rPr>
      </w:pPr>
      <w:r>
        <w:rPr>
          <w:rFonts w:ascii="黑体" w:hAnsi="黑体" w:eastAsia="黑体" w:cs="黑体"/>
          <w:color w:val="auto"/>
          <w:spacing w:val="-3"/>
          <w:sz w:val="20"/>
          <w:szCs w:val="20"/>
          <w:highlight w:val="none"/>
        </w:rPr>
        <w:t xml:space="preserve">代理机构名称： </w:t>
      </w:r>
      <w:r>
        <w:rPr>
          <w:rFonts w:ascii="黑体" w:hAnsi="黑体" w:eastAsia="黑体" w:cs="黑体"/>
          <w:color w:val="auto"/>
          <w:spacing w:val="-3"/>
          <w:sz w:val="20"/>
          <w:szCs w:val="20"/>
          <w:highlight w:val="none"/>
          <w:u w:val="single" w:color="auto"/>
        </w:rPr>
        <w:t xml:space="preserve">                                                                   </w:t>
      </w:r>
      <w:r>
        <w:rPr>
          <w:rFonts w:ascii="黑体" w:hAnsi="黑体" w:eastAsia="黑体" w:cs="黑体"/>
          <w:color w:val="auto"/>
          <w:spacing w:val="-4"/>
          <w:sz w:val="20"/>
          <w:szCs w:val="20"/>
          <w:highlight w:val="none"/>
          <w:u w:val="single" w:color="auto"/>
        </w:rPr>
        <w:t xml:space="preserve">         </w:t>
      </w:r>
    </w:p>
    <w:p>
      <w:pPr>
        <w:spacing w:before="170" w:line="222" w:lineRule="auto"/>
        <w:ind w:left="396"/>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采购文件公告：</w:t>
      </w:r>
      <w:r>
        <w:rPr>
          <w:rFonts w:ascii="黑体" w:hAnsi="黑体" w:eastAsia="黑体" w:cs="黑体"/>
          <w:color w:val="auto"/>
          <w:spacing w:val="-27"/>
          <w:sz w:val="20"/>
          <w:szCs w:val="20"/>
          <w:highlight w:val="none"/>
        </w:rPr>
        <w:t xml:space="preserve"> </w:t>
      </w:r>
      <w:r>
        <w:rPr>
          <w:rFonts w:ascii="黑体" w:hAnsi="黑体" w:eastAsia="黑体" w:cs="黑体"/>
          <w:color w:val="auto"/>
          <w:spacing w:val="-5"/>
          <w:sz w:val="20"/>
          <w:szCs w:val="20"/>
          <w:highlight w:val="none"/>
          <w:u w:val="single" w:color="auto"/>
        </w:rPr>
        <w:t>是</w:t>
      </w:r>
      <w:r>
        <w:rPr>
          <w:rFonts w:ascii="黑体" w:hAnsi="黑体" w:eastAsia="黑体" w:cs="黑体"/>
          <w:color w:val="auto"/>
          <w:spacing w:val="-42"/>
          <w:sz w:val="20"/>
          <w:szCs w:val="20"/>
          <w:highlight w:val="none"/>
          <w:u w:val="single" w:color="auto"/>
        </w:rPr>
        <w:t xml:space="preserve"> </w:t>
      </w:r>
      <w:r>
        <w:rPr>
          <w:rFonts w:ascii="黑体" w:hAnsi="黑体" w:eastAsia="黑体" w:cs="黑体"/>
          <w:color w:val="auto"/>
          <w:spacing w:val="-5"/>
          <w:sz w:val="20"/>
          <w:szCs w:val="20"/>
          <w:highlight w:val="none"/>
          <w:u w:val="single" w:color="auto"/>
        </w:rPr>
        <w:t>/</w:t>
      </w:r>
      <w:r>
        <w:rPr>
          <w:rFonts w:ascii="黑体" w:hAnsi="黑体" w:eastAsia="黑体" w:cs="黑体"/>
          <w:color w:val="auto"/>
          <w:spacing w:val="-37"/>
          <w:sz w:val="20"/>
          <w:szCs w:val="20"/>
          <w:highlight w:val="none"/>
          <w:u w:val="single" w:color="auto"/>
        </w:rPr>
        <w:t xml:space="preserve"> </w:t>
      </w:r>
      <w:r>
        <w:rPr>
          <w:rFonts w:ascii="黑体" w:hAnsi="黑体" w:eastAsia="黑体" w:cs="黑体"/>
          <w:color w:val="auto"/>
          <w:spacing w:val="-5"/>
          <w:sz w:val="20"/>
          <w:szCs w:val="20"/>
          <w:highlight w:val="none"/>
          <w:u w:val="single" w:color="auto"/>
        </w:rPr>
        <w:t>否</w:t>
      </w:r>
      <w:r>
        <w:rPr>
          <w:rFonts w:ascii="黑体" w:hAnsi="黑体" w:eastAsia="黑体" w:cs="黑体"/>
          <w:color w:val="auto"/>
          <w:spacing w:val="-5"/>
          <w:sz w:val="20"/>
          <w:szCs w:val="20"/>
          <w:highlight w:val="none"/>
        </w:rPr>
        <w:t>公告期限：</w:t>
      </w:r>
      <w:r>
        <w:rPr>
          <w:rFonts w:ascii="黑体" w:hAnsi="黑体" w:eastAsia="黑体" w:cs="黑体"/>
          <w:color w:val="auto"/>
          <w:spacing w:val="-3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61" w:line="222" w:lineRule="auto"/>
        <w:ind w:left="396"/>
        <w:rPr>
          <w:rFonts w:ascii="黑体" w:hAnsi="黑体" w:eastAsia="黑体" w:cs="黑体"/>
          <w:color w:val="auto"/>
          <w:sz w:val="20"/>
          <w:szCs w:val="20"/>
          <w:highlight w:val="none"/>
        </w:rPr>
      </w:pPr>
      <w:r>
        <w:rPr>
          <w:rFonts w:ascii="黑体" w:hAnsi="黑体" w:eastAsia="黑体" w:cs="黑体"/>
          <w:color w:val="auto"/>
          <w:spacing w:val="-5"/>
          <w:sz w:val="20"/>
          <w:szCs w:val="20"/>
          <w:highlight w:val="none"/>
        </w:rPr>
        <w:t xml:space="preserve">采购结果公告： </w:t>
      </w:r>
      <w:r>
        <w:rPr>
          <w:rFonts w:ascii="黑体" w:hAnsi="黑体" w:eastAsia="黑体" w:cs="黑体"/>
          <w:color w:val="auto"/>
          <w:spacing w:val="-5"/>
          <w:sz w:val="20"/>
          <w:szCs w:val="20"/>
          <w:highlight w:val="none"/>
          <w:u w:val="single" w:color="auto"/>
        </w:rPr>
        <w:t>是</w:t>
      </w:r>
      <w:r>
        <w:rPr>
          <w:rFonts w:ascii="黑体" w:hAnsi="黑体" w:eastAsia="黑体" w:cs="黑体"/>
          <w:color w:val="auto"/>
          <w:spacing w:val="-35"/>
          <w:sz w:val="20"/>
          <w:szCs w:val="20"/>
          <w:highlight w:val="none"/>
          <w:u w:val="single" w:color="auto"/>
        </w:rPr>
        <w:t xml:space="preserve"> </w:t>
      </w:r>
      <w:r>
        <w:rPr>
          <w:rFonts w:ascii="黑体" w:hAnsi="黑体" w:eastAsia="黑体" w:cs="黑体"/>
          <w:color w:val="auto"/>
          <w:spacing w:val="-5"/>
          <w:sz w:val="20"/>
          <w:szCs w:val="20"/>
          <w:highlight w:val="none"/>
          <w:u w:val="single" w:color="auto"/>
        </w:rPr>
        <w:t>/</w:t>
      </w:r>
      <w:r>
        <w:rPr>
          <w:rFonts w:ascii="黑体" w:hAnsi="黑体" w:eastAsia="黑体" w:cs="黑体"/>
          <w:color w:val="auto"/>
          <w:spacing w:val="-37"/>
          <w:sz w:val="20"/>
          <w:szCs w:val="20"/>
          <w:highlight w:val="none"/>
          <w:u w:val="single" w:color="auto"/>
        </w:rPr>
        <w:t xml:space="preserve"> </w:t>
      </w:r>
      <w:r>
        <w:rPr>
          <w:rFonts w:ascii="黑体" w:hAnsi="黑体" w:eastAsia="黑体" w:cs="黑体"/>
          <w:color w:val="auto"/>
          <w:spacing w:val="-5"/>
          <w:sz w:val="20"/>
          <w:szCs w:val="20"/>
          <w:highlight w:val="none"/>
          <w:u w:val="single" w:color="auto"/>
        </w:rPr>
        <w:t>否</w:t>
      </w:r>
      <w:r>
        <w:rPr>
          <w:rFonts w:ascii="黑体" w:hAnsi="黑体" w:eastAsia="黑体" w:cs="黑体"/>
          <w:color w:val="auto"/>
          <w:spacing w:val="-5"/>
          <w:sz w:val="20"/>
          <w:szCs w:val="20"/>
          <w:highlight w:val="none"/>
        </w:rPr>
        <w:t>公告期限：</w:t>
      </w:r>
      <w:r>
        <w:rPr>
          <w:rFonts w:ascii="黑体" w:hAnsi="黑体" w:eastAsia="黑体" w:cs="黑体"/>
          <w:color w:val="auto"/>
          <w:spacing w:val="-6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before="134" w:line="221" w:lineRule="auto"/>
        <w:ind w:left="399"/>
        <w:rPr>
          <w:rFonts w:ascii="黑体" w:hAnsi="黑体" w:eastAsia="黑体" w:cs="黑体"/>
          <w:color w:val="auto"/>
          <w:sz w:val="20"/>
          <w:szCs w:val="20"/>
          <w:highlight w:val="none"/>
        </w:rPr>
      </w:pPr>
      <w:r>
        <w:rPr>
          <w:rFonts w:ascii="黑体" w:hAnsi="黑体" w:eastAsia="黑体" w:cs="黑体"/>
          <w:b/>
          <w:bCs/>
          <w:color w:val="auto"/>
          <w:spacing w:val="1"/>
          <w:sz w:val="20"/>
          <w:szCs w:val="20"/>
          <w:highlight w:val="none"/>
        </w:rPr>
        <w:t>三</w:t>
      </w:r>
      <w:r>
        <w:rPr>
          <w:rFonts w:ascii="黑体" w:hAnsi="黑体" w:eastAsia="黑体" w:cs="黑体"/>
          <w:color w:val="auto"/>
          <w:spacing w:val="-14"/>
          <w:sz w:val="20"/>
          <w:szCs w:val="20"/>
          <w:highlight w:val="none"/>
        </w:rPr>
        <w:t xml:space="preserve"> </w:t>
      </w:r>
      <w:r>
        <w:rPr>
          <w:rFonts w:ascii="黑体" w:hAnsi="黑体" w:eastAsia="黑体" w:cs="黑体"/>
          <w:b/>
          <w:bCs/>
          <w:color w:val="auto"/>
          <w:spacing w:val="1"/>
          <w:sz w:val="20"/>
          <w:szCs w:val="20"/>
          <w:highlight w:val="none"/>
        </w:rPr>
        <w:t>、质疑基本情况</w:t>
      </w:r>
    </w:p>
    <w:p>
      <w:pPr>
        <w:spacing w:before="165" w:line="213" w:lineRule="auto"/>
        <w:ind w:right="9"/>
        <w:jc w:val="right"/>
        <w:rPr>
          <w:rFonts w:ascii="黑体" w:hAnsi="黑体" w:eastAsia="黑体" w:cs="黑体"/>
          <w:color w:val="auto"/>
          <w:sz w:val="20"/>
          <w:szCs w:val="20"/>
          <w:highlight w:val="none"/>
        </w:rPr>
      </w:pPr>
      <w:r>
        <w:rPr>
          <w:rFonts w:ascii="黑体" w:hAnsi="黑体" w:eastAsia="黑体" w:cs="黑体"/>
          <w:color w:val="auto"/>
          <w:spacing w:val="1"/>
          <w:sz w:val="20"/>
          <w:szCs w:val="20"/>
          <w:highlight w:val="none"/>
        </w:rPr>
        <w:t>投诉人于</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1"/>
          <w:sz w:val="20"/>
          <w:szCs w:val="20"/>
          <w:highlight w:val="none"/>
        </w:rPr>
        <w:t>年</w:t>
      </w:r>
      <w:r>
        <w:rPr>
          <w:rFonts w:ascii="黑体" w:hAnsi="黑体" w:eastAsia="黑体" w:cs="黑体"/>
          <w:color w:val="auto"/>
          <w:spacing w:val="-88"/>
          <w:sz w:val="20"/>
          <w:szCs w:val="20"/>
          <w:highlight w:val="none"/>
        </w:rPr>
        <w:t xml:space="preserve"> </w:t>
      </w:r>
      <w:r>
        <w:rPr>
          <w:rFonts w:ascii="黑体" w:hAnsi="黑体" w:eastAsia="黑体" w:cs="黑体"/>
          <w:color w:val="auto"/>
          <w:spacing w:val="11"/>
          <w:sz w:val="20"/>
          <w:szCs w:val="20"/>
          <w:highlight w:val="none"/>
          <w:u w:val="single" w:color="auto"/>
        </w:rPr>
        <w:t xml:space="preserve">   </w:t>
      </w:r>
      <w:r>
        <w:rPr>
          <w:rFonts w:ascii="黑体" w:hAnsi="黑体" w:eastAsia="黑体" w:cs="黑体"/>
          <w:color w:val="auto"/>
          <w:spacing w:val="1"/>
          <w:sz w:val="20"/>
          <w:szCs w:val="20"/>
          <w:highlight w:val="none"/>
          <w:u w:val="single" w:color="auto"/>
        </w:rPr>
        <w:t>月</w:t>
      </w:r>
      <w:r>
        <w:rPr>
          <w:rFonts w:ascii="黑体" w:hAnsi="黑体" w:eastAsia="黑体" w:cs="黑体"/>
          <w:color w:val="auto"/>
          <w:spacing w:val="5"/>
          <w:sz w:val="20"/>
          <w:szCs w:val="20"/>
          <w:highlight w:val="none"/>
          <w:u w:val="single" w:color="auto"/>
        </w:rPr>
        <w:t xml:space="preserve">    </w:t>
      </w:r>
      <w:r>
        <w:rPr>
          <w:rFonts w:ascii="黑体" w:hAnsi="黑体" w:eastAsia="黑体" w:cs="黑体"/>
          <w:color w:val="auto"/>
          <w:spacing w:val="1"/>
          <w:sz w:val="20"/>
          <w:szCs w:val="20"/>
          <w:highlight w:val="none"/>
          <w:u w:val="single" w:color="auto"/>
        </w:rPr>
        <w:t>日</w:t>
      </w:r>
      <w:r>
        <w:rPr>
          <w:rFonts w:ascii="黑体" w:hAnsi="黑体" w:eastAsia="黑体" w:cs="黑体"/>
          <w:color w:val="auto"/>
          <w:spacing w:val="1"/>
          <w:sz w:val="20"/>
          <w:szCs w:val="20"/>
          <w:highlight w:val="none"/>
        </w:rPr>
        <w:t>， 向</w:t>
      </w:r>
      <w:r>
        <w:rPr>
          <w:rFonts w:ascii="黑体" w:hAnsi="黑体" w:eastAsia="黑体" w:cs="黑体"/>
          <w:color w:val="auto"/>
          <w:spacing w:val="-96"/>
          <w:sz w:val="20"/>
          <w:szCs w:val="20"/>
          <w:highlight w:val="none"/>
        </w:rPr>
        <w:t xml:space="preserve"> </w:t>
      </w:r>
      <w:r>
        <w:rPr>
          <w:rFonts w:ascii="黑体" w:hAnsi="黑体" w:eastAsia="黑体" w:cs="黑体"/>
          <w:color w:val="auto"/>
          <w:spacing w:val="1"/>
          <w:sz w:val="20"/>
          <w:szCs w:val="20"/>
          <w:highlight w:val="none"/>
          <w:u w:val="single" w:color="auto"/>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79"/>
          <w:sz w:val="20"/>
          <w:szCs w:val="20"/>
          <w:highlight w:val="none"/>
        </w:rPr>
        <w:t xml:space="preserve"> </w:t>
      </w:r>
      <w:r>
        <w:rPr>
          <w:rFonts w:ascii="黑体" w:hAnsi="黑体" w:eastAsia="黑体" w:cs="黑体"/>
          <w:color w:val="auto"/>
          <w:spacing w:val="1"/>
          <w:sz w:val="20"/>
          <w:szCs w:val="20"/>
          <w:highlight w:val="none"/>
        </w:rPr>
        <w:t>提出质疑</w:t>
      </w:r>
      <w:r>
        <w:rPr>
          <w:rFonts w:ascii="黑体" w:hAnsi="黑体" w:eastAsia="黑体" w:cs="黑体"/>
          <w:color w:val="auto"/>
          <w:sz w:val="20"/>
          <w:szCs w:val="20"/>
          <w:highlight w:val="none"/>
        </w:rPr>
        <w:t>，质疑事项为：</w:t>
      </w:r>
    </w:p>
    <w:p>
      <w:pPr>
        <w:spacing w:line="369" w:lineRule="auto"/>
        <w:rPr>
          <w:rFonts w:ascii="Arial"/>
          <w:color w:val="auto"/>
          <w:sz w:val="21"/>
          <w:highlight w:val="none"/>
        </w:rPr>
      </w:pPr>
    </w:p>
    <w:p>
      <w:pPr>
        <w:spacing w:line="410" w:lineRule="exact"/>
        <w:ind w:firstLine="386"/>
        <w:rPr>
          <w:color w:val="auto"/>
          <w:highlight w:val="none"/>
        </w:rPr>
      </w:pPr>
      <w:r>
        <w:rPr>
          <w:color w:val="auto"/>
          <w:position w:val="-8"/>
          <w:highlight w:val="none"/>
        </w:rPr>
        <w:drawing>
          <wp:inline distT="0" distB="0" distL="0" distR="0">
            <wp:extent cx="5771515" cy="259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48"/>
                    <a:stretch>
                      <a:fillRect/>
                    </a:stretch>
                  </pic:blipFill>
                  <pic:spPr>
                    <a:xfrm>
                      <a:off x="0" y="0"/>
                      <a:ext cx="5772109" cy="260336"/>
                    </a:xfrm>
                    <a:prstGeom prst="rect">
                      <a:avLst/>
                    </a:prstGeom>
                  </pic:spPr>
                </pic:pic>
              </a:graphicData>
            </a:graphic>
          </wp:inline>
        </w:drawing>
      </w:r>
    </w:p>
    <w:p>
      <w:pPr>
        <w:spacing w:before="188" w:line="213" w:lineRule="auto"/>
        <w:jc w:val="right"/>
        <w:rPr>
          <w:rFonts w:ascii="黑体" w:hAnsi="黑体" w:eastAsia="黑体" w:cs="黑体"/>
          <w:color w:val="auto"/>
          <w:sz w:val="20"/>
          <w:szCs w:val="20"/>
          <w:highlight w:val="none"/>
        </w:rPr>
      </w:pPr>
      <w:r>
        <w:rPr>
          <w:rFonts w:ascii="黑体" w:hAnsi="黑体" w:eastAsia="黑体" w:cs="黑体"/>
          <w:color w:val="auto"/>
          <w:spacing w:val="6"/>
          <w:sz w:val="20"/>
          <w:szCs w:val="20"/>
          <w:highlight w:val="none"/>
          <w:u w:val="single" w:color="auto"/>
        </w:rPr>
        <w:t>采购人/代理机构</w:t>
      </w:r>
      <w:r>
        <w:rPr>
          <w:rFonts w:ascii="黑体" w:hAnsi="黑体" w:eastAsia="黑体" w:cs="黑体"/>
          <w:color w:val="auto"/>
          <w:spacing w:val="6"/>
          <w:sz w:val="20"/>
          <w:szCs w:val="20"/>
          <w:highlight w:val="none"/>
        </w:rPr>
        <w:t>于</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6"/>
          <w:sz w:val="20"/>
          <w:szCs w:val="20"/>
          <w:highlight w:val="none"/>
        </w:rPr>
        <w:t>年</w:t>
      </w:r>
      <w:r>
        <w:rPr>
          <w:rFonts w:ascii="黑体" w:hAnsi="黑体" w:eastAsia="黑体" w:cs="黑体"/>
          <w:color w:val="auto"/>
          <w:spacing w:val="-88"/>
          <w:sz w:val="20"/>
          <w:szCs w:val="20"/>
          <w:highlight w:val="none"/>
        </w:rPr>
        <w:t xml:space="preserve"> </w:t>
      </w:r>
      <w:r>
        <w:rPr>
          <w:rFonts w:ascii="黑体" w:hAnsi="黑体" w:eastAsia="黑体" w:cs="黑体"/>
          <w:color w:val="auto"/>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6"/>
          <w:sz w:val="20"/>
          <w:szCs w:val="20"/>
          <w:highlight w:val="none"/>
        </w:rPr>
        <w:t>月</w:t>
      </w:r>
      <w:r>
        <w:rPr>
          <w:rFonts w:ascii="黑体" w:hAnsi="黑体" w:eastAsia="黑体" w:cs="黑体"/>
          <w:color w:val="auto"/>
          <w:spacing w:val="6"/>
          <w:sz w:val="20"/>
          <w:szCs w:val="20"/>
          <w:highlight w:val="none"/>
          <w:u w:val="single" w:color="auto"/>
        </w:rPr>
        <w:t xml:space="preserve">    </w:t>
      </w:r>
      <w:r>
        <w:rPr>
          <w:rFonts w:ascii="黑体" w:hAnsi="黑体" w:eastAsia="黑体" w:cs="黑体"/>
          <w:color w:val="auto"/>
          <w:spacing w:val="-80"/>
          <w:sz w:val="20"/>
          <w:szCs w:val="20"/>
          <w:highlight w:val="none"/>
        </w:rPr>
        <w:t xml:space="preserve"> </w:t>
      </w:r>
      <w:r>
        <w:rPr>
          <w:rFonts w:ascii="黑体" w:hAnsi="黑体" w:eastAsia="黑体" w:cs="黑体"/>
          <w:color w:val="auto"/>
          <w:spacing w:val="6"/>
          <w:sz w:val="20"/>
          <w:szCs w:val="20"/>
          <w:highlight w:val="none"/>
        </w:rPr>
        <w:t>日，就质疑事项作出了答复/没有在法定期限</w:t>
      </w:r>
      <w:r>
        <w:rPr>
          <w:rFonts w:ascii="黑体" w:hAnsi="黑体" w:eastAsia="黑体" w:cs="黑体"/>
          <w:color w:val="auto"/>
          <w:spacing w:val="5"/>
          <w:sz w:val="20"/>
          <w:szCs w:val="20"/>
          <w:highlight w:val="none"/>
        </w:rPr>
        <w:t>内作出答复。</w:t>
      </w:r>
    </w:p>
    <w:p>
      <w:pPr>
        <w:spacing w:before="158" w:line="220" w:lineRule="auto"/>
        <w:ind w:left="396"/>
        <w:rPr>
          <w:rFonts w:ascii="黑体" w:hAnsi="黑体" w:eastAsia="黑体" w:cs="黑体"/>
          <w:color w:val="auto"/>
          <w:sz w:val="20"/>
          <w:szCs w:val="20"/>
          <w:highlight w:val="none"/>
        </w:rPr>
      </w:pPr>
      <w:r>
        <w:rPr>
          <w:rFonts w:ascii="黑体" w:hAnsi="黑体" w:eastAsia="黑体" w:cs="黑体"/>
          <w:color w:val="auto"/>
          <w:spacing w:val="3"/>
          <w:sz w:val="20"/>
          <w:szCs w:val="20"/>
          <w:highlight w:val="none"/>
        </w:rPr>
        <w:t>四</w:t>
      </w:r>
      <w:r>
        <w:rPr>
          <w:rFonts w:ascii="黑体" w:hAnsi="黑体" w:eastAsia="黑体" w:cs="黑体"/>
          <w:color w:val="auto"/>
          <w:spacing w:val="-32"/>
          <w:sz w:val="20"/>
          <w:szCs w:val="20"/>
          <w:highlight w:val="none"/>
        </w:rPr>
        <w:t xml:space="preserve"> </w:t>
      </w:r>
      <w:r>
        <w:rPr>
          <w:rFonts w:ascii="黑体" w:hAnsi="黑体" w:eastAsia="黑体" w:cs="黑体"/>
          <w:color w:val="auto"/>
          <w:spacing w:val="3"/>
          <w:sz w:val="20"/>
          <w:szCs w:val="20"/>
          <w:highlight w:val="none"/>
        </w:rPr>
        <w:t>、投诉事项具体内容</w:t>
      </w:r>
    </w:p>
    <w:p>
      <w:pPr>
        <w:spacing w:before="172" w:line="220" w:lineRule="auto"/>
        <w:ind w:left="396"/>
        <w:rPr>
          <w:rFonts w:ascii="黑体" w:hAnsi="黑体" w:eastAsia="黑体" w:cs="黑体"/>
          <w:color w:val="auto"/>
          <w:sz w:val="22"/>
          <w:szCs w:val="22"/>
          <w:highlight w:val="none"/>
        </w:rPr>
      </w:pPr>
      <w:r>
        <w:rPr>
          <w:rFonts w:ascii="黑体" w:hAnsi="黑体" w:eastAsia="黑体" w:cs="黑体"/>
          <w:color w:val="auto"/>
          <w:spacing w:val="12"/>
          <w:sz w:val="22"/>
          <w:szCs w:val="22"/>
          <w:highlight w:val="none"/>
        </w:rPr>
        <w:t>投诉事项1</w:t>
      </w:r>
      <w:r>
        <w:rPr>
          <w:rFonts w:ascii="黑体" w:hAnsi="黑体" w:eastAsia="黑体" w:cs="黑体"/>
          <w:color w:val="auto"/>
          <w:spacing w:val="-36"/>
          <w:sz w:val="22"/>
          <w:szCs w:val="22"/>
          <w:highlight w:val="none"/>
        </w:rPr>
        <w:t xml:space="preserve"> </w:t>
      </w:r>
      <w:r>
        <w:rPr>
          <w:rFonts w:ascii="黑体" w:hAnsi="黑体" w:eastAsia="黑体" w:cs="黑体"/>
          <w:color w:val="auto"/>
          <w:spacing w:val="12"/>
          <w:sz w:val="22"/>
          <w:szCs w:val="22"/>
          <w:highlight w:val="none"/>
        </w:rPr>
        <w:t>:</w:t>
      </w:r>
      <w:r>
        <w:rPr>
          <w:rFonts w:ascii="黑体" w:hAnsi="黑体" w:eastAsia="黑体" w:cs="黑体"/>
          <w:color w:val="auto"/>
          <w:sz w:val="22"/>
          <w:szCs w:val="22"/>
          <w:highlight w:val="none"/>
          <w:u w:val="single" w:color="auto"/>
        </w:rPr>
        <w:t xml:space="preserve">                                                                        </w:t>
      </w:r>
    </w:p>
    <w:p>
      <w:pPr>
        <w:spacing w:before="128" w:line="222" w:lineRule="auto"/>
        <w:ind w:left="396"/>
        <w:rPr>
          <w:rFonts w:ascii="黑体" w:hAnsi="黑体" w:eastAsia="黑体" w:cs="黑体"/>
          <w:color w:val="auto"/>
          <w:sz w:val="21"/>
          <w:szCs w:val="21"/>
          <w:highlight w:val="none"/>
        </w:rPr>
      </w:pPr>
      <w:r>
        <w:rPr>
          <w:rFonts w:ascii="黑体" w:hAnsi="黑体" w:eastAsia="黑体" w:cs="黑体"/>
          <w:color w:val="auto"/>
          <w:sz w:val="21"/>
          <w:szCs w:val="21"/>
          <w:highlight w:val="none"/>
        </w:rPr>
        <w:t>事实依据：</w:t>
      </w:r>
      <w:r>
        <w:rPr>
          <w:rFonts w:ascii="黑体" w:hAnsi="黑体" w:eastAsia="黑体" w:cs="黑体"/>
          <w:color w:val="auto"/>
          <w:spacing w:val="15"/>
          <w:sz w:val="21"/>
          <w:szCs w:val="21"/>
          <w:highlight w:val="none"/>
        </w:rPr>
        <w:t xml:space="preserve"> </w:t>
      </w:r>
      <w:r>
        <w:rPr>
          <w:rFonts w:ascii="黑体" w:hAnsi="黑体" w:eastAsia="黑体" w:cs="黑体"/>
          <w:color w:val="auto"/>
          <w:sz w:val="21"/>
          <w:szCs w:val="21"/>
          <w:highlight w:val="none"/>
          <w:u w:val="single" w:color="auto"/>
        </w:rPr>
        <w:t xml:space="preserve">                                                                              </w:t>
      </w:r>
    </w:p>
    <w:p>
      <w:pPr>
        <w:tabs>
          <w:tab w:val="left" w:pos="9695"/>
        </w:tabs>
        <w:spacing w:before="169"/>
        <w:ind w:left="416"/>
        <w:rPr>
          <w:rFonts w:ascii="Arial"/>
          <w:color w:val="auto"/>
          <w:sz w:val="21"/>
          <w:highlight w:val="none"/>
        </w:rPr>
      </w:pPr>
      <w:r>
        <w:rPr>
          <w:rFonts w:ascii="Arial" w:hAnsi="Arial" w:eastAsia="Arial" w:cs="Arial"/>
          <w:color w:val="auto"/>
          <w:sz w:val="21"/>
          <w:szCs w:val="21"/>
          <w:highlight w:val="none"/>
          <w:u w:val="single" w:color="auto"/>
        </w:rPr>
        <w:tab/>
      </w:r>
    </w:p>
    <w:p>
      <w:pPr>
        <w:rPr>
          <w:rFonts w:ascii="Arial" w:hAnsi="Arial" w:eastAsia="Arial" w:cs="Arial"/>
          <w:color w:val="auto"/>
          <w:sz w:val="21"/>
          <w:szCs w:val="21"/>
          <w:highlight w:val="none"/>
        </w:rPr>
        <w:sectPr>
          <w:footerReference r:id="rId30" w:type="default"/>
          <w:pgSz w:w="11900" w:h="16830"/>
          <w:pgMar w:top="400" w:right="1030" w:bottom="829" w:left="1073" w:header="0" w:footer="649" w:gutter="0"/>
          <w:cols w:space="720" w:num="1"/>
        </w:sect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spacing w:before="66" w:line="222"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法律依据：</w:t>
      </w:r>
      <w:r>
        <w:rPr>
          <w:rFonts w:ascii="黑体" w:hAnsi="黑体" w:eastAsia="黑体" w:cs="黑体"/>
          <w:color w:val="auto"/>
          <w:spacing w:val="50"/>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line="250" w:lineRule="auto"/>
        <w:rPr>
          <w:rFonts w:ascii="Arial"/>
          <w:color w:val="auto"/>
          <w:sz w:val="21"/>
          <w:highlight w:val="none"/>
        </w:rPr>
      </w:pPr>
    </w:p>
    <w:p>
      <w:pPr>
        <w:spacing w:line="250" w:lineRule="auto"/>
        <w:rPr>
          <w:rFonts w:ascii="Arial"/>
          <w:color w:val="auto"/>
          <w:sz w:val="21"/>
          <w:highlight w:val="none"/>
        </w:rPr>
      </w:pPr>
      <w:r>
        <w:rPr>
          <w:color w:val="auto"/>
          <w:highlight w:val="none"/>
        </w:rPr>
        <w:drawing>
          <wp:anchor distT="0" distB="0" distL="0" distR="0" simplePos="0" relativeHeight="251660288" behindDoc="0" locked="0" layoutInCell="1" allowOverlap="1">
            <wp:simplePos x="0" y="0"/>
            <wp:positionH relativeFrom="column">
              <wp:posOffset>277495</wp:posOffset>
            </wp:positionH>
            <wp:positionV relativeFrom="paragraph">
              <wp:posOffset>64135</wp:posOffset>
            </wp:positionV>
            <wp:extent cx="5892800" cy="6350"/>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49"/>
                    <a:stretch>
                      <a:fillRect/>
                    </a:stretch>
                  </pic:blipFill>
                  <pic:spPr>
                    <a:xfrm>
                      <a:off x="0" y="0"/>
                      <a:ext cx="5892784" cy="6350"/>
                    </a:xfrm>
                    <a:prstGeom prst="rect">
                      <a:avLst/>
                    </a:prstGeom>
                  </pic:spPr>
                </pic:pic>
              </a:graphicData>
            </a:graphic>
          </wp:anchor>
        </w:drawing>
      </w:r>
    </w:p>
    <w:p>
      <w:pPr>
        <w:spacing w:before="65" w:line="220" w:lineRule="auto"/>
        <w:ind w:left="417"/>
        <w:rPr>
          <w:rFonts w:ascii="黑体" w:hAnsi="黑体" w:eastAsia="黑体" w:cs="黑体"/>
          <w:color w:val="auto"/>
          <w:sz w:val="20"/>
          <w:szCs w:val="20"/>
          <w:highlight w:val="none"/>
        </w:rPr>
      </w:pPr>
      <w:r>
        <w:rPr>
          <w:rFonts w:ascii="黑体" w:hAnsi="黑体" w:eastAsia="黑体" w:cs="黑体"/>
          <w:color w:val="auto"/>
          <w:spacing w:val="26"/>
          <w:sz w:val="20"/>
          <w:szCs w:val="20"/>
          <w:highlight w:val="none"/>
        </w:rPr>
        <w:t>投诉事项2</w:t>
      </w:r>
    </w:p>
    <w:p>
      <w:pPr>
        <w:pStyle w:val="3"/>
        <w:spacing w:before="258" w:line="25" w:lineRule="exact"/>
        <w:ind w:left="487"/>
        <w:rPr>
          <w:color w:val="auto"/>
          <w:sz w:val="6"/>
          <w:szCs w:val="6"/>
          <w:highlight w:val="none"/>
        </w:rPr>
      </w:pPr>
      <w:r>
        <w:rPr>
          <w:color w:val="auto"/>
          <w:spacing w:val="-1"/>
          <w:sz w:val="6"/>
          <w:szCs w:val="6"/>
          <w:highlight w:val="none"/>
        </w:rPr>
        <w:t>....</w:t>
      </w:r>
    </w:p>
    <w:p>
      <w:pPr>
        <w:spacing w:before="268" w:line="220" w:lineRule="auto"/>
        <w:ind w:left="417"/>
        <w:rPr>
          <w:rFonts w:ascii="黑体" w:hAnsi="黑体" w:eastAsia="黑体" w:cs="黑体"/>
          <w:color w:val="auto"/>
          <w:sz w:val="20"/>
          <w:szCs w:val="20"/>
          <w:highlight w:val="none"/>
        </w:rPr>
      </w:pPr>
      <w:r>
        <w:rPr>
          <w:rFonts w:ascii="黑体" w:hAnsi="黑体" w:eastAsia="黑体" w:cs="黑体"/>
          <w:color w:val="auto"/>
          <w:spacing w:val="4"/>
          <w:sz w:val="20"/>
          <w:szCs w:val="20"/>
          <w:highlight w:val="none"/>
        </w:rPr>
        <w:t>五 、与投诉事项相关的投诉请求：</w:t>
      </w:r>
    </w:p>
    <w:p>
      <w:pPr>
        <w:spacing w:before="174" w:line="223" w:lineRule="auto"/>
        <w:ind w:left="417"/>
        <w:rPr>
          <w:rFonts w:ascii="黑体" w:hAnsi="黑体" w:eastAsia="黑体" w:cs="黑体"/>
          <w:color w:val="auto"/>
          <w:sz w:val="20"/>
          <w:szCs w:val="20"/>
          <w:highlight w:val="none"/>
        </w:rPr>
      </w:pPr>
      <w:r>
        <w:rPr>
          <w:rFonts w:ascii="黑体" w:hAnsi="黑体" w:eastAsia="黑体" w:cs="黑体"/>
          <w:color w:val="auto"/>
          <w:sz w:val="20"/>
          <w:szCs w:val="20"/>
          <w:highlight w:val="none"/>
        </w:rPr>
        <w:t>请求：</w:t>
      </w:r>
      <w:r>
        <w:rPr>
          <w:rFonts w:ascii="黑体" w:hAnsi="黑体" w:eastAsia="黑体" w:cs="黑体"/>
          <w:color w:val="auto"/>
          <w:spacing w:val="-61"/>
          <w:sz w:val="20"/>
          <w:szCs w:val="20"/>
          <w:highlight w:val="none"/>
        </w:rPr>
        <w:t xml:space="preserve"> </w:t>
      </w:r>
      <w:r>
        <w:rPr>
          <w:rFonts w:ascii="黑体" w:hAnsi="黑体" w:eastAsia="黑体" w:cs="黑体"/>
          <w:color w:val="auto"/>
          <w:sz w:val="20"/>
          <w:szCs w:val="20"/>
          <w:highlight w:val="none"/>
          <w:u w:val="single" w:color="auto"/>
        </w:rPr>
        <w:t xml:space="preserve">                                                                                      </w:t>
      </w:r>
    </w:p>
    <w:p>
      <w:pPr>
        <w:spacing w:line="476" w:lineRule="auto"/>
        <w:rPr>
          <w:rFonts w:ascii="Arial"/>
          <w:color w:val="auto"/>
          <w:sz w:val="21"/>
          <w:highlight w:val="none"/>
        </w:rPr>
      </w:pPr>
    </w:p>
    <w:p>
      <w:pPr>
        <w:spacing w:before="65" w:line="224" w:lineRule="auto"/>
        <w:ind w:left="417"/>
        <w:rPr>
          <w:rFonts w:ascii="黑体" w:hAnsi="黑体" w:eastAsia="黑体" w:cs="黑体"/>
          <w:color w:val="auto"/>
          <w:sz w:val="20"/>
          <w:szCs w:val="20"/>
          <w:highlight w:val="none"/>
        </w:rPr>
      </w:pPr>
      <w:r>
        <w:rPr>
          <w:rFonts w:ascii="黑体" w:hAnsi="黑体" w:eastAsia="黑体" w:cs="黑体"/>
          <w:color w:val="auto"/>
          <w:spacing w:val="-12"/>
          <w:sz w:val="20"/>
          <w:szCs w:val="20"/>
          <w:highlight w:val="none"/>
        </w:rPr>
        <w:t>签</w:t>
      </w:r>
      <w:r>
        <w:rPr>
          <w:rFonts w:ascii="黑体" w:hAnsi="黑体" w:eastAsia="黑体" w:cs="黑体"/>
          <w:color w:val="auto"/>
          <w:spacing w:val="-23"/>
          <w:sz w:val="20"/>
          <w:szCs w:val="20"/>
          <w:highlight w:val="none"/>
        </w:rPr>
        <w:t xml:space="preserve"> </w:t>
      </w:r>
      <w:r>
        <w:rPr>
          <w:rFonts w:ascii="黑体" w:hAnsi="黑体" w:eastAsia="黑体" w:cs="黑体"/>
          <w:color w:val="auto"/>
          <w:spacing w:val="-12"/>
          <w:sz w:val="20"/>
          <w:szCs w:val="20"/>
          <w:highlight w:val="none"/>
        </w:rPr>
        <w:t>字 (</w:t>
      </w:r>
      <w:r>
        <w:rPr>
          <w:rFonts w:ascii="黑体" w:hAnsi="黑体" w:eastAsia="黑体" w:cs="黑体"/>
          <w:color w:val="auto"/>
          <w:spacing w:val="-40"/>
          <w:sz w:val="20"/>
          <w:szCs w:val="20"/>
          <w:highlight w:val="none"/>
        </w:rPr>
        <w:t xml:space="preserve"> </w:t>
      </w:r>
      <w:r>
        <w:rPr>
          <w:rFonts w:ascii="黑体" w:hAnsi="黑体" w:eastAsia="黑体" w:cs="黑体"/>
          <w:color w:val="auto"/>
          <w:spacing w:val="-12"/>
          <w:sz w:val="20"/>
          <w:szCs w:val="20"/>
          <w:highlight w:val="none"/>
        </w:rPr>
        <w:t>签</w:t>
      </w:r>
      <w:r>
        <w:rPr>
          <w:rFonts w:ascii="黑体" w:hAnsi="黑体" w:eastAsia="黑体" w:cs="黑体"/>
          <w:color w:val="auto"/>
          <w:spacing w:val="-40"/>
          <w:sz w:val="20"/>
          <w:szCs w:val="20"/>
          <w:highlight w:val="none"/>
        </w:rPr>
        <w:t xml:space="preserve"> </w:t>
      </w:r>
      <w:r>
        <w:rPr>
          <w:rFonts w:ascii="黑体" w:hAnsi="黑体" w:eastAsia="黑体" w:cs="黑体"/>
          <w:color w:val="auto"/>
          <w:spacing w:val="-12"/>
          <w:sz w:val="20"/>
          <w:szCs w:val="20"/>
          <w:highlight w:val="none"/>
        </w:rPr>
        <w:t>章</w:t>
      </w:r>
      <w:r>
        <w:rPr>
          <w:rFonts w:ascii="黑体" w:hAnsi="黑体" w:eastAsia="黑体" w:cs="黑体"/>
          <w:color w:val="auto"/>
          <w:spacing w:val="-44"/>
          <w:sz w:val="20"/>
          <w:szCs w:val="20"/>
          <w:highlight w:val="none"/>
        </w:rPr>
        <w:t xml:space="preserve"> </w:t>
      </w:r>
      <w:r>
        <w:rPr>
          <w:rFonts w:ascii="黑体" w:hAnsi="黑体" w:eastAsia="黑体" w:cs="黑体"/>
          <w:color w:val="auto"/>
          <w:spacing w:val="-12"/>
          <w:sz w:val="20"/>
          <w:szCs w:val="20"/>
          <w:highlight w:val="none"/>
        </w:rPr>
        <w:t>) :</w:t>
      </w:r>
      <w:r>
        <w:rPr>
          <w:rFonts w:ascii="黑体" w:hAnsi="黑体" w:eastAsia="黑体" w:cs="黑体"/>
          <w:color w:val="auto"/>
          <w:spacing w:val="2"/>
          <w:sz w:val="20"/>
          <w:szCs w:val="20"/>
          <w:highlight w:val="none"/>
        </w:rPr>
        <w:t xml:space="preserve">                                      </w:t>
      </w:r>
      <w:r>
        <w:rPr>
          <w:rFonts w:ascii="黑体" w:hAnsi="黑体" w:eastAsia="黑体" w:cs="黑体"/>
          <w:color w:val="auto"/>
          <w:spacing w:val="1"/>
          <w:sz w:val="20"/>
          <w:szCs w:val="20"/>
          <w:highlight w:val="none"/>
        </w:rPr>
        <w:t xml:space="preserve">   </w:t>
      </w:r>
      <w:r>
        <w:rPr>
          <w:rFonts w:ascii="黑体" w:hAnsi="黑体" w:eastAsia="黑体" w:cs="黑体"/>
          <w:b/>
          <w:bCs/>
          <w:color w:val="auto"/>
          <w:spacing w:val="-12"/>
          <w:sz w:val="20"/>
          <w:szCs w:val="20"/>
          <w:highlight w:val="none"/>
        </w:rPr>
        <w:t>公章：</w:t>
      </w:r>
    </w:p>
    <w:p>
      <w:pPr>
        <w:spacing w:line="246" w:lineRule="auto"/>
        <w:rPr>
          <w:rFonts w:ascii="Arial"/>
          <w:color w:val="auto"/>
          <w:sz w:val="21"/>
          <w:highlight w:val="none"/>
        </w:rPr>
      </w:pPr>
    </w:p>
    <w:p>
      <w:pPr>
        <w:spacing w:line="247" w:lineRule="auto"/>
        <w:rPr>
          <w:rFonts w:ascii="Arial"/>
          <w:color w:val="auto"/>
          <w:sz w:val="21"/>
          <w:highlight w:val="none"/>
        </w:rPr>
      </w:pPr>
    </w:p>
    <w:p>
      <w:pPr>
        <w:spacing w:before="66" w:line="224" w:lineRule="auto"/>
        <w:ind w:left="417"/>
        <w:rPr>
          <w:rFonts w:ascii="黑体" w:hAnsi="黑体" w:eastAsia="黑体" w:cs="黑体"/>
          <w:color w:val="auto"/>
          <w:sz w:val="20"/>
          <w:szCs w:val="20"/>
          <w:highlight w:val="none"/>
        </w:rPr>
      </w:pPr>
      <w:r>
        <w:rPr>
          <w:rFonts w:ascii="黑体" w:hAnsi="黑体" w:eastAsia="黑体" w:cs="黑体"/>
          <w:color w:val="auto"/>
          <w:spacing w:val="2"/>
          <w:sz w:val="20"/>
          <w:szCs w:val="20"/>
          <w:highlight w:val="none"/>
        </w:rPr>
        <w:t>日期</w:t>
      </w:r>
      <w:r>
        <w:rPr>
          <w:rFonts w:ascii="黑体" w:hAnsi="黑体" w:eastAsia="黑体" w:cs="黑体"/>
          <w:color w:val="auto"/>
          <w:spacing w:val="-51"/>
          <w:sz w:val="20"/>
          <w:szCs w:val="20"/>
          <w:highlight w:val="none"/>
        </w:rPr>
        <w:t xml:space="preserve"> </w:t>
      </w:r>
      <w:r>
        <w:rPr>
          <w:rFonts w:ascii="黑体" w:hAnsi="黑体" w:eastAsia="黑体" w:cs="黑体"/>
          <w:color w:val="auto"/>
          <w:spacing w:val="2"/>
          <w:sz w:val="20"/>
          <w:szCs w:val="20"/>
          <w:highlight w:val="none"/>
        </w:rPr>
        <w:t>：</w:t>
      </w:r>
    </w:p>
    <w:p>
      <w:pPr>
        <w:spacing w:line="244" w:lineRule="auto"/>
        <w:rPr>
          <w:rFonts w:ascii="Arial"/>
          <w:color w:val="auto"/>
          <w:sz w:val="21"/>
          <w:highlight w:val="none"/>
        </w:rPr>
      </w:pPr>
    </w:p>
    <w:p>
      <w:pPr>
        <w:spacing w:line="244" w:lineRule="auto"/>
        <w:rPr>
          <w:rFonts w:ascii="Arial"/>
          <w:color w:val="auto"/>
          <w:sz w:val="21"/>
          <w:highlight w:val="none"/>
        </w:rPr>
      </w:pPr>
    </w:p>
    <w:p>
      <w:pPr>
        <w:spacing w:line="244" w:lineRule="auto"/>
        <w:rPr>
          <w:rFonts w:ascii="Arial"/>
          <w:color w:val="auto"/>
          <w:sz w:val="21"/>
          <w:highlight w:val="none"/>
        </w:rPr>
      </w:pPr>
    </w:p>
    <w:p>
      <w:pPr>
        <w:spacing w:before="65" w:line="221" w:lineRule="auto"/>
        <w:rPr>
          <w:rFonts w:ascii="黑体" w:hAnsi="黑体" w:eastAsia="黑体" w:cs="黑体"/>
          <w:color w:val="auto"/>
          <w:sz w:val="20"/>
          <w:szCs w:val="20"/>
          <w:highlight w:val="none"/>
        </w:rPr>
      </w:pPr>
      <w:r>
        <w:rPr>
          <w:rFonts w:ascii="黑体" w:hAnsi="黑体" w:eastAsia="黑体" w:cs="黑体"/>
          <w:b/>
          <w:bCs/>
          <w:color w:val="auto"/>
          <w:spacing w:val="5"/>
          <w:sz w:val="20"/>
          <w:szCs w:val="20"/>
          <w:highlight w:val="none"/>
        </w:rPr>
        <w:t>说明：</w:t>
      </w:r>
    </w:p>
    <w:p>
      <w:pPr>
        <w:spacing w:before="84" w:line="280" w:lineRule="auto"/>
        <w:ind w:left="27" w:right="87" w:firstLine="299"/>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1.投诉人提起投诉时，应当提交投诉书和必要的证明材料，并按照被投诉人和与投诉事顶有关的供应商</w:t>
      </w:r>
      <w:r>
        <w:rPr>
          <w:rFonts w:ascii="黑体" w:hAnsi="黑体" w:eastAsia="黑体" w:cs="黑体"/>
          <w:color w:val="auto"/>
          <w:spacing w:val="7"/>
          <w:sz w:val="20"/>
          <w:szCs w:val="20"/>
          <w:highlight w:val="none"/>
        </w:rPr>
        <w:t xml:space="preserve"> </w:t>
      </w:r>
      <w:r>
        <w:rPr>
          <w:rFonts w:ascii="黑体" w:hAnsi="黑体" w:eastAsia="黑体" w:cs="黑体"/>
          <w:color w:val="auto"/>
          <w:spacing w:val="11"/>
          <w:sz w:val="20"/>
          <w:szCs w:val="20"/>
          <w:highlight w:val="none"/>
        </w:rPr>
        <w:t>数量提供投诉书副本。</w:t>
      </w:r>
    </w:p>
    <w:p>
      <w:pPr>
        <w:spacing w:before="84" w:line="286" w:lineRule="auto"/>
        <w:ind w:left="27" w:right="44" w:firstLine="299"/>
        <w:rPr>
          <w:rFonts w:ascii="黑体" w:hAnsi="黑体" w:eastAsia="黑体" w:cs="黑体"/>
          <w:color w:val="auto"/>
          <w:sz w:val="20"/>
          <w:szCs w:val="20"/>
          <w:highlight w:val="none"/>
        </w:rPr>
      </w:pPr>
      <w:r>
        <w:rPr>
          <w:rFonts w:ascii="黑体" w:hAnsi="黑体" w:eastAsia="黑体" w:cs="黑体"/>
          <w:color w:val="auto"/>
          <w:spacing w:val="9"/>
          <w:sz w:val="20"/>
          <w:szCs w:val="20"/>
          <w:highlight w:val="none"/>
        </w:rPr>
        <w:t>2.投诉人若委托代理人进行投诉的，投诉书应按要求列明“授权代表”的有关内容，并在附件中提交由</w:t>
      </w:r>
      <w:r>
        <w:rPr>
          <w:rFonts w:ascii="黑体" w:hAnsi="黑体" w:eastAsia="黑体" w:cs="黑体"/>
          <w:color w:val="auto"/>
          <w:spacing w:val="18"/>
          <w:sz w:val="20"/>
          <w:szCs w:val="20"/>
          <w:highlight w:val="none"/>
        </w:rPr>
        <w:t xml:space="preserve"> </w:t>
      </w:r>
      <w:r>
        <w:rPr>
          <w:rFonts w:ascii="黑体" w:hAnsi="黑体" w:eastAsia="黑体" w:cs="黑体"/>
          <w:color w:val="auto"/>
          <w:spacing w:val="12"/>
          <w:sz w:val="20"/>
          <w:szCs w:val="20"/>
          <w:highlight w:val="none"/>
        </w:rPr>
        <w:t xml:space="preserve">投诉人签署的授权委托书。授权委托书应当载明代理人的姓名或者名称、代理事项、具体权限、期限和相 </w:t>
      </w:r>
      <w:r>
        <w:rPr>
          <w:rFonts w:ascii="黑体" w:hAnsi="黑体" w:eastAsia="黑体" w:cs="黑体"/>
          <w:color w:val="auto"/>
          <w:spacing w:val="17"/>
          <w:sz w:val="20"/>
          <w:szCs w:val="20"/>
          <w:highlight w:val="none"/>
        </w:rPr>
        <w:t>关事项。</w:t>
      </w:r>
    </w:p>
    <w:p>
      <w:pPr>
        <w:pStyle w:val="3"/>
        <w:spacing w:before="90" w:line="213" w:lineRule="auto"/>
        <w:ind w:left="327"/>
        <w:rPr>
          <w:rFonts w:ascii="黑体" w:hAnsi="黑体" w:eastAsia="黑体" w:cs="黑体"/>
          <w:color w:val="auto"/>
          <w:sz w:val="20"/>
          <w:szCs w:val="20"/>
          <w:highlight w:val="none"/>
        </w:rPr>
      </w:pPr>
      <w:r>
        <w:rPr>
          <w:color w:val="auto"/>
          <w:spacing w:val="11"/>
          <w:sz w:val="20"/>
          <w:szCs w:val="20"/>
          <w:highlight w:val="none"/>
        </w:rPr>
        <w:t>3.</w:t>
      </w:r>
      <w:r>
        <w:rPr>
          <w:rFonts w:ascii="黑体" w:hAnsi="黑体" w:eastAsia="黑体" w:cs="黑体"/>
          <w:color w:val="auto"/>
          <w:spacing w:val="11"/>
          <w:sz w:val="20"/>
          <w:szCs w:val="20"/>
          <w:highlight w:val="none"/>
        </w:rPr>
        <w:t>投诉书应简要列明质疑事项，质疑函、质疑答复等作为附件材</w:t>
      </w:r>
      <w:r>
        <w:rPr>
          <w:rFonts w:ascii="黑体" w:hAnsi="黑体" w:eastAsia="黑体" w:cs="黑体"/>
          <w:color w:val="auto"/>
          <w:spacing w:val="10"/>
          <w:sz w:val="20"/>
          <w:szCs w:val="20"/>
          <w:highlight w:val="none"/>
        </w:rPr>
        <w:t>料提供。</w:t>
      </w:r>
    </w:p>
    <w:p>
      <w:pPr>
        <w:pStyle w:val="3"/>
        <w:spacing w:before="110" w:line="213" w:lineRule="auto"/>
        <w:ind w:left="327"/>
        <w:rPr>
          <w:rFonts w:ascii="黑体" w:hAnsi="黑体" w:eastAsia="黑体" w:cs="黑体"/>
          <w:color w:val="auto"/>
          <w:sz w:val="20"/>
          <w:szCs w:val="20"/>
          <w:highlight w:val="none"/>
        </w:rPr>
      </w:pPr>
      <w:r>
        <w:rPr>
          <w:color w:val="auto"/>
          <w:spacing w:val="11"/>
          <w:sz w:val="20"/>
          <w:szCs w:val="20"/>
          <w:highlight w:val="none"/>
        </w:rPr>
        <w:t>4.</w:t>
      </w:r>
      <w:r>
        <w:rPr>
          <w:rFonts w:ascii="黑体" w:hAnsi="黑体" w:eastAsia="黑体" w:cs="黑体"/>
          <w:color w:val="auto"/>
          <w:spacing w:val="11"/>
          <w:sz w:val="20"/>
          <w:szCs w:val="20"/>
          <w:highlight w:val="none"/>
        </w:rPr>
        <w:t>投诉书的投诉事项应具体、明确，并有必要的事实依据和法</w:t>
      </w:r>
      <w:r>
        <w:rPr>
          <w:rFonts w:ascii="黑体" w:hAnsi="黑体" w:eastAsia="黑体" w:cs="黑体"/>
          <w:color w:val="auto"/>
          <w:spacing w:val="10"/>
          <w:sz w:val="20"/>
          <w:szCs w:val="20"/>
          <w:highlight w:val="none"/>
        </w:rPr>
        <w:t>律依据。</w:t>
      </w:r>
    </w:p>
    <w:p>
      <w:pPr>
        <w:spacing w:before="127" w:line="220" w:lineRule="auto"/>
        <w:ind w:left="327"/>
        <w:rPr>
          <w:rFonts w:ascii="黑体" w:hAnsi="黑体" w:eastAsia="黑体" w:cs="黑体"/>
          <w:color w:val="auto"/>
          <w:sz w:val="20"/>
          <w:szCs w:val="20"/>
          <w:highlight w:val="none"/>
        </w:rPr>
      </w:pPr>
      <w:r>
        <w:rPr>
          <w:rFonts w:ascii="黑体" w:hAnsi="黑体" w:eastAsia="黑体" w:cs="黑体"/>
          <w:color w:val="auto"/>
          <w:spacing w:val="11"/>
          <w:sz w:val="20"/>
          <w:szCs w:val="20"/>
          <w:highlight w:val="none"/>
        </w:rPr>
        <w:t>5.投诉书的投诉请求应与投诉事项相关。</w:t>
      </w:r>
    </w:p>
    <w:p>
      <w:pPr>
        <w:pStyle w:val="3"/>
        <w:spacing w:before="84" w:line="268" w:lineRule="auto"/>
        <w:ind w:left="67" w:firstLine="260"/>
        <w:rPr>
          <w:rFonts w:ascii="黑体" w:hAnsi="黑体" w:eastAsia="黑体" w:cs="黑体"/>
          <w:color w:val="auto"/>
          <w:sz w:val="20"/>
          <w:szCs w:val="20"/>
          <w:highlight w:val="none"/>
        </w:rPr>
      </w:pPr>
      <w:r>
        <w:rPr>
          <w:color w:val="auto"/>
          <w:spacing w:val="11"/>
          <w:sz w:val="20"/>
          <w:szCs w:val="20"/>
          <w:highlight w:val="none"/>
        </w:rPr>
        <w:t>6.</w:t>
      </w:r>
      <w:r>
        <w:rPr>
          <w:rFonts w:ascii="黑体" w:hAnsi="黑体" w:eastAsia="黑体" w:cs="黑体"/>
          <w:color w:val="auto"/>
          <w:spacing w:val="11"/>
          <w:sz w:val="20"/>
          <w:szCs w:val="20"/>
          <w:highlight w:val="none"/>
        </w:rPr>
        <w:t>投诉人为自然人的，投诉书应由本人签字；投诉人为法人或者其他组织的，投诉书应由法定代表人、</w:t>
      </w:r>
      <w:r>
        <w:rPr>
          <w:rFonts w:ascii="黑体" w:hAnsi="黑体" w:eastAsia="黑体" w:cs="黑体"/>
          <w:color w:val="auto"/>
          <w:spacing w:val="3"/>
          <w:sz w:val="20"/>
          <w:szCs w:val="20"/>
          <w:highlight w:val="none"/>
        </w:rPr>
        <w:t xml:space="preserve"> </w:t>
      </w:r>
      <w:r>
        <w:rPr>
          <w:rFonts w:ascii="黑体" w:hAnsi="黑体" w:eastAsia="黑体" w:cs="黑体"/>
          <w:color w:val="auto"/>
          <w:spacing w:val="9"/>
          <w:sz w:val="20"/>
          <w:szCs w:val="20"/>
          <w:highlight w:val="none"/>
        </w:rPr>
        <w:t>主要负责人，或者其授权代表签字或者盖章，并加盖公章。</w:t>
      </w:r>
    </w:p>
    <w:p>
      <w:pPr>
        <w:spacing w:line="268" w:lineRule="auto"/>
        <w:rPr>
          <w:rFonts w:ascii="黑体" w:hAnsi="黑体" w:eastAsia="黑体" w:cs="黑体"/>
          <w:color w:val="auto"/>
          <w:sz w:val="20"/>
          <w:szCs w:val="20"/>
          <w:highlight w:val="none"/>
        </w:rPr>
        <w:sectPr>
          <w:footerReference r:id="rId31" w:type="default"/>
          <w:pgSz w:w="11900" w:h="16830"/>
          <w:pgMar w:top="400" w:right="1009" w:bottom="801" w:left="1052" w:header="0" w:footer="657" w:gutter="0"/>
          <w:cols w:space="720" w:num="1"/>
        </w:sectPr>
      </w:pPr>
    </w:p>
    <w:p>
      <w:pPr>
        <w:spacing w:line="252" w:lineRule="auto"/>
        <w:rPr>
          <w:rFonts w:ascii="Arial"/>
          <w:color w:val="auto"/>
          <w:sz w:val="21"/>
          <w:highlight w:val="none"/>
        </w:rPr>
      </w:pPr>
    </w:p>
    <w:p>
      <w:pPr>
        <w:spacing w:line="252" w:lineRule="auto"/>
        <w:rPr>
          <w:rFonts w:ascii="Arial"/>
          <w:color w:val="auto"/>
          <w:sz w:val="21"/>
          <w:highlight w:val="none"/>
        </w:rPr>
      </w:pPr>
    </w:p>
    <w:p>
      <w:pPr>
        <w:spacing w:line="253" w:lineRule="auto"/>
        <w:rPr>
          <w:rFonts w:ascii="Arial"/>
          <w:color w:val="auto"/>
          <w:sz w:val="21"/>
          <w:highlight w:val="none"/>
        </w:rPr>
      </w:pPr>
    </w:p>
    <w:p>
      <w:pPr>
        <w:spacing w:line="253" w:lineRule="auto"/>
        <w:rPr>
          <w:rFonts w:ascii="Arial"/>
          <w:color w:val="auto"/>
          <w:sz w:val="21"/>
          <w:highlight w:val="none"/>
        </w:rPr>
      </w:pPr>
    </w:p>
    <w:p>
      <w:pPr>
        <w:spacing w:before="81" w:line="213" w:lineRule="auto"/>
        <w:ind w:left="13"/>
        <w:rPr>
          <w:rFonts w:ascii="黑体" w:hAnsi="黑体" w:eastAsia="黑体" w:cs="黑体"/>
          <w:color w:val="auto"/>
          <w:sz w:val="25"/>
          <w:szCs w:val="25"/>
          <w:highlight w:val="none"/>
        </w:rPr>
      </w:pPr>
      <w:r>
        <w:rPr>
          <w:rFonts w:ascii="黑体" w:hAnsi="黑体" w:eastAsia="黑体" w:cs="黑体"/>
          <w:b/>
          <w:bCs/>
          <w:color w:val="auto"/>
          <w:spacing w:val="9"/>
          <w:sz w:val="25"/>
          <w:szCs w:val="25"/>
          <w:highlight w:val="none"/>
        </w:rPr>
        <w:t>附表3:</w:t>
      </w:r>
    </w:p>
    <w:p>
      <w:pPr>
        <w:pStyle w:val="3"/>
        <w:spacing w:before="1" w:line="218" w:lineRule="auto"/>
        <w:ind w:left="1599"/>
        <w:rPr>
          <w:color w:val="auto"/>
          <w:sz w:val="43"/>
          <w:szCs w:val="43"/>
          <w:highlight w:val="none"/>
        </w:rPr>
      </w:pPr>
      <w:r>
        <w:rPr>
          <w:color w:val="auto"/>
          <w:spacing w:val="27"/>
          <w:sz w:val="43"/>
          <w:szCs w:val="43"/>
          <w:highlight w:val="none"/>
        </w:rPr>
        <w:t>政府采购项目合同验收书(格式)</w:t>
      </w:r>
    </w:p>
    <w:p>
      <w:pPr>
        <w:spacing w:line="298" w:lineRule="auto"/>
        <w:rPr>
          <w:rFonts w:ascii="Arial"/>
          <w:color w:val="auto"/>
          <w:sz w:val="21"/>
          <w:highlight w:val="none"/>
        </w:rPr>
      </w:pPr>
    </w:p>
    <w:p>
      <w:pPr>
        <w:spacing w:line="299" w:lineRule="auto"/>
        <w:rPr>
          <w:rFonts w:ascii="Arial"/>
          <w:color w:val="auto"/>
          <w:sz w:val="21"/>
          <w:highlight w:val="none"/>
        </w:rPr>
      </w:pPr>
    </w:p>
    <w:p>
      <w:pPr>
        <w:spacing w:before="81" w:line="213" w:lineRule="auto"/>
        <w:ind w:left="469"/>
        <w:rPr>
          <w:rFonts w:ascii="黑体" w:hAnsi="黑体" w:eastAsia="黑体" w:cs="黑体"/>
          <w:color w:val="auto"/>
          <w:sz w:val="25"/>
          <w:szCs w:val="25"/>
          <w:highlight w:val="none"/>
        </w:rPr>
      </w:pPr>
      <w:r>
        <w:rPr>
          <w:rFonts w:ascii="黑体" w:hAnsi="黑体" w:eastAsia="黑体" w:cs="黑体"/>
          <w:color w:val="auto"/>
          <w:spacing w:val="2"/>
          <w:sz w:val="25"/>
          <w:szCs w:val="25"/>
          <w:highlight w:val="none"/>
        </w:rPr>
        <w:t>根据政府采购项目(</w:t>
      </w:r>
      <w:r>
        <w:rPr>
          <w:rFonts w:ascii="黑体" w:hAnsi="黑体" w:eastAsia="黑体" w:cs="黑体"/>
          <w:color w:val="auto"/>
          <w:spacing w:val="2"/>
          <w:sz w:val="25"/>
          <w:szCs w:val="25"/>
          <w:highlight w:val="none"/>
          <w:u w:val="single" w:color="auto"/>
        </w:rPr>
        <w:t xml:space="preserve">采购合同编号：     </w:t>
      </w:r>
      <w:r>
        <w:rPr>
          <w:rFonts w:ascii="黑体" w:hAnsi="黑体" w:eastAsia="黑体" w:cs="黑体"/>
          <w:color w:val="auto"/>
          <w:spacing w:val="-90"/>
          <w:sz w:val="25"/>
          <w:szCs w:val="25"/>
          <w:highlight w:val="none"/>
        </w:rPr>
        <w:t xml:space="preserve"> </w:t>
      </w:r>
      <w:r>
        <w:rPr>
          <w:rFonts w:ascii="黑体" w:hAnsi="黑体" w:eastAsia="黑体" w:cs="黑体"/>
          <w:color w:val="auto"/>
          <w:spacing w:val="2"/>
          <w:sz w:val="25"/>
          <w:szCs w:val="25"/>
          <w:highlight w:val="none"/>
        </w:rPr>
        <w:t>)的约定，我单位对(</w:t>
      </w:r>
      <w:r>
        <w:rPr>
          <w:rFonts w:ascii="黑体" w:hAnsi="黑体" w:eastAsia="黑体" w:cs="黑体"/>
          <w:color w:val="auto"/>
          <w:spacing w:val="97"/>
          <w:sz w:val="25"/>
          <w:szCs w:val="25"/>
          <w:highlight w:val="none"/>
        </w:rPr>
        <w:t xml:space="preserve"> </w:t>
      </w:r>
      <w:r>
        <w:rPr>
          <w:rFonts w:ascii="黑体" w:hAnsi="黑体" w:eastAsia="黑体" w:cs="黑体"/>
          <w:color w:val="auto"/>
          <w:spacing w:val="-115"/>
          <w:sz w:val="25"/>
          <w:szCs w:val="25"/>
          <w:highlight w:val="none"/>
          <w:u w:val="single" w:color="auto"/>
        </w:rPr>
        <w:t xml:space="preserve"> </w:t>
      </w:r>
      <w:r>
        <w:rPr>
          <w:rFonts w:ascii="黑体" w:hAnsi="黑体" w:eastAsia="黑体" w:cs="黑体"/>
          <w:color w:val="auto"/>
          <w:spacing w:val="2"/>
          <w:sz w:val="25"/>
          <w:szCs w:val="25"/>
          <w:highlight w:val="none"/>
          <w:u w:val="single" w:color="auto"/>
        </w:rPr>
        <w:t>项 目</w:t>
      </w:r>
      <w:r>
        <w:rPr>
          <w:rFonts w:ascii="黑体" w:hAnsi="黑体" w:eastAsia="黑体" w:cs="黑体"/>
          <w:color w:val="auto"/>
          <w:spacing w:val="-28"/>
          <w:sz w:val="25"/>
          <w:szCs w:val="25"/>
          <w:highlight w:val="none"/>
          <w:u w:val="single" w:color="auto"/>
        </w:rPr>
        <w:t xml:space="preserve"> </w:t>
      </w:r>
      <w:r>
        <w:rPr>
          <w:rFonts w:ascii="黑体" w:hAnsi="黑体" w:eastAsia="黑体" w:cs="黑体"/>
          <w:color w:val="auto"/>
          <w:spacing w:val="2"/>
          <w:sz w:val="25"/>
          <w:szCs w:val="25"/>
          <w:highlight w:val="none"/>
          <w:u w:val="single" w:color="auto"/>
        </w:rPr>
        <w:t>名</w:t>
      </w:r>
      <w:r>
        <w:rPr>
          <w:rFonts w:ascii="黑体" w:hAnsi="黑体" w:eastAsia="黑体" w:cs="黑体"/>
          <w:color w:val="auto"/>
          <w:spacing w:val="-29"/>
          <w:sz w:val="25"/>
          <w:szCs w:val="25"/>
          <w:highlight w:val="none"/>
          <w:u w:val="single" w:color="auto"/>
        </w:rPr>
        <w:t xml:space="preserve"> </w:t>
      </w:r>
      <w:r>
        <w:rPr>
          <w:rFonts w:ascii="黑体" w:hAnsi="黑体" w:eastAsia="黑体" w:cs="黑体"/>
          <w:color w:val="auto"/>
          <w:spacing w:val="2"/>
          <w:sz w:val="25"/>
          <w:szCs w:val="25"/>
          <w:highlight w:val="none"/>
          <w:u w:val="single" w:color="auto"/>
        </w:rPr>
        <w:t xml:space="preserve">称   </w:t>
      </w:r>
      <w:r>
        <w:rPr>
          <w:rFonts w:ascii="黑体" w:hAnsi="黑体" w:eastAsia="黑体" w:cs="黑体"/>
          <w:color w:val="auto"/>
          <w:spacing w:val="-115"/>
          <w:sz w:val="25"/>
          <w:szCs w:val="25"/>
          <w:highlight w:val="none"/>
        </w:rPr>
        <w:t xml:space="preserve"> </w:t>
      </w:r>
      <w:r>
        <w:rPr>
          <w:rFonts w:ascii="黑体" w:hAnsi="黑体" w:eastAsia="黑体" w:cs="黑体"/>
          <w:color w:val="auto"/>
          <w:spacing w:val="2"/>
          <w:sz w:val="25"/>
          <w:szCs w:val="25"/>
          <w:highlight w:val="none"/>
        </w:rPr>
        <w:t>) 政</w:t>
      </w:r>
    </w:p>
    <w:p>
      <w:pPr>
        <w:pStyle w:val="3"/>
        <w:spacing w:before="195" w:line="280" w:lineRule="auto"/>
        <w:ind w:firstLine="9"/>
        <w:rPr>
          <w:color w:val="auto"/>
          <w:sz w:val="26"/>
          <w:szCs w:val="26"/>
          <w:highlight w:val="none"/>
        </w:rPr>
      </w:pPr>
      <w:r>
        <w:rPr>
          <w:rFonts w:ascii="黑体" w:hAnsi="黑体" w:eastAsia="黑体" w:cs="黑体"/>
          <w:color w:val="auto"/>
          <w:spacing w:val="5"/>
          <w:sz w:val="25"/>
          <w:szCs w:val="25"/>
          <w:highlight w:val="none"/>
        </w:rPr>
        <w:t>府采购项目中标(或成交)供应商(</w:t>
      </w:r>
      <w:r>
        <w:rPr>
          <w:rFonts w:ascii="黑体" w:hAnsi="黑体" w:eastAsia="黑体" w:cs="黑体"/>
          <w:color w:val="auto"/>
          <w:spacing w:val="-99"/>
          <w:sz w:val="25"/>
          <w:szCs w:val="25"/>
          <w:highlight w:val="none"/>
        </w:rPr>
        <w:t xml:space="preserve"> </w:t>
      </w:r>
      <w:r>
        <w:rPr>
          <w:rFonts w:ascii="黑体" w:hAnsi="黑体" w:eastAsia="黑体" w:cs="黑体"/>
          <w:color w:val="auto"/>
          <w:spacing w:val="1"/>
          <w:sz w:val="25"/>
          <w:szCs w:val="25"/>
          <w:highlight w:val="none"/>
          <w:u w:val="single" w:color="auto"/>
        </w:rPr>
        <w:t xml:space="preserve">         </w:t>
      </w:r>
      <w:r>
        <w:rPr>
          <w:rFonts w:ascii="黑体" w:hAnsi="黑体" w:eastAsia="黑体" w:cs="黑体"/>
          <w:color w:val="auto"/>
          <w:spacing w:val="5"/>
          <w:sz w:val="25"/>
          <w:szCs w:val="25"/>
          <w:highlight w:val="none"/>
          <w:u w:val="single" w:color="auto"/>
        </w:rPr>
        <w:t>公</w:t>
      </w:r>
      <w:r>
        <w:rPr>
          <w:rFonts w:ascii="黑体" w:hAnsi="黑体" w:eastAsia="黑体" w:cs="黑体"/>
          <w:color w:val="auto"/>
          <w:spacing w:val="54"/>
          <w:sz w:val="25"/>
          <w:szCs w:val="25"/>
          <w:highlight w:val="none"/>
          <w:u w:val="single" w:color="auto"/>
        </w:rPr>
        <w:t xml:space="preserve"> </w:t>
      </w:r>
      <w:r>
        <w:rPr>
          <w:rFonts w:ascii="黑体" w:hAnsi="黑体" w:eastAsia="黑体" w:cs="黑体"/>
          <w:color w:val="auto"/>
          <w:spacing w:val="5"/>
          <w:sz w:val="25"/>
          <w:szCs w:val="25"/>
          <w:highlight w:val="none"/>
          <w:u w:val="single" w:color="auto"/>
        </w:rPr>
        <w:t>司</w:t>
      </w:r>
      <w:r>
        <w:rPr>
          <w:rFonts w:ascii="黑体" w:hAnsi="黑体" w:eastAsia="黑体" w:cs="黑体"/>
          <w:color w:val="auto"/>
          <w:spacing w:val="43"/>
          <w:sz w:val="25"/>
          <w:szCs w:val="25"/>
          <w:highlight w:val="none"/>
          <w:u w:val="single" w:color="auto"/>
        </w:rPr>
        <w:t xml:space="preserve"> </w:t>
      </w:r>
      <w:r>
        <w:rPr>
          <w:rFonts w:ascii="黑体" w:hAnsi="黑体" w:eastAsia="黑体" w:cs="黑体"/>
          <w:color w:val="auto"/>
          <w:spacing w:val="5"/>
          <w:sz w:val="25"/>
          <w:szCs w:val="25"/>
          <w:highlight w:val="none"/>
          <w:u w:val="single" w:color="auto"/>
        </w:rPr>
        <w:t>名</w:t>
      </w:r>
      <w:r>
        <w:rPr>
          <w:rFonts w:ascii="黑体" w:hAnsi="黑体" w:eastAsia="黑体" w:cs="黑体"/>
          <w:color w:val="auto"/>
          <w:spacing w:val="42"/>
          <w:sz w:val="25"/>
          <w:szCs w:val="25"/>
          <w:highlight w:val="none"/>
          <w:u w:val="single" w:color="auto"/>
        </w:rPr>
        <w:t xml:space="preserve"> </w:t>
      </w:r>
      <w:r>
        <w:rPr>
          <w:rFonts w:ascii="黑体" w:hAnsi="黑体" w:eastAsia="黑体" w:cs="黑体"/>
          <w:color w:val="auto"/>
          <w:spacing w:val="5"/>
          <w:sz w:val="25"/>
          <w:szCs w:val="25"/>
          <w:highlight w:val="none"/>
          <w:u w:val="single" w:color="auto"/>
        </w:rPr>
        <w:t xml:space="preserve">称               </w:t>
      </w:r>
      <w:r>
        <w:rPr>
          <w:rFonts w:ascii="黑体" w:hAnsi="黑体" w:eastAsia="黑体" w:cs="黑体"/>
          <w:color w:val="auto"/>
          <w:spacing w:val="-105"/>
          <w:sz w:val="25"/>
          <w:szCs w:val="25"/>
          <w:highlight w:val="none"/>
        </w:rPr>
        <w:t xml:space="preserve"> </w:t>
      </w:r>
      <w:r>
        <w:rPr>
          <w:rFonts w:ascii="黑体" w:hAnsi="黑体" w:eastAsia="黑体" w:cs="黑体"/>
          <w:color w:val="auto"/>
          <w:sz w:val="25"/>
          <w:szCs w:val="25"/>
          <w:highlight w:val="none"/>
          <w:u w:val="dotted" w:color="auto"/>
        </w:rPr>
        <w:t xml:space="preserve">     </w:t>
      </w:r>
      <w:r>
        <w:rPr>
          <w:rFonts w:ascii="黑体" w:hAnsi="黑体" w:eastAsia="黑体" w:cs="黑体"/>
          <w:color w:val="auto"/>
          <w:spacing w:val="-119"/>
          <w:sz w:val="25"/>
          <w:szCs w:val="25"/>
          <w:highlight w:val="none"/>
        </w:rPr>
        <w:t xml:space="preserve"> </w:t>
      </w:r>
      <w:r>
        <w:rPr>
          <w:rFonts w:ascii="黑体" w:hAnsi="黑体" w:eastAsia="黑体" w:cs="黑体"/>
          <w:color w:val="auto"/>
          <w:spacing w:val="5"/>
          <w:sz w:val="25"/>
          <w:szCs w:val="25"/>
          <w:highlight w:val="none"/>
        </w:rPr>
        <w:t>)</w:t>
      </w:r>
      <w:r>
        <w:rPr>
          <w:rFonts w:ascii="黑体" w:hAnsi="黑体" w:eastAsia="黑体" w:cs="黑体"/>
          <w:color w:val="auto"/>
          <w:spacing w:val="4"/>
          <w:sz w:val="25"/>
          <w:szCs w:val="25"/>
          <w:highlight w:val="none"/>
        </w:rPr>
        <w:t xml:space="preserve">       </w:t>
      </w:r>
      <w:r>
        <w:rPr>
          <w:rFonts w:ascii="黑体" w:hAnsi="黑体" w:eastAsia="黑体" w:cs="黑体"/>
          <w:color w:val="auto"/>
          <w:spacing w:val="5"/>
          <w:sz w:val="25"/>
          <w:szCs w:val="25"/>
          <w:highlight w:val="none"/>
        </w:rPr>
        <w:t>提供的</w:t>
      </w:r>
      <w:r>
        <w:rPr>
          <w:rFonts w:ascii="黑体" w:hAnsi="黑体" w:eastAsia="黑体" w:cs="黑体"/>
          <w:color w:val="auto"/>
          <w:spacing w:val="6"/>
          <w:sz w:val="25"/>
          <w:szCs w:val="25"/>
          <w:highlight w:val="none"/>
        </w:rPr>
        <w:t xml:space="preserve"> </w:t>
      </w:r>
      <w:r>
        <w:rPr>
          <w:color w:val="auto"/>
          <w:sz w:val="26"/>
          <w:szCs w:val="26"/>
          <w:highlight w:val="none"/>
        </w:rPr>
        <w:t>物(或工程、服务)进行了验收，验收情况如</w:t>
      </w:r>
      <w:r>
        <w:rPr>
          <w:color w:val="auto"/>
          <w:spacing w:val="-1"/>
          <w:sz w:val="26"/>
          <w:szCs w:val="26"/>
          <w:highlight w:val="none"/>
        </w:rPr>
        <w:t>下：</w:t>
      </w:r>
    </w:p>
    <w:tbl>
      <w:tblPr>
        <w:tblStyle w:val="8"/>
        <w:tblW w:w="9638" w:type="dxa"/>
        <w:tblInd w:w="6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3"/>
        <w:gridCol w:w="2288"/>
        <w:gridCol w:w="939"/>
        <w:gridCol w:w="2497"/>
        <w:gridCol w:w="200"/>
        <w:gridCol w:w="789"/>
        <w:gridCol w:w="13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3831" w:type="dxa"/>
            <w:gridSpan w:val="2"/>
            <w:vAlign w:val="top"/>
          </w:tcPr>
          <w:p>
            <w:pPr>
              <w:pStyle w:val="9"/>
              <w:spacing w:before="134" w:line="219" w:lineRule="auto"/>
              <w:ind w:left="1334"/>
              <w:rPr>
                <w:color w:val="auto"/>
                <w:sz w:val="23"/>
                <w:szCs w:val="23"/>
                <w:highlight w:val="none"/>
              </w:rPr>
            </w:pPr>
            <w:r>
              <w:rPr>
                <w:color w:val="auto"/>
                <w:spacing w:val="-1"/>
                <w:sz w:val="23"/>
                <w:szCs w:val="23"/>
                <w:highlight w:val="none"/>
              </w:rPr>
              <w:t>验收方式：</w:t>
            </w:r>
          </w:p>
        </w:tc>
        <w:tc>
          <w:tcPr>
            <w:tcW w:w="5807" w:type="dxa"/>
            <w:gridSpan w:val="5"/>
            <w:vAlign w:val="top"/>
          </w:tcPr>
          <w:p>
            <w:pPr>
              <w:pStyle w:val="9"/>
              <w:spacing w:before="124" w:line="219" w:lineRule="auto"/>
              <w:ind w:left="1204"/>
              <w:rPr>
                <w:color w:val="auto"/>
                <w:sz w:val="23"/>
                <w:szCs w:val="23"/>
                <w:highlight w:val="none"/>
              </w:rPr>
            </w:pPr>
            <w:r>
              <w:rPr>
                <w:color w:val="auto"/>
                <w:spacing w:val="1"/>
                <w:sz w:val="23"/>
                <w:szCs w:val="23"/>
                <w:highlight w:val="none"/>
              </w:rPr>
              <w:t>□自行验收</w:t>
            </w:r>
            <w:r>
              <w:rPr>
                <w:color w:val="auto"/>
                <w:spacing w:val="7"/>
                <w:sz w:val="23"/>
                <w:szCs w:val="23"/>
                <w:highlight w:val="none"/>
              </w:rPr>
              <w:t xml:space="preserve">             </w:t>
            </w:r>
            <w:r>
              <w:rPr>
                <w:color w:val="auto"/>
                <w:spacing w:val="1"/>
                <w:sz w:val="23"/>
                <w:szCs w:val="23"/>
                <w:highlight w:val="none"/>
              </w:rPr>
              <w:t>□委托验收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43" w:type="dxa"/>
            <w:vAlign w:val="top"/>
          </w:tcPr>
          <w:p>
            <w:pPr>
              <w:pStyle w:val="9"/>
              <w:spacing w:before="200" w:line="221" w:lineRule="auto"/>
              <w:ind w:left="535"/>
              <w:rPr>
                <w:color w:val="auto"/>
                <w:sz w:val="23"/>
                <w:szCs w:val="23"/>
                <w:highlight w:val="none"/>
              </w:rPr>
            </w:pPr>
            <w:r>
              <w:rPr>
                <w:color w:val="auto"/>
                <w:spacing w:val="7"/>
                <w:sz w:val="23"/>
                <w:szCs w:val="23"/>
                <w:highlight w:val="none"/>
              </w:rPr>
              <w:t>序号</w:t>
            </w:r>
          </w:p>
        </w:tc>
        <w:tc>
          <w:tcPr>
            <w:tcW w:w="2288" w:type="dxa"/>
            <w:vAlign w:val="top"/>
          </w:tcPr>
          <w:p>
            <w:pPr>
              <w:pStyle w:val="9"/>
              <w:spacing w:before="202" w:line="221" w:lineRule="auto"/>
              <w:ind w:left="782"/>
              <w:rPr>
                <w:color w:val="auto"/>
                <w:sz w:val="23"/>
                <w:szCs w:val="23"/>
                <w:highlight w:val="none"/>
              </w:rPr>
            </w:pPr>
            <w:r>
              <w:rPr>
                <w:color w:val="auto"/>
                <w:spacing w:val="-6"/>
                <w:sz w:val="23"/>
                <w:szCs w:val="23"/>
                <w:highlight w:val="none"/>
              </w:rPr>
              <w:t>名</w:t>
            </w:r>
            <w:r>
              <w:rPr>
                <w:color w:val="auto"/>
                <w:spacing w:val="8"/>
                <w:sz w:val="23"/>
                <w:szCs w:val="23"/>
                <w:highlight w:val="none"/>
              </w:rPr>
              <w:t xml:space="preserve"> </w:t>
            </w:r>
            <w:r>
              <w:rPr>
                <w:color w:val="auto"/>
                <w:spacing w:val="-6"/>
                <w:sz w:val="23"/>
                <w:szCs w:val="23"/>
                <w:highlight w:val="none"/>
              </w:rPr>
              <w:t>称</w:t>
            </w:r>
          </w:p>
        </w:tc>
        <w:tc>
          <w:tcPr>
            <w:tcW w:w="3436" w:type="dxa"/>
            <w:gridSpan w:val="2"/>
            <w:vAlign w:val="top"/>
          </w:tcPr>
          <w:p>
            <w:pPr>
              <w:pStyle w:val="9"/>
              <w:spacing w:before="68" w:line="219" w:lineRule="auto"/>
              <w:ind w:left="213"/>
              <w:rPr>
                <w:color w:val="auto"/>
                <w:sz w:val="23"/>
                <w:szCs w:val="23"/>
                <w:highlight w:val="none"/>
              </w:rPr>
            </w:pPr>
            <w:r>
              <w:rPr>
                <w:color w:val="auto"/>
                <w:sz w:val="23"/>
                <w:szCs w:val="23"/>
                <w:highlight w:val="none"/>
              </w:rPr>
              <w:t>货物型号规格、标准及配置等</w:t>
            </w:r>
          </w:p>
          <w:p>
            <w:pPr>
              <w:pStyle w:val="9"/>
              <w:spacing w:before="37" w:line="185" w:lineRule="auto"/>
              <w:ind w:left="673"/>
              <w:rPr>
                <w:color w:val="auto"/>
                <w:sz w:val="23"/>
                <w:szCs w:val="23"/>
                <w:highlight w:val="none"/>
              </w:rPr>
            </w:pPr>
            <w:r>
              <w:rPr>
                <w:color w:val="auto"/>
                <w:spacing w:val="5"/>
                <w:sz w:val="23"/>
                <w:szCs w:val="23"/>
                <w:highlight w:val="none"/>
              </w:rPr>
              <w:t>(或服务内容、标准)</w:t>
            </w:r>
          </w:p>
        </w:tc>
        <w:tc>
          <w:tcPr>
            <w:tcW w:w="989" w:type="dxa"/>
            <w:gridSpan w:val="2"/>
            <w:vAlign w:val="top"/>
          </w:tcPr>
          <w:p>
            <w:pPr>
              <w:pStyle w:val="9"/>
              <w:spacing w:before="199" w:line="219" w:lineRule="auto"/>
              <w:ind w:left="227"/>
              <w:rPr>
                <w:color w:val="auto"/>
                <w:sz w:val="23"/>
                <w:szCs w:val="23"/>
                <w:highlight w:val="none"/>
              </w:rPr>
            </w:pPr>
            <w:r>
              <w:rPr>
                <w:color w:val="auto"/>
                <w:spacing w:val="-3"/>
                <w:sz w:val="23"/>
                <w:szCs w:val="23"/>
                <w:highlight w:val="none"/>
              </w:rPr>
              <w:t>数量</w:t>
            </w:r>
          </w:p>
        </w:tc>
        <w:tc>
          <w:tcPr>
            <w:tcW w:w="1382" w:type="dxa"/>
            <w:vAlign w:val="top"/>
          </w:tcPr>
          <w:p>
            <w:pPr>
              <w:pStyle w:val="9"/>
              <w:spacing w:before="199" w:line="219" w:lineRule="auto"/>
              <w:ind w:left="339"/>
              <w:rPr>
                <w:color w:val="auto"/>
                <w:sz w:val="23"/>
                <w:szCs w:val="23"/>
                <w:highlight w:val="none"/>
              </w:rPr>
            </w:pPr>
            <w:r>
              <w:rPr>
                <w:color w:val="auto"/>
                <w:spacing w:val="-6"/>
                <w:sz w:val="23"/>
                <w:szCs w:val="23"/>
                <w:highlight w:val="none"/>
              </w:rPr>
              <w:t>金</w:t>
            </w:r>
            <w:r>
              <w:rPr>
                <w:color w:val="auto"/>
                <w:spacing w:val="9"/>
                <w:sz w:val="23"/>
                <w:szCs w:val="23"/>
                <w:highlight w:val="none"/>
              </w:rPr>
              <w:t xml:space="preserve">  </w:t>
            </w:r>
            <w:r>
              <w:rPr>
                <w:color w:val="auto"/>
                <w:spacing w:val="-6"/>
                <w:sz w:val="23"/>
                <w:szCs w:val="23"/>
                <w:highlight w:val="none"/>
              </w:rPr>
              <w:t>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43" w:type="dxa"/>
            <w:vAlign w:val="top"/>
          </w:tcPr>
          <w:p>
            <w:pPr>
              <w:rPr>
                <w:rFonts w:ascii="Arial"/>
                <w:color w:val="auto"/>
                <w:sz w:val="21"/>
                <w:highlight w:val="none"/>
              </w:rPr>
            </w:pPr>
          </w:p>
        </w:tc>
        <w:tc>
          <w:tcPr>
            <w:tcW w:w="2288" w:type="dxa"/>
            <w:vAlign w:val="top"/>
          </w:tcPr>
          <w:p>
            <w:pPr>
              <w:rPr>
                <w:rFonts w:ascii="Arial"/>
                <w:color w:val="auto"/>
                <w:sz w:val="21"/>
                <w:highlight w:val="none"/>
              </w:rPr>
            </w:pPr>
          </w:p>
        </w:tc>
        <w:tc>
          <w:tcPr>
            <w:tcW w:w="3436" w:type="dxa"/>
            <w:gridSpan w:val="2"/>
            <w:vAlign w:val="top"/>
          </w:tcPr>
          <w:p>
            <w:pPr>
              <w:rPr>
                <w:rFonts w:ascii="Arial"/>
                <w:color w:val="auto"/>
                <w:sz w:val="21"/>
                <w:highlight w:val="none"/>
              </w:rPr>
            </w:pP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543" w:type="dxa"/>
            <w:vAlign w:val="top"/>
          </w:tcPr>
          <w:p>
            <w:pPr>
              <w:rPr>
                <w:rFonts w:ascii="Arial"/>
                <w:color w:val="auto"/>
                <w:sz w:val="21"/>
                <w:highlight w:val="none"/>
              </w:rPr>
            </w:pPr>
          </w:p>
        </w:tc>
        <w:tc>
          <w:tcPr>
            <w:tcW w:w="2288" w:type="dxa"/>
            <w:vAlign w:val="top"/>
          </w:tcPr>
          <w:p>
            <w:pPr>
              <w:rPr>
                <w:rFonts w:ascii="Arial"/>
                <w:color w:val="auto"/>
                <w:sz w:val="21"/>
                <w:highlight w:val="none"/>
              </w:rPr>
            </w:pPr>
          </w:p>
        </w:tc>
        <w:tc>
          <w:tcPr>
            <w:tcW w:w="3436" w:type="dxa"/>
            <w:gridSpan w:val="2"/>
            <w:vAlign w:val="top"/>
          </w:tcPr>
          <w:p>
            <w:pPr>
              <w:rPr>
                <w:rFonts w:ascii="Arial"/>
                <w:color w:val="auto"/>
                <w:sz w:val="21"/>
                <w:highlight w:val="none"/>
              </w:rPr>
            </w:pP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543" w:type="dxa"/>
            <w:vAlign w:val="top"/>
          </w:tcPr>
          <w:p>
            <w:pPr>
              <w:rPr>
                <w:rFonts w:ascii="Arial"/>
                <w:color w:val="auto"/>
                <w:sz w:val="21"/>
                <w:highlight w:val="none"/>
              </w:rPr>
            </w:pPr>
          </w:p>
        </w:tc>
        <w:tc>
          <w:tcPr>
            <w:tcW w:w="2288" w:type="dxa"/>
            <w:vAlign w:val="top"/>
          </w:tcPr>
          <w:p>
            <w:pPr>
              <w:rPr>
                <w:rFonts w:ascii="Arial"/>
                <w:color w:val="auto"/>
                <w:sz w:val="21"/>
                <w:highlight w:val="none"/>
              </w:rPr>
            </w:pPr>
          </w:p>
        </w:tc>
        <w:tc>
          <w:tcPr>
            <w:tcW w:w="3436" w:type="dxa"/>
            <w:gridSpan w:val="2"/>
            <w:vAlign w:val="top"/>
          </w:tcPr>
          <w:p>
            <w:pPr>
              <w:rPr>
                <w:rFonts w:ascii="Arial"/>
                <w:color w:val="auto"/>
                <w:sz w:val="21"/>
                <w:highlight w:val="none"/>
              </w:rPr>
            </w:pP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7267" w:type="dxa"/>
            <w:gridSpan w:val="4"/>
            <w:vAlign w:val="top"/>
          </w:tcPr>
          <w:p>
            <w:pPr>
              <w:pStyle w:val="9"/>
              <w:spacing w:before="143" w:line="223" w:lineRule="auto"/>
              <w:ind w:left="2655"/>
              <w:rPr>
                <w:color w:val="auto"/>
                <w:sz w:val="23"/>
                <w:szCs w:val="23"/>
                <w:highlight w:val="none"/>
              </w:rPr>
            </w:pPr>
            <w:r>
              <w:rPr>
                <w:color w:val="auto"/>
                <w:spacing w:val="-5"/>
                <w:sz w:val="23"/>
                <w:szCs w:val="23"/>
                <w:highlight w:val="none"/>
              </w:rPr>
              <w:t>合</w:t>
            </w:r>
            <w:r>
              <w:rPr>
                <w:color w:val="auto"/>
                <w:spacing w:val="6"/>
                <w:sz w:val="23"/>
                <w:szCs w:val="23"/>
                <w:highlight w:val="none"/>
              </w:rPr>
              <w:t xml:space="preserve">            </w:t>
            </w:r>
            <w:r>
              <w:rPr>
                <w:color w:val="auto"/>
                <w:spacing w:val="-5"/>
                <w:sz w:val="23"/>
                <w:szCs w:val="23"/>
                <w:highlight w:val="none"/>
              </w:rPr>
              <w:t>计</w:t>
            </w:r>
          </w:p>
        </w:tc>
        <w:tc>
          <w:tcPr>
            <w:tcW w:w="989" w:type="dxa"/>
            <w:gridSpan w:val="2"/>
            <w:vAlign w:val="top"/>
          </w:tcPr>
          <w:p>
            <w:pPr>
              <w:rPr>
                <w:rFonts w:ascii="Arial"/>
                <w:color w:val="auto"/>
                <w:sz w:val="21"/>
                <w:highlight w:val="none"/>
              </w:rPr>
            </w:pPr>
          </w:p>
        </w:tc>
        <w:tc>
          <w:tcPr>
            <w:tcW w:w="1382"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trPr>
        <w:tc>
          <w:tcPr>
            <w:tcW w:w="9638" w:type="dxa"/>
            <w:gridSpan w:val="7"/>
            <w:vAlign w:val="top"/>
          </w:tcPr>
          <w:p>
            <w:pPr>
              <w:pStyle w:val="9"/>
              <w:spacing w:before="243" w:line="219" w:lineRule="auto"/>
              <w:ind w:left="144"/>
              <w:rPr>
                <w:color w:val="auto"/>
                <w:sz w:val="23"/>
                <w:szCs w:val="23"/>
                <w:highlight w:val="none"/>
              </w:rPr>
            </w:pPr>
            <w:r>
              <w:rPr>
                <w:color w:val="auto"/>
                <w:spacing w:val="-6"/>
                <w:sz w:val="23"/>
                <w:szCs w:val="23"/>
                <w:highlight w:val="none"/>
              </w:rPr>
              <w:t>合计大写金额： 仟</w:t>
            </w:r>
            <w:r>
              <w:rPr>
                <w:color w:val="auto"/>
                <w:spacing w:val="12"/>
                <w:sz w:val="23"/>
                <w:szCs w:val="23"/>
                <w:highlight w:val="none"/>
              </w:rPr>
              <w:t xml:space="preserve">     </w:t>
            </w:r>
            <w:r>
              <w:rPr>
                <w:color w:val="auto"/>
                <w:spacing w:val="-6"/>
                <w:sz w:val="23"/>
                <w:szCs w:val="23"/>
                <w:highlight w:val="none"/>
              </w:rPr>
              <w:t>佰</w:t>
            </w:r>
            <w:r>
              <w:rPr>
                <w:color w:val="auto"/>
                <w:spacing w:val="10"/>
                <w:sz w:val="23"/>
                <w:szCs w:val="23"/>
                <w:highlight w:val="none"/>
              </w:rPr>
              <w:t xml:space="preserve">     </w:t>
            </w:r>
            <w:r>
              <w:rPr>
                <w:color w:val="auto"/>
                <w:spacing w:val="-6"/>
                <w:sz w:val="23"/>
                <w:szCs w:val="23"/>
                <w:highlight w:val="none"/>
              </w:rPr>
              <w:t>拾</w:t>
            </w:r>
            <w:r>
              <w:rPr>
                <w:color w:val="auto"/>
                <w:spacing w:val="11"/>
                <w:sz w:val="23"/>
                <w:szCs w:val="23"/>
                <w:highlight w:val="none"/>
              </w:rPr>
              <w:t xml:space="preserve">     </w:t>
            </w:r>
            <w:r>
              <w:rPr>
                <w:color w:val="auto"/>
                <w:spacing w:val="-6"/>
                <w:sz w:val="23"/>
                <w:szCs w:val="23"/>
                <w:highlight w:val="none"/>
              </w:rPr>
              <w:t>万</w:t>
            </w:r>
            <w:r>
              <w:rPr>
                <w:color w:val="auto"/>
                <w:spacing w:val="11"/>
                <w:sz w:val="23"/>
                <w:szCs w:val="23"/>
                <w:highlight w:val="none"/>
              </w:rPr>
              <w:t xml:space="preserve">     </w:t>
            </w:r>
            <w:r>
              <w:rPr>
                <w:color w:val="auto"/>
                <w:spacing w:val="-6"/>
                <w:sz w:val="23"/>
                <w:szCs w:val="23"/>
                <w:highlight w:val="none"/>
              </w:rPr>
              <w:t>仟</w:t>
            </w:r>
            <w:r>
              <w:rPr>
                <w:color w:val="auto"/>
                <w:spacing w:val="10"/>
                <w:sz w:val="23"/>
                <w:szCs w:val="23"/>
                <w:highlight w:val="none"/>
              </w:rPr>
              <w:t xml:space="preserve">     </w:t>
            </w:r>
            <w:r>
              <w:rPr>
                <w:color w:val="auto"/>
                <w:spacing w:val="-6"/>
                <w:sz w:val="23"/>
                <w:szCs w:val="23"/>
                <w:highlight w:val="none"/>
              </w:rPr>
              <w:t>佰</w:t>
            </w:r>
            <w:r>
              <w:rPr>
                <w:color w:val="auto"/>
                <w:spacing w:val="10"/>
                <w:sz w:val="23"/>
                <w:szCs w:val="23"/>
                <w:highlight w:val="none"/>
              </w:rPr>
              <w:t xml:space="preserve">     </w:t>
            </w:r>
            <w:r>
              <w:rPr>
                <w:color w:val="auto"/>
                <w:spacing w:val="-6"/>
                <w:sz w:val="23"/>
                <w:szCs w:val="23"/>
                <w:highlight w:val="none"/>
              </w:rPr>
              <w:t>拾</w:t>
            </w:r>
            <w:r>
              <w:rPr>
                <w:color w:val="auto"/>
                <w:spacing w:val="11"/>
                <w:sz w:val="23"/>
                <w:szCs w:val="23"/>
                <w:highlight w:val="none"/>
              </w:rPr>
              <w:t xml:space="preserve">     </w:t>
            </w:r>
            <w:r>
              <w:rPr>
                <w:color w:val="auto"/>
                <w:spacing w:val="-6"/>
                <w:sz w:val="23"/>
                <w:szCs w:val="23"/>
                <w:highlight w:val="none"/>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1543" w:type="dxa"/>
            <w:vAlign w:val="top"/>
          </w:tcPr>
          <w:p>
            <w:pPr>
              <w:pStyle w:val="9"/>
              <w:spacing w:before="203" w:line="219" w:lineRule="auto"/>
              <w:ind w:left="44"/>
              <w:rPr>
                <w:color w:val="auto"/>
                <w:sz w:val="23"/>
                <w:szCs w:val="23"/>
                <w:highlight w:val="none"/>
              </w:rPr>
            </w:pPr>
            <w:r>
              <w:rPr>
                <w:color w:val="auto"/>
                <w:spacing w:val="2"/>
                <w:sz w:val="23"/>
                <w:szCs w:val="23"/>
                <w:highlight w:val="none"/>
              </w:rPr>
              <w:t>实际供货日期</w:t>
            </w:r>
          </w:p>
        </w:tc>
        <w:tc>
          <w:tcPr>
            <w:tcW w:w="3227" w:type="dxa"/>
            <w:gridSpan w:val="2"/>
            <w:vAlign w:val="top"/>
          </w:tcPr>
          <w:p>
            <w:pPr>
              <w:rPr>
                <w:rFonts w:ascii="Arial"/>
                <w:color w:val="auto"/>
                <w:sz w:val="21"/>
                <w:highlight w:val="none"/>
              </w:rPr>
            </w:pPr>
          </w:p>
        </w:tc>
        <w:tc>
          <w:tcPr>
            <w:tcW w:w="2697" w:type="dxa"/>
            <w:gridSpan w:val="2"/>
            <w:vAlign w:val="top"/>
          </w:tcPr>
          <w:p>
            <w:pPr>
              <w:pStyle w:val="9"/>
              <w:spacing w:before="203" w:line="219" w:lineRule="auto"/>
              <w:ind w:left="515"/>
              <w:rPr>
                <w:color w:val="auto"/>
                <w:sz w:val="23"/>
                <w:szCs w:val="23"/>
                <w:highlight w:val="none"/>
              </w:rPr>
            </w:pPr>
            <w:r>
              <w:rPr>
                <w:color w:val="auto"/>
                <w:spacing w:val="1"/>
                <w:sz w:val="23"/>
                <w:szCs w:val="23"/>
                <w:highlight w:val="none"/>
              </w:rPr>
              <w:t>合同交货验收日期</w:t>
            </w:r>
          </w:p>
        </w:tc>
        <w:tc>
          <w:tcPr>
            <w:tcW w:w="2171" w:type="dxa"/>
            <w:gridSpan w:val="2"/>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0" w:hRule="atLeast"/>
        </w:trPr>
        <w:tc>
          <w:tcPr>
            <w:tcW w:w="1543" w:type="dxa"/>
            <w:vAlign w:val="top"/>
          </w:tcPr>
          <w:p>
            <w:pPr>
              <w:rPr>
                <w:rFonts w:ascii="Arial"/>
                <w:color w:val="auto"/>
                <w:sz w:val="21"/>
                <w:highlight w:val="none"/>
              </w:rPr>
            </w:pPr>
          </w:p>
        </w:tc>
        <w:tc>
          <w:tcPr>
            <w:tcW w:w="3227" w:type="dxa"/>
            <w:gridSpan w:val="2"/>
            <w:vAlign w:val="top"/>
          </w:tcPr>
          <w:p>
            <w:pPr>
              <w:rPr>
                <w:rFonts w:ascii="Arial"/>
                <w:color w:val="auto"/>
                <w:sz w:val="21"/>
                <w:highlight w:val="none"/>
              </w:rPr>
            </w:pPr>
          </w:p>
        </w:tc>
        <w:tc>
          <w:tcPr>
            <w:tcW w:w="2697" w:type="dxa"/>
            <w:gridSpan w:val="2"/>
            <w:vAlign w:val="top"/>
          </w:tcPr>
          <w:p>
            <w:pPr>
              <w:rPr>
                <w:rFonts w:ascii="Arial"/>
                <w:color w:val="auto"/>
                <w:sz w:val="21"/>
                <w:highlight w:val="none"/>
              </w:rPr>
            </w:pPr>
          </w:p>
        </w:tc>
        <w:tc>
          <w:tcPr>
            <w:tcW w:w="2171" w:type="dxa"/>
            <w:gridSpan w:val="2"/>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1543" w:type="dxa"/>
            <w:vAlign w:val="top"/>
          </w:tcPr>
          <w:p>
            <w:pPr>
              <w:spacing w:line="299" w:lineRule="auto"/>
              <w:rPr>
                <w:rFonts w:ascii="Arial"/>
                <w:color w:val="auto"/>
                <w:sz w:val="21"/>
                <w:highlight w:val="none"/>
              </w:rPr>
            </w:pPr>
          </w:p>
          <w:p>
            <w:pPr>
              <w:pStyle w:val="9"/>
              <w:spacing w:before="74" w:line="219" w:lineRule="auto"/>
              <w:ind w:left="44"/>
              <w:rPr>
                <w:color w:val="auto"/>
                <w:sz w:val="23"/>
                <w:szCs w:val="23"/>
                <w:highlight w:val="none"/>
              </w:rPr>
            </w:pPr>
            <w:r>
              <w:rPr>
                <w:color w:val="auto"/>
                <w:spacing w:val="-2"/>
                <w:sz w:val="23"/>
                <w:szCs w:val="23"/>
                <w:highlight w:val="none"/>
              </w:rPr>
              <w:t>验收具体内容</w:t>
            </w:r>
          </w:p>
        </w:tc>
        <w:tc>
          <w:tcPr>
            <w:tcW w:w="8095" w:type="dxa"/>
            <w:gridSpan w:val="6"/>
            <w:vAlign w:val="top"/>
          </w:tcPr>
          <w:p>
            <w:pPr>
              <w:pStyle w:val="9"/>
              <w:spacing w:before="63" w:line="237" w:lineRule="auto"/>
              <w:ind w:left="162"/>
              <w:jc w:val="both"/>
              <w:rPr>
                <w:color w:val="auto"/>
                <w:sz w:val="23"/>
                <w:szCs w:val="23"/>
                <w:highlight w:val="none"/>
              </w:rPr>
            </w:pPr>
            <w:r>
              <w:rPr>
                <w:color w:val="auto"/>
                <w:spacing w:val="-19"/>
                <w:sz w:val="23"/>
                <w:szCs w:val="23"/>
                <w:highlight w:val="none"/>
              </w:rPr>
              <w:t>(应按采购合同、招标文件、投标投标文件及验收方案等进行验收；并核对中标或者中</w:t>
            </w:r>
            <w:r>
              <w:rPr>
                <w:color w:val="auto"/>
                <w:spacing w:val="18"/>
                <w:sz w:val="23"/>
                <w:szCs w:val="23"/>
                <w:highlight w:val="none"/>
              </w:rPr>
              <w:t xml:space="preserve"> </w:t>
            </w:r>
            <w:r>
              <w:rPr>
                <w:color w:val="auto"/>
                <w:spacing w:val="-22"/>
                <w:sz w:val="23"/>
                <w:szCs w:val="23"/>
                <w:highlight w:val="none"/>
              </w:rPr>
              <w:t>标人在安装调试等方面是否违反合同约定或服务规范要求、提供的质量保证</w:t>
            </w:r>
            <w:r>
              <w:rPr>
                <w:color w:val="auto"/>
                <w:spacing w:val="-23"/>
                <w:sz w:val="23"/>
                <w:szCs w:val="23"/>
                <w:highlight w:val="none"/>
              </w:rPr>
              <w:t>证明材料是</w:t>
            </w:r>
            <w:r>
              <w:rPr>
                <w:color w:val="auto"/>
                <w:sz w:val="23"/>
                <w:szCs w:val="23"/>
                <w:highlight w:val="none"/>
              </w:rPr>
              <w:t xml:space="preserve"> </w:t>
            </w:r>
            <w:r>
              <w:rPr>
                <w:color w:val="auto"/>
                <w:spacing w:val="2"/>
                <w:sz w:val="23"/>
                <w:szCs w:val="23"/>
                <w:highlight w:val="none"/>
              </w:rPr>
              <w:t>否齐全、应有的配件及附件是否达到合同约定</w:t>
            </w:r>
            <w:r>
              <w:rPr>
                <w:color w:val="auto"/>
                <w:spacing w:val="1"/>
                <w:sz w:val="23"/>
                <w:szCs w:val="23"/>
                <w:highlight w:val="none"/>
              </w:rPr>
              <w:t>等。可附件)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9" w:hRule="atLeast"/>
        </w:trPr>
        <w:tc>
          <w:tcPr>
            <w:tcW w:w="1543" w:type="dxa"/>
            <w:vMerge w:val="restart"/>
            <w:tcBorders>
              <w:bottom w:val="nil"/>
            </w:tcBorders>
            <w:vAlign w:val="top"/>
          </w:tcPr>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pStyle w:val="9"/>
              <w:spacing w:before="75" w:line="219" w:lineRule="auto"/>
              <w:ind w:left="44"/>
              <w:rPr>
                <w:color w:val="auto"/>
                <w:sz w:val="23"/>
                <w:szCs w:val="23"/>
                <w:highlight w:val="none"/>
              </w:rPr>
            </w:pPr>
            <w:r>
              <w:rPr>
                <w:color w:val="auto"/>
                <w:spacing w:val="-2"/>
                <w:sz w:val="23"/>
                <w:szCs w:val="23"/>
                <w:highlight w:val="none"/>
              </w:rPr>
              <w:t>验收小组意见</w:t>
            </w:r>
          </w:p>
        </w:tc>
        <w:tc>
          <w:tcPr>
            <w:tcW w:w="8095" w:type="dxa"/>
            <w:gridSpan w:val="6"/>
            <w:vAlign w:val="top"/>
          </w:tcPr>
          <w:p>
            <w:pPr>
              <w:spacing w:line="319" w:lineRule="auto"/>
              <w:rPr>
                <w:rFonts w:ascii="Arial"/>
                <w:color w:val="auto"/>
                <w:sz w:val="21"/>
                <w:highlight w:val="none"/>
              </w:rPr>
            </w:pPr>
          </w:p>
          <w:p>
            <w:pPr>
              <w:pStyle w:val="9"/>
              <w:spacing w:before="75" w:line="219" w:lineRule="auto"/>
              <w:ind w:left="162"/>
              <w:rPr>
                <w:color w:val="auto"/>
                <w:sz w:val="23"/>
                <w:szCs w:val="23"/>
                <w:highlight w:val="none"/>
              </w:rPr>
            </w:pPr>
            <w:r>
              <w:rPr>
                <w:color w:val="auto"/>
                <w:sz w:val="23"/>
                <w:szCs w:val="23"/>
                <w:highlight w:val="none"/>
              </w:rPr>
              <w:t>验收结论性意见：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1543" w:type="dxa"/>
            <w:vMerge w:val="continue"/>
            <w:tcBorders>
              <w:top w:val="nil"/>
            </w:tcBorders>
            <w:vAlign w:val="top"/>
          </w:tcPr>
          <w:p>
            <w:pPr>
              <w:rPr>
                <w:rFonts w:ascii="Arial"/>
                <w:color w:val="auto"/>
                <w:sz w:val="21"/>
                <w:highlight w:val="none"/>
              </w:rPr>
            </w:pPr>
          </w:p>
        </w:tc>
        <w:tc>
          <w:tcPr>
            <w:tcW w:w="8095" w:type="dxa"/>
            <w:gridSpan w:val="6"/>
            <w:vAlign w:val="top"/>
          </w:tcPr>
          <w:p>
            <w:pPr>
              <w:pStyle w:val="9"/>
              <w:spacing w:before="57" w:line="219" w:lineRule="auto"/>
              <w:ind w:left="162"/>
              <w:rPr>
                <w:color w:val="auto"/>
                <w:sz w:val="23"/>
                <w:szCs w:val="23"/>
                <w:highlight w:val="none"/>
              </w:rPr>
            </w:pPr>
            <w:r>
              <w:rPr>
                <w:color w:val="auto"/>
                <w:sz w:val="23"/>
                <w:szCs w:val="23"/>
                <w:highlight w:val="none"/>
              </w:rPr>
              <w:t>有异议的意见和说明理由：</w:t>
            </w:r>
          </w:p>
          <w:p>
            <w:pPr>
              <w:pStyle w:val="9"/>
              <w:spacing w:before="36" w:line="210" w:lineRule="auto"/>
              <w:jc w:val="right"/>
              <w:rPr>
                <w:color w:val="auto"/>
                <w:sz w:val="23"/>
                <w:szCs w:val="23"/>
                <w:highlight w:val="none"/>
              </w:rPr>
            </w:pPr>
            <w:r>
              <w:rPr>
                <w:color w:val="auto"/>
                <w:spacing w:val="-3"/>
                <w:sz w:val="23"/>
                <w:szCs w:val="23"/>
                <w:highlight w:val="none"/>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0" w:hRule="atLeast"/>
        </w:trPr>
        <w:tc>
          <w:tcPr>
            <w:tcW w:w="9638" w:type="dxa"/>
            <w:gridSpan w:val="7"/>
            <w:vAlign w:val="top"/>
          </w:tcPr>
          <w:p>
            <w:pPr>
              <w:pStyle w:val="9"/>
              <w:spacing w:before="148" w:line="219" w:lineRule="auto"/>
              <w:ind w:left="144"/>
              <w:rPr>
                <w:color w:val="auto"/>
                <w:sz w:val="23"/>
                <w:szCs w:val="23"/>
                <w:highlight w:val="none"/>
              </w:rPr>
            </w:pPr>
            <w:r>
              <w:rPr>
                <w:color w:val="auto"/>
                <w:sz w:val="23"/>
                <w:szCs w:val="23"/>
                <w:highlight w:val="none"/>
              </w:rPr>
              <w:t>验收小组成员签字：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9" w:hRule="atLeast"/>
        </w:trPr>
        <w:tc>
          <w:tcPr>
            <w:tcW w:w="9638" w:type="dxa"/>
            <w:gridSpan w:val="7"/>
            <w:vAlign w:val="top"/>
          </w:tcPr>
          <w:p>
            <w:pPr>
              <w:pStyle w:val="9"/>
              <w:spacing w:before="98" w:line="219" w:lineRule="auto"/>
              <w:ind w:left="144"/>
              <w:rPr>
                <w:color w:val="auto"/>
                <w:sz w:val="23"/>
                <w:szCs w:val="23"/>
                <w:highlight w:val="none"/>
              </w:rPr>
            </w:pPr>
            <w:r>
              <w:rPr>
                <w:color w:val="auto"/>
                <w:sz w:val="23"/>
                <w:szCs w:val="23"/>
                <w:highlight w:val="none"/>
              </w:rPr>
              <w:t>监督人员或其他相关人员签字：</w:t>
            </w:r>
          </w:p>
          <w:p>
            <w:pPr>
              <w:pStyle w:val="9"/>
              <w:spacing w:before="55" w:line="219" w:lineRule="auto"/>
              <w:ind w:left="144"/>
              <w:rPr>
                <w:color w:val="auto"/>
                <w:sz w:val="23"/>
                <w:szCs w:val="23"/>
                <w:highlight w:val="none"/>
              </w:rPr>
            </w:pPr>
            <w:r>
              <w:rPr>
                <w:color w:val="auto"/>
                <w:spacing w:val="3"/>
                <w:sz w:val="23"/>
                <w:szCs w:val="23"/>
                <w:highlight w:val="none"/>
              </w:rPr>
              <w:t>或受邀机构的意见(盖章):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4" w:hRule="atLeast"/>
        </w:trPr>
        <w:tc>
          <w:tcPr>
            <w:tcW w:w="4770" w:type="dxa"/>
            <w:gridSpan w:val="3"/>
            <w:vAlign w:val="top"/>
          </w:tcPr>
          <w:p>
            <w:pPr>
              <w:pStyle w:val="9"/>
              <w:spacing w:before="128" w:line="219" w:lineRule="auto"/>
              <w:ind w:left="154"/>
              <w:rPr>
                <w:color w:val="auto"/>
                <w:sz w:val="23"/>
                <w:szCs w:val="23"/>
                <w:highlight w:val="none"/>
              </w:rPr>
            </w:pPr>
            <w:r>
              <w:rPr>
                <w:color w:val="auto"/>
                <w:spacing w:val="-1"/>
                <w:sz w:val="23"/>
                <w:szCs w:val="23"/>
                <w:highlight w:val="none"/>
              </w:rPr>
              <w:t>中标或者中标人负责人签字或盖章：</w:t>
            </w:r>
          </w:p>
          <w:p>
            <w:pPr>
              <w:pStyle w:val="9"/>
              <w:spacing w:before="37" w:line="222" w:lineRule="auto"/>
              <w:ind w:left="154"/>
              <w:rPr>
                <w:color w:val="auto"/>
                <w:sz w:val="23"/>
                <w:szCs w:val="23"/>
                <w:highlight w:val="none"/>
              </w:rPr>
            </w:pPr>
            <w:r>
              <w:rPr>
                <w:color w:val="auto"/>
                <w:spacing w:val="-1"/>
                <w:sz w:val="23"/>
                <w:szCs w:val="23"/>
                <w:highlight w:val="none"/>
              </w:rPr>
              <w:t>联系电话：             年    月</w:t>
            </w:r>
            <w:r>
              <w:rPr>
                <w:color w:val="auto"/>
                <w:spacing w:val="7"/>
                <w:sz w:val="23"/>
                <w:szCs w:val="23"/>
                <w:highlight w:val="none"/>
              </w:rPr>
              <w:t xml:space="preserve">    </w:t>
            </w:r>
            <w:r>
              <w:rPr>
                <w:color w:val="auto"/>
                <w:spacing w:val="-1"/>
                <w:sz w:val="23"/>
                <w:szCs w:val="23"/>
                <w:highlight w:val="none"/>
              </w:rPr>
              <w:t>日</w:t>
            </w:r>
          </w:p>
        </w:tc>
        <w:tc>
          <w:tcPr>
            <w:tcW w:w="4868" w:type="dxa"/>
            <w:gridSpan w:val="4"/>
            <w:vAlign w:val="top"/>
          </w:tcPr>
          <w:p>
            <w:pPr>
              <w:pStyle w:val="9"/>
              <w:spacing w:before="138" w:line="219" w:lineRule="auto"/>
              <w:ind w:left="195"/>
              <w:rPr>
                <w:color w:val="auto"/>
                <w:sz w:val="23"/>
                <w:szCs w:val="23"/>
                <w:highlight w:val="none"/>
              </w:rPr>
            </w:pPr>
            <w:r>
              <w:rPr>
                <w:color w:val="auto"/>
                <w:spacing w:val="3"/>
                <w:sz w:val="23"/>
                <w:szCs w:val="23"/>
                <w:highlight w:val="none"/>
              </w:rPr>
              <w:t>采购人或受托机构的意见(盖章):</w:t>
            </w:r>
          </w:p>
          <w:p>
            <w:pPr>
              <w:pStyle w:val="9"/>
              <w:spacing w:before="28" w:line="224" w:lineRule="auto"/>
              <w:ind w:left="195"/>
              <w:rPr>
                <w:color w:val="auto"/>
                <w:sz w:val="23"/>
                <w:szCs w:val="23"/>
                <w:highlight w:val="none"/>
              </w:rPr>
            </w:pPr>
            <w:r>
              <w:rPr>
                <w:color w:val="auto"/>
                <w:spacing w:val="-2"/>
                <w:position w:val="-1"/>
                <w:sz w:val="23"/>
                <w:szCs w:val="23"/>
                <w:highlight w:val="none"/>
              </w:rPr>
              <w:t>联系电话：</w:t>
            </w:r>
            <w:r>
              <w:rPr>
                <w:color w:val="auto"/>
                <w:spacing w:val="3"/>
                <w:position w:val="-1"/>
                <w:sz w:val="23"/>
                <w:szCs w:val="23"/>
                <w:highlight w:val="none"/>
              </w:rPr>
              <w:t xml:space="preserve">             </w:t>
            </w:r>
            <w:r>
              <w:rPr>
                <w:color w:val="auto"/>
                <w:spacing w:val="-2"/>
                <w:position w:val="2"/>
                <w:sz w:val="23"/>
                <w:szCs w:val="23"/>
                <w:highlight w:val="none"/>
              </w:rPr>
              <w:t>年</w:t>
            </w:r>
            <w:r>
              <w:rPr>
                <w:color w:val="auto"/>
                <w:spacing w:val="6"/>
                <w:position w:val="2"/>
                <w:sz w:val="23"/>
                <w:szCs w:val="23"/>
                <w:highlight w:val="none"/>
              </w:rPr>
              <w:t xml:space="preserve">     </w:t>
            </w:r>
            <w:r>
              <w:rPr>
                <w:color w:val="auto"/>
                <w:spacing w:val="-2"/>
                <w:position w:val="2"/>
                <w:sz w:val="23"/>
                <w:szCs w:val="23"/>
                <w:highlight w:val="none"/>
              </w:rPr>
              <w:t>月    日</w:t>
            </w:r>
          </w:p>
        </w:tc>
      </w:tr>
    </w:tbl>
    <w:p>
      <w:pPr>
        <w:spacing w:line="329" w:lineRule="auto"/>
        <w:rPr>
          <w:rFonts w:ascii="Arial"/>
          <w:color w:val="auto"/>
          <w:sz w:val="21"/>
          <w:highlight w:val="none"/>
        </w:rPr>
      </w:pPr>
    </w:p>
    <w:p>
      <w:pPr>
        <w:spacing w:before="81" w:line="223" w:lineRule="auto"/>
        <w:ind w:left="13"/>
        <w:rPr>
          <w:rFonts w:ascii="黑体" w:hAnsi="黑体" w:eastAsia="黑体" w:cs="黑体"/>
          <w:color w:val="auto"/>
          <w:sz w:val="25"/>
          <w:szCs w:val="25"/>
          <w:highlight w:val="none"/>
        </w:rPr>
      </w:pPr>
      <w:r>
        <w:rPr>
          <w:rFonts w:ascii="黑体" w:hAnsi="黑体" w:eastAsia="黑体" w:cs="黑体"/>
          <w:b/>
          <w:bCs/>
          <w:color w:val="auto"/>
          <w:spacing w:val="9"/>
          <w:sz w:val="25"/>
          <w:szCs w:val="25"/>
          <w:highlight w:val="none"/>
        </w:rPr>
        <w:t>附表4:</w:t>
      </w:r>
    </w:p>
    <w:p>
      <w:pPr>
        <w:spacing w:line="223" w:lineRule="auto"/>
        <w:rPr>
          <w:rFonts w:ascii="黑体" w:hAnsi="黑体" w:eastAsia="黑体" w:cs="黑体"/>
          <w:color w:val="auto"/>
          <w:sz w:val="25"/>
          <w:szCs w:val="25"/>
          <w:highlight w:val="none"/>
        </w:rPr>
        <w:sectPr>
          <w:footerReference r:id="rId32" w:type="default"/>
          <w:pgSz w:w="11900" w:h="16830"/>
          <w:pgMar w:top="400" w:right="23" w:bottom="801" w:left="1060" w:header="0" w:footer="657" w:gutter="0"/>
          <w:cols w:space="720" w:num="1"/>
        </w:sect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rPr>
          <w:rFonts w:ascii="Arial"/>
          <w:color w:val="auto"/>
          <w:sz w:val="21"/>
          <w:highlight w:val="none"/>
        </w:rPr>
      </w:pPr>
    </w:p>
    <w:p>
      <w:pPr>
        <w:pStyle w:val="3"/>
        <w:spacing w:before="117" w:line="218" w:lineRule="auto"/>
        <w:ind w:left="1280"/>
        <w:rPr>
          <w:color w:val="auto"/>
          <w:sz w:val="36"/>
          <w:szCs w:val="36"/>
          <w:highlight w:val="none"/>
        </w:rPr>
      </w:pPr>
      <w:bookmarkStart w:id="4" w:name="bookmark8"/>
      <w:bookmarkEnd w:id="4"/>
      <w:r>
        <w:rPr>
          <w:b/>
          <w:bCs/>
          <w:color w:val="auto"/>
          <w:spacing w:val="-2"/>
          <w:sz w:val="36"/>
          <w:szCs w:val="36"/>
          <w:highlight w:val="none"/>
        </w:rPr>
        <w:t>广西线上“政采贷”政策告知函</w:t>
      </w:r>
    </w:p>
    <w:p>
      <w:pPr>
        <w:spacing w:line="241" w:lineRule="auto"/>
        <w:rPr>
          <w:rFonts w:ascii="Arial"/>
          <w:color w:val="auto"/>
          <w:sz w:val="21"/>
          <w:highlight w:val="none"/>
        </w:rPr>
      </w:pPr>
    </w:p>
    <w:p>
      <w:pPr>
        <w:spacing w:line="242" w:lineRule="auto"/>
        <w:rPr>
          <w:rFonts w:ascii="Arial"/>
          <w:color w:val="auto"/>
          <w:sz w:val="21"/>
          <w:highlight w:val="none"/>
        </w:rPr>
      </w:pPr>
    </w:p>
    <w:p>
      <w:pPr>
        <w:spacing w:before="81" w:line="223" w:lineRule="auto"/>
        <w:ind w:left="84"/>
        <w:rPr>
          <w:rFonts w:ascii="仿宋" w:hAnsi="仿宋" w:eastAsia="仿宋" w:cs="仿宋"/>
          <w:color w:val="auto"/>
          <w:sz w:val="25"/>
          <w:szCs w:val="25"/>
          <w:highlight w:val="none"/>
        </w:rPr>
      </w:pPr>
      <w:r>
        <w:rPr>
          <w:rFonts w:ascii="仿宋" w:hAnsi="仿宋" w:eastAsia="仿宋" w:cs="仿宋"/>
          <w:color w:val="auto"/>
          <w:spacing w:val="-3"/>
          <w:sz w:val="25"/>
          <w:szCs w:val="25"/>
          <w:highlight w:val="none"/>
        </w:rPr>
        <w:t>各供应商：</w:t>
      </w:r>
    </w:p>
    <w:p>
      <w:pPr>
        <w:spacing w:before="227" w:line="222" w:lineRule="auto"/>
        <w:ind w:left="674"/>
        <w:rPr>
          <w:rFonts w:ascii="仿宋" w:hAnsi="仿宋" w:eastAsia="仿宋" w:cs="仿宋"/>
          <w:color w:val="auto"/>
          <w:sz w:val="25"/>
          <w:szCs w:val="25"/>
          <w:highlight w:val="none"/>
        </w:rPr>
      </w:pPr>
      <w:r>
        <w:rPr>
          <w:rFonts w:ascii="仿宋" w:hAnsi="仿宋" w:eastAsia="仿宋" w:cs="仿宋"/>
          <w:color w:val="auto"/>
          <w:spacing w:val="9"/>
          <w:sz w:val="25"/>
          <w:szCs w:val="25"/>
          <w:highlight w:val="none"/>
        </w:rPr>
        <w:t>欢迎贵公司参与广西政府采购活动!</w:t>
      </w:r>
    </w:p>
    <w:p>
      <w:pPr>
        <w:spacing w:before="170" w:line="362" w:lineRule="auto"/>
        <w:ind w:left="84" w:right="849" w:firstLine="570"/>
        <w:rPr>
          <w:rFonts w:ascii="仿宋" w:hAnsi="仿宋" w:eastAsia="仿宋" w:cs="仿宋"/>
          <w:color w:val="auto"/>
          <w:sz w:val="25"/>
          <w:szCs w:val="25"/>
          <w:highlight w:val="none"/>
        </w:rPr>
      </w:pPr>
      <w:r>
        <w:rPr>
          <w:rFonts w:ascii="仿宋" w:hAnsi="仿宋" w:eastAsia="仿宋" w:cs="仿宋"/>
          <w:color w:val="auto"/>
          <w:spacing w:val="10"/>
          <w:sz w:val="25"/>
          <w:szCs w:val="25"/>
          <w:highlight w:val="none"/>
        </w:rPr>
        <w:t>线上“政采贷”是人民银行南宁中心支行和自治区财政厅共</w:t>
      </w:r>
      <w:r>
        <w:rPr>
          <w:rFonts w:ascii="仿宋" w:hAnsi="仿宋" w:eastAsia="仿宋" w:cs="仿宋"/>
          <w:color w:val="auto"/>
          <w:spacing w:val="15"/>
          <w:sz w:val="25"/>
          <w:szCs w:val="25"/>
          <w:highlight w:val="none"/>
        </w:rPr>
        <w:t xml:space="preserve"> </w:t>
      </w:r>
      <w:r>
        <w:rPr>
          <w:rFonts w:ascii="仿宋" w:hAnsi="仿宋" w:eastAsia="仿宋" w:cs="仿宋"/>
          <w:color w:val="auto"/>
          <w:spacing w:val="5"/>
          <w:sz w:val="25"/>
          <w:szCs w:val="25"/>
          <w:highlight w:val="none"/>
        </w:rPr>
        <w:t>同支持企业发展，针对参与政府采购活动的企业融资难，融资贵，</w:t>
      </w:r>
      <w:r>
        <w:rPr>
          <w:rFonts w:ascii="仿宋" w:hAnsi="仿宋" w:eastAsia="仿宋" w:cs="仿宋"/>
          <w:color w:val="auto"/>
          <w:sz w:val="25"/>
          <w:szCs w:val="25"/>
          <w:highlight w:val="none"/>
        </w:rPr>
        <w:t xml:space="preserve"> </w:t>
      </w:r>
      <w:r>
        <w:rPr>
          <w:rFonts w:ascii="仿宋" w:hAnsi="仿宋" w:eastAsia="仿宋" w:cs="仿宋"/>
          <w:color w:val="auto"/>
          <w:spacing w:val="11"/>
          <w:sz w:val="25"/>
          <w:szCs w:val="25"/>
          <w:highlight w:val="none"/>
        </w:rPr>
        <w:t>融资慢、融资繁问题推出的一项融资政策。贵公司若成为本次政</w:t>
      </w:r>
      <w:r>
        <w:rPr>
          <w:rFonts w:ascii="仿宋" w:hAnsi="仿宋" w:eastAsia="仿宋" w:cs="仿宋"/>
          <w:color w:val="auto"/>
          <w:spacing w:val="9"/>
          <w:sz w:val="25"/>
          <w:szCs w:val="25"/>
          <w:highlight w:val="none"/>
        </w:rPr>
        <w:t xml:space="preserve"> </w:t>
      </w:r>
      <w:r>
        <w:rPr>
          <w:rFonts w:ascii="仿宋" w:hAnsi="仿宋" w:eastAsia="仿宋" w:cs="仿宋"/>
          <w:color w:val="auto"/>
          <w:spacing w:val="20"/>
          <w:sz w:val="25"/>
          <w:szCs w:val="25"/>
          <w:highlight w:val="none"/>
        </w:rPr>
        <w:t>府采购项目的中标(成交)供应商，可持政府采购合同在线向银</w:t>
      </w:r>
      <w:r>
        <w:rPr>
          <w:rFonts w:ascii="仿宋" w:hAnsi="仿宋" w:eastAsia="仿宋" w:cs="仿宋"/>
          <w:color w:val="auto"/>
          <w:spacing w:val="6"/>
          <w:sz w:val="25"/>
          <w:szCs w:val="25"/>
          <w:highlight w:val="none"/>
        </w:rPr>
        <w:t xml:space="preserve"> </w:t>
      </w:r>
      <w:r>
        <w:rPr>
          <w:rFonts w:ascii="仿宋" w:hAnsi="仿宋" w:eastAsia="仿宋" w:cs="仿宋"/>
          <w:color w:val="auto"/>
          <w:spacing w:val="11"/>
          <w:sz w:val="25"/>
          <w:szCs w:val="25"/>
          <w:highlight w:val="none"/>
        </w:rPr>
        <w:t>行业金融机构申请贷款，融资机构将根据《中国人民银行南宁中</w:t>
      </w:r>
      <w:r>
        <w:rPr>
          <w:rFonts w:ascii="仿宋" w:hAnsi="仿宋" w:eastAsia="仿宋" w:cs="仿宋"/>
          <w:color w:val="auto"/>
          <w:sz w:val="25"/>
          <w:szCs w:val="25"/>
          <w:highlight w:val="none"/>
        </w:rPr>
        <w:t xml:space="preserve"> </w:t>
      </w:r>
      <w:r>
        <w:rPr>
          <w:rFonts w:ascii="仿宋" w:hAnsi="仿宋" w:eastAsia="仿宋" w:cs="仿宋"/>
          <w:color w:val="auto"/>
          <w:spacing w:val="10"/>
          <w:sz w:val="25"/>
          <w:szCs w:val="25"/>
          <w:highlight w:val="none"/>
        </w:rPr>
        <w:t>心支行广西壮族自治区财政厅关于推广线上“政采贷”融资模式</w:t>
      </w:r>
      <w:r>
        <w:rPr>
          <w:rFonts w:ascii="仿宋" w:hAnsi="仿宋" w:eastAsia="仿宋" w:cs="仿宋"/>
          <w:color w:val="auto"/>
          <w:spacing w:val="14"/>
          <w:sz w:val="25"/>
          <w:szCs w:val="25"/>
          <w:highlight w:val="none"/>
        </w:rPr>
        <w:t xml:space="preserve"> </w:t>
      </w:r>
      <w:r>
        <w:rPr>
          <w:rFonts w:ascii="仿宋" w:hAnsi="仿宋" w:eastAsia="仿宋" w:cs="仿宋"/>
          <w:color w:val="auto"/>
          <w:spacing w:val="17"/>
          <w:sz w:val="25"/>
          <w:szCs w:val="25"/>
          <w:highlight w:val="none"/>
        </w:rPr>
        <w:t>的通知》(南宁银发〔2021〕258号),按</w:t>
      </w:r>
      <w:r>
        <w:rPr>
          <w:rFonts w:ascii="仿宋" w:hAnsi="仿宋" w:eastAsia="仿宋" w:cs="仿宋"/>
          <w:color w:val="auto"/>
          <w:spacing w:val="16"/>
          <w:sz w:val="25"/>
          <w:szCs w:val="25"/>
          <w:highlight w:val="none"/>
        </w:rPr>
        <w:t>照双方自愿的原则提供</w:t>
      </w:r>
      <w:r>
        <w:rPr>
          <w:rFonts w:ascii="仿宋" w:hAnsi="仿宋" w:eastAsia="仿宋" w:cs="仿宋"/>
          <w:color w:val="auto"/>
          <w:sz w:val="25"/>
          <w:szCs w:val="25"/>
          <w:highlight w:val="none"/>
        </w:rPr>
        <w:t xml:space="preserve">  </w:t>
      </w:r>
      <w:r>
        <w:rPr>
          <w:rFonts w:ascii="仿宋" w:hAnsi="仿宋" w:eastAsia="仿宋" w:cs="仿宋"/>
          <w:color w:val="auto"/>
          <w:spacing w:val="5"/>
          <w:sz w:val="25"/>
          <w:szCs w:val="25"/>
          <w:highlight w:val="none"/>
        </w:rPr>
        <w:t>便捷、优惠的贷款服务。</w:t>
      </w:r>
    </w:p>
    <w:p>
      <w:pPr>
        <w:pStyle w:val="3"/>
        <w:spacing w:before="24" w:line="335" w:lineRule="auto"/>
        <w:ind w:left="74" w:right="849" w:firstLine="540"/>
        <w:jc w:val="both"/>
        <w:rPr>
          <w:color w:val="auto"/>
          <w:sz w:val="25"/>
          <w:szCs w:val="25"/>
          <w:highlight w:val="none"/>
        </w:rPr>
      </w:pPr>
      <w:r>
        <w:rPr>
          <w:rFonts w:ascii="仿宋" w:hAnsi="仿宋" w:eastAsia="仿宋" w:cs="仿宋"/>
          <w:color w:val="auto"/>
          <w:spacing w:val="11"/>
          <w:sz w:val="25"/>
          <w:szCs w:val="25"/>
          <w:highlight w:val="none"/>
        </w:rPr>
        <w:t>相关金融产品和银行业金融机构联系方式，可</w:t>
      </w:r>
      <w:r>
        <w:rPr>
          <w:rFonts w:ascii="仿宋" w:hAnsi="仿宋" w:eastAsia="仿宋" w:cs="仿宋"/>
          <w:color w:val="auto"/>
          <w:spacing w:val="10"/>
          <w:sz w:val="25"/>
          <w:szCs w:val="25"/>
          <w:highlight w:val="none"/>
        </w:rPr>
        <w:t>在中征应收账</w:t>
      </w:r>
      <w:r>
        <w:rPr>
          <w:rFonts w:ascii="仿宋" w:hAnsi="仿宋" w:eastAsia="仿宋" w:cs="仿宋"/>
          <w:color w:val="auto"/>
          <w:sz w:val="25"/>
          <w:szCs w:val="25"/>
          <w:highlight w:val="none"/>
        </w:rPr>
        <w:t xml:space="preserve"> </w:t>
      </w:r>
      <w:r>
        <w:rPr>
          <w:rFonts w:ascii="仿宋" w:hAnsi="仿宋" w:eastAsia="仿宋" w:cs="仿宋"/>
          <w:color w:val="auto"/>
          <w:spacing w:val="3"/>
          <w:sz w:val="25"/>
          <w:szCs w:val="25"/>
          <w:highlight w:val="none"/>
        </w:rPr>
        <w:t>款融资服务平台查询(网址：</w:t>
      </w:r>
      <w:r>
        <w:rPr>
          <w:rFonts w:ascii="仿宋" w:hAnsi="仿宋" w:eastAsia="仿宋" w:cs="仿宋"/>
          <w:color w:val="auto"/>
          <w:spacing w:val="-44"/>
          <w:sz w:val="25"/>
          <w:szCs w:val="25"/>
          <w:highlight w:val="none"/>
        </w:rPr>
        <w:t xml:space="preserve"> </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Fonts w:ascii="Times New Roman" w:hAnsi="Times New Roman" w:eastAsia="Times New Roman" w:cs="Times New Roman"/>
          <w:color w:val="auto"/>
          <w:sz w:val="25"/>
          <w:szCs w:val="25"/>
          <w:highlight w:val="none"/>
          <w:u w:val="single" w:color="auto"/>
        </w:rPr>
        <w:t>https</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z w:val="25"/>
          <w:szCs w:val="25"/>
          <w:highlight w:val="none"/>
          <w:u w:val="single" w:color="auto"/>
        </w:rPr>
        <w:t>www</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z w:val="25"/>
          <w:szCs w:val="25"/>
          <w:highlight w:val="none"/>
          <w:u w:val="single" w:color="auto"/>
        </w:rPr>
        <w:t>crcrfsp</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z w:val="25"/>
          <w:szCs w:val="25"/>
          <w:highlight w:val="none"/>
          <w:u w:val="single" w:color="auto"/>
        </w:rPr>
        <w:t>com</w:t>
      </w:r>
      <w:r>
        <w:rPr>
          <w:rFonts w:ascii="Times New Roman" w:hAnsi="Times New Roman" w:eastAsia="Times New Roman" w:cs="Times New Roman"/>
          <w:color w:val="auto"/>
          <w:spacing w:val="3"/>
          <w:sz w:val="25"/>
          <w:szCs w:val="25"/>
          <w:highlight w:val="none"/>
          <w:u w:val="single" w:color="auto"/>
        </w:rPr>
        <w:t>/</w:t>
      </w:r>
      <w:r>
        <w:rPr>
          <w:rFonts w:ascii="Times New Roman" w:hAnsi="Times New Roman" w:eastAsia="Times New Roman" w:cs="Times New Roman"/>
          <w:color w:val="auto"/>
          <w:spacing w:val="3"/>
          <w:sz w:val="25"/>
          <w:szCs w:val="25"/>
          <w:highlight w:val="none"/>
          <w:u w:val="single" w:color="auto"/>
        </w:rPr>
        <w:fldChar w:fldCharType="end"/>
      </w:r>
      <w:r>
        <w:rPr>
          <w:rFonts w:ascii="Times New Roman" w:hAnsi="Times New Roman" w:eastAsia="Times New Roman" w:cs="Times New Roman"/>
          <w:color w:val="auto"/>
          <w:spacing w:val="3"/>
          <w:sz w:val="25"/>
          <w:szCs w:val="25"/>
          <w:highlight w:val="none"/>
        </w:rPr>
        <w:t xml:space="preserve">  </w:t>
      </w:r>
      <w:r>
        <w:rPr>
          <w:rFonts w:ascii="仿宋" w:hAnsi="仿宋" w:eastAsia="仿宋" w:cs="仿宋"/>
          <w:color w:val="auto"/>
          <w:spacing w:val="3"/>
          <w:sz w:val="25"/>
          <w:szCs w:val="25"/>
          <w:highlight w:val="none"/>
        </w:rPr>
        <w:t>,</w:t>
      </w:r>
      <w:r>
        <w:rPr>
          <w:rFonts w:ascii="仿宋" w:hAnsi="仿宋" w:eastAsia="仿宋" w:cs="仿宋"/>
          <w:color w:val="auto"/>
          <w:spacing w:val="-63"/>
          <w:sz w:val="25"/>
          <w:szCs w:val="25"/>
          <w:highlight w:val="none"/>
        </w:rPr>
        <w:t xml:space="preserve"> </w:t>
      </w:r>
      <w:r>
        <w:rPr>
          <w:rFonts w:ascii="仿宋" w:hAnsi="仿宋" w:eastAsia="仿宋" w:cs="仿宋"/>
          <w:color w:val="auto"/>
          <w:spacing w:val="3"/>
          <w:sz w:val="25"/>
          <w:szCs w:val="25"/>
          <w:highlight w:val="none"/>
        </w:rPr>
        <w:t>客服电话：</w:t>
      </w:r>
      <w:r>
        <w:rPr>
          <w:rFonts w:ascii="仿宋" w:hAnsi="仿宋" w:eastAsia="仿宋" w:cs="仿宋"/>
          <w:color w:val="auto"/>
          <w:sz w:val="25"/>
          <w:szCs w:val="25"/>
          <w:highlight w:val="none"/>
        </w:rPr>
        <w:t xml:space="preserve"> </w:t>
      </w:r>
      <w:r>
        <w:rPr>
          <w:rFonts w:ascii="Times New Roman" w:hAnsi="Times New Roman" w:eastAsia="Times New Roman" w:cs="Times New Roman"/>
          <w:color w:val="auto"/>
          <w:spacing w:val="-1"/>
          <w:sz w:val="25"/>
          <w:szCs w:val="25"/>
          <w:highlight w:val="none"/>
        </w:rPr>
        <w:t>400-009-0001)</w:t>
      </w:r>
      <w:r>
        <w:rPr>
          <w:color w:val="auto"/>
          <w:spacing w:val="-1"/>
          <w:sz w:val="25"/>
          <w:szCs w:val="25"/>
          <w:highlight w:val="none"/>
        </w:rPr>
        <w:t>。</w:t>
      </w:r>
    </w:p>
    <w:p>
      <w:pPr>
        <w:spacing w:line="335" w:lineRule="auto"/>
        <w:rPr>
          <w:color w:val="auto"/>
          <w:sz w:val="25"/>
          <w:szCs w:val="25"/>
          <w:highlight w:val="none"/>
        </w:rPr>
        <w:sectPr>
          <w:footerReference r:id="rId33" w:type="default"/>
          <w:pgSz w:w="11900" w:h="16830"/>
          <w:pgMar w:top="400" w:right="1785" w:bottom="801" w:left="1785" w:header="0" w:footer="657" w:gutter="0"/>
          <w:cols w:space="720" w:num="1"/>
        </w:sect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3"/>
        <w:spacing w:before="140" w:line="219" w:lineRule="auto"/>
        <w:ind w:left="3156"/>
        <w:outlineLvl w:val="0"/>
        <w:rPr>
          <w:color w:val="auto"/>
          <w:sz w:val="43"/>
          <w:szCs w:val="43"/>
          <w:highlight w:val="none"/>
        </w:rPr>
      </w:pPr>
      <w:bookmarkStart w:id="5" w:name="bookmark3"/>
      <w:bookmarkEnd w:id="5"/>
      <w:r>
        <w:rPr>
          <w:b/>
          <w:bCs/>
          <w:color w:val="auto"/>
          <w:spacing w:val="4"/>
          <w:sz w:val="43"/>
          <w:szCs w:val="43"/>
          <w:highlight w:val="none"/>
        </w:rPr>
        <w:t>第三章</w:t>
      </w:r>
      <w:r>
        <w:rPr>
          <w:color w:val="auto"/>
          <w:spacing w:val="4"/>
          <w:sz w:val="43"/>
          <w:szCs w:val="43"/>
          <w:highlight w:val="none"/>
        </w:rPr>
        <w:t xml:space="preserve">  </w:t>
      </w:r>
      <w:r>
        <w:rPr>
          <w:b/>
          <w:bCs/>
          <w:color w:val="auto"/>
          <w:spacing w:val="4"/>
          <w:sz w:val="43"/>
          <w:szCs w:val="43"/>
          <w:highlight w:val="none"/>
        </w:rPr>
        <w:t>项目需求</w:t>
      </w:r>
    </w:p>
    <w:p>
      <w:pPr>
        <w:spacing w:before="288" w:line="213" w:lineRule="auto"/>
        <w:ind w:left="479"/>
        <w:rPr>
          <w:rFonts w:ascii="黑体" w:hAnsi="黑体" w:eastAsia="黑体" w:cs="黑体"/>
          <w:color w:val="auto"/>
          <w:sz w:val="23"/>
          <w:szCs w:val="23"/>
          <w:highlight w:val="none"/>
          <w:lang w:eastAsia="zh-CN"/>
        </w:rPr>
      </w:pPr>
      <w:r>
        <w:rPr>
          <w:rFonts w:ascii="黑体" w:hAnsi="黑体" w:eastAsia="黑体" w:cs="黑体"/>
          <w:color w:val="auto"/>
          <w:spacing w:val="10"/>
          <w:sz w:val="23"/>
          <w:szCs w:val="23"/>
          <w:highlight w:val="none"/>
          <w:lang w:eastAsia="zh-CN"/>
        </w:rPr>
        <w:t>注：1.本项目为服务项目，所有服务需求</w:t>
      </w:r>
      <w:r>
        <w:rPr>
          <w:rFonts w:ascii="黑体" w:hAnsi="黑体" w:eastAsia="黑体" w:cs="黑体"/>
          <w:color w:val="auto"/>
          <w:spacing w:val="9"/>
          <w:sz w:val="23"/>
          <w:szCs w:val="23"/>
          <w:highlight w:val="none"/>
          <w:lang w:eastAsia="zh-CN"/>
        </w:rPr>
        <w:t>内容均为实质性内容不得有负偏离。</w:t>
      </w:r>
    </w:p>
    <w:p>
      <w:pPr>
        <w:pStyle w:val="3"/>
        <w:spacing w:before="204" w:line="221" w:lineRule="auto"/>
        <w:ind w:left="979"/>
        <w:rPr>
          <w:rFonts w:ascii="黑体" w:hAnsi="黑体" w:eastAsia="黑体" w:cs="黑体"/>
          <w:color w:val="auto"/>
          <w:sz w:val="23"/>
          <w:szCs w:val="23"/>
          <w:highlight w:val="none"/>
          <w:lang w:eastAsia="zh-CN"/>
        </w:rPr>
      </w:pPr>
      <w:r>
        <w:rPr>
          <w:color w:val="auto"/>
          <w:spacing w:val="8"/>
          <w:sz w:val="23"/>
          <w:szCs w:val="23"/>
          <w:highlight w:val="none"/>
          <w:lang w:eastAsia="zh-CN"/>
        </w:rPr>
        <w:t>2.</w:t>
      </w:r>
      <w:r>
        <w:rPr>
          <w:rFonts w:ascii="黑体" w:hAnsi="黑体" w:eastAsia="黑体" w:cs="黑体"/>
          <w:color w:val="auto"/>
          <w:spacing w:val="8"/>
          <w:sz w:val="23"/>
          <w:szCs w:val="23"/>
          <w:highlight w:val="none"/>
          <w:lang w:eastAsia="zh-CN"/>
        </w:rPr>
        <w:t>所属行业：</w:t>
      </w:r>
      <w:r>
        <w:rPr>
          <w:rFonts w:hint="eastAsia" w:ascii="黑体" w:hAnsi="黑体" w:eastAsia="黑体" w:cs="黑体"/>
          <w:color w:val="auto"/>
          <w:spacing w:val="8"/>
          <w:sz w:val="23"/>
          <w:szCs w:val="23"/>
          <w:highlight w:val="none"/>
          <w:lang w:eastAsia="zh-CN"/>
        </w:rPr>
        <w:t>租赁和商务服务业</w:t>
      </w:r>
      <w:r>
        <w:rPr>
          <w:rFonts w:ascii="黑体" w:hAnsi="黑体" w:eastAsia="黑体" w:cs="黑体"/>
          <w:color w:val="auto"/>
          <w:spacing w:val="8"/>
          <w:sz w:val="23"/>
          <w:szCs w:val="23"/>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本次采购的保安服务的范围为桂林市秀峰区教育系统所属13所学校（学校、幼儿园），具体见下表：</w:t>
      </w:r>
    </w:p>
    <w:tbl>
      <w:tblPr>
        <w:tblStyle w:val="5"/>
        <w:tblW w:w="86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5563"/>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项号</w:t>
            </w:r>
          </w:p>
        </w:tc>
        <w:tc>
          <w:tcPr>
            <w:tcW w:w="5563" w:type="dxa"/>
            <w:vAlign w:val="center"/>
          </w:tcPr>
          <w:p>
            <w:pPr>
              <w:spacing w:line="500" w:lineRule="exact"/>
              <w:jc w:val="both"/>
              <w:rPr>
                <w:rFonts w:ascii="Times New Roman" w:hAnsi="Times New Roman" w:cs="Times New Roman"/>
                <w:bCs/>
                <w:color w:val="auto"/>
                <w:sz w:val="24"/>
                <w:highlight w:val="none"/>
              </w:rPr>
            </w:pPr>
            <w:r>
              <w:rPr>
                <w:rFonts w:ascii="Times New Roman" w:hAnsi="Times New Roman" w:cs="Times New Roman"/>
                <w:bCs/>
                <w:color w:val="auto"/>
                <w:sz w:val="24"/>
                <w:highlight w:val="none"/>
              </w:rPr>
              <w:t>学校名称</w:t>
            </w:r>
          </w:p>
        </w:tc>
        <w:tc>
          <w:tcPr>
            <w:tcW w:w="2340"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专职保安配备数量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榕湖小学</w:t>
            </w:r>
          </w:p>
        </w:tc>
        <w:tc>
          <w:tcPr>
            <w:tcW w:w="2340" w:type="dxa"/>
            <w:vAlign w:val="center"/>
          </w:tcPr>
          <w:p>
            <w:pPr>
              <w:jc w:val="center"/>
              <w:rPr>
                <w:rFonts w:ascii="Times New Roman" w:hAnsi="Times New Roman" w:eastAsia="宋体" w:cs="Times New Roman"/>
                <w:bCs/>
                <w:color w:val="auto"/>
                <w:sz w:val="24"/>
                <w:highlight w:val="none"/>
                <w:lang w:eastAsia="zh-CN"/>
              </w:rPr>
            </w:pPr>
            <w:r>
              <w:rPr>
                <w:rFonts w:ascii="Times New Roman" w:hAnsi="Times New Roman" w:eastAsia="仿宋" w:cs="Times New Roman"/>
                <w:color w:val="auto"/>
                <w:sz w:val="28"/>
                <w:szCs w:val="28"/>
                <w:highlight w:val="none"/>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2</w:t>
            </w:r>
          </w:p>
        </w:tc>
        <w:tc>
          <w:tcPr>
            <w:tcW w:w="5563" w:type="dxa"/>
            <w:vAlign w:val="center"/>
          </w:tcPr>
          <w:p>
            <w:pPr>
              <w:jc w:val="both"/>
              <w:rPr>
                <w:rFonts w:ascii="Times New Roman" w:hAnsi="Times New Roman" w:eastAsia="仿宋_GB2312" w:cs="Times New Roman"/>
                <w:bCs/>
                <w:color w:val="auto"/>
                <w:sz w:val="24"/>
                <w:highlight w:val="none"/>
                <w:lang w:eastAsia="zh-CN"/>
              </w:rPr>
            </w:pPr>
            <w:r>
              <w:rPr>
                <w:rFonts w:ascii="Times New Roman" w:hAnsi="Times New Roman" w:eastAsia="仿宋_GB2312" w:cs="Times New Roman"/>
                <w:color w:val="auto"/>
                <w:sz w:val="28"/>
                <w:szCs w:val="28"/>
                <w:highlight w:val="none"/>
                <w:lang w:eastAsia="zh-CN"/>
              </w:rPr>
              <w:t>中隐小学</w:t>
            </w:r>
          </w:p>
        </w:tc>
        <w:tc>
          <w:tcPr>
            <w:tcW w:w="2340" w:type="dxa"/>
            <w:vAlign w:val="center"/>
          </w:tcPr>
          <w:p>
            <w:pPr>
              <w:jc w:val="center"/>
              <w:rPr>
                <w:rFonts w:ascii="Times New Roman" w:hAnsi="Times New Roman" w:eastAsia="宋体" w:cs="Times New Roman"/>
                <w:bCs/>
                <w:color w:val="auto"/>
                <w:sz w:val="24"/>
                <w:highlight w:val="none"/>
                <w:lang w:eastAsia="zh-CN"/>
              </w:rPr>
            </w:pPr>
            <w:r>
              <w:rPr>
                <w:rFonts w:ascii="Times New Roman" w:hAnsi="Times New Roman" w:eastAsia="仿宋" w:cs="Times New Roman"/>
                <w:color w:val="auto"/>
                <w:sz w:val="28"/>
                <w:szCs w:val="28"/>
                <w:highlight w:val="none"/>
                <w:lang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3</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榕湖小学桃江校区</w:t>
            </w:r>
          </w:p>
        </w:tc>
        <w:tc>
          <w:tcPr>
            <w:tcW w:w="2340" w:type="dxa"/>
            <w:vAlign w:val="center"/>
          </w:tcPr>
          <w:p>
            <w:pPr>
              <w:jc w:val="center"/>
              <w:rPr>
                <w:rFonts w:ascii="Times New Roman" w:hAnsi="Times New Roman" w:eastAsia="宋体" w:cs="Times New Roman"/>
                <w:bCs/>
                <w:color w:val="auto"/>
                <w:sz w:val="24"/>
                <w:highlight w:val="none"/>
                <w:lang w:eastAsia="zh-CN"/>
              </w:rPr>
            </w:pPr>
            <w:r>
              <w:rPr>
                <w:rFonts w:ascii="Times New Roman" w:hAnsi="Times New Roman" w:eastAsia="仿宋" w:cs="Times New Roman"/>
                <w:color w:val="auto"/>
                <w:sz w:val="28"/>
                <w:szCs w:val="28"/>
                <w:highlight w:val="none"/>
                <w:lang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4</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中华小学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5</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乐群小学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6</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西山小学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7</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飞凤小学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8</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桥头小学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9</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长海实验学校</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10</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琴潭实验学校</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11</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向阳小学</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12</w:t>
            </w:r>
          </w:p>
        </w:tc>
        <w:tc>
          <w:tcPr>
            <w:tcW w:w="5563" w:type="dxa"/>
            <w:vAlign w:val="center"/>
          </w:tcPr>
          <w:p>
            <w:pPr>
              <w:jc w:val="both"/>
              <w:rPr>
                <w:rFonts w:ascii="Times New Roman" w:hAnsi="Times New Roman" w:eastAsia="仿宋_GB2312" w:cs="Times New Roman"/>
                <w:bCs/>
                <w:color w:val="auto"/>
                <w:sz w:val="24"/>
                <w:highlight w:val="none"/>
              </w:rPr>
            </w:pPr>
            <w:r>
              <w:rPr>
                <w:rFonts w:ascii="Times New Roman" w:hAnsi="Times New Roman" w:eastAsia="仿宋_GB2312" w:cs="Times New Roman"/>
                <w:color w:val="auto"/>
                <w:sz w:val="28"/>
                <w:szCs w:val="28"/>
                <w:highlight w:val="none"/>
              </w:rPr>
              <w:t>解西幼儿园</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spacing w:line="500" w:lineRule="exact"/>
              <w:jc w:val="center"/>
              <w:rPr>
                <w:rFonts w:ascii="Times New Roman" w:hAnsi="Times New Roman" w:cs="Times New Roman"/>
                <w:bCs/>
                <w:color w:val="auto"/>
                <w:sz w:val="24"/>
                <w:highlight w:val="none"/>
              </w:rPr>
            </w:pPr>
            <w:r>
              <w:rPr>
                <w:rFonts w:ascii="Times New Roman" w:hAnsi="Times New Roman" w:cs="Times New Roman"/>
                <w:bCs/>
                <w:color w:val="auto"/>
                <w:sz w:val="24"/>
                <w:highlight w:val="none"/>
              </w:rPr>
              <w:t>13</w:t>
            </w:r>
          </w:p>
        </w:tc>
        <w:tc>
          <w:tcPr>
            <w:tcW w:w="5563" w:type="dxa"/>
            <w:vAlign w:val="center"/>
          </w:tcPr>
          <w:p>
            <w:pPr>
              <w:jc w:val="both"/>
              <w:rPr>
                <w:rFonts w:ascii="Times New Roman" w:hAnsi="Times New Roman" w:eastAsia="仿宋_GB2312" w:cs="Times New Roman"/>
                <w:bCs/>
                <w:color w:val="auto"/>
                <w:sz w:val="24"/>
                <w:highlight w:val="none"/>
                <w:lang w:eastAsia="zh-CN"/>
              </w:rPr>
            </w:pPr>
            <w:r>
              <w:rPr>
                <w:rFonts w:ascii="Times New Roman" w:hAnsi="Times New Roman" w:eastAsia="仿宋_GB2312" w:cs="Times New Roman"/>
                <w:color w:val="auto"/>
                <w:sz w:val="28"/>
                <w:szCs w:val="28"/>
                <w:highlight w:val="none"/>
                <w:lang w:eastAsia="zh-CN"/>
              </w:rPr>
              <w:t>解西幼儿园大龙湾分园</w:t>
            </w:r>
          </w:p>
        </w:tc>
        <w:tc>
          <w:tcPr>
            <w:tcW w:w="2340" w:type="dxa"/>
            <w:vAlign w:val="center"/>
          </w:tcPr>
          <w:p>
            <w:pPr>
              <w:jc w:val="center"/>
              <w:rPr>
                <w:rFonts w:ascii="Times New Roman" w:hAnsi="Times New Roman" w:cs="Times New Roman"/>
                <w:bCs/>
                <w:color w:val="auto"/>
                <w:sz w:val="24"/>
                <w:highlight w:val="none"/>
              </w:rPr>
            </w:pPr>
            <w:r>
              <w:rPr>
                <w:rFonts w:ascii="Times New Roman" w:hAnsi="Times New Roman" w:eastAsia="仿宋" w:cs="Times New Roman"/>
                <w:color w:val="auto"/>
                <w:sz w:val="28"/>
                <w:szCs w:val="28"/>
                <w:highlight w:val="none"/>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2" w:type="dxa"/>
            <w:vAlign w:val="center"/>
          </w:tcPr>
          <w:p>
            <w:pPr>
              <w:jc w:val="both"/>
              <w:textAlignment w:val="center"/>
              <w:rPr>
                <w:rFonts w:ascii="Times New Roman" w:hAnsi="Times New Roman" w:cs="Times New Roman"/>
                <w:color w:val="auto"/>
                <w:sz w:val="28"/>
                <w:szCs w:val="28"/>
                <w:highlight w:val="none"/>
                <w:lang w:bidi="ar"/>
              </w:rPr>
            </w:pPr>
          </w:p>
        </w:tc>
        <w:tc>
          <w:tcPr>
            <w:tcW w:w="5563" w:type="dxa"/>
            <w:vAlign w:val="center"/>
          </w:tcPr>
          <w:p>
            <w:pPr>
              <w:jc w:val="both"/>
              <w:textAlignment w:val="center"/>
              <w:rPr>
                <w:rFonts w:ascii="Times New Roman" w:hAnsi="Times New Roman" w:cs="Times New Roman"/>
                <w:color w:val="auto"/>
                <w:sz w:val="28"/>
                <w:szCs w:val="28"/>
                <w:highlight w:val="none"/>
                <w:lang w:bidi="ar"/>
              </w:rPr>
            </w:pPr>
            <w:r>
              <w:rPr>
                <w:rFonts w:ascii="Times New Roman" w:hAnsi="Times New Roman" w:cs="Times New Roman"/>
                <w:bCs/>
                <w:color w:val="auto"/>
                <w:sz w:val="24"/>
                <w:highlight w:val="none"/>
              </w:rPr>
              <w:t>合计</w:t>
            </w:r>
          </w:p>
        </w:tc>
        <w:tc>
          <w:tcPr>
            <w:tcW w:w="2340" w:type="dxa"/>
            <w:vAlign w:val="center"/>
          </w:tcPr>
          <w:p>
            <w:pPr>
              <w:jc w:val="center"/>
              <w:textAlignment w:val="center"/>
              <w:rPr>
                <w:rFonts w:ascii="Times New Roman" w:hAnsi="Times New Roman" w:eastAsia="宋体" w:cs="Times New Roman"/>
                <w:color w:val="auto"/>
                <w:sz w:val="28"/>
                <w:szCs w:val="28"/>
                <w:highlight w:val="none"/>
                <w:lang w:eastAsia="zh-CN" w:bidi="ar"/>
              </w:rPr>
            </w:pPr>
            <w:r>
              <w:rPr>
                <w:rFonts w:ascii="Times New Roman" w:hAnsi="Times New Roman" w:cs="Times New Roman"/>
                <w:bCs/>
                <w:color w:val="auto"/>
                <w:sz w:val="24"/>
                <w:highlight w:val="none"/>
              </w:rPr>
              <w:t>4</w:t>
            </w:r>
            <w:r>
              <w:rPr>
                <w:rFonts w:ascii="Times New Roman" w:hAnsi="Times New Roman" w:cs="Times New Roman"/>
                <w:bCs/>
                <w:color w:val="auto"/>
                <w:sz w:val="24"/>
                <w:highlight w:val="none"/>
                <w:lang w:eastAsia="zh-CN"/>
              </w:rPr>
              <w:t>9</w:t>
            </w:r>
          </w:p>
        </w:tc>
      </w:tr>
    </w:tbl>
    <w:p>
      <w:pPr>
        <w:spacing w:line="500" w:lineRule="exact"/>
        <w:ind w:firstLine="471" w:firstLineChars="196"/>
        <w:outlineLvl w:val="2"/>
        <w:rPr>
          <w:b/>
          <w:color w:val="auto"/>
          <w:sz w:val="24"/>
          <w:highlight w:val="none"/>
        </w:rPr>
      </w:pPr>
      <w:bookmarkStart w:id="6" w:name="_Toc9088"/>
      <w:bookmarkStart w:id="7" w:name="_Toc20447"/>
      <w:r>
        <w:rPr>
          <w:rFonts w:hint="eastAsia"/>
          <w:b/>
          <w:color w:val="auto"/>
          <w:sz w:val="24"/>
          <w:highlight w:val="none"/>
        </w:rPr>
        <w:t>（二）服务内容</w:t>
      </w:r>
      <w:bookmarkEnd w:id="6"/>
      <w:bookmarkEnd w:id="7"/>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（1）负责校大门、教学楼和公共区域的值勤、巡逻和安全防范工作。</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（2）依照采购人规定与管理要求，结合校园安全保卫工作实际情况，要求在中标后向采购人制订切实可行的校园安全保卫工作整体方案，开展专业化安全防范业务，保障校园安全稳定。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（3）学校保安服务工作主要包括：</w:t>
      </w:r>
      <w:r>
        <w:rPr>
          <w:rFonts w:hint="eastAsia" w:ascii="宋体" w:hAnsi="宋体"/>
          <w:color w:val="auto"/>
          <w:sz w:val="24"/>
          <w:highlight w:val="none"/>
          <w:lang w:val="pt-BR" w:eastAsia="zh-CN"/>
        </w:rPr>
        <w:t>门卫、重点场所守护、日常巡逻，并做好校内防火防盗、防破坏、防事故等安全工作。若遇校园紧急突发事件，教育局有权向中标人增派安保人员，安保人员必须及时到达指定地点待命。</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（4）服务方式：学校安保服务方式是中标人派出管理人员、工作人员并组织保安人员到采购人指定区域负责安全保卫工作。</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（5）工作时间：实行8小时值班制，每班次工作时间为8小时，双休日、节假日照常执勤</w:t>
      </w:r>
      <w:r>
        <w:rPr>
          <w:rFonts w:hint="eastAsia"/>
          <w:bCs/>
          <w:color w:val="auto"/>
          <w:sz w:val="24"/>
          <w:highlight w:val="none"/>
          <w:lang w:val="pt-BR" w:eastAsia="zh-CN"/>
        </w:rPr>
        <w:t>。</w:t>
      </w:r>
    </w:p>
    <w:p>
      <w:pPr>
        <w:spacing w:line="500" w:lineRule="exact"/>
        <w:ind w:firstLine="471" w:firstLineChars="196"/>
        <w:outlineLvl w:val="2"/>
        <w:rPr>
          <w:b/>
          <w:color w:val="auto"/>
          <w:sz w:val="24"/>
          <w:highlight w:val="none"/>
          <w:lang w:eastAsia="zh-CN"/>
        </w:rPr>
      </w:pPr>
      <w:bookmarkStart w:id="8" w:name="_Toc19882"/>
      <w:bookmarkStart w:id="9" w:name="_Toc23507"/>
      <w:r>
        <w:rPr>
          <w:rFonts w:hint="eastAsia"/>
          <w:b/>
          <w:color w:val="auto"/>
          <w:sz w:val="24"/>
          <w:highlight w:val="none"/>
          <w:lang w:eastAsia="zh-CN"/>
        </w:rPr>
        <w:t>（三）服务期</w:t>
      </w:r>
      <w:bookmarkEnd w:id="8"/>
      <w:bookmarkEnd w:id="9"/>
    </w:p>
    <w:p>
      <w:pPr>
        <w:spacing w:line="500" w:lineRule="exact"/>
        <w:ind w:firstLine="480" w:firstLineChars="200"/>
        <w:rPr>
          <w:rFonts w:hint="default"/>
          <w:bCs/>
          <w:color w:val="auto"/>
          <w:sz w:val="24"/>
          <w:highlight w:val="none"/>
          <w:lang w:val="en-US" w:eastAsia="zh-CN"/>
        </w:rPr>
      </w:pPr>
      <w:r>
        <w:rPr>
          <w:rFonts w:hint="eastAsia"/>
          <w:bCs/>
          <w:color w:val="auto"/>
          <w:sz w:val="24"/>
          <w:highlight w:val="none"/>
          <w:lang w:eastAsia="zh-CN"/>
        </w:rPr>
        <w:t>本次采购的服务期为：</w:t>
      </w:r>
      <w:r>
        <w:rPr>
          <w:rFonts w:hint="eastAsia"/>
          <w:bCs/>
          <w:color w:val="auto"/>
          <w:sz w:val="24"/>
          <w:highlight w:val="none"/>
          <w:lang w:val="en-US" w:eastAsia="zh-CN"/>
        </w:rPr>
        <w:t>自合同签订之日起三年。</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中标供应商应根据招标文件的要求与采购人签订采购合同。</w:t>
      </w:r>
    </w:p>
    <w:p>
      <w:pPr>
        <w:spacing w:line="500" w:lineRule="exact"/>
        <w:ind w:firstLine="471" w:firstLineChars="196"/>
        <w:outlineLvl w:val="2"/>
        <w:rPr>
          <w:b/>
          <w:color w:val="auto"/>
          <w:sz w:val="24"/>
          <w:highlight w:val="none"/>
          <w:lang w:eastAsia="zh-CN"/>
        </w:rPr>
      </w:pPr>
      <w:bookmarkStart w:id="10" w:name="_Toc7609"/>
      <w:bookmarkStart w:id="11" w:name="_Toc20815"/>
      <w:r>
        <w:rPr>
          <w:rFonts w:hint="eastAsia"/>
          <w:b/>
          <w:color w:val="auto"/>
          <w:sz w:val="24"/>
          <w:highlight w:val="none"/>
          <w:lang w:eastAsia="zh-CN"/>
        </w:rPr>
        <w:t>（四）保安队伍要求</w:t>
      </w:r>
      <w:bookmarkEnd w:id="10"/>
      <w:bookmarkEnd w:id="11"/>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1.保安人员数量要求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保安人员数量49人，具体见服务范围中保安人员分配。</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2.保安人员基本要求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保安人员</w:t>
      </w:r>
      <w:r>
        <w:rPr>
          <w:rFonts w:hint="eastAsia"/>
          <w:bCs/>
          <w:color w:val="auto"/>
          <w:sz w:val="24"/>
          <w:highlight w:val="none"/>
          <w:lang w:eastAsia="zh-CN"/>
        </w:rPr>
        <w:t>基本素质：</w:t>
      </w:r>
      <w:r>
        <w:rPr>
          <w:bCs/>
          <w:color w:val="auto"/>
          <w:sz w:val="24"/>
          <w:highlight w:val="none"/>
          <w:lang w:eastAsia="zh-CN"/>
        </w:rPr>
        <w:t>保安人员应知法、懂法、守法，依法办事，必须严格遵守保安从业规范，模范遵守校园安全管理规定。保安人员有吃苦耐劳的精神和高度的责任感，熟知学校的管理规定，严格履行岗位职责，善于发现各类问题，具备一定的管理经验和处理突发事件能力。</w:t>
      </w:r>
      <w:r>
        <w:rPr>
          <w:rFonts w:hint="eastAsia" w:ascii="宋体" w:hAnsi="宋体"/>
          <w:color w:val="auto"/>
          <w:sz w:val="24"/>
          <w:highlight w:val="none"/>
          <w:lang w:val="pt-BR" w:eastAsia="zh-CN"/>
        </w:rPr>
        <w:t>保安人员应经过校园保安业务培训合格，能用普通话交流，文字书写规范。具备一定的观察、发现、处置问题能力，具备基本消防设备、通讯器材、技术防范设施设备和相关防卫器械的使用技能，具备基本的防卫擒拿技能。具有良好的心理素质。能胜任校园保安服务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（2）所有保安人员必须接受过正规专业训练</w:t>
      </w:r>
      <w:r>
        <w:rPr>
          <w:rFonts w:hint="eastAsia"/>
          <w:bCs/>
          <w:color w:val="auto"/>
          <w:sz w:val="24"/>
          <w:highlight w:val="none"/>
        </w:rPr>
        <w:t>（持《保安员证》上岗）。签订合同后上岗前中标人必须100%向采购人提供上岗人员的《保安员证》；</w:t>
      </w:r>
    </w:p>
    <w:p>
      <w:pPr>
        <w:spacing w:line="500" w:lineRule="exact"/>
        <w:ind w:firstLine="480" w:firstLineChars="200"/>
        <w:rPr>
          <w:bCs/>
          <w:color w:val="auto"/>
          <w:sz w:val="24"/>
          <w:highlight w:val="none"/>
          <w:lang w:val="pt-BR" w:eastAsia="zh-CN"/>
        </w:rPr>
      </w:pPr>
      <w:r>
        <w:rPr>
          <w:rFonts w:hint="eastAsia"/>
          <w:bCs/>
          <w:color w:val="auto"/>
          <w:sz w:val="24"/>
          <w:highlight w:val="none"/>
          <w:lang w:eastAsia="zh-CN"/>
        </w:rPr>
        <w:t>（3）证明材料：</w:t>
      </w:r>
      <w:r>
        <w:rPr>
          <w:rFonts w:hint="eastAsia"/>
          <w:bCs/>
          <w:color w:val="auto"/>
          <w:sz w:val="24"/>
          <w:highlight w:val="none"/>
          <w:lang w:val="pt-BR" w:eastAsia="zh-CN"/>
        </w:rPr>
        <w:t>保安员需持有身份证、体检合格证明（</w:t>
      </w:r>
      <w:r>
        <w:rPr>
          <w:rFonts w:hint="eastAsia"/>
          <w:bCs/>
          <w:color w:val="auto"/>
          <w:sz w:val="24"/>
          <w:highlight w:val="none"/>
          <w:lang w:eastAsia="zh-CN"/>
        </w:rPr>
        <w:t>或健康证</w:t>
      </w:r>
      <w:r>
        <w:rPr>
          <w:rFonts w:hint="eastAsia"/>
          <w:bCs/>
          <w:color w:val="auto"/>
          <w:sz w:val="24"/>
          <w:highlight w:val="none"/>
          <w:lang w:val="pt-BR" w:eastAsia="zh-CN"/>
        </w:rPr>
        <w:t>）、无犯罪记录</w:t>
      </w:r>
      <w:r>
        <w:rPr>
          <w:rFonts w:hint="eastAsia"/>
          <w:bCs/>
          <w:color w:val="auto"/>
          <w:sz w:val="24"/>
          <w:highlight w:val="none"/>
          <w:lang w:eastAsia="zh-CN"/>
        </w:rPr>
        <w:t>承诺</w:t>
      </w:r>
      <w:r>
        <w:rPr>
          <w:rFonts w:hint="eastAsia"/>
          <w:bCs/>
          <w:color w:val="auto"/>
          <w:sz w:val="24"/>
          <w:highlight w:val="none"/>
          <w:lang w:val="pt-BR"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（4）身体状况：保安人员必须相貌端正、身体健康，无传染病未治愈者。</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（5）年龄和身高要求：保安人员的</w:t>
      </w:r>
      <w:r>
        <w:rPr>
          <w:bCs/>
          <w:color w:val="auto"/>
          <w:sz w:val="24"/>
          <w:highlight w:val="none"/>
          <w:lang w:eastAsia="zh-CN"/>
        </w:rPr>
        <w:t>年龄</w:t>
      </w:r>
      <w:r>
        <w:rPr>
          <w:rFonts w:hint="eastAsia"/>
          <w:bCs/>
          <w:color w:val="auto"/>
          <w:sz w:val="24"/>
          <w:highlight w:val="none"/>
          <w:lang w:eastAsia="zh-CN"/>
        </w:rPr>
        <w:t>男性女性皆</w:t>
      </w:r>
      <w:r>
        <w:rPr>
          <w:bCs/>
          <w:color w:val="auto"/>
          <w:sz w:val="24"/>
          <w:highlight w:val="none"/>
          <w:lang w:eastAsia="zh-CN"/>
        </w:rPr>
        <w:t>在</w:t>
      </w:r>
      <w:r>
        <w:rPr>
          <w:rFonts w:hint="eastAsia" w:eastAsia="宋体"/>
          <w:bCs/>
          <w:color w:val="auto"/>
          <w:sz w:val="24"/>
          <w:highlight w:val="none"/>
          <w:lang w:eastAsia="zh-CN"/>
        </w:rPr>
        <w:t>55</w:t>
      </w:r>
      <w:r>
        <w:rPr>
          <w:bCs/>
          <w:color w:val="auto"/>
          <w:sz w:val="24"/>
          <w:highlight w:val="none"/>
          <w:lang w:eastAsia="zh-CN"/>
        </w:rPr>
        <w:t>岁</w:t>
      </w:r>
      <w:r>
        <w:rPr>
          <w:rFonts w:hint="eastAsia" w:eastAsia="宋体"/>
          <w:bCs/>
          <w:color w:val="auto"/>
          <w:sz w:val="24"/>
          <w:highlight w:val="none"/>
          <w:lang w:eastAsia="zh-CN"/>
        </w:rPr>
        <w:t>以下</w:t>
      </w:r>
      <w:r>
        <w:rPr>
          <w:bCs/>
          <w:color w:val="auto"/>
          <w:sz w:val="24"/>
          <w:highlight w:val="none"/>
          <w:lang w:eastAsia="zh-CN"/>
        </w:rPr>
        <w:t>，男性身高在165厘米以上，女性1</w:t>
      </w:r>
      <w:r>
        <w:rPr>
          <w:rFonts w:hint="eastAsia"/>
          <w:bCs/>
          <w:color w:val="auto"/>
          <w:sz w:val="24"/>
          <w:highlight w:val="none"/>
          <w:lang w:eastAsia="zh-CN"/>
        </w:rPr>
        <w:t>58</w:t>
      </w:r>
      <w:r>
        <w:rPr>
          <w:bCs/>
          <w:color w:val="auto"/>
          <w:sz w:val="24"/>
          <w:highlight w:val="none"/>
          <w:lang w:eastAsia="zh-CN"/>
        </w:rPr>
        <w:t>厘米以上。</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（6）保安管理人员：本项目须配备1名保安管理人员，保安管理人员</w:t>
      </w:r>
      <w:r>
        <w:rPr>
          <w:bCs/>
          <w:color w:val="auto"/>
          <w:sz w:val="24"/>
          <w:highlight w:val="none"/>
          <w:lang w:eastAsia="zh-CN"/>
        </w:rPr>
        <w:t>要求高中以上学历，年龄在</w:t>
      </w:r>
      <w:r>
        <w:rPr>
          <w:rFonts w:hint="eastAsia" w:eastAsia="宋体"/>
          <w:bCs/>
          <w:color w:val="auto"/>
          <w:sz w:val="24"/>
          <w:highlight w:val="none"/>
          <w:lang w:eastAsia="zh-CN"/>
        </w:rPr>
        <w:t>55</w:t>
      </w:r>
      <w:r>
        <w:rPr>
          <w:bCs/>
          <w:color w:val="auto"/>
          <w:sz w:val="24"/>
          <w:highlight w:val="none"/>
          <w:lang w:eastAsia="zh-CN"/>
        </w:rPr>
        <w:t>岁</w:t>
      </w:r>
      <w:r>
        <w:rPr>
          <w:rFonts w:hint="eastAsia" w:eastAsia="宋体"/>
          <w:bCs/>
          <w:color w:val="auto"/>
          <w:sz w:val="24"/>
          <w:highlight w:val="none"/>
          <w:lang w:eastAsia="zh-CN"/>
        </w:rPr>
        <w:t>以下</w:t>
      </w:r>
      <w:r>
        <w:rPr>
          <w:bCs/>
          <w:color w:val="auto"/>
          <w:sz w:val="24"/>
          <w:highlight w:val="none"/>
          <w:lang w:eastAsia="zh-CN"/>
        </w:rPr>
        <w:t>的男性，具备有3年以上管理保安队伍的经验，受过专门的保安业务培训，</w:t>
      </w:r>
      <w:r>
        <w:rPr>
          <w:rFonts w:hint="eastAsia"/>
          <w:bCs/>
          <w:color w:val="auto"/>
          <w:sz w:val="24"/>
          <w:highlight w:val="none"/>
          <w:lang w:eastAsia="zh-CN"/>
        </w:rPr>
        <w:t>具有C1</w:t>
      </w:r>
      <w:r>
        <w:rPr>
          <w:bCs/>
          <w:color w:val="auto"/>
          <w:sz w:val="24"/>
          <w:highlight w:val="none"/>
          <w:lang w:eastAsia="zh-CN"/>
        </w:rPr>
        <w:t>驾驶执照</w:t>
      </w:r>
      <w:r>
        <w:rPr>
          <w:rFonts w:hint="eastAsia"/>
          <w:bCs/>
          <w:color w:val="auto"/>
          <w:sz w:val="24"/>
          <w:highlight w:val="none"/>
          <w:lang w:eastAsia="zh-CN"/>
        </w:rPr>
        <w:t>；</w:t>
      </w:r>
      <w:r>
        <w:rPr>
          <w:bCs/>
          <w:color w:val="auto"/>
          <w:sz w:val="24"/>
          <w:highlight w:val="none"/>
          <w:lang w:eastAsia="zh-CN"/>
        </w:rPr>
        <w:t>工作能力强，为人谦和，具有较高的政治思想素养和业务水平，有较强的组织协调能力</w:t>
      </w:r>
      <w:r>
        <w:rPr>
          <w:rFonts w:hint="eastAsia"/>
          <w:bCs/>
          <w:color w:val="auto"/>
          <w:sz w:val="24"/>
          <w:highlight w:val="none"/>
          <w:lang w:eastAsia="zh-CN"/>
        </w:rPr>
        <w:t>。保安管理人员可以由保安人员兼职。</w:t>
      </w:r>
    </w:p>
    <w:p>
      <w:pPr>
        <w:spacing w:line="500" w:lineRule="exact"/>
        <w:ind w:firstLine="480" w:firstLineChars="200"/>
        <w:rPr>
          <w:bCs/>
          <w:color w:val="auto"/>
          <w:sz w:val="24"/>
          <w:highlight w:val="none"/>
          <w:lang w:eastAsia="zh-CN"/>
        </w:rPr>
      </w:pPr>
      <w:r>
        <w:rPr>
          <w:rFonts w:hint="eastAsia"/>
          <w:bCs/>
          <w:color w:val="auto"/>
          <w:sz w:val="24"/>
          <w:highlight w:val="none"/>
          <w:lang w:val="pt-BR" w:eastAsia="zh-CN"/>
        </w:rPr>
        <w:t>管理人员</w:t>
      </w:r>
      <w:r>
        <w:rPr>
          <w:rFonts w:hint="eastAsia"/>
          <w:bCs/>
          <w:color w:val="auto"/>
          <w:sz w:val="24"/>
          <w:highlight w:val="none"/>
          <w:lang w:eastAsia="zh-CN"/>
        </w:rPr>
        <w:t>必须</w:t>
      </w:r>
      <w:r>
        <w:rPr>
          <w:rFonts w:hint="eastAsia"/>
          <w:bCs/>
          <w:color w:val="auto"/>
          <w:sz w:val="24"/>
          <w:highlight w:val="none"/>
          <w:lang w:val="pt-BR" w:eastAsia="zh-CN"/>
        </w:rPr>
        <w:t>选派管理经验丰富，工作责任心强、组织协调能力和具备一定公文写作能力，熟悉使用办公电脑的人员配合用人单位管理队伍。且其每月要接受使用单位考核，对不符合管理使用的管理人员，使用单位有权建议更换退回处理，中标人应予三日内重新选派合格人员到位开展工作。</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（7）专业要求：保安人员中至少有1</w:t>
      </w:r>
      <w:r>
        <w:rPr>
          <w:bCs/>
          <w:color w:val="auto"/>
          <w:sz w:val="24"/>
          <w:highlight w:val="none"/>
          <w:lang w:eastAsia="zh-CN"/>
        </w:rPr>
        <w:t>名保安人员</w:t>
      </w:r>
      <w:r>
        <w:rPr>
          <w:rFonts w:hint="eastAsia"/>
          <w:bCs/>
          <w:color w:val="auto"/>
          <w:sz w:val="24"/>
          <w:highlight w:val="none"/>
          <w:lang w:eastAsia="zh-CN"/>
        </w:rPr>
        <w:t>具有</w:t>
      </w:r>
      <w:r>
        <w:rPr>
          <w:bCs/>
          <w:color w:val="auto"/>
          <w:sz w:val="24"/>
          <w:highlight w:val="none"/>
          <w:lang w:eastAsia="zh-CN"/>
        </w:rPr>
        <w:t>消防行业技能鉴定机构颁发的</w:t>
      </w:r>
      <w:r>
        <w:rPr>
          <w:rFonts w:hint="eastAsia" w:ascii="宋体" w:hAnsi="宋体" w:eastAsia="宋体" w:cs="宋体"/>
          <w:bCs/>
          <w:color w:val="auto"/>
          <w:sz w:val="24"/>
          <w:highlight w:val="none"/>
          <w:lang w:eastAsia="zh-CN"/>
        </w:rPr>
        <w:t>消防设施操作员</w:t>
      </w:r>
      <w:r>
        <w:rPr>
          <w:bCs/>
          <w:color w:val="auto"/>
          <w:sz w:val="24"/>
          <w:highlight w:val="none"/>
          <w:lang w:eastAsia="zh-CN"/>
        </w:rPr>
        <w:t>的职业资格证书</w:t>
      </w:r>
      <w:r>
        <w:rPr>
          <w:rFonts w:hint="eastAsia"/>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（8）更换要求：保安人员合同期内（除特殊情况</w:t>
      </w:r>
      <w:r>
        <w:rPr>
          <w:rFonts w:hint="eastAsia" w:eastAsia="宋体"/>
          <w:bCs/>
          <w:color w:val="auto"/>
          <w:sz w:val="24"/>
          <w:highlight w:val="none"/>
          <w:lang w:eastAsia="zh-CN"/>
        </w:rPr>
        <w:t>：</w:t>
      </w:r>
      <w:r>
        <w:rPr>
          <w:rFonts w:hint="eastAsia"/>
          <w:bCs/>
          <w:color w:val="auto"/>
          <w:sz w:val="24"/>
          <w:highlight w:val="none"/>
          <w:lang w:eastAsia="zh-CN"/>
        </w:rPr>
        <w:t>如保安人员自然死亡、生病、生育及其他不能继续履职等外，）更换的比例不得超过20%，征得采购人同意后方可更换保安人员，更换保安人员后的5个工作日内必须向采购人提供更换的保安人员的相关证明材料。</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（9）优先聘用：保安人员招聘时可以优先招聘退役军人和贫困地区人员。</w:t>
      </w:r>
    </w:p>
    <w:p>
      <w:pPr>
        <w:spacing w:line="500" w:lineRule="exact"/>
        <w:ind w:firstLine="471" w:firstLineChars="196"/>
        <w:rPr>
          <w:b/>
          <w:color w:val="auto"/>
          <w:sz w:val="24"/>
          <w:highlight w:val="none"/>
          <w:lang w:eastAsia="zh-CN"/>
        </w:rPr>
      </w:pPr>
      <w:r>
        <w:rPr>
          <w:rFonts w:hint="eastAsia"/>
          <w:b/>
          <w:color w:val="auto"/>
          <w:sz w:val="24"/>
          <w:highlight w:val="none"/>
          <w:lang w:eastAsia="zh-CN"/>
        </w:rPr>
        <w:t>签订合同后上岗前中标人必须100%提供保安人员的身份证</w:t>
      </w:r>
      <w:r>
        <w:rPr>
          <w:rFonts w:hint="eastAsia"/>
          <w:b/>
          <w:color w:val="auto"/>
          <w:sz w:val="24"/>
          <w:highlight w:val="none"/>
        </w:rPr>
        <w:t>、《保安员证》复印件</w:t>
      </w:r>
      <w:r>
        <w:rPr>
          <w:rFonts w:hint="eastAsia" w:ascii="宋体" w:hAnsi="宋体" w:eastAsia="宋体" w:cs="宋体"/>
          <w:b/>
          <w:color w:val="auto"/>
          <w:sz w:val="24"/>
          <w:highlight w:val="none"/>
          <w:lang w:eastAsia="zh-CN"/>
        </w:rPr>
        <w:t>，</w:t>
      </w:r>
      <w:r>
        <w:rPr>
          <w:rFonts w:hint="eastAsia"/>
          <w:b/>
          <w:color w:val="auto"/>
          <w:sz w:val="24"/>
          <w:highlight w:val="none"/>
          <w:lang w:eastAsia="zh-CN"/>
        </w:rPr>
        <w:t>如提供证明材料的任何不能达到要求视为违约，采购人有权解除合同，且有权要求中标人赔偿相应的损失。</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3.保安岗位职责</w:t>
      </w:r>
    </w:p>
    <w:p>
      <w:pPr>
        <w:spacing w:line="500" w:lineRule="exact"/>
        <w:ind w:firstLine="480" w:firstLineChars="200"/>
        <w:rPr>
          <w:b/>
          <w:color w:val="auto"/>
          <w:sz w:val="24"/>
          <w:highlight w:val="none"/>
          <w:lang w:eastAsia="zh-CN"/>
        </w:rPr>
      </w:pPr>
      <w:r>
        <w:rPr>
          <w:rFonts w:hint="eastAsia"/>
          <w:b/>
          <w:color w:val="auto"/>
          <w:sz w:val="24"/>
          <w:highlight w:val="none"/>
          <w:lang w:eastAsia="zh-CN"/>
        </w:rPr>
        <w:t>本项目的保安岗位包括门岗、执勤点岗、巡逻岗等。</w:t>
      </w:r>
    </w:p>
    <w:p>
      <w:pPr>
        <w:spacing w:line="500" w:lineRule="exact"/>
        <w:ind w:firstLine="480" w:firstLineChars="200"/>
        <w:rPr>
          <w:b/>
          <w:color w:val="auto"/>
          <w:sz w:val="24"/>
          <w:highlight w:val="none"/>
          <w:lang w:eastAsia="zh-CN"/>
        </w:rPr>
      </w:pPr>
      <w:r>
        <w:rPr>
          <w:rFonts w:hint="eastAsia"/>
          <w:b/>
          <w:color w:val="auto"/>
          <w:sz w:val="24"/>
          <w:highlight w:val="none"/>
          <w:lang w:eastAsia="zh-CN"/>
        </w:rPr>
        <w:t>门岗岗位职责</w:t>
      </w:r>
    </w:p>
    <w:p>
      <w:pPr>
        <w:spacing w:line="500" w:lineRule="exact"/>
        <w:ind w:firstLine="480" w:firstLineChars="200"/>
        <w:rPr>
          <w:bCs/>
          <w:color w:val="auto"/>
          <w:sz w:val="24"/>
          <w:highlight w:val="none"/>
          <w:lang w:val="pt-BR" w:eastAsia="zh-CN"/>
        </w:rPr>
      </w:pPr>
      <w:r>
        <w:rPr>
          <w:rFonts w:hint="eastAsia"/>
          <w:bCs/>
          <w:color w:val="auto"/>
          <w:sz w:val="24"/>
          <w:highlight w:val="none"/>
          <w:lang w:eastAsia="zh-CN"/>
        </w:rPr>
        <w:t>（1</w:t>
      </w:r>
      <w:r>
        <w:rPr>
          <w:rFonts w:hint="eastAsia"/>
          <w:bCs/>
          <w:color w:val="auto"/>
          <w:sz w:val="24"/>
          <w:highlight w:val="none"/>
          <w:lang w:val="pt-BR" w:eastAsia="zh-CN"/>
        </w:rPr>
        <w:t>）检查来访人员和车辆证件的真实性和有效性，对证件不符合的人员和车辆劝阻其入内。记录进出人员和车辆的信息，应包括来访人员的姓名、人数、证件类型及编号、事由、进、出时间，车辆型号、牌照号。</w:t>
      </w:r>
    </w:p>
    <w:p>
      <w:pPr>
        <w:spacing w:line="500" w:lineRule="exact"/>
        <w:ind w:firstLine="480" w:firstLineChars="200"/>
        <w:rPr>
          <w:bCs/>
          <w:color w:val="auto"/>
          <w:sz w:val="24"/>
          <w:highlight w:val="none"/>
          <w:lang w:val="pt-BR" w:eastAsia="zh-CN"/>
        </w:rPr>
      </w:pPr>
      <w:r>
        <w:rPr>
          <w:rFonts w:hint="eastAsia"/>
          <w:bCs/>
          <w:color w:val="auto"/>
          <w:sz w:val="24"/>
          <w:highlight w:val="none"/>
          <w:lang w:val="pt-BR" w:eastAsia="zh-CN"/>
        </w:rPr>
        <w:t>（</w:t>
      </w:r>
      <w:r>
        <w:rPr>
          <w:rFonts w:hint="eastAsia"/>
          <w:bCs/>
          <w:color w:val="auto"/>
          <w:sz w:val="24"/>
          <w:highlight w:val="none"/>
          <w:lang w:eastAsia="zh-CN"/>
        </w:rPr>
        <w:t>2</w:t>
      </w:r>
      <w:r>
        <w:rPr>
          <w:rFonts w:hint="eastAsia"/>
          <w:bCs/>
          <w:color w:val="auto"/>
          <w:sz w:val="24"/>
          <w:highlight w:val="none"/>
          <w:lang w:val="pt-BR" w:eastAsia="zh-CN"/>
        </w:rPr>
        <w:t>）如发生以下紧急情况的处置，应予相应处置对来访人员证件和本人不一致的，拒不交验证件、证明的人员，应禁止其入内，发生纠纷时，及时向学校保卫部门报告，请有关人员前来处理;对无手续和拒绝检查的应移交学校保卫部门处理。保安员不能对可疑人员进行搜身，应报告学校保卫部门或交公安机关处理;对查有违禁物品人员和车辆，注意观察其神态表情，防止其弃物逃跑、突然驾车逃跑或持物行凶，同时注意自身安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（3）未经学校许可，严禁外来人员进入校内进行收购货物、推销产品等活动。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时刻提高警惕，对出入校门的可疑人员严格盘问；对离校物品按离校管理规定处理。车辆携物品离校时属来历不明的，必须查清物主的身份、单位、住址、所带物品及数量，经核对确认是本校职工或是学校物品（需单位证明），方可放行，否则予以扣留。在盘查时要求车辆靠右边停放，确保交通畅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（5）维护大门的交通秩序和周围的校园秩序。</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（6）拦截向外逃窜的违法犯罪分子。</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（7）爱护值班室及周围公物，管理好值班电话，一般情况下不允许外人使用值班电话，不允许用值班电话聊天、联系私事等。</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（8）搞好值班室及周围卫生，值班室不允许堆放杂物。</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（9）值班室不允许与值班无关的人员进入。</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（10）完成采购人交办的其它相关工作。</w:t>
      </w:r>
    </w:p>
    <w:p>
      <w:pPr>
        <w:spacing w:line="500" w:lineRule="exact"/>
        <w:ind w:firstLine="471" w:firstLineChars="196"/>
        <w:rPr>
          <w:b/>
          <w:color w:val="auto"/>
          <w:sz w:val="24"/>
          <w:highlight w:val="none"/>
          <w:lang w:eastAsia="zh-CN"/>
        </w:rPr>
      </w:pPr>
      <w:r>
        <w:rPr>
          <w:rFonts w:hint="eastAsia"/>
          <w:b/>
          <w:color w:val="auto"/>
          <w:sz w:val="24"/>
          <w:highlight w:val="none"/>
          <w:lang w:eastAsia="zh-CN"/>
        </w:rPr>
        <w:t>执勤点岗位职责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（1）熟悉教学楼内各楼层的主要设施及消防设备，发现如有漏水、电、门窗异常等问题，要及时报采购人进行处理。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（2）值班期间，必须按规定着装，坚守岗位，坚持原则，认真负责，文明执勤，不得迟到、早退，不准睡岗、擅自离岗，不做与工作无关的其它事情。</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（3）落实防火及消防设施检查制度，发现安全隐患及时报告，并做出妥善处理。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（4）加强执勤点的检查巡逻，对外来人员要主动上前查问，并做好登记，确认无误后方可 放行，禁止闲杂人员进入教学场所。</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（5）负责学校周围的交通秩序整治，要求车辆停放有序，严禁消防通道停车。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（6）严格要求规范自己的行为，严格执行学校的各项规章制度，不得擅自使用教学楼内任 何教学设备。</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（7）严密监控执勤区域的情况，发现可疑情况，及时向学校报告。</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（8）完成采购人交办的其它相关工作。</w:t>
      </w:r>
    </w:p>
    <w:p>
      <w:pPr>
        <w:spacing w:line="500" w:lineRule="exact"/>
        <w:ind w:firstLine="471" w:firstLineChars="196"/>
        <w:rPr>
          <w:b/>
          <w:color w:val="auto"/>
          <w:sz w:val="24"/>
          <w:highlight w:val="none"/>
          <w:lang w:eastAsia="zh-CN"/>
        </w:rPr>
      </w:pPr>
      <w:r>
        <w:rPr>
          <w:rFonts w:hint="eastAsia"/>
          <w:b/>
          <w:color w:val="auto"/>
          <w:sz w:val="24"/>
          <w:highlight w:val="none"/>
          <w:lang w:eastAsia="zh-CN"/>
        </w:rPr>
        <w:t>巡逻岗位职责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rFonts w:hint="eastAsia"/>
          <w:bCs/>
          <w:color w:val="auto"/>
          <w:sz w:val="24"/>
          <w:highlight w:val="none"/>
          <w:lang w:val="pt-BR" w:eastAsia="zh-CN"/>
        </w:rPr>
        <w:t>制定日常巡逻制度，根据巡逻区域的地形、地貌和要害部位、重点目标等情况，确定巡视检査、控制的路线、巡逻方式、巡逻重点、巡逻频次等</w:t>
      </w:r>
      <w:r>
        <w:rPr>
          <w:rFonts w:hint="eastAsia"/>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（2）熟悉责任区域内各方面情况，对异常情况能及时发现、判断和相应处理，并及时上报学校保卫部门；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（3）加强对校园内重要区域及安全监控薄弱部位进行重点巡逻，发现门、窗未关及其他异常情况及时上报值班干部，消除安全隐患；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（4）加强对消防安全的巡逻检查，制止违反消防安全管理规定的行为，若有异常立即采取措施并上报学校保卫部门；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（5）对校园内可疑对象（如人员、车辆、物品等），必须仔细检查，做好相关记录，必要时报学校保卫部门；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（6）加强对责任区内交通秩序的管理，制止超速、乱停等违章行为，严禁外来车辆借道通行；</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（7）巡逻期间做好巡逻检查记录，遇紧急突发事件立即上报学校保卫部门并按规定采取措施；</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（8）发现违法犯罪行为，立即予以制止，控制住犯罪嫌疑人，配合公安机关妥善处理；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（9）严禁在学校及周边张贴各种海报、宣传单等粘贴物，如有发现，必须立即制止和摘除，并对行为人进行警告，必要时交由相关部门处理；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（10）完成采购人交办的其它相关工作。</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4.保安队伍建设和管理要求</w:t>
      </w:r>
    </w:p>
    <w:p>
      <w:pPr>
        <w:spacing w:line="500" w:lineRule="exact"/>
        <w:ind w:firstLine="480" w:firstLineChars="200"/>
        <w:rPr>
          <w:bCs/>
          <w:color w:val="auto"/>
          <w:sz w:val="24"/>
          <w:highlight w:val="none"/>
          <w:lang w:val="pt-BR"/>
        </w:rPr>
      </w:pPr>
      <w:bookmarkStart w:id="12" w:name="_Toc11967"/>
      <w:r>
        <w:rPr>
          <w:rFonts w:hint="eastAsia"/>
          <w:bCs/>
          <w:color w:val="auto"/>
          <w:sz w:val="24"/>
          <w:highlight w:val="none"/>
          <w:lang w:eastAsia="zh-CN"/>
        </w:rPr>
        <w:t>1）</w:t>
      </w:r>
      <w:r>
        <w:rPr>
          <w:bCs/>
          <w:color w:val="auto"/>
          <w:sz w:val="24"/>
          <w:highlight w:val="none"/>
          <w:lang w:eastAsia="zh-CN"/>
        </w:rPr>
        <w:t>中标人负责提供进驻保安人员值勤所需的警械装备（</w:t>
      </w:r>
      <w:r>
        <w:rPr>
          <w:rFonts w:hint="eastAsia"/>
          <w:bCs/>
          <w:color w:val="auto"/>
          <w:sz w:val="24"/>
          <w:highlight w:val="none"/>
          <w:lang w:eastAsia="zh-CN"/>
        </w:rPr>
        <w:t>防暴头盔、橡胶警棍、钢叉、盾牌、防刺服、防爆喷雾、防割手套、手电筒（含电池）等八件套及保安服、爆闪式肩灯、对讲机或其他通讯设备。</w:t>
      </w:r>
      <w:r>
        <w:rPr>
          <w:rFonts w:hint="eastAsia"/>
          <w:bCs/>
          <w:color w:val="auto"/>
          <w:sz w:val="24"/>
          <w:highlight w:val="none"/>
        </w:rPr>
        <w:t>原则</w:t>
      </w:r>
      <w:r>
        <w:rPr>
          <w:rFonts w:hint="eastAsia"/>
          <w:bCs/>
          <w:color w:val="auto"/>
          <w:sz w:val="24"/>
          <w:highlight w:val="none"/>
          <w:lang w:eastAsia="zh-CN"/>
        </w:rPr>
        <w:t>上</w:t>
      </w:r>
      <w:r>
        <w:rPr>
          <w:rFonts w:hint="eastAsia"/>
          <w:bCs/>
          <w:color w:val="auto"/>
          <w:sz w:val="24"/>
          <w:highlight w:val="none"/>
        </w:rPr>
        <w:t>每个学校以上装备必须按岗位配齐）。</w:t>
      </w:r>
    </w:p>
    <w:p>
      <w:pPr>
        <w:spacing w:line="500" w:lineRule="exact"/>
        <w:ind w:firstLine="480" w:firstLineChars="200"/>
        <w:rPr>
          <w:bCs/>
          <w:color w:val="auto"/>
          <w:sz w:val="24"/>
          <w:highlight w:val="none"/>
        </w:rPr>
      </w:pPr>
      <w:r>
        <w:rPr>
          <w:rFonts w:hint="eastAsia"/>
          <w:bCs/>
          <w:color w:val="auto"/>
          <w:sz w:val="24"/>
          <w:highlight w:val="none"/>
          <w:lang w:eastAsia="zh-CN"/>
        </w:rPr>
        <w:t>（2）保安人员（包括管理人员）上岗必须统一着装（着保安服，</w:t>
      </w:r>
      <w:r>
        <w:rPr>
          <w:rFonts w:hint="eastAsia" w:ascii="宋体" w:hAnsi="宋体"/>
          <w:color w:val="auto"/>
          <w:sz w:val="24"/>
          <w:highlight w:val="none"/>
          <w:lang w:val="pt-BR" w:eastAsia="zh-CN"/>
        </w:rPr>
        <w:t>上学前、放学后1小时各岗位人员均应穿戴防暴头盔、制服、橡胶警棍，佩带</w:t>
      </w:r>
      <w:r>
        <w:rPr>
          <w:rFonts w:hint="eastAsia"/>
          <w:bCs/>
          <w:color w:val="auto"/>
          <w:sz w:val="24"/>
          <w:highlight w:val="none"/>
          <w:lang w:eastAsia="zh-CN"/>
        </w:rPr>
        <w:t>爆闪式肩灯、</w:t>
      </w:r>
      <w:r>
        <w:rPr>
          <w:rFonts w:hint="eastAsia" w:ascii="宋体" w:hAnsi="宋体"/>
          <w:color w:val="auto"/>
          <w:sz w:val="24"/>
          <w:highlight w:val="none"/>
          <w:lang w:val="pt-BR" w:eastAsia="zh-CN"/>
        </w:rPr>
        <w:t>对讲机。</w:t>
      </w:r>
      <w:r>
        <w:rPr>
          <w:rFonts w:hint="eastAsia"/>
          <w:bCs/>
          <w:color w:val="auto"/>
          <w:sz w:val="24"/>
          <w:highlight w:val="none"/>
        </w:rPr>
        <w:t>），坚守岗位，履行职责，文明执勤；</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从学校安全实际出发，须经常开展在岗人员业务培训和紧急预案演练。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w:t>
      </w:r>
      <w:r>
        <w:rPr>
          <w:bCs/>
          <w:color w:val="auto"/>
          <w:sz w:val="24"/>
          <w:highlight w:val="none"/>
          <w:lang w:eastAsia="zh-CN"/>
        </w:rPr>
        <w:t>应建立健全内部管理制度、操作规程、应急处置方案预案，设立保安管理点主管，全面负责日常保安队伍的规范化管理。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w:t>
      </w:r>
      <w:r>
        <w:rPr>
          <w:bCs/>
          <w:color w:val="auto"/>
          <w:sz w:val="24"/>
          <w:highlight w:val="none"/>
          <w:lang w:eastAsia="zh-CN"/>
        </w:rPr>
        <w:t>中标人必须采取切实有效措施保持保安队伍的稳定和工作的连续性，一是严格控制非违纪人员轮换岗比例，合同期限内轮换岗保安人数不得超过合同编制的20%；二是保安队伍主要管理人员更换，应提前一个月以书面形式通知采购人，其他队员更换要提前三天告知</w:t>
      </w:r>
      <w:r>
        <w:rPr>
          <w:rFonts w:hint="eastAsia"/>
          <w:bCs/>
          <w:color w:val="auto"/>
          <w:sz w:val="24"/>
          <w:highlight w:val="none"/>
          <w:lang w:eastAsia="zh-CN"/>
        </w:rPr>
        <w:t>采购人</w:t>
      </w:r>
      <w:r>
        <w:rPr>
          <w:bCs/>
          <w:color w:val="auto"/>
          <w:sz w:val="24"/>
          <w:highlight w:val="none"/>
          <w:lang w:eastAsia="zh-CN"/>
        </w:rPr>
        <w:t>，确保服务质量不因人员变动而受影响。</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w:t>
      </w:r>
      <w:r>
        <w:rPr>
          <w:bCs/>
          <w:color w:val="auto"/>
          <w:sz w:val="24"/>
          <w:highlight w:val="none"/>
          <w:lang w:eastAsia="zh-CN"/>
        </w:rPr>
        <w:t>中标人</w:t>
      </w:r>
      <w:r>
        <w:rPr>
          <w:rFonts w:hint="eastAsia"/>
          <w:bCs/>
          <w:color w:val="auto"/>
          <w:sz w:val="24"/>
          <w:highlight w:val="none"/>
          <w:lang w:eastAsia="zh-CN"/>
        </w:rPr>
        <w:t>按照要求</w:t>
      </w:r>
      <w:r>
        <w:rPr>
          <w:bCs/>
          <w:color w:val="auto"/>
          <w:sz w:val="24"/>
          <w:highlight w:val="none"/>
          <w:lang w:eastAsia="zh-CN"/>
        </w:rPr>
        <w:t>负责为每位管理人员、保安人员</w:t>
      </w:r>
      <w:r>
        <w:rPr>
          <w:rFonts w:hint="eastAsia"/>
          <w:bCs/>
          <w:color w:val="auto"/>
          <w:sz w:val="24"/>
          <w:highlight w:val="none"/>
          <w:lang w:eastAsia="zh-CN"/>
        </w:rPr>
        <w:t>足额</w:t>
      </w:r>
      <w:r>
        <w:rPr>
          <w:bCs/>
          <w:color w:val="auto"/>
          <w:sz w:val="24"/>
          <w:highlight w:val="none"/>
          <w:lang w:eastAsia="zh-CN"/>
        </w:rPr>
        <w:t>缴纳</w:t>
      </w:r>
      <w:r>
        <w:rPr>
          <w:rFonts w:hint="eastAsia"/>
          <w:bCs/>
          <w:color w:val="auto"/>
          <w:sz w:val="24"/>
          <w:highlight w:val="none"/>
          <w:lang w:eastAsia="zh-CN"/>
        </w:rPr>
        <w:t>养老保险、基本医疗保险、失业保险、工伤保险</w:t>
      </w:r>
      <w:r>
        <w:rPr>
          <w:bCs/>
          <w:color w:val="auto"/>
          <w:sz w:val="24"/>
          <w:highlight w:val="none"/>
          <w:lang w:eastAsia="zh-CN"/>
        </w:rPr>
        <w:t>。上述人员的涉及用工方面的劳务纠纷、福利纠纷和劳动事故均由中标人负责。</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w:t>
      </w:r>
      <w:r>
        <w:rPr>
          <w:bCs/>
          <w:color w:val="auto"/>
          <w:sz w:val="24"/>
          <w:highlight w:val="none"/>
          <w:lang w:eastAsia="zh-CN"/>
        </w:rPr>
        <w:t>保安应聘、录用、离职等要求管理档案规范，手续齐全，相应资料必须报采购人备案。</w:t>
      </w:r>
    </w:p>
    <w:p>
      <w:pPr>
        <w:spacing w:line="500" w:lineRule="exact"/>
        <w:ind w:firstLine="471" w:firstLineChars="196"/>
        <w:outlineLvl w:val="2"/>
        <w:rPr>
          <w:b/>
          <w:color w:val="auto"/>
          <w:sz w:val="24"/>
          <w:highlight w:val="none"/>
          <w:lang w:eastAsia="zh-CN"/>
        </w:rPr>
      </w:pPr>
      <w:bookmarkStart w:id="13" w:name="_Toc11097"/>
      <w:r>
        <w:rPr>
          <w:rFonts w:hint="eastAsia"/>
          <w:b/>
          <w:color w:val="auto"/>
          <w:sz w:val="24"/>
          <w:highlight w:val="none"/>
          <w:lang w:eastAsia="zh-CN"/>
        </w:rPr>
        <w:t>（五）技术防范服务要求</w:t>
      </w:r>
      <w:bookmarkEnd w:id="12"/>
      <w:bookmarkEnd w:id="13"/>
    </w:p>
    <w:p>
      <w:pPr>
        <w:numPr>
          <w:ilvl w:val="0"/>
          <w:numId w:val="1"/>
        </w:numPr>
        <w:spacing w:line="500" w:lineRule="exact"/>
        <w:ind w:firstLine="480" w:firstLineChars="200"/>
        <w:rPr>
          <w:bCs/>
          <w:color w:val="auto"/>
          <w:sz w:val="24"/>
          <w:highlight w:val="none"/>
          <w:lang w:val="pt-BR" w:eastAsia="zh-CN"/>
        </w:rPr>
      </w:pPr>
      <w:r>
        <w:rPr>
          <w:rFonts w:hint="eastAsia"/>
          <w:bCs/>
          <w:color w:val="auto"/>
          <w:sz w:val="24"/>
          <w:highlight w:val="none"/>
          <w:lang w:eastAsia="zh-CN"/>
        </w:rPr>
        <w:t>中标安保区域视频监控设备</w:t>
      </w:r>
      <w:r>
        <w:rPr>
          <w:rFonts w:hint="eastAsia"/>
          <w:bCs/>
          <w:color w:val="auto"/>
          <w:sz w:val="24"/>
          <w:highlight w:val="none"/>
          <w:lang w:val="pt-BR" w:eastAsia="zh-CN"/>
        </w:rPr>
        <w:t>定期进行巡检维护，保证技防设备运转正常；</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特殊时段录像设备的管理：</w:t>
      </w:r>
      <w:r>
        <w:rPr>
          <w:rFonts w:hint="eastAsia"/>
          <w:bCs/>
          <w:color w:val="auto"/>
          <w:sz w:val="24"/>
          <w:highlight w:val="none"/>
          <w:lang w:val="pt-BR" w:eastAsia="zh-CN"/>
        </w:rPr>
        <w:t>上学、放学时，应将摄像机锁定在学校门口。发现可疑情况后，应锁定目标进行跟踪录像，尽量将镜头拉近，看清嫌疑人的人数、衣着、体态、携带物品数量、种类、特征及人员离去方式、方向等。</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录像资料的管理要求：</w:t>
      </w:r>
      <w:r>
        <w:rPr>
          <w:rFonts w:hint="eastAsia"/>
          <w:bCs/>
          <w:color w:val="auto"/>
          <w:sz w:val="24"/>
          <w:highlight w:val="none"/>
          <w:lang w:val="pt-BR" w:eastAsia="zh-CN"/>
        </w:rPr>
        <w:t>不得删改或者扩散保安服务中形成的监控影像资料、报警记录，做好图像信息的存储登记工作进行分类、归档，积累信息。</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报警设备维护；对已经安装的报警设备进行维护，保证报警设备的正常运转。</w:t>
      </w:r>
    </w:p>
    <w:p>
      <w:pPr>
        <w:numPr>
          <w:ilvl w:val="0"/>
          <w:numId w:val="1"/>
        </w:numPr>
        <w:spacing w:line="500" w:lineRule="exact"/>
        <w:ind w:firstLine="480" w:firstLineChars="200"/>
        <w:rPr>
          <w:bCs/>
          <w:color w:val="auto"/>
          <w:sz w:val="24"/>
          <w:highlight w:val="none"/>
          <w:lang w:eastAsia="zh-CN"/>
        </w:rPr>
      </w:pPr>
      <w:r>
        <w:rPr>
          <w:rFonts w:hint="eastAsia"/>
          <w:bCs/>
          <w:color w:val="auto"/>
          <w:sz w:val="24"/>
          <w:highlight w:val="none"/>
          <w:lang w:eastAsia="zh-CN"/>
        </w:rPr>
        <w:t>视频监控设备及报警设备的故障时间不超过24小时，如果24小时不能修复，中标供应商必须应在故障发生的48小时内采用替代设备，保障技术防范系统的正常运行。</w:t>
      </w:r>
    </w:p>
    <w:p>
      <w:pPr>
        <w:spacing w:line="500" w:lineRule="exact"/>
        <w:ind w:firstLine="471" w:firstLineChars="196"/>
        <w:outlineLvl w:val="2"/>
        <w:rPr>
          <w:b/>
          <w:color w:val="auto"/>
          <w:sz w:val="24"/>
          <w:highlight w:val="none"/>
          <w:lang w:eastAsia="zh-CN"/>
        </w:rPr>
      </w:pPr>
      <w:bookmarkStart w:id="14" w:name="_Toc3264"/>
      <w:bookmarkStart w:id="15" w:name="_Toc32503"/>
      <w:r>
        <w:rPr>
          <w:rFonts w:hint="eastAsia"/>
          <w:b/>
          <w:color w:val="auto"/>
          <w:sz w:val="24"/>
          <w:highlight w:val="none"/>
          <w:lang w:eastAsia="zh-CN"/>
        </w:rPr>
        <w:t>（六）项目实施要求</w:t>
      </w:r>
      <w:bookmarkEnd w:id="14"/>
      <w:bookmarkEnd w:id="15"/>
    </w:p>
    <w:p>
      <w:pPr>
        <w:spacing w:line="500" w:lineRule="exact"/>
        <w:ind w:firstLine="480" w:firstLineChars="200"/>
        <w:rPr>
          <w:bCs/>
          <w:color w:val="auto"/>
          <w:sz w:val="24"/>
          <w:highlight w:val="none"/>
          <w:lang w:eastAsia="zh-CN"/>
        </w:rPr>
      </w:pPr>
      <w:r>
        <w:rPr>
          <w:rFonts w:hint="eastAsia"/>
          <w:bCs/>
          <w:color w:val="auto"/>
          <w:sz w:val="24"/>
          <w:highlight w:val="none"/>
          <w:lang w:eastAsia="zh-CN"/>
        </w:rPr>
        <w:t>项目实施要求包括项目实施管理目标、项目实施服务要求、规章制度建设要求、应急突发事件处理要求、考核要求、风险管控要求等。</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1.项目实施管理目标</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依托行业标准，根据学校管理规定与服务要求，认真研究</w:t>
      </w:r>
      <w:r>
        <w:rPr>
          <w:rFonts w:hint="eastAsia"/>
          <w:bCs/>
          <w:color w:val="auto"/>
          <w:sz w:val="24"/>
          <w:highlight w:val="none"/>
          <w:lang w:eastAsia="zh-CN"/>
        </w:rPr>
        <w:t>学</w:t>
      </w:r>
      <w:r>
        <w:rPr>
          <w:bCs/>
          <w:color w:val="auto"/>
          <w:sz w:val="24"/>
          <w:highlight w:val="none"/>
          <w:lang w:eastAsia="zh-CN"/>
        </w:rPr>
        <w:t>校保安服务的教育属性，熟悉校园管理的特点，根据校园内的不同服务对象，制定切实可行的校园保安服务整体方案和应急预案，突发事件反应迅速，预案处置有力。</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w:t>
      </w:r>
      <w:r>
        <w:rPr>
          <w:bCs/>
          <w:color w:val="auto"/>
          <w:sz w:val="24"/>
          <w:highlight w:val="none"/>
          <w:lang w:eastAsia="zh-CN"/>
        </w:rPr>
        <w:t>依法办事，文明值勤，严格管理，保障学校财产和师生人身不受侵害，维护正常的教学、科研、生活秩序。</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全年无责任事故和责任案件发生，师生有安全感，全年考核合格。</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2.项目服务基本要求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（1）树立“服务第一，业主至上”的思想，切实维护学校与师生的人身和财产安全；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（2）管理坚持原则、慎密严谨；服务以人为本、主动热情；处理问题高度警惕、有理有节；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（3）上岗人员仪表整洁，业务操作规范，礼貌待人，保持岗位卫生整洁；</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（4）依法办事，文明执勤，不与师生发生争吵，杜绝保安与师生发生冲突，禁止保安出手伤及师生人生安全；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（5）师生有求必应，有险情必出。</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（6）依法办事，文明值勤，严格管理，保障学校财产和师生人身不受侵害，维护正常的教育教学、生活秩序。</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（7）投标单位应认真理解学校保安服务的教育属性，熟悉校园管理的特点，根据校园内的不同服务对象，提供切实可行的校园保安服务，完善专项管理制度。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w:t>
      </w:r>
      <w:r>
        <w:rPr>
          <w:bCs/>
          <w:color w:val="auto"/>
          <w:sz w:val="24"/>
          <w:highlight w:val="none"/>
          <w:lang w:eastAsia="zh-CN"/>
        </w:rPr>
        <w:t>做好详细的执勤记录，原始台帐保存完好，以备核查。</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3.建立规章制度要求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学校保安服务必须按照规章制度进行，主要的规章制度包括保安人员仪容仪表、作息、考勤、奖惩制度，人员和车辆出入制度，校园安全管理制度，巡逻制度等管理制度。中标供应商必须实施安保时制订和完善上述制度，并报采购人备案后执行。</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（2）保安人员仪容仪表、作息、考勤、奖惩制度至少包括着装、仪表、站姿、作息事件、考勤方式、奖惩措施等作出规定；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（3）人员和车辆出入制度至少包括课前、课中、课后和节假日人员和车辆进出登记、管理、会客、停放等作出规定。</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（4）校园安全管理制度至少包括交通安全、防火、防盗等管理制度或措施。</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（5）巡逻制度至少包括巡逻的频次、路线、记录。</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4.突发事件处理应对要求</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要求中标供应商必须编制突发事件应对预案，预案至少包括学校可能出现的突发事件的风险分析、预防措施、应对措施等。</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（1）当发现校内有争吵、大声喧哗的人员时，应立即上前委婉劝说及制止。</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（2）当发现有人恶意敲击或损坏校内的物品时，应立即上前阻止。</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（3）当校内出现打架、斗殴事件时，应积极果断进行劝阻，防止事态进一步扩大。同时,立即报告管理人员,视情况报“110”处理。</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校内如果发生紧急事故时，地震、火灾、水灾等，有秩序地进行疏散，防止事态扩大，立即报告管理人员和拨打“110”报警；有人受伤时，应立即拨打“120”急救电话救援。火灾应同时拨打“119”火警电话报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（5）当在校内发现偷窃、扒窃作案嫌疑人时，应立即予以制止，能现场抓获犯罪嫌疑人的应予控制，并移交公安机关处理，不能抓获控制的，应记住嫌疑人的主要特征和逃跑方向，立即报警。</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当校内发生抢劫作案时，应立即使用防护器械予以制止，并抓获控制抢劫嫌疑人；如抢劫作案嫌疑人为多人团伙作案或持有凶器作案，应在保证自身安全的前提下，记住犯罪嫌疑人的主要体貌特征和所持凶器、逃跑方向，迅速报警; 有人受伤时，应立即拔打“120”急救。</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（7）应当配置必要车辆，保证突发事件发生时能快速投送保安管理人员及保安人员到达突发事件现场。</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（8）各类突发事件及处置情况及时向管理人员汇报。</w:t>
      </w:r>
    </w:p>
    <w:p>
      <w:pPr>
        <w:spacing w:line="500" w:lineRule="exact"/>
        <w:ind w:firstLine="471" w:firstLineChars="196"/>
        <w:outlineLvl w:val="2"/>
        <w:rPr>
          <w:b/>
          <w:color w:val="auto"/>
          <w:sz w:val="24"/>
          <w:highlight w:val="none"/>
          <w:lang w:eastAsia="zh-CN"/>
        </w:rPr>
      </w:pPr>
      <w:bookmarkStart w:id="16" w:name="_Toc11816"/>
      <w:bookmarkStart w:id="17" w:name="_Toc32419"/>
      <w:r>
        <w:rPr>
          <w:rFonts w:hint="eastAsia"/>
          <w:b/>
          <w:color w:val="auto"/>
          <w:sz w:val="24"/>
          <w:highlight w:val="none"/>
          <w:lang w:eastAsia="zh-CN"/>
        </w:rPr>
        <w:t>（七）权利及义务</w:t>
      </w:r>
      <w:bookmarkEnd w:id="16"/>
      <w:bookmarkEnd w:id="17"/>
    </w:p>
    <w:p>
      <w:pPr>
        <w:spacing w:line="500" w:lineRule="exact"/>
        <w:ind w:firstLine="480" w:firstLineChars="200"/>
        <w:rPr>
          <w:bCs/>
          <w:color w:val="auto"/>
          <w:sz w:val="24"/>
          <w:highlight w:val="none"/>
          <w:lang w:eastAsia="zh-CN"/>
        </w:rPr>
      </w:pPr>
      <w:r>
        <w:rPr>
          <w:rFonts w:hint="eastAsia"/>
          <w:bCs/>
          <w:color w:val="auto"/>
          <w:sz w:val="24"/>
          <w:highlight w:val="none"/>
          <w:lang w:eastAsia="zh-CN"/>
        </w:rPr>
        <w:t>本部分规定采购人和中标人的权利及义务。</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1.采购人的权利及义务</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中标人每月必须向采购人提供排班表，采购人有权对中标人的保安服务工作进行监督管理、检查考核</w:t>
      </w:r>
      <w:r>
        <w:rPr>
          <w:rFonts w:hint="eastAsia"/>
          <w:bCs/>
          <w:color w:val="auto"/>
          <w:sz w:val="24"/>
          <w:highlight w:val="none"/>
          <w:lang w:eastAsia="zh-CN"/>
        </w:rPr>
        <w:t>且提出整改要求。对采购人的整改要求未及时（按照提出整改要求时的期限）进行整改的</w:t>
      </w:r>
      <w:r>
        <w:rPr>
          <w:bCs/>
          <w:color w:val="auto"/>
          <w:sz w:val="24"/>
          <w:highlight w:val="none"/>
          <w:lang w:eastAsia="zh-CN"/>
        </w:rPr>
        <w:t>，</w:t>
      </w:r>
      <w:r>
        <w:rPr>
          <w:rFonts w:hint="eastAsia"/>
          <w:bCs/>
          <w:color w:val="auto"/>
          <w:sz w:val="24"/>
          <w:highlight w:val="none"/>
          <w:lang w:eastAsia="zh-CN"/>
        </w:rPr>
        <w:t>每一次</w:t>
      </w:r>
      <w:r>
        <w:rPr>
          <w:bCs/>
          <w:color w:val="auto"/>
          <w:sz w:val="24"/>
          <w:highlight w:val="none"/>
          <w:lang w:eastAsia="zh-CN"/>
        </w:rPr>
        <w:t>采购人</w:t>
      </w:r>
      <w:r>
        <w:rPr>
          <w:rFonts w:hint="eastAsia"/>
          <w:bCs/>
          <w:color w:val="auto"/>
          <w:sz w:val="24"/>
          <w:highlight w:val="none"/>
          <w:lang w:eastAsia="zh-CN"/>
        </w:rPr>
        <w:t>有权扣除年度合同额的万分之二</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w:t>
      </w:r>
      <w:r>
        <w:rPr>
          <w:bCs/>
          <w:color w:val="auto"/>
          <w:sz w:val="24"/>
          <w:highlight w:val="none"/>
          <w:lang w:eastAsia="zh-CN"/>
        </w:rPr>
        <w:t>采购人因工作需要或紧急情况需要调动中标人人员时，有直接管理、设置和调动中标人岗位人员的权力。调动中标人人员时，要求10分钟内集合本校内所有在岗人员，60分钟内集合合同规定的</w:t>
      </w:r>
      <w:r>
        <w:rPr>
          <w:rFonts w:hint="eastAsia"/>
          <w:bCs/>
          <w:color w:val="auto"/>
          <w:sz w:val="24"/>
          <w:highlight w:val="none"/>
          <w:lang w:eastAsia="zh-CN"/>
        </w:rPr>
        <w:t>本校</w:t>
      </w:r>
      <w:r>
        <w:rPr>
          <w:bCs/>
          <w:color w:val="auto"/>
          <w:sz w:val="24"/>
          <w:highlight w:val="none"/>
          <w:lang w:eastAsia="zh-CN"/>
        </w:rPr>
        <w:t>所有人员。紧急集结时，每少1人，采购人</w:t>
      </w:r>
      <w:r>
        <w:rPr>
          <w:rFonts w:hint="eastAsia"/>
          <w:bCs/>
          <w:color w:val="auto"/>
          <w:sz w:val="24"/>
          <w:highlight w:val="none"/>
          <w:lang w:eastAsia="zh-CN"/>
        </w:rPr>
        <w:t>有权扣除年度合同额的万分之一</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采购人有权要求中标人及时更换不服从管理、违纪或其他原因不适合继续在采购人工作的保安人员。</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w:t>
      </w:r>
      <w:r>
        <w:rPr>
          <w:bCs/>
          <w:color w:val="auto"/>
          <w:sz w:val="24"/>
          <w:highlight w:val="none"/>
          <w:lang w:eastAsia="zh-CN"/>
        </w:rPr>
        <w:t>因采购人举办重大活动需要临时增加安保力量的，有权要求中标人临时增派适量安保人员，不另行支付服务费用。</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w:t>
      </w:r>
      <w:r>
        <w:rPr>
          <w:bCs/>
          <w:color w:val="auto"/>
          <w:sz w:val="24"/>
          <w:highlight w:val="none"/>
          <w:lang w:eastAsia="zh-CN"/>
        </w:rPr>
        <w:t>采购人按时向中标人支付保安服务费用（遇节假日顺延），如无故拖欠，采购人需要</w:t>
      </w:r>
      <w:r>
        <w:rPr>
          <w:rFonts w:hint="eastAsia"/>
          <w:bCs/>
          <w:color w:val="auto"/>
          <w:sz w:val="24"/>
          <w:highlight w:val="none"/>
          <w:lang w:eastAsia="zh-CN"/>
        </w:rPr>
        <w:t>每天</w:t>
      </w:r>
      <w:r>
        <w:rPr>
          <w:bCs/>
          <w:color w:val="auto"/>
          <w:sz w:val="24"/>
          <w:highlight w:val="none"/>
          <w:lang w:eastAsia="zh-CN"/>
        </w:rPr>
        <w:t>向中标人</w:t>
      </w:r>
      <w:r>
        <w:rPr>
          <w:rFonts w:hint="eastAsia"/>
          <w:bCs/>
          <w:color w:val="auto"/>
          <w:sz w:val="24"/>
          <w:highlight w:val="none"/>
          <w:lang w:eastAsia="zh-CN"/>
        </w:rPr>
        <w:t>偿</w:t>
      </w:r>
      <w:r>
        <w:rPr>
          <w:bCs/>
          <w:color w:val="auto"/>
          <w:sz w:val="24"/>
          <w:highlight w:val="none"/>
          <w:lang w:eastAsia="zh-CN"/>
        </w:rPr>
        <w:t>付</w:t>
      </w:r>
      <w:r>
        <w:rPr>
          <w:rFonts w:hint="eastAsia"/>
          <w:bCs/>
          <w:color w:val="auto"/>
          <w:sz w:val="24"/>
          <w:highlight w:val="none"/>
          <w:lang w:eastAsia="zh-CN"/>
        </w:rPr>
        <w:t>延期款额万</w:t>
      </w:r>
      <w:r>
        <w:rPr>
          <w:bCs/>
          <w:color w:val="auto"/>
          <w:sz w:val="24"/>
          <w:highlight w:val="none"/>
          <w:lang w:eastAsia="zh-CN"/>
        </w:rPr>
        <w:t>分之</w:t>
      </w:r>
      <w:r>
        <w:rPr>
          <w:rFonts w:hint="eastAsia"/>
          <w:bCs/>
          <w:color w:val="auto"/>
          <w:sz w:val="24"/>
          <w:highlight w:val="none"/>
          <w:lang w:eastAsia="zh-CN"/>
        </w:rPr>
        <w:t>一</w:t>
      </w:r>
      <w:r>
        <w:rPr>
          <w:bCs/>
          <w:color w:val="auto"/>
          <w:sz w:val="24"/>
          <w:highlight w:val="none"/>
          <w:lang w:eastAsia="zh-CN"/>
        </w:rPr>
        <w:t>的违约金</w:t>
      </w:r>
      <w:r>
        <w:rPr>
          <w:rFonts w:hint="eastAsia"/>
          <w:bCs/>
          <w:color w:val="auto"/>
          <w:sz w:val="24"/>
          <w:highlight w:val="none"/>
          <w:lang w:eastAsia="zh-CN"/>
        </w:rPr>
        <w:t>，但违约金不得超过延期款额5%</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w:t>
      </w:r>
      <w:r>
        <w:rPr>
          <w:bCs/>
          <w:color w:val="auto"/>
          <w:sz w:val="24"/>
          <w:highlight w:val="none"/>
          <w:lang w:eastAsia="zh-CN"/>
        </w:rPr>
        <w:t>支持和配合中标人履行职责的义务。</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w:t>
      </w:r>
      <w:r>
        <w:rPr>
          <w:bCs/>
          <w:color w:val="auto"/>
          <w:sz w:val="24"/>
          <w:highlight w:val="none"/>
          <w:lang w:eastAsia="zh-CN"/>
        </w:rPr>
        <w:t>对校区内各重点要害部位采取治安技防措施，</w:t>
      </w:r>
      <w:r>
        <w:rPr>
          <w:rFonts w:hint="eastAsia"/>
          <w:bCs/>
          <w:color w:val="auto"/>
          <w:sz w:val="24"/>
          <w:highlight w:val="none"/>
          <w:lang w:eastAsia="zh-CN"/>
        </w:rPr>
        <w:t>保障</w:t>
      </w:r>
      <w:r>
        <w:rPr>
          <w:bCs/>
          <w:color w:val="auto"/>
          <w:sz w:val="24"/>
          <w:highlight w:val="none"/>
          <w:lang w:eastAsia="zh-CN"/>
        </w:rPr>
        <w:t>消防器材</w:t>
      </w:r>
      <w:r>
        <w:rPr>
          <w:rFonts w:hint="eastAsia"/>
          <w:bCs/>
          <w:color w:val="auto"/>
          <w:sz w:val="24"/>
          <w:highlight w:val="none"/>
          <w:lang w:eastAsia="zh-CN"/>
        </w:rPr>
        <w:t>完好</w:t>
      </w:r>
      <w:r>
        <w:rPr>
          <w:bCs/>
          <w:color w:val="auto"/>
          <w:sz w:val="24"/>
          <w:highlight w:val="none"/>
          <w:lang w:eastAsia="zh-CN"/>
        </w:rPr>
        <w:t>。</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w:t>
      </w:r>
      <w:r>
        <w:rPr>
          <w:bCs/>
          <w:color w:val="auto"/>
          <w:sz w:val="24"/>
          <w:highlight w:val="none"/>
          <w:lang w:eastAsia="zh-CN"/>
        </w:rPr>
        <w:t>督促中标人遵守国家有关法律以及国家用工制度与规定。</w:t>
      </w:r>
    </w:p>
    <w:p>
      <w:pPr>
        <w:spacing w:line="500" w:lineRule="exact"/>
        <w:ind w:firstLine="471" w:firstLineChars="196"/>
        <w:outlineLvl w:val="3"/>
        <w:rPr>
          <w:b/>
          <w:color w:val="auto"/>
          <w:sz w:val="24"/>
          <w:highlight w:val="none"/>
          <w:lang w:eastAsia="zh-CN"/>
        </w:rPr>
      </w:pPr>
      <w:r>
        <w:rPr>
          <w:rFonts w:hint="eastAsia"/>
          <w:b/>
          <w:color w:val="auto"/>
          <w:sz w:val="24"/>
          <w:highlight w:val="none"/>
          <w:lang w:eastAsia="zh-CN"/>
        </w:rPr>
        <w:t>2.中标人的权利及义务</w:t>
      </w:r>
    </w:p>
    <w:p>
      <w:pPr>
        <w:spacing w:line="500" w:lineRule="exact"/>
        <w:ind w:firstLine="480" w:firstLineChars="200"/>
        <w:rPr>
          <w:bCs/>
          <w:color w:val="auto"/>
          <w:sz w:val="24"/>
          <w:highlight w:val="none"/>
          <w:lang w:eastAsia="zh-CN"/>
        </w:rPr>
      </w:pPr>
      <w:r>
        <w:rPr>
          <w:bCs/>
          <w:color w:val="auto"/>
          <w:sz w:val="24"/>
          <w:highlight w:val="none"/>
          <w:lang w:eastAsia="zh-CN"/>
        </w:rPr>
        <w:t>（1）依照采购人有关规定和合同约定，制定相应的保安工作制度，并具体实施。</w:t>
      </w:r>
    </w:p>
    <w:p>
      <w:pPr>
        <w:spacing w:line="500" w:lineRule="exact"/>
        <w:ind w:firstLine="480" w:firstLineChars="200"/>
        <w:rPr>
          <w:bCs/>
          <w:color w:val="auto"/>
          <w:sz w:val="24"/>
          <w:highlight w:val="none"/>
          <w:lang w:eastAsia="zh-CN"/>
        </w:rPr>
      </w:pPr>
      <w:r>
        <w:rPr>
          <w:bCs/>
          <w:color w:val="auto"/>
          <w:sz w:val="24"/>
          <w:highlight w:val="none"/>
          <w:lang w:eastAsia="zh-CN"/>
        </w:rPr>
        <w:t>（2）按照采购人拟定的岗位和要求派出管理人员和保安人员到采购人要求的安全管理区域范围进行24小时值班巡逻。</w:t>
      </w:r>
    </w:p>
    <w:p>
      <w:pPr>
        <w:spacing w:line="500" w:lineRule="exact"/>
        <w:ind w:firstLine="480" w:firstLineChars="200"/>
        <w:rPr>
          <w:bCs/>
          <w:color w:val="auto"/>
          <w:sz w:val="24"/>
          <w:highlight w:val="none"/>
          <w:lang w:eastAsia="zh-CN"/>
        </w:rPr>
      </w:pPr>
      <w:r>
        <w:rPr>
          <w:bCs/>
          <w:color w:val="auto"/>
          <w:sz w:val="24"/>
          <w:highlight w:val="none"/>
          <w:lang w:eastAsia="zh-CN"/>
        </w:rPr>
        <w:t>（3）中标人应当严格遵守国家以及采购人有关规定，在维护安全管理区域内的公共秩序时，必须文明履行职责并保持服装整洁，维护采购人的形象，不得侵害采购人的合法权益。</w:t>
      </w:r>
    </w:p>
    <w:p>
      <w:pPr>
        <w:spacing w:line="500" w:lineRule="exact"/>
        <w:ind w:firstLine="480" w:firstLineChars="200"/>
        <w:rPr>
          <w:bCs/>
          <w:color w:val="auto"/>
          <w:sz w:val="24"/>
          <w:highlight w:val="none"/>
          <w:lang w:eastAsia="zh-CN"/>
        </w:rPr>
      </w:pPr>
      <w:r>
        <w:rPr>
          <w:bCs/>
          <w:color w:val="auto"/>
          <w:sz w:val="24"/>
          <w:highlight w:val="none"/>
          <w:lang w:eastAsia="zh-CN"/>
        </w:rPr>
        <w:t>（4）对所管理区域内治安、消防以及交通等项目进行服务管理。协助公安部门维护所管理区域治安秩序并主动制止违法犯罪行为，如盗窃、抢劫、抢夺、打架、斗殴，非法集会、上访、游行等。在本安全管理区域内发生治安案件或者各类灾害事故时，应当及时处理并向辖区公安部门和采购人报告，维护好秩序，根据案情及时组织保安队员疏散人群，以及做好救助和调查工作。</w:t>
      </w:r>
    </w:p>
    <w:p>
      <w:pPr>
        <w:spacing w:line="500" w:lineRule="exact"/>
        <w:ind w:firstLine="480" w:firstLineChars="200"/>
        <w:rPr>
          <w:bCs/>
          <w:color w:val="auto"/>
          <w:sz w:val="24"/>
          <w:highlight w:val="none"/>
          <w:lang w:eastAsia="zh-CN"/>
        </w:rPr>
      </w:pPr>
      <w:r>
        <w:rPr>
          <w:bCs/>
          <w:color w:val="auto"/>
          <w:sz w:val="24"/>
          <w:highlight w:val="none"/>
          <w:lang w:eastAsia="zh-CN"/>
        </w:rPr>
        <w:t>（5）在服务期内接受采购人的考核、评议，师生基本满意度达到8</w:t>
      </w:r>
      <w:r>
        <w:rPr>
          <w:rFonts w:hint="eastAsia"/>
          <w:bCs/>
          <w:color w:val="auto"/>
          <w:sz w:val="24"/>
          <w:highlight w:val="none"/>
          <w:lang w:eastAsia="zh-CN"/>
        </w:rPr>
        <w:t>5</w:t>
      </w:r>
      <w:r>
        <w:rPr>
          <w:bCs/>
          <w:color w:val="auto"/>
          <w:sz w:val="24"/>
          <w:highlight w:val="none"/>
          <w:lang w:eastAsia="zh-CN"/>
        </w:rPr>
        <w:t>%以上。</w:t>
      </w:r>
    </w:p>
    <w:p>
      <w:pPr>
        <w:spacing w:line="500" w:lineRule="exact"/>
        <w:ind w:firstLine="480" w:firstLineChars="200"/>
        <w:rPr>
          <w:bCs/>
          <w:color w:val="auto"/>
          <w:sz w:val="24"/>
          <w:highlight w:val="none"/>
          <w:lang w:eastAsia="zh-CN"/>
        </w:rPr>
      </w:pPr>
      <w:r>
        <w:rPr>
          <w:bCs/>
          <w:color w:val="auto"/>
          <w:sz w:val="24"/>
          <w:highlight w:val="none"/>
          <w:lang w:eastAsia="zh-CN"/>
        </w:rPr>
        <w:t>（6）中标人的管理人员、保安人员的劳动纠纷、经济纠纷、工伤事故以及中标人在执勤或 者进行其他活动时致人伤害或造成他人财产损失的，由中标人承担一切责任。</w:t>
      </w:r>
    </w:p>
    <w:p>
      <w:pPr>
        <w:spacing w:line="500" w:lineRule="exact"/>
        <w:ind w:firstLine="480" w:firstLineChars="200"/>
        <w:rPr>
          <w:bCs/>
          <w:color w:val="auto"/>
          <w:sz w:val="24"/>
          <w:highlight w:val="none"/>
        </w:rPr>
      </w:pPr>
      <w:r>
        <w:rPr>
          <w:bCs/>
          <w:color w:val="auto"/>
          <w:sz w:val="24"/>
          <w:highlight w:val="none"/>
          <w:lang w:eastAsia="zh-CN"/>
        </w:rPr>
        <w:t>（7）负责配备中标人人员工作所需的警械装备（</w:t>
      </w:r>
      <w:r>
        <w:rPr>
          <w:rFonts w:hint="eastAsia"/>
          <w:bCs/>
          <w:color w:val="auto"/>
          <w:sz w:val="24"/>
          <w:highlight w:val="none"/>
          <w:lang w:eastAsia="zh-CN"/>
        </w:rPr>
        <w:t>防暴头盔、橡胶警棍、钢叉、盾牌、防刺服、防爆喷雾、防割手套、手电筒（含电池）等八件套及保安服、爆闪式肩灯、对讲机或其他通讯设备。</w:t>
      </w:r>
      <w:r>
        <w:rPr>
          <w:rFonts w:hint="eastAsia"/>
          <w:bCs/>
          <w:color w:val="auto"/>
          <w:sz w:val="24"/>
          <w:highlight w:val="none"/>
        </w:rPr>
        <w:t>原则</w:t>
      </w:r>
      <w:r>
        <w:rPr>
          <w:rFonts w:hint="eastAsia" w:eastAsia="宋体"/>
          <w:bCs/>
          <w:color w:val="auto"/>
          <w:sz w:val="24"/>
          <w:highlight w:val="none"/>
          <w:lang w:eastAsia="zh-CN"/>
        </w:rPr>
        <w:t>上</w:t>
      </w:r>
      <w:r>
        <w:rPr>
          <w:rFonts w:hint="eastAsia"/>
          <w:bCs/>
          <w:color w:val="auto"/>
          <w:sz w:val="24"/>
          <w:highlight w:val="none"/>
        </w:rPr>
        <w:t>每个学校以上装备必须按岗位配齐</w:t>
      </w:r>
      <w:r>
        <w:rPr>
          <w:bCs/>
          <w:color w:val="auto"/>
          <w:sz w:val="24"/>
          <w:highlight w:val="none"/>
        </w:rPr>
        <w:t>）。</w:t>
      </w:r>
    </w:p>
    <w:p>
      <w:pPr>
        <w:spacing w:line="500" w:lineRule="exact"/>
        <w:ind w:firstLine="480" w:firstLineChars="200"/>
        <w:rPr>
          <w:bCs/>
          <w:color w:val="auto"/>
          <w:sz w:val="24"/>
          <w:highlight w:val="none"/>
          <w:lang w:eastAsia="zh-CN"/>
        </w:rPr>
      </w:pPr>
      <w:r>
        <w:rPr>
          <w:bCs/>
          <w:color w:val="auto"/>
          <w:sz w:val="24"/>
          <w:highlight w:val="none"/>
          <w:lang w:eastAsia="zh-CN"/>
        </w:rPr>
        <w:t>（8）中标人</w:t>
      </w:r>
      <w:r>
        <w:rPr>
          <w:rFonts w:hint="eastAsia"/>
          <w:bCs/>
          <w:color w:val="auto"/>
          <w:sz w:val="24"/>
          <w:highlight w:val="none"/>
          <w:lang w:eastAsia="zh-CN"/>
        </w:rPr>
        <w:t>有保证</w:t>
      </w:r>
      <w:r>
        <w:rPr>
          <w:bCs/>
          <w:color w:val="auto"/>
          <w:sz w:val="24"/>
          <w:highlight w:val="none"/>
          <w:lang w:eastAsia="zh-CN"/>
        </w:rPr>
        <w:t>保安管理服务的办公、住宿用房</w:t>
      </w:r>
      <w:r>
        <w:rPr>
          <w:rFonts w:hint="eastAsia"/>
          <w:bCs/>
          <w:color w:val="auto"/>
          <w:sz w:val="24"/>
          <w:highlight w:val="none"/>
          <w:lang w:eastAsia="zh-CN"/>
        </w:rPr>
        <w:t>完好</w:t>
      </w:r>
      <w:r>
        <w:rPr>
          <w:bCs/>
          <w:color w:val="auto"/>
          <w:sz w:val="24"/>
          <w:highlight w:val="none"/>
          <w:lang w:eastAsia="zh-CN"/>
        </w:rPr>
        <w:t>的义务。</w:t>
      </w:r>
    </w:p>
    <w:p>
      <w:pPr>
        <w:spacing w:line="500" w:lineRule="exact"/>
        <w:ind w:firstLine="480" w:firstLineChars="200"/>
        <w:rPr>
          <w:bCs/>
          <w:color w:val="auto"/>
          <w:sz w:val="24"/>
          <w:highlight w:val="none"/>
          <w:lang w:eastAsia="zh-CN"/>
        </w:rPr>
      </w:pPr>
      <w:r>
        <w:rPr>
          <w:bCs/>
          <w:color w:val="auto"/>
          <w:sz w:val="24"/>
          <w:highlight w:val="none"/>
          <w:lang w:eastAsia="zh-CN"/>
        </w:rPr>
        <w:t>（9）中标人不承担不属于中标人责任范围内的治安刑事案件、意外事故、自然灾害等不可抗力因素对采购人造成的人身财产损害赔偿责任。</w:t>
      </w:r>
    </w:p>
    <w:p>
      <w:pPr>
        <w:spacing w:line="500" w:lineRule="exact"/>
        <w:ind w:firstLine="480" w:firstLineChars="200"/>
        <w:rPr>
          <w:bCs/>
          <w:color w:val="auto"/>
          <w:sz w:val="24"/>
          <w:highlight w:val="none"/>
          <w:lang w:eastAsia="zh-CN"/>
        </w:rPr>
      </w:pPr>
      <w:r>
        <w:rPr>
          <w:bCs/>
          <w:color w:val="auto"/>
          <w:sz w:val="24"/>
          <w:highlight w:val="none"/>
          <w:lang w:eastAsia="zh-CN"/>
        </w:rPr>
        <w:t>（10）中标人必须保证每班上岗人数满员并且每月组织保安队员进行1次以上的业务训练。</w:t>
      </w:r>
    </w:p>
    <w:p>
      <w:pPr>
        <w:spacing w:line="500" w:lineRule="exact"/>
        <w:ind w:firstLine="480" w:firstLineChars="200"/>
        <w:rPr>
          <w:bCs/>
          <w:color w:val="auto"/>
          <w:sz w:val="24"/>
          <w:highlight w:val="none"/>
          <w:lang w:eastAsia="zh-CN"/>
        </w:rPr>
      </w:pPr>
      <w:r>
        <w:rPr>
          <w:bCs/>
          <w:color w:val="auto"/>
          <w:sz w:val="24"/>
          <w:highlight w:val="none"/>
          <w:lang w:eastAsia="zh-CN"/>
        </w:rPr>
        <w:t>（11）为确保保安队伍的相对稳定，中标人更换队员前需要事先向采购人主管部门说明情况，更换队长或一次更换3名以上队员时，必须书面征得采购人同意方可实施。</w:t>
      </w:r>
    </w:p>
    <w:p>
      <w:pPr>
        <w:spacing w:line="500" w:lineRule="exact"/>
        <w:ind w:firstLine="480" w:firstLineChars="200"/>
        <w:rPr>
          <w:bCs/>
          <w:color w:val="auto"/>
          <w:sz w:val="24"/>
          <w:highlight w:val="none"/>
          <w:lang w:eastAsia="zh-CN"/>
        </w:rPr>
      </w:pPr>
      <w:r>
        <w:rPr>
          <w:bCs/>
          <w:color w:val="auto"/>
          <w:sz w:val="24"/>
          <w:highlight w:val="none"/>
          <w:lang w:eastAsia="zh-CN"/>
        </w:rPr>
        <w:t>（12）按照有关规定，按时足额发放保安人员的劳动报酬、福利、加班工资、中夜班等劳动收益，并按照有关规定为安保人员办理社会保险费。</w:t>
      </w:r>
    </w:p>
    <w:p>
      <w:pPr>
        <w:spacing w:line="500" w:lineRule="exact"/>
        <w:ind w:firstLine="480" w:firstLineChars="200"/>
        <w:rPr>
          <w:bCs/>
          <w:color w:val="auto"/>
          <w:sz w:val="24"/>
          <w:highlight w:val="none"/>
          <w:lang w:eastAsia="zh-CN"/>
        </w:rPr>
      </w:pPr>
      <w:r>
        <w:rPr>
          <w:bCs/>
          <w:color w:val="auto"/>
          <w:sz w:val="24"/>
          <w:highlight w:val="none"/>
          <w:lang w:eastAsia="zh-CN"/>
        </w:rPr>
        <w:t>（13）赔偿因中标人责任造成采购人的财产损失。</w:t>
      </w:r>
    </w:p>
    <w:p>
      <w:pPr>
        <w:spacing w:line="500" w:lineRule="exact"/>
        <w:ind w:firstLine="480" w:firstLineChars="200"/>
        <w:rPr>
          <w:bCs/>
          <w:color w:val="auto"/>
          <w:sz w:val="24"/>
          <w:highlight w:val="none"/>
          <w:lang w:eastAsia="zh-CN"/>
        </w:rPr>
      </w:pPr>
      <w:r>
        <w:rPr>
          <w:bCs/>
          <w:color w:val="auto"/>
          <w:sz w:val="24"/>
          <w:highlight w:val="none"/>
          <w:lang w:eastAsia="zh-CN"/>
        </w:rPr>
        <w:t>（14）享有合法收取保安服务费用的权利，按照本合同附件考核内容对保安人员违反规定的 行为进行批评教育和迅速做出处理，并及时将处理结果正式书面通报给采购人，确保服务质量让 采购人满意。</w:t>
      </w:r>
    </w:p>
    <w:p>
      <w:pPr>
        <w:spacing w:line="500" w:lineRule="exact"/>
        <w:ind w:firstLine="480" w:firstLineChars="200"/>
        <w:rPr>
          <w:bCs/>
          <w:color w:val="auto"/>
          <w:sz w:val="24"/>
          <w:highlight w:val="none"/>
          <w:lang w:eastAsia="zh-CN"/>
        </w:rPr>
      </w:pPr>
      <w:r>
        <w:rPr>
          <w:bCs/>
          <w:color w:val="auto"/>
          <w:sz w:val="24"/>
          <w:highlight w:val="none"/>
          <w:lang w:eastAsia="zh-CN"/>
        </w:rPr>
        <w:t>（15）履行投标</w:t>
      </w:r>
      <w:r>
        <w:rPr>
          <w:rFonts w:hint="eastAsia"/>
          <w:bCs/>
          <w:color w:val="auto"/>
          <w:sz w:val="24"/>
          <w:highlight w:val="none"/>
          <w:lang w:eastAsia="zh-CN"/>
        </w:rPr>
        <w:t>文件</w:t>
      </w:r>
      <w:r>
        <w:rPr>
          <w:bCs/>
          <w:color w:val="auto"/>
          <w:sz w:val="24"/>
          <w:highlight w:val="none"/>
          <w:lang w:eastAsia="zh-CN"/>
        </w:rPr>
        <w:t>中对采购人的承诺。</w:t>
      </w:r>
    </w:p>
    <w:p>
      <w:pPr>
        <w:spacing w:line="500" w:lineRule="exact"/>
        <w:ind w:firstLine="471" w:firstLineChars="196"/>
        <w:outlineLvl w:val="2"/>
        <w:rPr>
          <w:b/>
          <w:color w:val="auto"/>
          <w:sz w:val="24"/>
          <w:highlight w:val="none"/>
          <w:lang w:eastAsia="zh-CN"/>
        </w:rPr>
      </w:pPr>
      <w:bookmarkStart w:id="18" w:name="_Toc2023"/>
      <w:bookmarkStart w:id="19" w:name="_Toc29881"/>
      <w:r>
        <w:rPr>
          <w:rFonts w:hint="eastAsia"/>
          <w:b/>
          <w:color w:val="auto"/>
          <w:sz w:val="24"/>
          <w:highlight w:val="none"/>
          <w:lang w:eastAsia="zh-CN"/>
        </w:rPr>
        <w:t>（八）考核</w:t>
      </w:r>
      <w:bookmarkEnd w:id="18"/>
      <w:bookmarkEnd w:id="19"/>
    </w:p>
    <w:p>
      <w:pPr>
        <w:spacing w:line="500" w:lineRule="exact"/>
        <w:ind w:firstLine="480" w:firstLineChars="200"/>
        <w:rPr>
          <w:b/>
          <w:color w:val="auto"/>
          <w:sz w:val="24"/>
          <w:highlight w:val="none"/>
          <w:lang w:eastAsia="zh-CN"/>
        </w:rPr>
      </w:pPr>
      <w:r>
        <w:rPr>
          <w:b/>
          <w:color w:val="auto"/>
          <w:sz w:val="24"/>
          <w:highlight w:val="none"/>
          <w:lang w:eastAsia="zh-CN"/>
        </w:rPr>
        <w:t>保安人员存在以下违规违纪行为者，采购人将对中标人进行扣罚、解除合同处理，扣罚金额从</w:t>
      </w:r>
      <w:r>
        <w:rPr>
          <w:rFonts w:hint="eastAsia"/>
          <w:b/>
          <w:color w:val="auto"/>
          <w:sz w:val="24"/>
          <w:highlight w:val="none"/>
          <w:lang w:eastAsia="zh-CN"/>
        </w:rPr>
        <w:t>采购人应当支付的费用</w:t>
      </w:r>
      <w:r>
        <w:rPr>
          <w:b/>
          <w:color w:val="auto"/>
          <w:sz w:val="24"/>
          <w:highlight w:val="none"/>
          <w:lang w:eastAsia="zh-CN"/>
        </w:rPr>
        <w:t>中扣除：</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w:t>
      </w:r>
      <w:r>
        <w:rPr>
          <w:bCs/>
          <w:color w:val="auto"/>
          <w:sz w:val="24"/>
          <w:highlight w:val="none"/>
          <w:lang w:eastAsia="zh-CN"/>
        </w:rPr>
        <w:t>值班期间有睡岗，未按规定着装、酗酒上岗等违反值班规定的，发现一次扣罚500元。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（2）</w:t>
      </w:r>
      <w:r>
        <w:rPr>
          <w:bCs/>
          <w:color w:val="auto"/>
          <w:sz w:val="24"/>
          <w:highlight w:val="none"/>
          <w:lang w:eastAsia="zh-CN"/>
        </w:rPr>
        <w:t>在大门有违规收费现象，利用职权弄虚作假的，发现一次扣罚1000元。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（3）</w:t>
      </w:r>
      <w:r>
        <w:rPr>
          <w:bCs/>
          <w:color w:val="auto"/>
          <w:sz w:val="24"/>
          <w:highlight w:val="none"/>
          <w:lang w:eastAsia="zh-CN"/>
        </w:rPr>
        <w:t>各岗位未按合同要求配备装备的，发现一次扣罚500元。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（4）</w:t>
      </w:r>
      <w:r>
        <w:rPr>
          <w:bCs/>
          <w:color w:val="auto"/>
          <w:sz w:val="24"/>
          <w:highlight w:val="none"/>
          <w:lang w:eastAsia="zh-CN"/>
        </w:rPr>
        <w:t>不服从采购人管理的，每人次扣罚1000元。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（5）</w:t>
      </w:r>
      <w:r>
        <w:rPr>
          <w:bCs/>
          <w:color w:val="auto"/>
          <w:sz w:val="24"/>
          <w:highlight w:val="none"/>
          <w:lang w:eastAsia="zh-CN"/>
        </w:rPr>
        <w:t>值班人员在岗时不按规定检查离校物资出门证，导致学校及师生财物流失的，除照价赔偿外，每次扣罚1000元。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（6）</w:t>
      </w:r>
      <w:r>
        <w:rPr>
          <w:bCs/>
          <w:color w:val="auto"/>
          <w:sz w:val="24"/>
          <w:highlight w:val="none"/>
          <w:lang w:eastAsia="zh-CN"/>
        </w:rPr>
        <w:t>由于失职而造成重大事故的，中标人须赔偿一切经济损失，并将责任人移交公安机关处理，同时每次扣罚2000元。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（7）</w:t>
      </w:r>
      <w:r>
        <w:rPr>
          <w:bCs/>
          <w:color w:val="auto"/>
          <w:sz w:val="24"/>
          <w:highlight w:val="none"/>
          <w:lang w:eastAsia="zh-CN"/>
        </w:rPr>
        <w:t>私自动用学校公私财物，并造成损失者，照价赔偿外，每次扣罚1000元。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（8）</w:t>
      </w:r>
      <w:r>
        <w:rPr>
          <w:bCs/>
          <w:color w:val="auto"/>
          <w:sz w:val="24"/>
          <w:highlight w:val="none"/>
          <w:lang w:eastAsia="zh-CN"/>
        </w:rPr>
        <w:t>中标人保安人员如有偷盗或其他违法犯罪行为，中标人必须承担一切经济损失和法律责任，每次扣罚1万元。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（9）</w:t>
      </w:r>
      <w:r>
        <w:rPr>
          <w:bCs/>
          <w:color w:val="auto"/>
          <w:sz w:val="24"/>
          <w:highlight w:val="none"/>
          <w:lang w:eastAsia="zh-CN"/>
        </w:rPr>
        <w:t>中标人保安人员粗暴值勤，造成不良后果，须赔偿一切经济损失，责任人移交公安部门处理外，每人次扣罚5000元。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（10）</w:t>
      </w:r>
      <w:r>
        <w:rPr>
          <w:bCs/>
          <w:color w:val="auto"/>
          <w:sz w:val="24"/>
          <w:highlight w:val="none"/>
          <w:lang w:eastAsia="zh-CN"/>
        </w:rPr>
        <w:t>中标人保安人员在值班期间被发现有脱岗情况的，每人次扣罚1000元，须赔偿一切经济损失，若造成重大损失的（5万元以上），每人次扣罚2万元。</w:t>
      </w:r>
    </w:p>
    <w:p>
      <w:pPr>
        <w:spacing w:line="500" w:lineRule="exact"/>
        <w:ind w:firstLine="480" w:firstLineChars="200"/>
        <w:rPr>
          <w:bCs/>
          <w:color w:val="auto"/>
          <w:sz w:val="24"/>
          <w:highlight w:val="none"/>
          <w:lang w:eastAsia="zh-CN"/>
        </w:rPr>
      </w:pPr>
      <w:r>
        <w:rPr>
          <w:rFonts w:hint="eastAsia"/>
          <w:bCs/>
          <w:color w:val="auto"/>
          <w:sz w:val="24"/>
          <w:highlight w:val="none"/>
          <w:lang w:eastAsia="zh-CN"/>
        </w:rPr>
        <w:t>（11）</w:t>
      </w:r>
      <w:r>
        <w:rPr>
          <w:bCs/>
          <w:color w:val="auto"/>
          <w:sz w:val="24"/>
          <w:highlight w:val="none"/>
          <w:lang w:eastAsia="zh-CN"/>
        </w:rPr>
        <w:t>其它工作不到位造成严重影响的，依照以上作相应处理。</w:t>
      </w:r>
    </w:p>
    <w:p>
      <w:pPr>
        <w:spacing w:line="500" w:lineRule="exact"/>
        <w:ind w:firstLine="480" w:firstLineChars="200"/>
        <w:rPr>
          <w:b/>
          <w:color w:val="auto"/>
          <w:sz w:val="24"/>
          <w:highlight w:val="none"/>
          <w:lang w:eastAsia="zh-CN"/>
        </w:rPr>
      </w:pPr>
      <w:r>
        <w:rPr>
          <w:b/>
          <w:color w:val="auto"/>
          <w:sz w:val="24"/>
          <w:highlight w:val="none"/>
          <w:lang w:eastAsia="zh-CN"/>
        </w:rPr>
        <w:t>处罚金额累计达到3万或造成重大经济损失超过5万元，</w:t>
      </w:r>
      <w:r>
        <w:rPr>
          <w:rFonts w:hint="eastAsia"/>
          <w:b/>
          <w:color w:val="auto"/>
          <w:sz w:val="24"/>
          <w:highlight w:val="none"/>
          <w:lang w:eastAsia="zh-CN"/>
        </w:rPr>
        <w:t>采购人</w:t>
      </w:r>
      <w:r>
        <w:rPr>
          <w:b/>
          <w:color w:val="auto"/>
          <w:sz w:val="24"/>
          <w:highlight w:val="none"/>
          <w:lang w:eastAsia="zh-CN"/>
        </w:rPr>
        <w:t>有权解除合同。</w:t>
      </w:r>
    </w:p>
    <w:p>
      <w:pPr>
        <w:rPr>
          <w:color w:val="auto"/>
          <w:highlight w:val="none"/>
          <w:lang w:eastAsia="zh-CN"/>
        </w:rPr>
      </w:pPr>
    </w:p>
    <w:p>
      <w:pPr>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3"/>
        <w:spacing w:before="139" w:line="219" w:lineRule="auto"/>
        <w:ind w:left="3256"/>
        <w:outlineLvl w:val="0"/>
        <w:rPr>
          <w:color w:val="auto"/>
          <w:sz w:val="43"/>
          <w:szCs w:val="43"/>
          <w:highlight w:val="none"/>
        </w:rPr>
      </w:pPr>
      <w:bookmarkStart w:id="20" w:name="bookmark4"/>
      <w:bookmarkEnd w:id="20"/>
      <w:r>
        <w:rPr>
          <w:b/>
          <w:bCs/>
          <w:color w:val="auto"/>
          <w:spacing w:val="4"/>
          <w:sz w:val="43"/>
          <w:szCs w:val="43"/>
          <w:highlight w:val="none"/>
        </w:rPr>
        <w:t>第四章</w:t>
      </w:r>
      <w:r>
        <w:rPr>
          <w:color w:val="auto"/>
          <w:spacing w:val="4"/>
          <w:sz w:val="43"/>
          <w:szCs w:val="43"/>
          <w:highlight w:val="none"/>
        </w:rPr>
        <w:t xml:space="preserve"> </w:t>
      </w:r>
      <w:r>
        <w:rPr>
          <w:b/>
          <w:bCs/>
          <w:color w:val="auto"/>
          <w:spacing w:val="4"/>
          <w:sz w:val="43"/>
          <w:szCs w:val="43"/>
          <w:highlight w:val="none"/>
        </w:rPr>
        <w:t>评标办法</w:t>
      </w:r>
    </w:p>
    <w:p>
      <w:pPr>
        <w:pStyle w:val="3"/>
        <w:spacing w:before="319" w:line="219" w:lineRule="auto"/>
        <w:ind w:left="469"/>
        <w:rPr>
          <w:color w:val="auto"/>
          <w:sz w:val="24"/>
          <w:szCs w:val="24"/>
          <w:highlight w:val="none"/>
        </w:rPr>
      </w:pPr>
      <w:r>
        <w:rPr>
          <w:color w:val="auto"/>
          <w:spacing w:val="-6"/>
          <w:sz w:val="24"/>
          <w:szCs w:val="24"/>
          <w:highlight w:val="none"/>
        </w:rPr>
        <w:t>一</w:t>
      </w:r>
      <w:r>
        <w:rPr>
          <w:color w:val="auto"/>
          <w:spacing w:val="-38"/>
          <w:sz w:val="24"/>
          <w:szCs w:val="24"/>
          <w:highlight w:val="none"/>
        </w:rPr>
        <w:t xml:space="preserve"> </w:t>
      </w:r>
      <w:r>
        <w:rPr>
          <w:color w:val="auto"/>
          <w:spacing w:val="-6"/>
          <w:sz w:val="24"/>
          <w:szCs w:val="24"/>
          <w:highlight w:val="none"/>
        </w:rPr>
        <w:t>、评标依据及方式</w:t>
      </w:r>
    </w:p>
    <w:p>
      <w:pPr>
        <w:pStyle w:val="3"/>
        <w:spacing w:before="175" w:line="284" w:lineRule="auto"/>
        <w:ind w:left="19" w:right="90" w:firstLine="479"/>
        <w:rPr>
          <w:color w:val="auto"/>
          <w:sz w:val="24"/>
          <w:szCs w:val="24"/>
          <w:highlight w:val="none"/>
        </w:rPr>
      </w:pPr>
      <w:r>
        <w:rPr>
          <w:rFonts w:ascii="Times New Roman" w:hAnsi="Times New Roman" w:eastAsia="Times New Roman" w:cs="Times New Roman"/>
          <w:color w:val="auto"/>
          <w:sz w:val="24"/>
          <w:szCs w:val="24"/>
          <w:highlight w:val="none"/>
        </w:rPr>
        <w:t>1</w:t>
      </w:r>
      <w:r>
        <w:rPr>
          <w:rFonts w:ascii="Times New Roman" w:hAnsi="Times New Roman" w:eastAsia="Times New Roman" w:cs="Times New Roman"/>
          <w:color w:val="auto"/>
          <w:spacing w:val="-22"/>
          <w:sz w:val="24"/>
          <w:szCs w:val="24"/>
          <w:highlight w:val="none"/>
        </w:rPr>
        <w:t xml:space="preserve"> </w:t>
      </w:r>
      <w:r>
        <w:rPr>
          <w:color w:val="auto"/>
          <w:sz w:val="24"/>
          <w:szCs w:val="24"/>
          <w:highlight w:val="none"/>
        </w:rPr>
        <w:t xml:space="preserve">、评标依据：评标委员会以采购文件和投标文件为评标依据，对供应商投标文件进行评 </w:t>
      </w:r>
      <w:r>
        <w:rPr>
          <w:color w:val="auto"/>
          <w:spacing w:val="-3"/>
          <w:sz w:val="24"/>
          <w:szCs w:val="24"/>
          <w:highlight w:val="none"/>
        </w:rPr>
        <w:t>审。</w:t>
      </w:r>
    </w:p>
    <w:p>
      <w:pPr>
        <w:pStyle w:val="3"/>
        <w:spacing w:before="193" w:line="220" w:lineRule="auto"/>
        <w:ind w:left="499"/>
        <w:rPr>
          <w:color w:val="auto"/>
          <w:sz w:val="24"/>
          <w:szCs w:val="24"/>
          <w:highlight w:val="none"/>
        </w:rPr>
      </w:pPr>
      <w:r>
        <w:rPr>
          <w:rFonts w:ascii="Times New Roman" w:hAnsi="Times New Roman" w:eastAsia="Times New Roman" w:cs="Times New Roman"/>
          <w:color w:val="auto"/>
          <w:spacing w:val="6"/>
          <w:sz w:val="24"/>
          <w:szCs w:val="24"/>
          <w:highlight w:val="none"/>
        </w:rPr>
        <w:t>2</w:t>
      </w:r>
      <w:r>
        <w:rPr>
          <w:color w:val="auto"/>
          <w:spacing w:val="6"/>
          <w:sz w:val="24"/>
          <w:szCs w:val="24"/>
          <w:highlight w:val="none"/>
        </w:rPr>
        <w:t>、评标方式：以封闭方式进行评标。</w:t>
      </w:r>
    </w:p>
    <w:p>
      <w:pPr>
        <w:pStyle w:val="3"/>
        <w:spacing w:before="193" w:line="219" w:lineRule="auto"/>
        <w:ind w:left="499"/>
        <w:rPr>
          <w:color w:val="auto"/>
          <w:sz w:val="24"/>
          <w:szCs w:val="24"/>
          <w:highlight w:val="none"/>
        </w:rPr>
      </w:pPr>
      <w:r>
        <w:rPr>
          <w:rFonts w:ascii="Times New Roman" w:hAnsi="Times New Roman" w:eastAsia="Times New Roman" w:cs="Times New Roman"/>
          <w:color w:val="auto"/>
          <w:spacing w:val="-1"/>
          <w:sz w:val="24"/>
          <w:szCs w:val="24"/>
          <w:highlight w:val="none"/>
        </w:rPr>
        <w:t>3</w:t>
      </w:r>
      <w:r>
        <w:rPr>
          <w:color w:val="auto"/>
          <w:spacing w:val="-1"/>
          <w:sz w:val="24"/>
          <w:szCs w:val="24"/>
          <w:highlight w:val="none"/>
        </w:rPr>
        <w:t>、评审办法：综合评分法，具体评标内容及标准详见评标办法。</w:t>
      </w:r>
    </w:p>
    <w:p>
      <w:pPr>
        <w:pStyle w:val="3"/>
        <w:spacing w:before="164" w:line="294" w:lineRule="auto"/>
        <w:ind w:right="82" w:firstLine="489"/>
        <w:rPr>
          <w:color w:val="auto"/>
          <w:sz w:val="24"/>
          <w:szCs w:val="24"/>
          <w:highlight w:val="none"/>
        </w:rPr>
      </w:pPr>
      <w:r>
        <w:rPr>
          <w:rFonts w:ascii="Times New Roman" w:hAnsi="Times New Roman" w:eastAsia="Times New Roman" w:cs="Times New Roman"/>
          <w:color w:val="auto"/>
          <w:spacing w:val="1"/>
          <w:sz w:val="24"/>
          <w:szCs w:val="24"/>
          <w:highlight w:val="none"/>
        </w:rPr>
        <w:t>4</w:t>
      </w:r>
      <w:r>
        <w:rPr>
          <w:color w:val="auto"/>
          <w:spacing w:val="1"/>
          <w:sz w:val="24"/>
          <w:szCs w:val="24"/>
          <w:highlight w:val="none"/>
        </w:rPr>
        <w:t>、根据财库〔2012〕69号文规定，采购人和采购代理机构、评标委员会成员要严格遵守</w:t>
      </w:r>
      <w:r>
        <w:rPr>
          <w:color w:val="auto"/>
          <w:spacing w:val="14"/>
          <w:sz w:val="24"/>
          <w:szCs w:val="24"/>
          <w:highlight w:val="none"/>
        </w:rPr>
        <w:t xml:space="preserve"> </w:t>
      </w:r>
      <w:r>
        <w:rPr>
          <w:color w:val="auto"/>
          <w:sz w:val="24"/>
          <w:szCs w:val="24"/>
          <w:highlight w:val="none"/>
        </w:rPr>
        <w:t>政府采购相关法律制度，依法履行各自职责，公正、客观、审慎地组织和参与评审工作。</w:t>
      </w:r>
    </w:p>
    <w:p>
      <w:pPr>
        <w:pStyle w:val="3"/>
        <w:spacing w:before="167" w:line="219" w:lineRule="auto"/>
        <w:ind w:left="469"/>
        <w:rPr>
          <w:color w:val="auto"/>
          <w:sz w:val="24"/>
          <w:szCs w:val="24"/>
          <w:highlight w:val="none"/>
        </w:rPr>
      </w:pPr>
      <w:r>
        <w:rPr>
          <w:color w:val="auto"/>
          <w:spacing w:val="-5"/>
          <w:sz w:val="24"/>
          <w:szCs w:val="24"/>
          <w:highlight w:val="none"/>
        </w:rPr>
        <w:t>二</w:t>
      </w:r>
      <w:r>
        <w:rPr>
          <w:color w:val="auto"/>
          <w:spacing w:val="-34"/>
          <w:sz w:val="24"/>
          <w:szCs w:val="24"/>
          <w:highlight w:val="none"/>
        </w:rPr>
        <w:t xml:space="preserve"> </w:t>
      </w:r>
      <w:r>
        <w:rPr>
          <w:color w:val="auto"/>
          <w:spacing w:val="-5"/>
          <w:sz w:val="24"/>
          <w:szCs w:val="24"/>
          <w:highlight w:val="none"/>
        </w:rPr>
        <w:t>、资格性和符合性审查</w:t>
      </w:r>
    </w:p>
    <w:p>
      <w:pPr>
        <w:pStyle w:val="3"/>
        <w:spacing w:before="196" w:line="219" w:lineRule="auto"/>
        <w:ind w:left="629"/>
        <w:rPr>
          <w:color w:val="auto"/>
          <w:sz w:val="24"/>
          <w:szCs w:val="24"/>
          <w:highlight w:val="none"/>
        </w:rPr>
      </w:pPr>
      <w:r>
        <w:rPr>
          <w:color w:val="auto"/>
          <w:spacing w:val="-7"/>
          <w:sz w:val="24"/>
          <w:szCs w:val="24"/>
          <w:highlight w:val="none"/>
        </w:rPr>
        <w:t>(</w:t>
      </w:r>
      <w:r>
        <w:rPr>
          <w:color w:val="auto"/>
          <w:spacing w:val="-54"/>
          <w:sz w:val="24"/>
          <w:szCs w:val="24"/>
          <w:highlight w:val="none"/>
        </w:rPr>
        <w:t xml:space="preserve"> </w:t>
      </w:r>
      <w:r>
        <w:rPr>
          <w:color w:val="auto"/>
          <w:spacing w:val="-7"/>
          <w:sz w:val="24"/>
          <w:szCs w:val="24"/>
          <w:highlight w:val="none"/>
        </w:rPr>
        <w:t>一</w:t>
      </w:r>
      <w:r>
        <w:rPr>
          <w:color w:val="auto"/>
          <w:spacing w:val="-57"/>
          <w:sz w:val="24"/>
          <w:szCs w:val="24"/>
          <w:highlight w:val="none"/>
        </w:rPr>
        <w:t xml:space="preserve"> </w:t>
      </w:r>
      <w:r>
        <w:rPr>
          <w:color w:val="auto"/>
          <w:spacing w:val="-7"/>
          <w:sz w:val="24"/>
          <w:szCs w:val="24"/>
          <w:highlight w:val="none"/>
        </w:rPr>
        <w:t>)</w:t>
      </w:r>
      <w:r>
        <w:rPr>
          <w:color w:val="auto"/>
          <w:spacing w:val="-63"/>
          <w:sz w:val="24"/>
          <w:szCs w:val="24"/>
          <w:highlight w:val="none"/>
        </w:rPr>
        <w:t xml:space="preserve"> </w:t>
      </w:r>
      <w:r>
        <w:rPr>
          <w:color w:val="auto"/>
          <w:spacing w:val="-7"/>
          <w:sz w:val="24"/>
          <w:szCs w:val="24"/>
          <w:highlight w:val="none"/>
        </w:rPr>
        <w:t>对投标文件进行资格审查：</w:t>
      </w:r>
    </w:p>
    <w:p>
      <w:pPr>
        <w:pStyle w:val="3"/>
        <w:spacing w:before="163" w:line="219" w:lineRule="auto"/>
        <w:ind w:left="619"/>
        <w:rPr>
          <w:color w:val="auto"/>
          <w:sz w:val="24"/>
          <w:szCs w:val="24"/>
          <w:highlight w:val="none"/>
        </w:rPr>
      </w:pPr>
      <w:r>
        <w:rPr>
          <w:color w:val="auto"/>
          <w:spacing w:val="-4"/>
          <w:sz w:val="24"/>
          <w:szCs w:val="24"/>
          <w:highlight w:val="none"/>
        </w:rPr>
        <w:t>(</w:t>
      </w:r>
      <w:r>
        <w:rPr>
          <w:color w:val="auto"/>
          <w:spacing w:val="-40"/>
          <w:sz w:val="24"/>
          <w:szCs w:val="24"/>
          <w:highlight w:val="none"/>
        </w:rPr>
        <w:t xml:space="preserve"> </w:t>
      </w:r>
      <w:r>
        <w:rPr>
          <w:color w:val="auto"/>
          <w:spacing w:val="-4"/>
          <w:sz w:val="24"/>
          <w:szCs w:val="24"/>
          <w:highlight w:val="none"/>
        </w:rPr>
        <w:t>二</w:t>
      </w:r>
      <w:r>
        <w:rPr>
          <w:color w:val="auto"/>
          <w:spacing w:val="-52"/>
          <w:sz w:val="24"/>
          <w:szCs w:val="24"/>
          <w:highlight w:val="none"/>
        </w:rPr>
        <w:t xml:space="preserve"> </w:t>
      </w:r>
      <w:r>
        <w:rPr>
          <w:color w:val="auto"/>
          <w:spacing w:val="-4"/>
          <w:sz w:val="24"/>
          <w:szCs w:val="24"/>
          <w:highlight w:val="none"/>
        </w:rPr>
        <w:t>)对资格审查合格的投标文件进行符合性审查，投标文件是否实质性响应采购文件。</w:t>
      </w:r>
    </w:p>
    <w:p>
      <w:pPr>
        <w:pStyle w:val="3"/>
        <w:spacing w:before="287" w:line="219" w:lineRule="auto"/>
        <w:ind w:left="479"/>
        <w:rPr>
          <w:color w:val="auto"/>
          <w:spacing w:val="-3"/>
          <w:sz w:val="24"/>
          <w:szCs w:val="24"/>
          <w:highlight w:val="none"/>
        </w:rPr>
      </w:pPr>
      <w:r>
        <w:rPr>
          <w:color w:val="auto"/>
          <w:spacing w:val="-2"/>
          <w:sz w:val="24"/>
          <w:szCs w:val="24"/>
          <w:highlight w:val="none"/>
        </w:rPr>
        <w:t>三</w:t>
      </w:r>
      <w:r>
        <w:rPr>
          <w:color w:val="auto"/>
          <w:spacing w:val="-36"/>
          <w:sz w:val="24"/>
          <w:szCs w:val="24"/>
          <w:highlight w:val="none"/>
        </w:rPr>
        <w:t xml:space="preserve"> </w:t>
      </w:r>
      <w:r>
        <w:rPr>
          <w:color w:val="auto"/>
          <w:spacing w:val="-2"/>
          <w:sz w:val="24"/>
          <w:szCs w:val="24"/>
          <w:highlight w:val="none"/>
        </w:rPr>
        <w:t>、详细评审：对通过资格审查和符合性审查的</w:t>
      </w:r>
      <w:r>
        <w:rPr>
          <w:color w:val="auto"/>
          <w:spacing w:val="-3"/>
          <w:sz w:val="24"/>
          <w:szCs w:val="24"/>
          <w:highlight w:val="none"/>
        </w:rPr>
        <w:t>投标文件进行详细评审。</w:t>
      </w:r>
    </w:p>
    <w:p>
      <w:pPr>
        <w:rPr>
          <w:color w:val="auto"/>
          <w:highlight w:val="none"/>
        </w:rPr>
      </w:pPr>
    </w:p>
    <w:p>
      <w:pPr>
        <w:spacing w:before="144" w:line="222" w:lineRule="auto"/>
        <w:ind w:left="469"/>
        <w:rPr>
          <w:rFonts w:ascii="黑体" w:hAnsi="黑体" w:eastAsia="黑体" w:cs="黑体"/>
          <w:color w:val="auto"/>
          <w:sz w:val="24"/>
          <w:szCs w:val="24"/>
          <w:highlight w:val="none"/>
        </w:rPr>
      </w:pPr>
      <w:r>
        <w:rPr>
          <w:rFonts w:ascii="Times New Roman" w:hAnsi="Times New Roman" w:eastAsia="Times New Roman" w:cs="Times New Roman"/>
          <w:color w:val="auto"/>
          <w:spacing w:val="1"/>
          <w:sz w:val="24"/>
          <w:szCs w:val="24"/>
          <w:highlight w:val="none"/>
        </w:rPr>
        <w:t>1.</w:t>
      </w:r>
      <w:r>
        <w:rPr>
          <w:rFonts w:ascii="Times New Roman" w:hAnsi="Times New Roman" w:eastAsia="Times New Roman" w:cs="Times New Roman"/>
          <w:color w:val="auto"/>
          <w:spacing w:val="-12"/>
          <w:sz w:val="24"/>
          <w:szCs w:val="24"/>
          <w:highlight w:val="none"/>
        </w:rPr>
        <w:t xml:space="preserve"> </w:t>
      </w:r>
      <w:r>
        <w:rPr>
          <w:rFonts w:ascii="黑体" w:hAnsi="黑体" w:eastAsia="黑体" w:cs="黑体"/>
          <w:color w:val="auto"/>
          <w:spacing w:val="1"/>
          <w:sz w:val="24"/>
          <w:szCs w:val="24"/>
          <w:highlight w:val="none"/>
        </w:rPr>
        <w:t>价格分……………………………………………………………………</w:t>
      </w:r>
      <w:r>
        <w:rPr>
          <w:rFonts w:ascii="黑体" w:hAnsi="黑体" w:eastAsia="黑体" w:cs="黑体"/>
          <w:color w:val="auto"/>
          <w:sz w:val="24"/>
          <w:szCs w:val="24"/>
          <w:highlight w:val="none"/>
        </w:rPr>
        <w:t>………………10</w:t>
      </w:r>
      <w:r>
        <w:rPr>
          <w:rFonts w:ascii="黑体" w:hAnsi="黑体" w:eastAsia="黑体" w:cs="黑体"/>
          <w:color w:val="auto"/>
          <w:spacing w:val="-30"/>
          <w:sz w:val="24"/>
          <w:szCs w:val="24"/>
          <w:highlight w:val="none"/>
        </w:rPr>
        <w:t xml:space="preserve"> </w:t>
      </w:r>
      <w:r>
        <w:rPr>
          <w:rFonts w:ascii="黑体" w:hAnsi="黑体" w:eastAsia="黑体" w:cs="黑体"/>
          <w:color w:val="auto"/>
          <w:sz w:val="24"/>
          <w:szCs w:val="24"/>
          <w:highlight w:val="none"/>
        </w:rPr>
        <w:t>分</w:t>
      </w:r>
    </w:p>
    <w:p>
      <w:pPr>
        <w:pStyle w:val="11"/>
        <w:numPr>
          <w:ilvl w:val="0"/>
          <w:numId w:val="0"/>
        </w:numPr>
        <w:tabs>
          <w:tab w:val="left" w:pos="1457"/>
        </w:tabs>
        <w:spacing w:before="132" w:after="0" w:line="357" w:lineRule="auto"/>
        <w:ind w:right="564" w:rightChars="0" w:firstLine="466" w:firstLineChars="200"/>
        <w:jc w:val="both"/>
        <w:rPr>
          <w:rFonts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1.1</w:t>
      </w:r>
      <w:r>
        <w:rPr>
          <w:rFonts w:ascii="宋体" w:hAnsi="宋体" w:eastAsia="宋体" w:cs="宋体"/>
          <w:b/>
          <w:bCs/>
          <w:snapToGrid w:val="0"/>
          <w:color w:val="auto"/>
          <w:spacing w:val="-4"/>
          <w:kern w:val="0"/>
          <w:sz w:val="24"/>
          <w:szCs w:val="24"/>
          <w:highlight w:val="none"/>
          <w:lang w:val="en-US" w:eastAsia="en-US" w:bidi="ar-SA"/>
        </w:rPr>
        <w:t>根据《政府采购促进中小企业发展管理办法》（财库〔2020〕46 号）、《广西壮族自治区财政厅关于持续优化政府采购营商环境推动高质量发展的通知》（桂财采〔2024〕55 号）等有关规定， 投标人在其投标文件中提供《中小企业声明函》，</w:t>
      </w:r>
      <w:r>
        <w:rPr>
          <w:rFonts w:hint="eastAsia" w:ascii="宋体" w:hAnsi="宋体" w:eastAsia="宋体" w:cs="宋体"/>
          <w:b/>
          <w:bCs/>
          <w:snapToGrid w:val="0"/>
          <w:color w:val="auto"/>
          <w:spacing w:val="-4"/>
          <w:kern w:val="0"/>
          <w:sz w:val="24"/>
          <w:szCs w:val="24"/>
          <w:highlight w:val="none"/>
          <w:lang w:val="en-US" w:eastAsia="zh-CN" w:bidi="ar-SA"/>
        </w:rPr>
        <w:t>且其服务为小型和微型企业承接的</w:t>
      </w:r>
      <w:r>
        <w:rPr>
          <w:rFonts w:ascii="宋体" w:hAnsi="宋体" w:eastAsia="宋体" w:cs="宋体"/>
          <w:b/>
          <w:bCs/>
          <w:snapToGrid w:val="0"/>
          <w:color w:val="auto"/>
          <w:spacing w:val="-4"/>
          <w:kern w:val="0"/>
          <w:sz w:val="24"/>
          <w:szCs w:val="24"/>
          <w:highlight w:val="none"/>
          <w:lang w:val="en-US" w:eastAsia="en-US" w:bidi="ar-SA"/>
        </w:rPr>
        <w:t>，对其投标报价给予 20%的扣除，扣除后的价格为评标报价，即评标报价=投标报价×（1-20%）；</w:t>
      </w:r>
    </w:p>
    <w:p>
      <w:pPr>
        <w:pStyle w:val="11"/>
        <w:numPr>
          <w:ilvl w:val="0"/>
          <w:numId w:val="0"/>
        </w:numPr>
        <w:tabs>
          <w:tab w:val="left" w:pos="1457"/>
        </w:tabs>
        <w:spacing w:before="132" w:after="0" w:line="357" w:lineRule="auto"/>
        <w:ind w:right="564" w:rightChars="0" w:firstLine="466" w:firstLineChars="200"/>
        <w:jc w:val="both"/>
        <w:rPr>
          <w:rFonts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 xml:space="preserve">1.2 </w:t>
      </w:r>
      <w:r>
        <w:rPr>
          <w:rFonts w:ascii="宋体" w:hAnsi="宋体" w:eastAsia="宋体" w:cs="宋体"/>
          <w:b/>
          <w:bCs/>
          <w:snapToGrid w:val="0"/>
          <w:color w:val="auto"/>
          <w:spacing w:val="-4"/>
          <w:kern w:val="0"/>
          <w:sz w:val="24"/>
          <w:szCs w:val="24"/>
          <w:highlight w:val="none"/>
          <w:lang w:val="en-US" w:eastAsia="en-US" w:bidi="ar-SA"/>
        </w:rPr>
        <w:t>除上述情况外，评标报价=投标报价。</w:t>
      </w:r>
    </w:p>
    <w:p>
      <w:pPr>
        <w:spacing w:before="129"/>
        <w:ind w:right="0" w:firstLine="482" w:firstLineChars="200"/>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注：评标报价为投标人的投标报价进行政策性扣除后的价格，评标报价仅作为评标时使用。最终中标人的中标金额＝投标报价。</w:t>
      </w:r>
    </w:p>
    <w:p>
      <w:pPr>
        <w:pStyle w:val="11"/>
        <w:numPr>
          <w:ilvl w:val="0"/>
          <w:numId w:val="0"/>
        </w:numPr>
        <w:tabs>
          <w:tab w:val="left" w:pos="1457"/>
        </w:tabs>
        <w:spacing w:before="132" w:after="0" w:line="357" w:lineRule="auto"/>
        <w:ind w:right="564" w:rightChars="0" w:firstLine="466" w:firstLineChars="200"/>
        <w:jc w:val="both"/>
        <w:rPr>
          <w:rFonts w:ascii="宋体" w:hAnsi="宋体" w:eastAsia="宋体" w:cs="宋体"/>
          <w:b/>
          <w:bCs/>
          <w:snapToGrid w:val="0"/>
          <w:color w:val="auto"/>
          <w:spacing w:val="-4"/>
          <w:kern w:val="0"/>
          <w:sz w:val="24"/>
          <w:szCs w:val="24"/>
          <w:highlight w:val="none"/>
          <w:lang w:val="en-US" w:eastAsia="en-US" w:bidi="ar-SA"/>
        </w:rPr>
      </w:pPr>
      <w:r>
        <w:rPr>
          <w:rFonts w:hint="eastAsia" w:ascii="宋体" w:hAnsi="宋体" w:eastAsia="宋体" w:cs="宋体"/>
          <w:b/>
          <w:bCs/>
          <w:snapToGrid w:val="0"/>
          <w:color w:val="auto"/>
          <w:spacing w:val="-4"/>
          <w:kern w:val="0"/>
          <w:sz w:val="24"/>
          <w:szCs w:val="24"/>
          <w:highlight w:val="none"/>
          <w:lang w:val="en-US" w:eastAsia="zh-CN" w:bidi="ar-SA"/>
        </w:rPr>
        <w:t>1.3</w:t>
      </w:r>
      <w:r>
        <w:rPr>
          <w:rFonts w:ascii="宋体" w:hAnsi="宋体" w:eastAsia="宋体" w:cs="宋体"/>
          <w:b/>
          <w:bCs/>
          <w:snapToGrid w:val="0"/>
          <w:color w:val="auto"/>
          <w:spacing w:val="-4"/>
          <w:kern w:val="0"/>
          <w:sz w:val="24"/>
          <w:szCs w:val="24"/>
          <w:highlight w:val="none"/>
          <w:lang w:val="en-US" w:eastAsia="en-US" w:bidi="ar-SA"/>
        </w:rPr>
        <w:t>根据《关于政府采购支持监狱企业发展有关问题的通知》（财库[2014]68 号）和《关于促进残疾人就业政府采购政策的通知》（财库[2017]141 号），监狱企业和符合条件的残疾人福利性单位视同小型、微型企业，享受小型、微型企业评审中价格扣除的政府采购政策。监狱企业和残疾人福利性单位属于小型、微型企业的，不重复享受政策。</w:t>
      </w:r>
    </w:p>
    <w:p>
      <w:pPr>
        <w:pStyle w:val="3"/>
        <w:spacing w:before="106" w:line="212" w:lineRule="auto"/>
        <w:ind w:firstLine="516" w:firstLineChars="200"/>
        <w:rPr>
          <w:color w:val="auto"/>
          <w:sz w:val="24"/>
          <w:szCs w:val="24"/>
          <w:highlight w:val="none"/>
        </w:rPr>
      </w:pPr>
      <w:r>
        <w:rPr>
          <w:rFonts w:hint="eastAsia" w:ascii="Times New Roman" w:hAnsi="Times New Roman" w:eastAsia="宋体" w:cs="Times New Roman"/>
          <w:color w:val="auto"/>
          <w:spacing w:val="9"/>
          <w:sz w:val="24"/>
          <w:szCs w:val="24"/>
          <w:highlight w:val="none"/>
          <w:lang w:val="en-US" w:eastAsia="zh-CN"/>
        </w:rPr>
        <w:t>1.4、</w:t>
      </w:r>
      <w:r>
        <w:rPr>
          <w:color w:val="auto"/>
          <w:spacing w:val="9"/>
          <w:sz w:val="24"/>
          <w:szCs w:val="24"/>
          <w:highlight w:val="none"/>
        </w:rPr>
        <w:t>以进入评标的最低的</w:t>
      </w:r>
      <w:r>
        <w:rPr>
          <w:rFonts w:hint="eastAsia"/>
          <w:color w:val="auto"/>
          <w:spacing w:val="9"/>
          <w:sz w:val="24"/>
          <w:szCs w:val="24"/>
          <w:highlight w:val="none"/>
          <w:lang w:val="en-US" w:eastAsia="zh-CN"/>
        </w:rPr>
        <w:t>评标</w:t>
      </w:r>
      <w:r>
        <w:rPr>
          <w:color w:val="auto"/>
          <w:spacing w:val="9"/>
          <w:sz w:val="24"/>
          <w:szCs w:val="24"/>
          <w:highlight w:val="none"/>
        </w:rPr>
        <w:t>报价为10分。</w:t>
      </w:r>
    </w:p>
    <w:p>
      <w:pPr>
        <w:pStyle w:val="3"/>
        <w:spacing w:before="134" w:line="212" w:lineRule="auto"/>
        <w:ind w:firstLine="508" w:firstLineChars="200"/>
        <w:rPr>
          <w:color w:val="auto"/>
          <w:sz w:val="24"/>
          <w:szCs w:val="24"/>
          <w:highlight w:val="none"/>
        </w:rPr>
      </w:pPr>
      <w:r>
        <w:rPr>
          <w:rFonts w:hint="eastAsia" w:ascii="Times New Roman" w:hAnsi="Times New Roman" w:eastAsia="宋体" w:cs="Times New Roman"/>
          <w:color w:val="auto"/>
          <w:spacing w:val="7"/>
          <w:sz w:val="24"/>
          <w:szCs w:val="24"/>
          <w:highlight w:val="none"/>
          <w:lang w:val="en-US" w:eastAsia="zh-CN"/>
        </w:rPr>
        <w:t>1.5</w:t>
      </w:r>
      <w:r>
        <w:rPr>
          <w:rFonts w:ascii="Times New Roman" w:hAnsi="Times New Roman" w:eastAsia="Times New Roman" w:cs="Times New Roman"/>
          <w:color w:val="auto"/>
          <w:spacing w:val="7"/>
          <w:sz w:val="24"/>
          <w:szCs w:val="24"/>
          <w:highlight w:val="none"/>
        </w:rPr>
        <w:t xml:space="preserve">  </w:t>
      </w:r>
      <w:r>
        <w:rPr>
          <w:color w:val="auto"/>
          <w:spacing w:val="7"/>
          <w:sz w:val="24"/>
          <w:szCs w:val="24"/>
          <w:highlight w:val="none"/>
        </w:rPr>
        <w:t>供应商价格分=</w:t>
      </w:r>
      <w:r>
        <w:rPr>
          <w:rFonts w:hint="eastAsia"/>
          <w:color w:val="auto"/>
          <w:spacing w:val="7"/>
          <w:sz w:val="24"/>
          <w:szCs w:val="24"/>
          <w:highlight w:val="none"/>
          <w:lang w:eastAsia="zh-CN"/>
        </w:rPr>
        <w:t>（</w:t>
      </w:r>
      <w:r>
        <w:rPr>
          <w:color w:val="auto"/>
          <w:spacing w:val="7"/>
          <w:sz w:val="24"/>
          <w:szCs w:val="24"/>
          <w:highlight w:val="none"/>
        </w:rPr>
        <w:t>最低供应商</w:t>
      </w:r>
      <w:r>
        <w:rPr>
          <w:rFonts w:ascii="宋体" w:hAnsi="宋体" w:eastAsia="宋体" w:cs="宋体"/>
          <w:color w:val="auto"/>
          <w:spacing w:val="7"/>
          <w:sz w:val="24"/>
          <w:szCs w:val="24"/>
          <w:highlight w:val="none"/>
        </w:rPr>
        <w:t>评标报价</w:t>
      </w:r>
      <w:r>
        <w:rPr>
          <w:color w:val="auto"/>
          <w:spacing w:val="7"/>
          <w:sz w:val="24"/>
          <w:szCs w:val="24"/>
          <w:highlight w:val="none"/>
        </w:rPr>
        <w:t>金额/供应商评标报价金额</w:t>
      </w:r>
      <w:r>
        <w:rPr>
          <w:rFonts w:hint="eastAsia"/>
          <w:color w:val="auto"/>
          <w:spacing w:val="7"/>
          <w:sz w:val="24"/>
          <w:szCs w:val="24"/>
          <w:highlight w:val="none"/>
          <w:lang w:eastAsia="zh-CN"/>
        </w:rPr>
        <w:t>）</w:t>
      </w:r>
      <w:r>
        <w:rPr>
          <w:color w:val="auto"/>
          <w:spacing w:val="7"/>
          <w:sz w:val="24"/>
          <w:szCs w:val="24"/>
          <w:highlight w:val="none"/>
        </w:rPr>
        <w:t>×10分</w:t>
      </w:r>
    </w:p>
    <w:p>
      <w:pPr>
        <w:spacing w:before="179" w:line="221" w:lineRule="auto"/>
        <w:ind w:left="46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2.</w:t>
      </w:r>
      <w:r>
        <w:rPr>
          <w:rFonts w:hint="eastAsia" w:ascii="宋体" w:hAnsi="宋体" w:eastAsia="宋体" w:cs="宋体"/>
          <w:b/>
          <w:bCs/>
          <w:color w:val="auto"/>
          <w:spacing w:val="-6"/>
          <w:sz w:val="24"/>
          <w:szCs w:val="24"/>
          <w:highlight w:val="none"/>
        </w:rPr>
        <w:t xml:space="preserve"> </w:t>
      </w:r>
      <w:r>
        <w:rPr>
          <w:rFonts w:hint="eastAsia" w:ascii="宋体" w:hAnsi="宋体" w:eastAsia="宋体" w:cs="宋体"/>
          <w:b/>
          <w:bCs/>
          <w:color w:val="auto"/>
          <w:sz w:val="24"/>
          <w:szCs w:val="24"/>
          <w:highlight w:val="none"/>
        </w:rPr>
        <w:t>服务实施方案分………………………………………………………………………</w:t>
      </w:r>
      <w:r>
        <w:rPr>
          <w:rFonts w:hint="eastAsia" w:ascii="宋体" w:hAnsi="宋体" w:eastAsia="宋体" w:cs="宋体"/>
          <w:b/>
          <w:bCs/>
          <w:color w:val="auto"/>
          <w:sz w:val="24"/>
          <w:szCs w:val="24"/>
          <w:highlight w:val="none"/>
          <w:lang w:val="en-US" w:eastAsia="zh-CN"/>
        </w:rPr>
        <w:t>68</w:t>
      </w:r>
      <w:r>
        <w:rPr>
          <w:rFonts w:hint="eastAsia" w:ascii="宋体" w:hAnsi="宋体" w:eastAsia="宋体" w:cs="宋体"/>
          <w:b/>
          <w:bCs/>
          <w:color w:val="auto"/>
          <w:sz w:val="24"/>
          <w:szCs w:val="24"/>
          <w:highlight w:val="none"/>
        </w:rPr>
        <w:t>分</w:t>
      </w:r>
    </w:p>
    <w:p>
      <w:pPr>
        <w:pStyle w:val="3"/>
        <w:spacing w:before="98" w:line="212"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11"/>
          <w:sz w:val="24"/>
          <w:szCs w:val="24"/>
          <w:highlight w:val="none"/>
        </w:rPr>
        <w:t>(1)管理规章制度和管理方案分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1"/>
          <w:sz w:val="24"/>
          <w:szCs w:val="24"/>
          <w:highlight w:val="none"/>
        </w:rPr>
        <w:t>(</w:t>
      </w:r>
      <w:r>
        <w:rPr>
          <w:rFonts w:hint="eastAsia" w:ascii="宋体" w:hAnsi="宋体" w:eastAsia="宋体" w:cs="宋体"/>
          <w:b/>
          <w:bCs/>
          <w:color w:val="auto"/>
          <w:spacing w:val="11"/>
          <w:sz w:val="24"/>
          <w:szCs w:val="24"/>
          <w:highlight w:val="none"/>
          <w:lang w:val="en-US" w:eastAsia="zh-CN"/>
        </w:rPr>
        <w:t>20</w:t>
      </w:r>
      <w:r>
        <w:rPr>
          <w:rFonts w:hint="eastAsia" w:ascii="宋体" w:hAnsi="宋体" w:eastAsia="宋体" w:cs="宋体"/>
          <w:b/>
          <w:bCs/>
          <w:color w:val="auto"/>
          <w:spacing w:val="10"/>
          <w:sz w:val="24"/>
          <w:szCs w:val="24"/>
          <w:highlight w:val="none"/>
        </w:rPr>
        <w:t>分)</w:t>
      </w:r>
    </w:p>
    <w:p>
      <w:pPr>
        <w:pStyle w:val="3"/>
        <w:spacing w:before="172" w:line="322" w:lineRule="auto"/>
        <w:ind w:right="79" w:firstLine="489"/>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评委根据供应商提供的“服务实施方案”中的“管理规章制度和管理方案进行独立评审并</w:t>
      </w:r>
      <w:r>
        <w:rPr>
          <w:rFonts w:hint="eastAsia" w:ascii="宋体" w:hAnsi="宋体" w:eastAsia="宋体" w:cs="宋体"/>
          <w:color w:val="auto"/>
          <w:spacing w:val="17"/>
          <w:sz w:val="24"/>
          <w:szCs w:val="24"/>
          <w:highlight w:val="none"/>
        </w:rPr>
        <w:t xml:space="preserve"> </w:t>
      </w:r>
      <w:r>
        <w:rPr>
          <w:rFonts w:hint="eastAsia" w:ascii="宋体" w:hAnsi="宋体" w:eastAsia="宋体" w:cs="宋体"/>
          <w:color w:val="auto"/>
          <w:spacing w:val="-5"/>
          <w:sz w:val="24"/>
          <w:szCs w:val="24"/>
          <w:highlight w:val="none"/>
        </w:rPr>
        <w:t>打分：</w:t>
      </w:r>
    </w:p>
    <w:p>
      <w:pPr>
        <w:pStyle w:val="3"/>
        <w:spacing w:before="1" w:line="271" w:lineRule="auto"/>
        <w:ind w:left="19" w:firstLine="44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①管理规章制度的建立与档案的管理制度、管理方法、治安及消防管理、考核奖罚、培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1"/>
          <w:sz w:val="24"/>
          <w:szCs w:val="24"/>
          <w:highlight w:val="none"/>
        </w:rPr>
        <w:t>管理制度等内容简单、可操作性差的，得</w:t>
      </w:r>
      <w:r>
        <w:rPr>
          <w:rFonts w:hint="eastAsia" w:ascii="宋体" w:hAnsi="宋体" w:eastAsia="宋体" w:cs="宋体"/>
          <w:color w:val="auto"/>
          <w:spacing w:val="11"/>
          <w:sz w:val="24"/>
          <w:szCs w:val="24"/>
          <w:highlight w:val="none"/>
          <w:lang w:val="en-US" w:eastAsia="zh-CN"/>
        </w:rPr>
        <w:t>5</w:t>
      </w:r>
      <w:r>
        <w:rPr>
          <w:rFonts w:hint="eastAsia" w:ascii="宋体" w:hAnsi="宋体" w:eastAsia="宋体" w:cs="宋体"/>
          <w:color w:val="auto"/>
          <w:spacing w:val="11"/>
          <w:sz w:val="24"/>
          <w:szCs w:val="24"/>
          <w:highlight w:val="none"/>
        </w:rPr>
        <w:t>分。</w:t>
      </w:r>
    </w:p>
    <w:p>
      <w:pPr>
        <w:pStyle w:val="3"/>
        <w:spacing w:before="135" w:line="275" w:lineRule="auto"/>
        <w:ind w:left="9" w:firstLine="45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②管理规章制度的建立与档案的管理制度、管理方法、治安及消防管理、考核奖罚、培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9"/>
          <w:sz w:val="24"/>
          <w:szCs w:val="24"/>
          <w:highlight w:val="none"/>
        </w:rPr>
        <w:t>管理制度等内容简单、基本合理、可操作性一般的</w:t>
      </w:r>
      <w:r>
        <w:rPr>
          <w:rFonts w:hint="eastAsia" w:ascii="宋体" w:hAnsi="宋体" w:eastAsia="宋体" w:cs="宋体"/>
          <w:color w:val="auto"/>
          <w:spacing w:val="8"/>
          <w:sz w:val="24"/>
          <w:szCs w:val="24"/>
          <w:highlight w:val="none"/>
        </w:rPr>
        <w:t>，得</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p>
      <w:pPr>
        <w:pStyle w:val="3"/>
        <w:spacing w:before="125" w:line="272" w:lineRule="auto"/>
        <w:ind w:left="19" w:firstLine="44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③管理规章制度的建立与档案的管理制度、管理方法、治安及消防管理、考核奖罚、培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8"/>
          <w:sz w:val="24"/>
          <w:szCs w:val="24"/>
          <w:highlight w:val="none"/>
        </w:rPr>
        <w:t>管理制度等内容详细合理、完善、具有可操作性的，得</w:t>
      </w:r>
      <w:r>
        <w:rPr>
          <w:rFonts w:hint="eastAsia" w:ascii="宋体" w:hAnsi="宋体" w:eastAsia="宋体" w:cs="宋体"/>
          <w:color w:val="auto"/>
          <w:spacing w:val="8"/>
          <w:sz w:val="24"/>
          <w:szCs w:val="24"/>
          <w:highlight w:val="none"/>
          <w:lang w:val="en-US" w:eastAsia="zh-CN"/>
        </w:rPr>
        <w:t>15</w:t>
      </w:r>
      <w:r>
        <w:rPr>
          <w:rFonts w:hint="eastAsia" w:ascii="宋体" w:hAnsi="宋体" w:eastAsia="宋体" w:cs="宋体"/>
          <w:color w:val="auto"/>
          <w:spacing w:val="8"/>
          <w:sz w:val="24"/>
          <w:szCs w:val="24"/>
          <w:highlight w:val="none"/>
        </w:rPr>
        <w:t>分。</w:t>
      </w:r>
    </w:p>
    <w:p>
      <w:pPr>
        <w:pStyle w:val="3"/>
        <w:spacing w:before="133" w:line="292" w:lineRule="auto"/>
        <w:ind w:firstLine="46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④管理规章制度的建立与档案的管理制度、管理方法、治安及消防管理、考核奖罚、培</w:t>
      </w:r>
      <w:r>
        <w:rPr>
          <w:rFonts w:hint="eastAsia" w:ascii="宋体" w:hAnsi="宋体" w:eastAsia="宋体" w:cs="宋体"/>
          <w:color w:val="auto"/>
          <w:spacing w:val="-6"/>
          <w:sz w:val="24"/>
          <w:szCs w:val="24"/>
          <w:highlight w:val="none"/>
        </w:rPr>
        <w:t>训、</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
          <w:sz w:val="24"/>
          <w:szCs w:val="24"/>
          <w:highlight w:val="none"/>
        </w:rPr>
        <w:t>管理制度等内容详细全面、完善、科学合理、专业性强、可操</w:t>
      </w:r>
      <w:r>
        <w:rPr>
          <w:rFonts w:hint="eastAsia" w:ascii="宋体" w:hAnsi="宋体" w:eastAsia="宋体" w:cs="宋体"/>
          <w:color w:val="auto"/>
          <w:spacing w:val="-2"/>
          <w:sz w:val="24"/>
          <w:szCs w:val="24"/>
          <w:highlight w:val="none"/>
        </w:rPr>
        <w:t>作性强，且具有高效性的，得</w:t>
      </w:r>
      <w:r>
        <w:rPr>
          <w:rFonts w:hint="eastAsia" w:ascii="宋体" w:hAnsi="宋体" w:eastAsia="宋体" w:cs="宋体"/>
          <w:color w:val="auto"/>
          <w:spacing w:val="-2"/>
          <w:sz w:val="24"/>
          <w:szCs w:val="24"/>
          <w:highlight w:val="none"/>
          <w:lang w:val="en-US" w:eastAsia="zh-CN"/>
        </w:rPr>
        <w:t>20</w:t>
      </w:r>
      <w:r>
        <w:rPr>
          <w:rFonts w:hint="eastAsia" w:ascii="宋体" w:hAnsi="宋体" w:eastAsia="宋体" w:cs="宋体"/>
          <w:color w:val="auto"/>
          <w:spacing w:val="-7"/>
          <w:sz w:val="24"/>
          <w:szCs w:val="24"/>
          <w:highlight w:val="none"/>
        </w:rPr>
        <w:t>分</w:t>
      </w:r>
      <w:r>
        <w:rPr>
          <w:rFonts w:hint="eastAsia" w:ascii="宋体" w:hAnsi="宋体" w:eastAsia="宋体" w:cs="宋体"/>
          <w:color w:val="auto"/>
          <w:spacing w:val="-63"/>
          <w:sz w:val="24"/>
          <w:szCs w:val="24"/>
          <w:highlight w:val="none"/>
        </w:rPr>
        <w:t xml:space="preserve"> </w:t>
      </w:r>
      <w:r>
        <w:rPr>
          <w:rFonts w:hint="eastAsia" w:ascii="宋体" w:hAnsi="宋体" w:eastAsia="宋体" w:cs="宋体"/>
          <w:color w:val="auto"/>
          <w:spacing w:val="-7"/>
          <w:sz w:val="24"/>
          <w:szCs w:val="24"/>
          <w:highlight w:val="none"/>
        </w:rPr>
        <w:t>。</w:t>
      </w:r>
    </w:p>
    <w:p>
      <w:pPr>
        <w:pStyle w:val="3"/>
        <w:spacing w:before="106" w:line="212" w:lineRule="auto"/>
        <w:ind w:firstLine="546"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pacing w:val="16"/>
          <w:sz w:val="24"/>
          <w:szCs w:val="24"/>
          <w:highlight w:val="none"/>
        </w:rPr>
        <w:t>(2)服务区域安保管理措施方案分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6"/>
          <w:sz w:val="24"/>
          <w:szCs w:val="24"/>
          <w:highlight w:val="none"/>
        </w:rPr>
        <w:t>(</w:t>
      </w:r>
      <w:r>
        <w:rPr>
          <w:rFonts w:hint="eastAsia" w:cs="宋体"/>
          <w:b/>
          <w:bCs/>
          <w:color w:val="auto"/>
          <w:spacing w:val="16"/>
          <w:sz w:val="24"/>
          <w:szCs w:val="24"/>
          <w:highlight w:val="none"/>
          <w:lang w:val="en-US" w:eastAsia="zh-CN"/>
        </w:rPr>
        <w:t>12</w:t>
      </w:r>
      <w:r>
        <w:rPr>
          <w:rFonts w:hint="eastAsia" w:ascii="宋体" w:hAnsi="宋体" w:eastAsia="宋体" w:cs="宋体"/>
          <w:b/>
          <w:bCs/>
          <w:color w:val="auto"/>
          <w:spacing w:val="16"/>
          <w:sz w:val="24"/>
          <w:szCs w:val="24"/>
          <w:highlight w:val="none"/>
        </w:rPr>
        <w:t>分)</w:t>
      </w:r>
    </w:p>
    <w:p>
      <w:pPr>
        <w:spacing w:line="271"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评委根据供应商提供的“服务实施方案”中的“服务区域安保管理措施方案(包括学校区</w:t>
      </w: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
          <w:sz w:val="24"/>
          <w:szCs w:val="24"/>
          <w:highlight w:val="none"/>
        </w:rPr>
        <w:t>域安保 措施；设备设施和物品的管理、检查维护方案；交通维护方案；消防安全隐患管控方</w:t>
      </w:r>
    </w:p>
    <w:p>
      <w:pPr>
        <w:spacing w:before="78" w:line="221" w:lineRule="auto"/>
        <w:rPr>
          <w:rFonts w:hint="eastAsia" w:ascii="宋体" w:hAnsi="宋体" w:eastAsia="宋体" w:cs="宋体"/>
          <w:color w:val="auto"/>
          <w:sz w:val="24"/>
          <w:szCs w:val="24"/>
          <w:highlight w:val="none"/>
        </w:rPr>
      </w:pPr>
      <w:r>
        <w:rPr>
          <w:rFonts w:hint="eastAsia" w:ascii="宋体" w:hAnsi="宋体" w:eastAsia="宋体" w:cs="宋体"/>
          <w:color w:val="auto"/>
          <w:spacing w:val="3"/>
          <w:sz w:val="24"/>
          <w:szCs w:val="24"/>
          <w:highlight w:val="none"/>
        </w:rPr>
        <w:t>案等)”内容的可行性、针对性、合理性三方面进行独立评</w:t>
      </w:r>
      <w:r>
        <w:rPr>
          <w:rFonts w:hint="eastAsia" w:ascii="宋体" w:hAnsi="宋体" w:eastAsia="宋体" w:cs="宋体"/>
          <w:color w:val="auto"/>
          <w:spacing w:val="2"/>
          <w:sz w:val="24"/>
          <w:szCs w:val="24"/>
          <w:highlight w:val="none"/>
        </w:rPr>
        <w:t>审并打分：</w:t>
      </w:r>
    </w:p>
    <w:p>
      <w:pPr>
        <w:spacing w:before="112"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①服务区域安保措施及工作方案中内容简单、基本合理的，得</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6"/>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②服务区域安保措施及工作方案内容完整、合理有效的，得</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③服务区域安保措施及工作方案内容完整、合理有效且具体可行的，得</w:t>
      </w: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rPr>
        <w:t>分；</w:t>
      </w:r>
    </w:p>
    <w:p>
      <w:pPr>
        <w:spacing w:before="143" w:line="263" w:lineRule="auto"/>
        <w:ind w:right="87" w:firstLine="479"/>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④服务区域安保措施及工作方案内容描述详细、</w:t>
      </w:r>
      <w:r>
        <w:rPr>
          <w:rFonts w:hint="eastAsia" w:ascii="宋体" w:hAnsi="宋体" w:eastAsia="宋体" w:cs="宋体"/>
          <w:color w:val="auto"/>
          <w:spacing w:val="-2"/>
          <w:sz w:val="24"/>
          <w:szCs w:val="24"/>
          <w:highlight w:val="none"/>
        </w:rPr>
        <w:t>具体可行、科学合理、针对性强的，得</w:t>
      </w:r>
      <w:r>
        <w:rPr>
          <w:rFonts w:hint="eastAsia" w:ascii="宋体" w:hAnsi="宋体" w:eastAsia="宋体" w:cs="宋体"/>
          <w:color w:val="auto"/>
          <w:spacing w:val="-2"/>
          <w:sz w:val="24"/>
          <w:szCs w:val="24"/>
          <w:highlight w:val="none"/>
          <w:lang w:val="en-US" w:eastAsia="zh-CN"/>
        </w:rPr>
        <w:t>12</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14"/>
          <w:sz w:val="24"/>
          <w:szCs w:val="24"/>
          <w:highlight w:val="none"/>
        </w:rPr>
        <w:t>分。</w:t>
      </w:r>
    </w:p>
    <w:p>
      <w:pPr>
        <w:spacing w:before="109" w:line="221"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sz w:val="24"/>
          <w:szCs w:val="24"/>
          <w:highlight w:val="none"/>
        </w:rPr>
        <w:t>(3)安全保卫管理方案分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20"/>
          <w:sz w:val="24"/>
          <w:szCs w:val="24"/>
          <w:highlight w:val="none"/>
        </w:rPr>
        <w:t>(</w:t>
      </w:r>
      <w:r>
        <w:rPr>
          <w:rFonts w:hint="eastAsia" w:ascii="宋体" w:hAnsi="宋体" w:eastAsia="宋体" w:cs="宋体"/>
          <w:b/>
          <w:bCs/>
          <w:color w:val="auto"/>
          <w:spacing w:val="20"/>
          <w:sz w:val="24"/>
          <w:szCs w:val="24"/>
          <w:highlight w:val="none"/>
          <w:lang w:val="en-US" w:eastAsia="zh-CN"/>
        </w:rPr>
        <w:t>12</w:t>
      </w:r>
      <w:r>
        <w:rPr>
          <w:rFonts w:hint="eastAsia" w:ascii="宋体" w:hAnsi="宋体" w:eastAsia="宋体" w:cs="宋体"/>
          <w:b/>
          <w:bCs/>
          <w:color w:val="auto"/>
          <w:spacing w:val="20"/>
          <w:sz w:val="24"/>
          <w:szCs w:val="24"/>
          <w:highlight w:val="none"/>
        </w:rPr>
        <w:t>分)</w:t>
      </w:r>
    </w:p>
    <w:p>
      <w:pPr>
        <w:spacing w:before="133" w:line="319" w:lineRule="auto"/>
        <w:ind w:right="100" w:firstLine="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评委根据供应商提供的“服务实施方案”中的“安</w:t>
      </w:r>
      <w:r>
        <w:rPr>
          <w:rFonts w:hint="eastAsia" w:ascii="宋体" w:hAnsi="宋体" w:eastAsia="宋体" w:cs="宋体"/>
          <w:color w:val="auto"/>
          <w:spacing w:val="7"/>
          <w:sz w:val="24"/>
          <w:szCs w:val="24"/>
          <w:highlight w:val="none"/>
        </w:rPr>
        <w:t>全保卫管理方案(包括保安员管理制</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度、工作职责等)”内容的可行性、针对性、合理性三个方面进行独立评审并打分：</w:t>
      </w:r>
    </w:p>
    <w:p>
      <w:pPr>
        <w:spacing w:before="1" w:line="21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①安全保卫管理方案内容简单、基本合理的，得</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②安全保卫管理方案内容完整、合理有效的，得</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③安全保卫管理方案内容完整、合理有效且具体可行的，得</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④安全保卫管理方案内容描述详细、具体可行、科学合理、针对性强</w:t>
      </w:r>
      <w:r>
        <w:rPr>
          <w:rFonts w:hint="eastAsia" w:ascii="宋体" w:hAnsi="宋体" w:eastAsia="宋体" w:cs="宋体"/>
          <w:color w:val="auto"/>
          <w:spacing w:val="4"/>
          <w:sz w:val="24"/>
          <w:szCs w:val="24"/>
          <w:highlight w:val="none"/>
        </w:rPr>
        <w:t>的，得</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分。</w:t>
      </w:r>
    </w:p>
    <w:p>
      <w:pPr>
        <w:spacing w:before="153" w:line="221"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20"/>
          <w:sz w:val="24"/>
          <w:szCs w:val="24"/>
          <w:highlight w:val="none"/>
        </w:rPr>
        <w:t>(4)应急事件处置方案分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20"/>
          <w:sz w:val="24"/>
          <w:szCs w:val="24"/>
          <w:highlight w:val="none"/>
        </w:rPr>
        <w:t>(</w:t>
      </w:r>
      <w:r>
        <w:rPr>
          <w:rFonts w:hint="eastAsia" w:ascii="宋体" w:hAnsi="宋体" w:eastAsia="宋体" w:cs="宋体"/>
          <w:b/>
          <w:bCs/>
          <w:color w:val="auto"/>
          <w:spacing w:val="20"/>
          <w:sz w:val="24"/>
          <w:szCs w:val="24"/>
          <w:highlight w:val="none"/>
          <w:lang w:val="en-US" w:eastAsia="zh-CN"/>
        </w:rPr>
        <w:t>12</w:t>
      </w:r>
      <w:r>
        <w:rPr>
          <w:rFonts w:hint="eastAsia" w:ascii="宋体" w:hAnsi="宋体" w:eastAsia="宋体" w:cs="宋体"/>
          <w:b/>
          <w:bCs/>
          <w:color w:val="auto"/>
          <w:spacing w:val="20"/>
          <w:sz w:val="24"/>
          <w:szCs w:val="24"/>
          <w:highlight w:val="none"/>
        </w:rPr>
        <w:t>分)</w:t>
      </w:r>
    </w:p>
    <w:p>
      <w:pPr>
        <w:spacing w:before="134" w:line="320" w:lineRule="auto"/>
        <w:ind w:right="105"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评委根据供应商提供的“服务实施方案”中的“应急事件处置方案(包括应急事件处置</w:t>
      </w:r>
      <w:r>
        <w:rPr>
          <w:rFonts w:hint="eastAsia" w:ascii="宋体" w:hAnsi="宋体" w:eastAsia="宋体" w:cs="宋体"/>
          <w:color w:val="auto"/>
          <w:spacing w:val="16"/>
          <w:sz w:val="24"/>
          <w:szCs w:val="24"/>
          <w:highlight w:val="none"/>
        </w:rPr>
        <w:t xml:space="preserve"> </w:t>
      </w:r>
      <w:r>
        <w:rPr>
          <w:rFonts w:hint="eastAsia" w:ascii="宋体" w:hAnsi="宋体" w:eastAsia="宋体" w:cs="宋体"/>
          <w:color w:val="auto"/>
          <w:spacing w:val="-2"/>
          <w:sz w:val="24"/>
          <w:szCs w:val="24"/>
          <w:highlight w:val="none"/>
        </w:rPr>
        <w:t>总体预案；一般治安事件处置方案；恶性暴力恐怖事件处置方案；火灾、暴雨、地震等突发事</w:t>
      </w:r>
      <w:r>
        <w:rPr>
          <w:rFonts w:hint="eastAsia" w:ascii="宋体" w:hAnsi="宋体" w:eastAsia="宋体" w:cs="宋体"/>
          <w:color w:val="auto"/>
          <w:spacing w:val="4"/>
          <w:sz w:val="24"/>
          <w:szCs w:val="24"/>
          <w:highlight w:val="none"/>
        </w:rPr>
        <w:t xml:space="preserve"> </w:t>
      </w:r>
      <w:r>
        <w:rPr>
          <w:rFonts w:hint="eastAsia" w:ascii="宋体" w:hAnsi="宋体" w:eastAsia="宋体" w:cs="宋体"/>
          <w:color w:val="auto"/>
          <w:spacing w:val="9"/>
          <w:sz w:val="24"/>
          <w:szCs w:val="24"/>
          <w:highlight w:val="none"/>
        </w:rPr>
        <w:t>件处置方案等)”内容的可行性、针对性、合理性三个方面进行独立评</w:t>
      </w:r>
      <w:r>
        <w:rPr>
          <w:rFonts w:hint="eastAsia" w:ascii="宋体" w:hAnsi="宋体" w:eastAsia="宋体" w:cs="宋体"/>
          <w:color w:val="auto"/>
          <w:spacing w:val="8"/>
          <w:sz w:val="24"/>
          <w:szCs w:val="24"/>
          <w:highlight w:val="none"/>
        </w:rPr>
        <w:t>审并打分：</w:t>
      </w:r>
    </w:p>
    <w:p>
      <w:pPr>
        <w:spacing w:before="2" w:line="21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①应急事件处置方案内容简单、基本合理的，得</w:t>
      </w:r>
      <w:r>
        <w:rPr>
          <w:rFonts w:hint="eastAsia" w:ascii="宋体" w:hAnsi="宋体" w:eastAsia="宋体" w:cs="宋体"/>
          <w:color w:val="auto"/>
          <w:spacing w:val="8"/>
          <w:sz w:val="24"/>
          <w:szCs w:val="24"/>
          <w:highlight w:val="none"/>
          <w:lang w:val="en-US" w:eastAsia="zh-CN"/>
        </w:rPr>
        <w:t>3</w:t>
      </w:r>
      <w:r>
        <w:rPr>
          <w:rFonts w:hint="eastAsia" w:ascii="宋体" w:hAnsi="宋体" w:eastAsia="宋体" w:cs="宋体"/>
          <w:color w:val="auto"/>
          <w:spacing w:val="8"/>
          <w:sz w:val="24"/>
          <w:szCs w:val="24"/>
          <w:highlight w:val="none"/>
        </w:rPr>
        <w:t>分；</w:t>
      </w:r>
    </w:p>
    <w:p>
      <w:pPr>
        <w:spacing w:before="15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②应急事件处置方案内容完整、合理有效的，得</w:t>
      </w: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③应急事件处置方案内容完整、合理有效且具体可行的，得</w:t>
      </w:r>
      <w:r>
        <w:rPr>
          <w:rFonts w:hint="eastAsia" w:ascii="宋体" w:hAnsi="宋体" w:eastAsia="宋体" w:cs="宋体"/>
          <w:color w:val="auto"/>
          <w:spacing w:val="7"/>
          <w:sz w:val="24"/>
          <w:szCs w:val="24"/>
          <w:highlight w:val="none"/>
          <w:lang w:val="en-US" w:eastAsia="zh-CN"/>
        </w:rPr>
        <w:t>9</w:t>
      </w:r>
      <w:r>
        <w:rPr>
          <w:rFonts w:hint="eastAsia" w:ascii="宋体" w:hAnsi="宋体" w:eastAsia="宋体" w:cs="宋体"/>
          <w:color w:val="auto"/>
          <w:spacing w:val="7"/>
          <w:sz w:val="24"/>
          <w:szCs w:val="24"/>
          <w:highlight w:val="none"/>
        </w:rPr>
        <w:t>分；</w:t>
      </w:r>
    </w:p>
    <w:p>
      <w:pPr>
        <w:spacing w:before="143" w:line="213"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5"/>
          <w:sz w:val="24"/>
          <w:szCs w:val="24"/>
          <w:highlight w:val="none"/>
        </w:rPr>
        <w:t>④应急事件处置方案内容描述详细、具体可行、科学合理、针对性强</w:t>
      </w:r>
      <w:r>
        <w:rPr>
          <w:rFonts w:hint="eastAsia" w:ascii="宋体" w:hAnsi="宋体" w:eastAsia="宋体" w:cs="宋体"/>
          <w:color w:val="auto"/>
          <w:spacing w:val="4"/>
          <w:sz w:val="24"/>
          <w:szCs w:val="24"/>
          <w:highlight w:val="none"/>
        </w:rPr>
        <w:t>的，得</w:t>
      </w:r>
      <w:r>
        <w:rPr>
          <w:rFonts w:hint="eastAsia" w:ascii="宋体" w:hAnsi="宋体" w:eastAsia="宋体" w:cs="宋体"/>
          <w:color w:val="auto"/>
          <w:spacing w:val="4"/>
          <w:sz w:val="24"/>
          <w:szCs w:val="24"/>
          <w:highlight w:val="none"/>
          <w:lang w:val="en-US" w:eastAsia="zh-CN"/>
        </w:rPr>
        <w:t>12</w:t>
      </w:r>
      <w:r>
        <w:rPr>
          <w:rFonts w:hint="eastAsia" w:ascii="宋体" w:hAnsi="宋体" w:eastAsia="宋体" w:cs="宋体"/>
          <w:color w:val="auto"/>
          <w:spacing w:val="4"/>
          <w:sz w:val="24"/>
          <w:szCs w:val="24"/>
          <w:highlight w:val="none"/>
        </w:rPr>
        <w:t>分。</w:t>
      </w:r>
    </w:p>
    <w:p>
      <w:pPr>
        <w:spacing w:before="153" w:line="221" w:lineRule="auto"/>
        <w:ind w:left="619"/>
        <w:rPr>
          <w:rFonts w:hint="eastAsia" w:ascii="宋体" w:hAnsi="宋体" w:eastAsia="宋体" w:cs="宋体"/>
          <w:b/>
          <w:bCs/>
          <w:color w:val="auto"/>
          <w:sz w:val="24"/>
          <w:szCs w:val="24"/>
          <w:highlight w:val="none"/>
        </w:rPr>
      </w:pPr>
      <w:r>
        <w:rPr>
          <w:rFonts w:hint="eastAsia" w:ascii="宋体" w:hAnsi="宋体" w:eastAsia="宋体" w:cs="宋体"/>
          <w:b/>
          <w:bCs/>
          <w:color w:val="auto"/>
          <w:spacing w:val="17"/>
          <w:sz w:val="24"/>
          <w:szCs w:val="24"/>
          <w:highlight w:val="none"/>
        </w:rPr>
        <w:t>(5)其它优化、增值服务方案分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7"/>
          <w:sz w:val="24"/>
          <w:szCs w:val="24"/>
          <w:highlight w:val="none"/>
        </w:rPr>
        <w:t>(</w:t>
      </w:r>
      <w:r>
        <w:rPr>
          <w:rFonts w:hint="eastAsia" w:ascii="宋体" w:hAnsi="宋体" w:eastAsia="宋体" w:cs="宋体"/>
          <w:b/>
          <w:bCs/>
          <w:color w:val="auto"/>
          <w:spacing w:val="17"/>
          <w:sz w:val="24"/>
          <w:szCs w:val="24"/>
          <w:highlight w:val="none"/>
          <w:lang w:val="en-US" w:eastAsia="zh-CN"/>
        </w:rPr>
        <w:t>12</w:t>
      </w:r>
      <w:r>
        <w:rPr>
          <w:rFonts w:hint="eastAsia" w:ascii="宋体" w:hAnsi="宋体" w:eastAsia="宋体" w:cs="宋体"/>
          <w:b/>
          <w:bCs/>
          <w:color w:val="auto"/>
          <w:spacing w:val="17"/>
          <w:sz w:val="24"/>
          <w:szCs w:val="24"/>
          <w:highlight w:val="none"/>
        </w:rPr>
        <w:t>分)</w:t>
      </w:r>
    </w:p>
    <w:p>
      <w:pPr>
        <w:spacing w:before="123" w:line="323" w:lineRule="auto"/>
        <w:ind w:right="110" w:firstLine="479"/>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评委根据供应商提供的“服务实施方案”中的“其它优化、增值服务方案(包括对安保</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1"/>
          <w:sz w:val="24"/>
          <w:szCs w:val="24"/>
          <w:highlight w:val="none"/>
        </w:rPr>
        <w:t>工作的理化建议及优化措施；实质的增值服务举措等)”内容的可行性、针对性、合理</w:t>
      </w:r>
      <w:r>
        <w:rPr>
          <w:rFonts w:hint="eastAsia" w:ascii="宋体" w:hAnsi="宋体" w:eastAsia="宋体" w:cs="宋体"/>
          <w:color w:val="auto"/>
          <w:sz w:val="24"/>
          <w:szCs w:val="24"/>
          <w:highlight w:val="none"/>
        </w:rPr>
        <w:t xml:space="preserve">性三个 </w:t>
      </w:r>
      <w:r>
        <w:rPr>
          <w:rFonts w:hint="eastAsia" w:ascii="宋体" w:hAnsi="宋体" w:eastAsia="宋体" w:cs="宋体"/>
          <w:color w:val="auto"/>
          <w:spacing w:val="-5"/>
          <w:sz w:val="24"/>
          <w:szCs w:val="24"/>
          <w:highlight w:val="none"/>
        </w:rPr>
        <w:t>方面进行独立评审并打分：</w:t>
      </w:r>
    </w:p>
    <w:p>
      <w:pPr>
        <w:spacing w:before="1" w:line="212" w:lineRule="auto"/>
        <w:ind w:left="479"/>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①其它优化、增值服务方案内容简单、基本合</w:t>
      </w:r>
      <w:r>
        <w:rPr>
          <w:rFonts w:hint="eastAsia" w:ascii="宋体" w:hAnsi="宋体" w:eastAsia="宋体" w:cs="宋体"/>
          <w:color w:val="auto"/>
          <w:spacing w:val="7"/>
          <w:sz w:val="24"/>
          <w:szCs w:val="24"/>
          <w:highlight w:val="none"/>
        </w:rPr>
        <w:t>理的，得</w:t>
      </w:r>
      <w:r>
        <w:rPr>
          <w:rFonts w:hint="eastAsia" w:ascii="宋体" w:hAnsi="宋体" w:eastAsia="宋体" w:cs="宋体"/>
          <w:color w:val="auto"/>
          <w:spacing w:val="7"/>
          <w:sz w:val="24"/>
          <w:szCs w:val="24"/>
          <w:highlight w:val="none"/>
          <w:lang w:val="en-US" w:eastAsia="zh-CN"/>
        </w:rPr>
        <w:t>3</w:t>
      </w:r>
      <w:r>
        <w:rPr>
          <w:rFonts w:hint="eastAsia" w:ascii="宋体" w:hAnsi="宋体" w:eastAsia="宋体" w:cs="宋体"/>
          <w:color w:val="auto"/>
          <w:spacing w:val="7"/>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②其它优化、增值服务方案内容完整、合理有</w:t>
      </w:r>
      <w:r>
        <w:rPr>
          <w:rFonts w:hint="eastAsia" w:ascii="宋体" w:hAnsi="宋体" w:eastAsia="宋体" w:cs="宋体"/>
          <w:color w:val="auto"/>
          <w:spacing w:val="7"/>
          <w:sz w:val="24"/>
          <w:szCs w:val="24"/>
          <w:highlight w:val="none"/>
        </w:rPr>
        <w:t>效的，得</w:t>
      </w:r>
      <w:r>
        <w:rPr>
          <w:rFonts w:hint="eastAsia" w:ascii="宋体" w:hAnsi="宋体" w:eastAsia="宋体" w:cs="宋体"/>
          <w:color w:val="auto"/>
          <w:spacing w:val="7"/>
          <w:sz w:val="24"/>
          <w:szCs w:val="24"/>
          <w:highlight w:val="none"/>
          <w:lang w:val="en-US" w:eastAsia="zh-CN"/>
        </w:rPr>
        <w:t>6</w:t>
      </w:r>
      <w:r>
        <w:rPr>
          <w:rFonts w:hint="eastAsia" w:ascii="宋体" w:hAnsi="宋体" w:eastAsia="宋体" w:cs="宋体"/>
          <w:color w:val="auto"/>
          <w:spacing w:val="7"/>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③其它优化、增值服务方案内容完整、合理有效且具体可行</w:t>
      </w:r>
      <w:r>
        <w:rPr>
          <w:rFonts w:hint="eastAsia" w:ascii="宋体" w:hAnsi="宋体" w:eastAsia="宋体" w:cs="宋体"/>
          <w:color w:val="auto"/>
          <w:spacing w:val="6"/>
          <w:sz w:val="24"/>
          <w:szCs w:val="24"/>
          <w:highlight w:val="none"/>
        </w:rPr>
        <w:t>的，得</w:t>
      </w:r>
      <w:r>
        <w:rPr>
          <w:rFonts w:hint="eastAsia" w:ascii="宋体" w:hAnsi="宋体" w:eastAsia="宋体" w:cs="宋体"/>
          <w:color w:val="auto"/>
          <w:spacing w:val="6"/>
          <w:sz w:val="24"/>
          <w:szCs w:val="24"/>
          <w:highlight w:val="none"/>
          <w:lang w:val="en-US" w:eastAsia="zh-CN"/>
        </w:rPr>
        <w:t>9</w:t>
      </w:r>
      <w:r>
        <w:rPr>
          <w:rFonts w:hint="eastAsia" w:ascii="宋体" w:hAnsi="宋体" w:eastAsia="宋体" w:cs="宋体"/>
          <w:color w:val="auto"/>
          <w:spacing w:val="6"/>
          <w:sz w:val="24"/>
          <w:szCs w:val="24"/>
          <w:highlight w:val="none"/>
        </w:rPr>
        <w:t>分；</w:t>
      </w:r>
    </w:p>
    <w:p>
      <w:pPr>
        <w:spacing w:before="144" w:line="264"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④其它优化、增值服务方案内容描述详细、具体可行、科学合理</w:t>
      </w:r>
      <w:r>
        <w:rPr>
          <w:rFonts w:hint="eastAsia" w:ascii="宋体" w:hAnsi="宋体" w:eastAsia="宋体" w:cs="宋体"/>
          <w:color w:val="auto"/>
          <w:sz w:val="24"/>
          <w:szCs w:val="24"/>
          <w:highlight w:val="none"/>
        </w:rPr>
        <w:t>、针对性强的，得</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rPr>
        <w:t>分。</w:t>
      </w:r>
    </w:p>
    <w:p>
      <w:pPr>
        <w:spacing w:before="144" w:line="264" w:lineRule="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pacing w:val="4"/>
          <w:sz w:val="24"/>
          <w:szCs w:val="24"/>
          <w:highlight w:val="none"/>
        </w:rPr>
        <w:t>注：未提供“服务实施方案”或方案内容严重缺失的，“服务实施方案分”中相应涉及</w:t>
      </w:r>
    </w:p>
    <w:p>
      <w:pPr>
        <w:spacing w:before="164" w:line="222"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5"/>
          <w:sz w:val="24"/>
          <w:szCs w:val="24"/>
          <w:highlight w:val="none"/>
        </w:rPr>
        <w:t>的评分计0分处理。</w:t>
      </w:r>
    </w:p>
    <w:p>
      <w:pPr>
        <w:pStyle w:val="3"/>
        <w:spacing w:before="133" w:line="219"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1"/>
          <w:sz w:val="24"/>
          <w:szCs w:val="24"/>
          <w:highlight w:val="none"/>
        </w:rPr>
        <w:t>3.服务承诺分………………………………………………………………………………</w:t>
      </w:r>
      <w:r>
        <w:rPr>
          <w:rFonts w:hint="eastAsia" w:ascii="宋体" w:hAnsi="宋体" w:eastAsia="宋体" w:cs="宋体"/>
          <w:b/>
          <w:bCs/>
          <w:color w:val="auto"/>
          <w:spacing w:val="1"/>
          <w:sz w:val="24"/>
          <w:szCs w:val="24"/>
          <w:highlight w:val="none"/>
          <w:lang w:val="en-US" w:eastAsia="zh-CN"/>
        </w:rPr>
        <w:t>10</w:t>
      </w:r>
      <w:r>
        <w:rPr>
          <w:rFonts w:hint="eastAsia" w:ascii="宋体" w:hAnsi="宋体" w:eastAsia="宋体" w:cs="宋体"/>
          <w:b/>
          <w:bCs/>
          <w:color w:val="auto"/>
          <w:spacing w:val="1"/>
          <w:sz w:val="24"/>
          <w:szCs w:val="24"/>
          <w:highlight w:val="none"/>
        </w:rPr>
        <w:t>分</w:t>
      </w:r>
    </w:p>
    <w:p>
      <w:pPr>
        <w:spacing w:line="265" w:lineRule="auto"/>
        <w:ind w:firstLine="242"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评委根据供应商提供的“服务承诺(包括①按时足额发放工资及为员工购买社会保险措施</w:t>
      </w:r>
    </w:p>
    <w:p>
      <w:pPr>
        <w:spacing w:before="78" w:line="323"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的承诺；②对责任事故处理措施的承诺；③对服务质量所达到标准的保障措施</w:t>
      </w:r>
      <w:r>
        <w:rPr>
          <w:rFonts w:hint="eastAsia" w:ascii="宋体" w:hAnsi="宋体" w:eastAsia="宋体" w:cs="宋体"/>
          <w:color w:val="auto"/>
          <w:spacing w:val="10"/>
          <w:sz w:val="24"/>
          <w:szCs w:val="24"/>
          <w:highlight w:val="none"/>
        </w:rPr>
        <w:t>的承诺等)”</w:t>
      </w:r>
      <w:r>
        <w:rPr>
          <w:rFonts w:hint="eastAsia" w:ascii="宋体" w:hAnsi="宋体" w:eastAsia="宋体" w:cs="宋体"/>
          <w:color w:val="auto"/>
          <w:sz w:val="24"/>
          <w:szCs w:val="24"/>
          <w:highlight w:val="none"/>
        </w:rPr>
        <w:t xml:space="preserve"> </w:t>
      </w:r>
      <w:r>
        <w:rPr>
          <w:rFonts w:hint="eastAsia" w:ascii="宋体" w:hAnsi="宋体" w:eastAsia="宋体" w:cs="宋体"/>
          <w:color w:val="auto"/>
          <w:spacing w:val="-2"/>
          <w:sz w:val="24"/>
          <w:szCs w:val="24"/>
          <w:highlight w:val="none"/>
        </w:rPr>
        <w:t>内容的可行性、针对性、合理性三个方面进行独立评审并打分：</w:t>
      </w:r>
    </w:p>
    <w:p>
      <w:pPr>
        <w:spacing w:before="1" w:line="212" w:lineRule="auto"/>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(1)服务承诺内容简单、基本合理的，得</w:t>
      </w:r>
      <w:r>
        <w:rPr>
          <w:rFonts w:hint="eastAsia" w:ascii="宋体" w:hAnsi="宋体" w:eastAsia="宋体" w:cs="宋体"/>
          <w:color w:val="auto"/>
          <w:spacing w:val="13"/>
          <w:sz w:val="24"/>
          <w:szCs w:val="24"/>
          <w:highlight w:val="none"/>
          <w:lang w:val="en-US" w:eastAsia="zh-CN"/>
        </w:rPr>
        <w:t>2.5</w:t>
      </w:r>
      <w:r>
        <w:rPr>
          <w:rFonts w:hint="eastAsia" w:ascii="宋体" w:hAnsi="宋体" w:eastAsia="宋体" w:cs="宋体"/>
          <w:color w:val="auto"/>
          <w:spacing w:val="13"/>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15"/>
          <w:sz w:val="24"/>
          <w:szCs w:val="24"/>
          <w:highlight w:val="none"/>
        </w:rPr>
        <w:t>(2)服务承诺内容完整、合理有效的，得</w:t>
      </w:r>
      <w:r>
        <w:rPr>
          <w:rFonts w:hint="eastAsia" w:ascii="宋体" w:hAnsi="宋体" w:eastAsia="宋体" w:cs="宋体"/>
          <w:color w:val="auto"/>
          <w:spacing w:val="15"/>
          <w:sz w:val="24"/>
          <w:szCs w:val="24"/>
          <w:highlight w:val="none"/>
          <w:lang w:val="en-US" w:eastAsia="zh-CN"/>
        </w:rPr>
        <w:t>5</w:t>
      </w:r>
      <w:r>
        <w:rPr>
          <w:rFonts w:hint="eastAsia" w:ascii="宋体" w:hAnsi="宋体" w:eastAsia="宋体" w:cs="宋体"/>
          <w:color w:val="auto"/>
          <w:spacing w:val="14"/>
          <w:sz w:val="24"/>
          <w:szCs w:val="24"/>
          <w:highlight w:val="none"/>
        </w:rPr>
        <w:t>分；</w:t>
      </w:r>
    </w:p>
    <w:p>
      <w:pPr>
        <w:spacing w:before="14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11"/>
          <w:sz w:val="24"/>
          <w:szCs w:val="24"/>
          <w:highlight w:val="none"/>
        </w:rPr>
        <w:t>(3)服务承诺内容完整、合理有效且具体可行的，得</w:t>
      </w:r>
      <w:r>
        <w:rPr>
          <w:rFonts w:hint="eastAsia" w:ascii="宋体" w:hAnsi="宋体" w:eastAsia="宋体" w:cs="宋体"/>
          <w:color w:val="auto"/>
          <w:spacing w:val="11"/>
          <w:sz w:val="24"/>
          <w:szCs w:val="24"/>
          <w:highlight w:val="none"/>
          <w:lang w:val="en-US" w:eastAsia="zh-CN"/>
        </w:rPr>
        <w:t>7.5</w:t>
      </w:r>
      <w:r>
        <w:rPr>
          <w:rFonts w:hint="eastAsia" w:ascii="宋体" w:hAnsi="宋体" w:eastAsia="宋体" w:cs="宋体"/>
          <w:color w:val="auto"/>
          <w:spacing w:val="10"/>
          <w:sz w:val="24"/>
          <w:szCs w:val="24"/>
          <w:highlight w:val="none"/>
        </w:rPr>
        <w:t>分；</w:t>
      </w:r>
    </w:p>
    <w:p>
      <w:pPr>
        <w:spacing w:before="153" w:line="213" w:lineRule="auto"/>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rPr>
        <w:t>(4)服务承诺内容描述详细、具体可行、科学合理、针对性强的，得</w:t>
      </w:r>
      <w:r>
        <w:rPr>
          <w:rFonts w:hint="eastAsia" w:ascii="宋体" w:hAnsi="宋体" w:eastAsia="宋体" w:cs="宋体"/>
          <w:color w:val="auto"/>
          <w:spacing w:val="8"/>
          <w:sz w:val="24"/>
          <w:szCs w:val="24"/>
          <w:highlight w:val="none"/>
          <w:lang w:val="en-US" w:eastAsia="zh-CN"/>
        </w:rPr>
        <w:t>10</w:t>
      </w:r>
      <w:r>
        <w:rPr>
          <w:rFonts w:hint="eastAsia" w:ascii="宋体" w:hAnsi="宋体" w:eastAsia="宋体" w:cs="宋体"/>
          <w:color w:val="auto"/>
          <w:spacing w:val="8"/>
          <w:sz w:val="24"/>
          <w:szCs w:val="24"/>
          <w:highlight w:val="none"/>
        </w:rPr>
        <w:t>分。</w:t>
      </w:r>
    </w:p>
    <w:p>
      <w:pPr>
        <w:spacing w:before="133" w:line="213" w:lineRule="auto"/>
        <w:ind w:right="35"/>
        <w:jc w:val="both"/>
        <w:rPr>
          <w:rFonts w:hint="eastAsia" w:ascii="宋体" w:hAnsi="宋体" w:eastAsia="宋体" w:cs="宋体"/>
          <w:color w:val="auto"/>
          <w:sz w:val="24"/>
          <w:szCs w:val="24"/>
          <w:highlight w:val="none"/>
        </w:rPr>
      </w:pPr>
      <w:r>
        <w:rPr>
          <w:rFonts w:hint="eastAsia" w:ascii="宋体" w:hAnsi="宋体" w:eastAsia="宋体" w:cs="宋体"/>
          <w:color w:val="auto"/>
          <w:spacing w:val="7"/>
          <w:sz w:val="24"/>
          <w:szCs w:val="24"/>
          <w:highlight w:val="none"/>
        </w:rPr>
        <w:t>注：未提供“服务承诺”或方案内容严重缺失的， 服务承诺分”评分计0分处理。</w:t>
      </w:r>
    </w:p>
    <w:p>
      <w:pPr>
        <w:pStyle w:val="3"/>
        <w:spacing w:before="165" w:line="222"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pacing w:val="2"/>
          <w:sz w:val="24"/>
          <w:szCs w:val="24"/>
          <w:highlight w:val="none"/>
        </w:rPr>
        <w:t>4.信誉业绩分……………………………………………………</w:t>
      </w:r>
      <w:r>
        <w:rPr>
          <w:rFonts w:hint="eastAsia" w:ascii="宋体" w:hAnsi="宋体" w:eastAsia="宋体" w:cs="宋体"/>
          <w:b/>
          <w:bCs/>
          <w:color w:val="auto"/>
          <w:spacing w:val="1"/>
          <w:sz w:val="24"/>
          <w:szCs w:val="24"/>
          <w:highlight w:val="none"/>
        </w:rPr>
        <w:t>…………………………</w:t>
      </w:r>
      <w:r>
        <w:rPr>
          <w:rFonts w:hint="eastAsia" w:ascii="宋体" w:hAnsi="宋体" w:eastAsia="宋体" w:cs="宋体"/>
          <w:b/>
          <w:bCs/>
          <w:color w:val="auto"/>
          <w:spacing w:val="1"/>
          <w:sz w:val="24"/>
          <w:szCs w:val="24"/>
          <w:highlight w:val="none"/>
          <w:lang w:val="en-US" w:eastAsia="zh-CN"/>
        </w:rPr>
        <w:t>6</w:t>
      </w:r>
      <w:r>
        <w:rPr>
          <w:rFonts w:hint="eastAsia" w:ascii="宋体" w:hAnsi="宋体" w:eastAsia="宋体" w:cs="宋体"/>
          <w:b/>
          <w:bCs/>
          <w:color w:val="auto"/>
          <w:spacing w:val="1"/>
          <w:sz w:val="24"/>
          <w:szCs w:val="24"/>
          <w:highlight w:val="none"/>
        </w:rPr>
        <w:t>分</w:t>
      </w:r>
    </w:p>
    <w:p>
      <w:pPr>
        <w:spacing w:before="120" w:line="317" w:lineRule="auto"/>
        <w:ind w:right="134" w:firstLine="264" w:firstLineChars="100"/>
        <w:jc w:val="both"/>
        <w:rPr>
          <w:rFonts w:hint="eastAsia" w:ascii="宋体" w:hAnsi="宋体" w:eastAsia="宋体" w:cs="宋体"/>
          <w:color w:val="auto"/>
          <w:spacing w:val="12"/>
          <w:sz w:val="24"/>
          <w:szCs w:val="24"/>
          <w:highlight w:val="none"/>
          <w:lang w:eastAsia="zh-CN"/>
        </w:rPr>
      </w:pPr>
      <w:r>
        <w:rPr>
          <w:rFonts w:hint="eastAsia" w:ascii="宋体" w:hAnsi="宋体" w:eastAsia="宋体" w:cs="宋体"/>
          <w:color w:val="auto"/>
          <w:spacing w:val="12"/>
          <w:sz w:val="24"/>
          <w:szCs w:val="24"/>
          <w:highlight w:val="none"/>
        </w:rPr>
        <w:t>(1)</w:t>
      </w:r>
      <w:r>
        <w:rPr>
          <w:rFonts w:hint="eastAsia" w:ascii="宋体" w:hAnsi="宋体" w:eastAsia="宋体" w:cs="宋体"/>
          <w:color w:val="auto"/>
          <w:spacing w:val="12"/>
          <w:sz w:val="24"/>
          <w:szCs w:val="24"/>
          <w:highlight w:val="none"/>
          <w:lang w:eastAsia="zh-CN"/>
        </w:rPr>
        <w:t>供应商2022年以来具有同类项目业绩(</w:t>
      </w:r>
      <w:bookmarkStart w:id="21" w:name="_Hlk213342864"/>
      <w:r>
        <w:rPr>
          <w:rFonts w:hint="eastAsia" w:ascii="宋体" w:hAnsi="宋体" w:eastAsia="宋体" w:cs="宋体"/>
          <w:color w:val="auto"/>
          <w:spacing w:val="12"/>
          <w:sz w:val="24"/>
          <w:szCs w:val="24"/>
          <w:highlight w:val="none"/>
          <w:lang w:eastAsia="zh-CN"/>
        </w:rPr>
        <w:t>服务内容中包含保安</w:t>
      </w:r>
      <w:bookmarkEnd w:id="21"/>
      <w:r>
        <w:rPr>
          <w:rFonts w:hint="eastAsia" w:ascii="宋体" w:hAnsi="宋体" w:eastAsia="宋体" w:cs="宋体"/>
          <w:color w:val="auto"/>
          <w:spacing w:val="12"/>
          <w:sz w:val="24"/>
          <w:szCs w:val="24"/>
          <w:highlight w:val="none"/>
          <w:lang w:eastAsia="zh-CN"/>
        </w:rPr>
        <w:t>/安保服务或物业服务相关内容) [以中标(成交)通知 书或合同复印件为准(能清晰反映投标项目名称、种类，金额否则将不予评审。同一个编号的 项目有两个或两个以上的分标中标的只算一次)]，每具有1个得2分，满分6分。</w:t>
      </w:r>
    </w:p>
    <w:p>
      <w:pPr>
        <w:pStyle w:val="2"/>
        <w:rPr>
          <w:rFonts w:hint="eastAsia" w:ascii="宋体" w:hAnsi="宋体" w:eastAsia="宋体" w:cs="宋体"/>
          <w:b/>
          <w:bCs/>
          <w:color w:val="auto"/>
          <w:spacing w:val="1"/>
          <w:sz w:val="24"/>
          <w:szCs w:val="24"/>
          <w:highlight w:val="none"/>
          <w:lang w:eastAsia="zh-CN"/>
        </w:rPr>
      </w:pPr>
      <w:r>
        <w:rPr>
          <w:rFonts w:hint="eastAsia" w:ascii="宋体" w:hAnsi="宋体" w:eastAsia="宋体" w:cs="宋体"/>
          <w:b/>
          <w:bCs/>
          <w:color w:val="auto"/>
          <w:sz w:val="24"/>
          <w:szCs w:val="24"/>
          <w:highlight w:val="none"/>
          <w:lang w:eastAsia="zh-CN"/>
        </w:rPr>
        <w:t>5. 企业荣誉分</w:t>
      </w:r>
      <w:r>
        <w:rPr>
          <w:rFonts w:hint="eastAsia" w:ascii="宋体" w:hAnsi="宋体" w:eastAsia="宋体" w:cs="宋体"/>
          <w:b/>
          <w:bCs/>
          <w:color w:val="auto"/>
          <w:spacing w:val="2"/>
          <w:sz w:val="24"/>
          <w:szCs w:val="24"/>
          <w:highlight w:val="none"/>
          <w:lang w:eastAsia="zh-CN"/>
        </w:rPr>
        <w:t>……………………………………………………</w:t>
      </w:r>
      <w:r>
        <w:rPr>
          <w:rFonts w:hint="eastAsia" w:ascii="宋体" w:hAnsi="宋体" w:eastAsia="宋体" w:cs="宋体"/>
          <w:b/>
          <w:bCs/>
          <w:color w:val="auto"/>
          <w:spacing w:val="1"/>
          <w:sz w:val="24"/>
          <w:szCs w:val="24"/>
          <w:highlight w:val="none"/>
          <w:lang w:eastAsia="zh-CN"/>
        </w:rPr>
        <w:t>…………………………6分</w:t>
      </w:r>
    </w:p>
    <w:p>
      <w:pPr>
        <w:pStyle w:val="2"/>
        <w:ind w:firstLine="264" w:firstLineChars="100"/>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供应商获得过省级或以上人民政府颁发的“质量奖”相关奖项的得6分；获得过地市级人民政府颁发的“质量奖”相关奖项的得3分；其他不得分。</w:t>
      </w:r>
    </w:p>
    <w:p>
      <w:pPr>
        <w:pStyle w:val="2"/>
        <w:spacing w:before="12" w:line="213" w:lineRule="auto"/>
        <w:ind w:left="239" w:leftChars="114" w:firstLine="0" w:firstLineChars="0"/>
        <w:rPr>
          <w:rFonts w:hint="eastAsia" w:ascii="宋体" w:hAnsi="宋体" w:eastAsia="宋体" w:cs="宋体"/>
          <w:snapToGrid w:val="0"/>
          <w:color w:val="auto"/>
          <w:spacing w:val="12"/>
          <w:kern w:val="0"/>
          <w:sz w:val="24"/>
          <w:szCs w:val="24"/>
          <w:highlight w:val="none"/>
          <w:lang w:val="en-US" w:eastAsia="zh-CN" w:bidi="ar-SA"/>
        </w:rPr>
      </w:pPr>
      <w:r>
        <w:rPr>
          <w:rFonts w:hint="eastAsia" w:ascii="宋体" w:hAnsi="宋体" w:eastAsia="宋体" w:cs="宋体"/>
          <w:snapToGrid w:val="0"/>
          <w:color w:val="auto"/>
          <w:spacing w:val="12"/>
          <w:kern w:val="0"/>
          <w:sz w:val="24"/>
          <w:szCs w:val="24"/>
          <w:highlight w:val="none"/>
          <w:lang w:val="en-US" w:eastAsia="zh-CN" w:bidi="ar-SA"/>
        </w:rPr>
        <w:t>注：本项最高得6分，不累计得分。须提供供应商所获相关证明材料（荣誉证书或相关通报表彰红头文件或牌匾等）扫描件加盖公章及相关政府机构官网公示截图，且网上公告的时间应在本项目招标公告发布之日前，否则不得分。</w:t>
      </w:r>
    </w:p>
    <w:p>
      <w:pPr>
        <w:pStyle w:val="3"/>
        <w:spacing w:before="17" w:line="222" w:lineRule="auto"/>
        <w:ind w:firstLine="256" w:firstLineChars="1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8"/>
          <w:sz w:val="24"/>
          <w:szCs w:val="24"/>
          <w:highlight w:val="none"/>
          <w:lang w:val="en-US" w:eastAsia="zh-CN"/>
        </w:rPr>
        <w:t>6</w:t>
      </w:r>
      <w:r>
        <w:rPr>
          <w:rFonts w:hint="eastAsia" w:ascii="宋体" w:hAnsi="宋体" w:eastAsia="宋体" w:cs="宋体"/>
          <w:color w:val="auto"/>
          <w:spacing w:val="8"/>
          <w:sz w:val="24"/>
          <w:szCs w:val="24"/>
          <w:highlight w:val="none"/>
        </w:rPr>
        <w:t>.综合得分=1+2+3+4</w:t>
      </w:r>
      <w:r>
        <w:rPr>
          <w:rFonts w:hint="eastAsia" w:ascii="宋体" w:hAnsi="宋体" w:eastAsia="宋体" w:cs="宋体"/>
          <w:color w:val="auto"/>
          <w:spacing w:val="8"/>
          <w:sz w:val="24"/>
          <w:szCs w:val="24"/>
          <w:highlight w:val="none"/>
          <w:lang w:val="en-US" w:eastAsia="zh-CN"/>
        </w:rPr>
        <w:t>+5</w:t>
      </w:r>
    </w:p>
    <w:p>
      <w:pPr>
        <w:spacing w:before="132"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rPr>
        <w:t>四</w:t>
      </w:r>
      <w:r>
        <w:rPr>
          <w:rFonts w:hint="eastAsia" w:ascii="宋体" w:hAnsi="宋体" w:eastAsia="宋体" w:cs="宋体"/>
          <w:color w:val="auto"/>
          <w:spacing w:val="-52"/>
          <w:sz w:val="24"/>
          <w:szCs w:val="24"/>
          <w:highlight w:val="none"/>
        </w:rPr>
        <w:t xml:space="preserve"> </w:t>
      </w:r>
      <w:r>
        <w:rPr>
          <w:rFonts w:hint="eastAsia" w:ascii="宋体" w:hAnsi="宋体" w:eastAsia="宋体" w:cs="宋体"/>
          <w:color w:val="auto"/>
          <w:spacing w:val="-10"/>
          <w:sz w:val="24"/>
          <w:szCs w:val="24"/>
          <w:highlight w:val="none"/>
        </w:rPr>
        <w:t>、中标供应商的确定：</w:t>
      </w:r>
    </w:p>
    <w:p>
      <w:pPr>
        <w:spacing w:before="131" w:line="222" w:lineRule="auto"/>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rPr>
        <w:t>推荐及确定中标候选供应商原则</w:t>
      </w:r>
    </w:p>
    <w:p>
      <w:pPr>
        <w:spacing w:before="110" w:line="292" w:lineRule="auto"/>
        <w:ind w:right="143"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 xml:space="preserve">(1)评标委员会根据综合得分由高到低排列次序，若得分相同时，按评标价由低到高顺 </w:t>
      </w:r>
      <w:r>
        <w:rPr>
          <w:rFonts w:hint="eastAsia" w:ascii="宋体" w:hAnsi="宋体" w:eastAsia="宋体" w:cs="宋体"/>
          <w:color w:val="auto"/>
          <w:spacing w:val="-2"/>
          <w:sz w:val="24"/>
          <w:szCs w:val="24"/>
          <w:highlight w:val="none"/>
        </w:rPr>
        <w:t>序排列；若得分相同且评标价也相同的，按服务实施方案分由高到低顺序确定</w:t>
      </w:r>
      <w:r>
        <w:rPr>
          <w:rFonts w:hint="eastAsia" w:ascii="宋体" w:hAnsi="宋体" w:eastAsia="宋体" w:cs="宋体"/>
          <w:color w:val="auto"/>
          <w:spacing w:val="-3"/>
          <w:sz w:val="24"/>
          <w:szCs w:val="24"/>
          <w:highlight w:val="none"/>
        </w:rPr>
        <w:t>中标供应商，若</w:t>
      </w:r>
      <w:r>
        <w:rPr>
          <w:rFonts w:hint="eastAsia" w:ascii="宋体" w:hAnsi="宋体" w:eastAsia="宋体" w:cs="宋体"/>
          <w:color w:val="auto"/>
          <w:sz w:val="24"/>
          <w:szCs w:val="24"/>
          <w:highlight w:val="none"/>
        </w:rPr>
        <w:t xml:space="preserve"> 服务实施方案分也相同的由评标委员会按照抽</w:t>
      </w:r>
      <w:r>
        <w:rPr>
          <w:rFonts w:hint="eastAsia" w:ascii="宋体" w:hAnsi="宋体" w:eastAsia="宋体" w:cs="宋体"/>
          <w:color w:val="auto"/>
          <w:spacing w:val="-1"/>
          <w:sz w:val="24"/>
          <w:szCs w:val="24"/>
          <w:highlight w:val="none"/>
        </w:rPr>
        <w:t>签的方式决定排次次序。</w:t>
      </w:r>
    </w:p>
    <w:p>
      <w:pPr>
        <w:spacing w:before="124" w:line="286" w:lineRule="auto"/>
        <w:ind w:right="140" w:firstLine="248" w:firstLineChars="100"/>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2</w:t>
      </w:r>
      <w:r>
        <w:rPr>
          <w:rFonts w:hint="eastAsia" w:ascii="宋体" w:hAnsi="宋体" w:eastAsia="宋体" w:cs="宋体"/>
          <w:color w:val="auto"/>
          <w:spacing w:val="4"/>
          <w:sz w:val="24"/>
          <w:szCs w:val="24"/>
          <w:highlight w:val="none"/>
        </w:rPr>
        <w:t>)</w:t>
      </w:r>
      <w:r>
        <w:rPr>
          <w:rFonts w:hint="eastAsia" w:ascii="宋体" w:hAnsi="宋体" w:eastAsia="宋体" w:cs="宋体"/>
          <w:snapToGrid w:val="0"/>
          <w:color w:val="auto"/>
          <w:kern w:val="0"/>
          <w:sz w:val="24"/>
          <w:szCs w:val="24"/>
          <w:highlight w:val="none"/>
          <w:lang w:val="en-US" w:eastAsia="en-US" w:bidi="ar-SA"/>
        </w:rPr>
        <w:t>中标人放弃中标、拒绝与采购人签订合同、因不可抗力提出不能履行合同，或信用信息记录不符 合相关规定的，或者招标文件规定应当提交履约保证金而在规定的期限内未能提交的，采购人可以按照评 审报告推荐的中标候选人名单排序，确定下一候选人中标，也可以重新开展政府采购活动。</w:t>
      </w:r>
    </w:p>
    <w:p>
      <w:pPr>
        <w:spacing w:line="286" w:lineRule="auto"/>
        <w:rPr>
          <w:rFonts w:ascii="黑体" w:hAnsi="黑体" w:eastAsia="黑体" w:cs="黑体"/>
          <w:color w:val="auto"/>
          <w:sz w:val="24"/>
          <w:szCs w:val="24"/>
          <w:highlight w:val="none"/>
        </w:rPr>
        <w:sectPr>
          <w:footerReference r:id="rId34" w:type="default"/>
          <w:pgSz w:w="11900" w:h="16830"/>
          <w:pgMar w:top="400" w:right="934" w:bottom="802" w:left="1050" w:header="0" w:footer="667" w:gutter="0"/>
          <w:cols w:space="720" w:num="1"/>
        </w:sectPr>
      </w:pPr>
    </w:p>
    <w:p>
      <w:pPr>
        <w:spacing w:line="242" w:lineRule="auto"/>
        <w:rPr>
          <w:rFonts w:ascii="Arial"/>
          <w:color w:val="auto"/>
          <w:sz w:val="21"/>
          <w:highlight w:val="none"/>
        </w:rPr>
      </w:pPr>
    </w:p>
    <w:p>
      <w:pPr>
        <w:spacing w:line="242"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pStyle w:val="3"/>
        <w:spacing w:before="143" w:line="219" w:lineRule="auto"/>
        <w:ind w:left="286"/>
        <w:rPr>
          <w:color w:val="auto"/>
          <w:sz w:val="44"/>
          <w:szCs w:val="44"/>
          <w:highlight w:val="none"/>
        </w:rPr>
      </w:pPr>
      <w:bookmarkStart w:id="22" w:name="bookmark10"/>
      <w:bookmarkEnd w:id="22"/>
      <w:r>
        <w:rPr>
          <w:b/>
          <w:bCs/>
          <w:color w:val="auto"/>
          <w:spacing w:val="11"/>
          <w:sz w:val="44"/>
          <w:szCs w:val="44"/>
          <w:highlight w:val="none"/>
        </w:rPr>
        <w:t>第五章</w:t>
      </w:r>
      <w:r>
        <w:rPr>
          <w:color w:val="auto"/>
          <w:spacing w:val="210"/>
          <w:sz w:val="44"/>
          <w:szCs w:val="44"/>
          <w:highlight w:val="none"/>
        </w:rPr>
        <w:t xml:space="preserve"> </w:t>
      </w:r>
      <w:r>
        <w:rPr>
          <w:rFonts w:hint="eastAsia"/>
          <w:b/>
          <w:bCs/>
          <w:color w:val="auto"/>
          <w:spacing w:val="11"/>
          <w:sz w:val="44"/>
          <w:szCs w:val="44"/>
          <w:highlight w:val="none"/>
          <w:lang w:val="en-US" w:eastAsia="zh-CN"/>
        </w:rPr>
        <w:t>拟签订的</w:t>
      </w:r>
      <w:r>
        <w:rPr>
          <w:b/>
          <w:bCs/>
          <w:color w:val="auto"/>
          <w:spacing w:val="11"/>
          <w:sz w:val="44"/>
          <w:szCs w:val="44"/>
          <w:highlight w:val="none"/>
        </w:rPr>
        <w:t>政府采购合同(合同主要条款及格式)</w:t>
      </w:r>
    </w:p>
    <w:p>
      <w:pPr>
        <w:spacing w:line="286" w:lineRule="auto"/>
        <w:rPr>
          <w:rFonts w:ascii="Arial"/>
          <w:color w:val="auto"/>
          <w:sz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eastAsia="zh-CN"/>
        </w:rPr>
        <w:t>采购计划号：</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lang w:val="en-US" w:eastAsia="zh-CN"/>
        </w:rPr>
        <w:t xml:space="preserve">        </w:t>
      </w:r>
      <w:r>
        <w:rPr>
          <w:rFonts w:hint="eastAsia" w:ascii="宋体" w:hAnsi="宋体" w:eastAsia="宋体" w:cs="宋体"/>
          <w:color w:val="auto"/>
          <w:spacing w:val="11"/>
          <w:sz w:val="24"/>
          <w:szCs w:val="24"/>
          <w:highlight w:val="none"/>
          <w:lang w:eastAsia="zh-CN"/>
        </w:rPr>
        <w:t>合同编号：</w:t>
      </w:r>
      <w:r>
        <w:rPr>
          <w:rFonts w:hint="eastAsia" w:ascii="宋体" w:hAnsi="宋体" w:eastAsia="宋体" w:cs="宋体"/>
          <w:color w:val="auto"/>
          <w:spacing w:val="11"/>
          <w:sz w:val="24"/>
          <w:szCs w:val="24"/>
          <w:highlight w:val="none"/>
          <w:u w:val="single"/>
          <w:lang w:val="en-US" w:eastAsia="zh-CN"/>
        </w:rPr>
        <w:t xml:space="preserve">               </w:t>
      </w:r>
      <w:r>
        <w:rPr>
          <w:rFonts w:hint="eastAsia" w:ascii="宋体" w:hAnsi="宋体" w:eastAsia="宋体" w:cs="宋体"/>
          <w:color w:val="auto"/>
          <w:spacing w:val="11"/>
          <w:sz w:val="24"/>
          <w:szCs w:val="24"/>
          <w:highlight w:val="none"/>
          <w:u w:val="non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default"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lang w:val="en-US" w:eastAsia="zh-CN"/>
        </w:rPr>
        <w:t>采购人（甲方）：</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供应商（乙方）：</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default" w:ascii="宋体" w:hAnsi="宋体" w:eastAsia="宋体" w:cs="宋体"/>
          <w:color w:val="auto"/>
          <w:spacing w:val="11"/>
          <w:sz w:val="24"/>
          <w:szCs w:val="24"/>
          <w:highlight w:val="none"/>
          <w:lang w:val="en-US" w:eastAsia="zh-CN"/>
        </w:rPr>
      </w:pPr>
      <w:r>
        <w:rPr>
          <w:rFonts w:hint="eastAsia" w:ascii="宋体" w:hAnsi="宋体" w:eastAsia="宋体" w:cs="宋体"/>
          <w:color w:val="auto"/>
          <w:spacing w:val="11"/>
          <w:sz w:val="24"/>
          <w:szCs w:val="24"/>
          <w:highlight w:val="none"/>
          <w:lang w:val="en-US" w:eastAsia="zh-CN"/>
        </w:rPr>
        <w:t>项目名称：</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lang w:val="en-US" w:eastAsia="zh-CN"/>
        </w:rPr>
        <w:t>项目编号：</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u w:val="none"/>
          <w:lang w:val="en-US" w:eastAsia="zh-CN"/>
        </w:rPr>
        <w:t>签订地点：</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textAlignment w:val="baseline"/>
        <w:rPr>
          <w:rFonts w:hint="eastAsia" w:ascii="宋体" w:hAnsi="宋体" w:eastAsia="宋体" w:cs="宋体"/>
          <w:color w:val="auto"/>
          <w:spacing w:val="11"/>
          <w:sz w:val="24"/>
          <w:szCs w:val="24"/>
          <w:highlight w:val="none"/>
          <w:u w:val="single"/>
          <w:lang w:val="en-US" w:eastAsia="zh-CN"/>
        </w:rPr>
      </w:pPr>
      <w:r>
        <w:rPr>
          <w:rFonts w:hint="eastAsia" w:ascii="宋体" w:hAnsi="宋体" w:eastAsia="宋体" w:cs="宋体"/>
          <w:color w:val="auto"/>
          <w:spacing w:val="11"/>
          <w:sz w:val="24"/>
          <w:szCs w:val="24"/>
          <w:highlight w:val="none"/>
          <w:u w:val="none"/>
          <w:lang w:val="en-US" w:eastAsia="zh-CN"/>
        </w:rPr>
        <w:t>签订时间：</w:t>
      </w:r>
      <w:r>
        <w:rPr>
          <w:rFonts w:hint="eastAsia" w:ascii="宋体" w:hAnsi="宋体" w:eastAsia="宋体" w:cs="宋体"/>
          <w:color w:val="auto"/>
          <w:spacing w:val="11"/>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firstLine="5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根据</w:t>
      </w:r>
      <w:r>
        <w:rPr>
          <w:rFonts w:hint="eastAsia" w:ascii="宋体" w:hAnsi="宋体" w:eastAsia="宋体" w:cs="宋体"/>
          <w:color w:val="auto"/>
          <w:spacing w:val="21"/>
          <w:sz w:val="24"/>
          <w:szCs w:val="24"/>
          <w:highlight w:val="none"/>
        </w:rPr>
        <w:t>《</w:t>
      </w:r>
      <w:r>
        <w:rPr>
          <w:rFonts w:hint="eastAsia" w:ascii="宋体" w:hAnsi="宋体" w:eastAsia="宋体" w:cs="宋体"/>
          <w:color w:val="auto"/>
          <w:spacing w:val="11"/>
          <w:sz w:val="24"/>
          <w:szCs w:val="24"/>
          <w:highlight w:val="none"/>
        </w:rPr>
        <w:t>中华人民共和国政府采购法》、《中华人民共和国民法典》等法律、法规规定，按照</w:t>
      </w:r>
      <w:r>
        <w:rPr>
          <w:rFonts w:hint="eastAsia" w:ascii="宋体" w:hAnsi="宋体" w:eastAsia="宋体" w:cs="宋体"/>
          <w:color w:val="auto"/>
          <w:spacing w:val="11"/>
          <w:sz w:val="24"/>
          <w:szCs w:val="24"/>
          <w:highlight w:val="none"/>
          <w:lang w:val="en-US" w:eastAsia="zh-CN"/>
        </w:rPr>
        <w:t>公开招标</w:t>
      </w:r>
      <w:r>
        <w:rPr>
          <w:rFonts w:hint="eastAsia" w:ascii="宋体" w:hAnsi="宋体" w:eastAsia="宋体" w:cs="宋体"/>
          <w:color w:val="auto"/>
          <w:spacing w:val="9"/>
          <w:sz w:val="24"/>
          <w:szCs w:val="24"/>
          <w:highlight w:val="none"/>
        </w:rPr>
        <w:t>文件规定条款和乙方响应文件及其承诺，甲乙双方签订本合同。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rPr>
      </w:pPr>
      <w:bookmarkStart w:id="23" w:name="_bookmark88"/>
      <w:bookmarkEnd w:id="23"/>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一条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合同标的</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firstLine="500" w:firstLineChars="200"/>
        <w:textAlignment w:val="baseline"/>
        <w:rPr>
          <w:rFonts w:hint="default" w:ascii="宋体" w:hAnsi="宋体" w:eastAsia="宋体" w:cs="宋体"/>
          <w:b/>
          <w:bCs/>
          <w:color w:val="auto"/>
          <w:spacing w:val="3"/>
          <w:sz w:val="24"/>
          <w:szCs w:val="24"/>
          <w:highlight w:val="none"/>
          <w:u w:val="single"/>
          <w:lang w:val="en-US" w:eastAsia="zh-CN"/>
        </w:rPr>
      </w:pPr>
      <w:r>
        <w:rPr>
          <w:rFonts w:hint="eastAsia" w:ascii="宋体" w:hAnsi="宋体" w:eastAsia="宋体" w:cs="宋体"/>
          <w:color w:val="auto"/>
          <w:spacing w:val="5"/>
          <w:sz w:val="24"/>
          <w:szCs w:val="24"/>
          <w:highlight w:val="none"/>
        </w:rPr>
        <w:t>1</w:t>
      </w:r>
      <w:r>
        <w:rPr>
          <w:rFonts w:hint="eastAsia" w:ascii="宋体" w:hAnsi="宋体" w:eastAsia="宋体" w:cs="宋体"/>
          <w:color w:val="auto"/>
          <w:spacing w:val="3"/>
          <w:sz w:val="24"/>
          <w:szCs w:val="24"/>
          <w:highlight w:val="none"/>
        </w:rPr>
        <w:t>、合同总金额</w:t>
      </w:r>
      <w:r>
        <w:rPr>
          <w:rFonts w:hint="eastAsia" w:ascii="宋体" w:hAnsi="宋体" w:eastAsia="宋体" w:cs="宋体"/>
          <w:color w:val="auto"/>
          <w:spacing w:val="3"/>
          <w:sz w:val="24"/>
          <w:szCs w:val="24"/>
          <w:highlight w:val="none"/>
          <w:lang w:eastAsia="zh-CN"/>
        </w:rPr>
        <w:t>：</w:t>
      </w:r>
      <w:r>
        <w:rPr>
          <w:rFonts w:hint="eastAsia" w:ascii="宋体" w:hAnsi="宋体" w:eastAsia="宋体" w:cs="宋体"/>
          <w:color w:val="auto"/>
          <w:spacing w:val="3"/>
          <w:sz w:val="24"/>
          <w:szCs w:val="24"/>
          <w:highlight w:val="none"/>
          <w:lang w:val="en-US" w:eastAsia="zh-CN"/>
        </w:rPr>
        <w:t>人民币</w:t>
      </w:r>
      <w:r>
        <w:rPr>
          <w:rFonts w:hint="eastAsia" w:ascii="宋体" w:hAnsi="宋体" w:eastAsia="宋体" w:cs="宋体"/>
          <w:b w:val="0"/>
          <w:bCs w:val="0"/>
          <w:color w:val="auto"/>
          <w:spacing w:val="3"/>
          <w:sz w:val="24"/>
          <w:szCs w:val="24"/>
          <w:highlight w:val="none"/>
          <w:lang w:val="en-US" w:eastAsia="zh-CN"/>
        </w:rPr>
        <w:t>（大写）</w:t>
      </w:r>
      <w:r>
        <w:rPr>
          <w:rFonts w:hint="eastAsia" w:ascii="宋体" w:hAnsi="宋体" w:eastAsia="宋体" w:cs="宋体"/>
          <w:b w:val="0"/>
          <w:bCs w:val="0"/>
          <w:color w:val="auto"/>
          <w:spacing w:val="3"/>
          <w:sz w:val="24"/>
          <w:szCs w:val="24"/>
          <w:highlight w:val="none"/>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firstLine="492" w:firstLineChars="200"/>
        <w:textAlignment w:val="baseline"/>
        <w:rPr>
          <w:rFonts w:hint="default" w:ascii="宋体" w:hAnsi="宋体" w:eastAsia="宋体" w:cs="宋体"/>
          <w:b/>
          <w:bCs/>
          <w:color w:val="auto"/>
          <w:spacing w:val="3"/>
          <w:sz w:val="24"/>
          <w:szCs w:val="24"/>
          <w:highlight w:val="none"/>
          <w:u w:val="single"/>
          <w:lang w:val="en-US" w:eastAsia="zh-CN"/>
        </w:rPr>
      </w:pPr>
      <w:r>
        <w:rPr>
          <w:rFonts w:hint="eastAsia" w:ascii="宋体" w:hAnsi="宋体" w:eastAsia="宋体" w:cs="宋体"/>
          <w:color w:val="auto"/>
          <w:spacing w:val="3"/>
          <w:sz w:val="24"/>
          <w:szCs w:val="24"/>
          <w:highlight w:val="none"/>
          <w:lang w:val="en-US" w:eastAsia="zh-CN"/>
        </w:rPr>
        <w:t xml:space="preserve">2、每月需支付保安服务费为人民币：（大写） </w:t>
      </w:r>
      <w:r>
        <w:rPr>
          <w:rFonts w:hint="eastAsia" w:ascii="宋体" w:hAnsi="宋体" w:eastAsia="宋体" w:cs="宋体"/>
          <w:color w:val="auto"/>
          <w:spacing w:val="3"/>
          <w:sz w:val="24"/>
          <w:szCs w:val="24"/>
          <w:highlight w:val="none"/>
          <w:u w:val="single"/>
          <w:lang w:val="en-US" w:eastAsia="zh-CN"/>
        </w:rPr>
        <w:t xml:space="preserve">                   </w:t>
      </w:r>
    </w:p>
    <w:tbl>
      <w:tblPr>
        <w:tblStyle w:val="6"/>
        <w:tblW w:w="98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7"/>
        <w:gridCol w:w="1386"/>
        <w:gridCol w:w="1937"/>
        <w:gridCol w:w="1482"/>
        <w:gridCol w:w="2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项目</w:t>
            </w:r>
          </w:p>
        </w:tc>
        <w:tc>
          <w:tcPr>
            <w:tcW w:w="138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服务内容</w:t>
            </w:r>
          </w:p>
        </w:tc>
        <w:tc>
          <w:tcPr>
            <w:tcW w:w="19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服务期限（月）</w:t>
            </w:r>
          </w:p>
        </w:tc>
        <w:tc>
          <w:tcPr>
            <w:tcW w:w="148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snapToGrid w:val="0"/>
                <w:color w:val="auto"/>
                <w:spacing w:val="16"/>
                <w:kern w:val="0"/>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安保人数</w:t>
            </w:r>
          </w:p>
        </w:tc>
        <w:tc>
          <w:tcPr>
            <w:tcW w:w="243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每人每月单价（元）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6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rPr>
            </w:pPr>
          </w:p>
        </w:tc>
        <w:tc>
          <w:tcPr>
            <w:tcW w:w="138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p>
        </w:tc>
        <w:tc>
          <w:tcPr>
            <w:tcW w:w="1937"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eastAsia" w:ascii="宋体" w:hAnsi="宋体" w:eastAsia="宋体" w:cs="宋体"/>
                <w:color w:val="auto"/>
                <w:spacing w:val="16"/>
                <w:sz w:val="22"/>
                <w:szCs w:val="22"/>
                <w:highlight w:val="none"/>
                <w:vertAlign w:val="baseline"/>
                <w:lang w:val="en-US" w:eastAsia="zh-CN"/>
              </w:rPr>
            </w:pPr>
            <w:r>
              <w:rPr>
                <w:rFonts w:hint="eastAsia" w:ascii="宋体" w:hAnsi="宋体" w:eastAsia="宋体" w:cs="宋体"/>
                <w:color w:val="auto"/>
                <w:spacing w:val="16"/>
                <w:sz w:val="22"/>
                <w:szCs w:val="22"/>
                <w:highlight w:val="none"/>
                <w:vertAlign w:val="baseline"/>
                <w:lang w:val="en-US" w:eastAsia="zh-CN"/>
              </w:rPr>
              <w:t>36</w:t>
            </w:r>
          </w:p>
        </w:tc>
        <w:tc>
          <w:tcPr>
            <w:tcW w:w="1482"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default" w:ascii="宋体" w:hAnsi="宋体" w:eastAsia="宋体" w:cs="宋体"/>
                <w:snapToGrid w:val="0"/>
                <w:color w:val="auto"/>
                <w:spacing w:val="16"/>
                <w:kern w:val="0"/>
                <w:sz w:val="22"/>
                <w:szCs w:val="22"/>
                <w:highlight w:val="none"/>
                <w:vertAlign w:val="baseline"/>
                <w:lang w:val="en-US" w:eastAsia="zh-CN"/>
              </w:rPr>
            </w:pPr>
          </w:p>
        </w:tc>
        <w:tc>
          <w:tcPr>
            <w:tcW w:w="2436"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1" w:line="480" w:lineRule="exact"/>
              <w:jc w:val="center"/>
              <w:textAlignment w:val="baseline"/>
              <w:rPr>
                <w:rFonts w:hint="default" w:ascii="宋体" w:hAnsi="宋体" w:eastAsia="宋体" w:cs="宋体"/>
                <w:color w:val="auto"/>
                <w:spacing w:val="16"/>
                <w:sz w:val="22"/>
                <w:szCs w:val="22"/>
                <w:highlight w:val="none"/>
                <w:vertAlign w:val="baseline"/>
                <w:lang w:val="en-US" w:eastAsia="zh-CN"/>
              </w:rPr>
            </w:pPr>
          </w:p>
        </w:tc>
      </w:tr>
    </w:tbl>
    <w:p>
      <w:pPr>
        <w:keepNext w:val="0"/>
        <w:keepLines w:val="0"/>
        <w:pageBreakBefore w:val="0"/>
        <w:widowControl/>
        <w:kinsoku w:val="0"/>
        <w:wordWrap/>
        <w:overflowPunct/>
        <w:topLinePunct w:val="0"/>
        <w:autoSpaceDE w:val="0"/>
        <w:autoSpaceDN w:val="0"/>
        <w:bidi w:val="0"/>
        <w:adjustRightInd w:val="0"/>
        <w:snapToGrid w:val="0"/>
        <w:spacing w:before="201" w:line="480" w:lineRule="exact"/>
        <w:ind w:firstLine="544"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16"/>
          <w:sz w:val="24"/>
          <w:szCs w:val="24"/>
          <w:highlight w:val="none"/>
          <w:lang w:val="en-US" w:eastAsia="zh-CN"/>
        </w:rPr>
        <w:t>3</w:t>
      </w:r>
      <w:r>
        <w:rPr>
          <w:rFonts w:hint="eastAsia" w:ascii="宋体" w:hAnsi="宋体" w:eastAsia="宋体" w:cs="宋体"/>
          <w:color w:val="auto"/>
          <w:spacing w:val="16"/>
          <w:sz w:val="24"/>
          <w:szCs w:val="24"/>
          <w:highlight w:val="none"/>
        </w:rPr>
        <w:t>、</w:t>
      </w:r>
      <w:r>
        <w:rPr>
          <w:rFonts w:hint="eastAsia" w:ascii="宋体" w:hAnsi="宋体" w:eastAsia="宋体" w:cs="宋体"/>
          <w:color w:val="auto"/>
          <w:spacing w:val="12"/>
          <w:sz w:val="24"/>
          <w:szCs w:val="24"/>
          <w:highlight w:val="none"/>
        </w:rPr>
        <w:t>服</w:t>
      </w:r>
      <w:r>
        <w:rPr>
          <w:rFonts w:hint="eastAsia" w:ascii="宋体" w:hAnsi="宋体" w:eastAsia="宋体" w:cs="宋体"/>
          <w:color w:val="auto"/>
          <w:spacing w:val="8"/>
          <w:sz w:val="24"/>
          <w:szCs w:val="24"/>
          <w:highlight w:val="none"/>
        </w:rPr>
        <w:t>务承诺书(详见附件中的投标服务承诺书及投标报价表)</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12"/>
          <w:sz w:val="24"/>
          <w:szCs w:val="24"/>
          <w:highlight w:val="none"/>
        </w:rPr>
        <w:t>服</w:t>
      </w:r>
      <w:r>
        <w:rPr>
          <w:rFonts w:hint="eastAsia" w:ascii="宋体" w:hAnsi="宋体" w:eastAsia="宋体" w:cs="宋体"/>
          <w:color w:val="auto"/>
          <w:spacing w:val="8"/>
          <w:sz w:val="24"/>
          <w:szCs w:val="24"/>
          <w:highlight w:val="none"/>
        </w:rPr>
        <w:t>务承诺书</w:t>
      </w:r>
      <w:r>
        <w:rPr>
          <w:rFonts w:hint="eastAsia" w:ascii="宋体" w:hAnsi="宋体" w:eastAsia="宋体" w:cs="宋体"/>
          <w:color w:val="auto"/>
          <w:spacing w:val="8"/>
          <w:sz w:val="24"/>
          <w:szCs w:val="24"/>
          <w:highlight w:val="none"/>
          <w:lang w:val="en-US" w:eastAsia="zh-CN"/>
        </w:rPr>
        <w:t>系本合同不可分割的内容，与本合同具有同等效力。</w:t>
      </w:r>
    </w:p>
    <w:p>
      <w:pPr>
        <w:keepNext w:val="0"/>
        <w:keepLines w:val="0"/>
        <w:pageBreakBefore w:val="0"/>
        <w:widowControl/>
        <w:kinsoku w:val="0"/>
        <w:wordWrap/>
        <w:overflowPunct/>
        <w:topLinePunct w:val="0"/>
        <w:autoSpaceDE w:val="0"/>
        <w:autoSpaceDN w:val="0"/>
        <w:bidi w:val="0"/>
        <w:adjustRightInd w:val="0"/>
        <w:snapToGrid w:val="0"/>
        <w:spacing w:before="201" w:line="480" w:lineRule="exact"/>
        <w:ind w:firstLine="544" w:firstLineChars="200"/>
        <w:textAlignment w:val="baseline"/>
        <w:rPr>
          <w:rFonts w:hint="default" w:ascii="宋体" w:hAnsi="宋体" w:eastAsia="宋体" w:cs="宋体"/>
          <w:color w:val="auto"/>
          <w:spacing w:val="16"/>
          <w:sz w:val="24"/>
          <w:szCs w:val="24"/>
          <w:highlight w:val="none"/>
          <w:lang w:val="en-US" w:eastAsia="zh-CN"/>
        </w:rPr>
      </w:pPr>
      <w:r>
        <w:rPr>
          <w:rFonts w:hint="eastAsia" w:ascii="宋体" w:hAnsi="宋体" w:eastAsia="宋体" w:cs="宋体"/>
          <w:color w:val="auto"/>
          <w:spacing w:val="16"/>
          <w:sz w:val="24"/>
          <w:szCs w:val="24"/>
          <w:highlight w:val="none"/>
          <w:lang w:val="en-US" w:eastAsia="zh-CN"/>
        </w:rPr>
        <w:t>4</w:t>
      </w:r>
      <w:r>
        <w:rPr>
          <w:rFonts w:hint="eastAsia" w:ascii="宋体" w:hAnsi="宋体" w:eastAsia="宋体" w:cs="宋体"/>
          <w:color w:val="auto"/>
          <w:spacing w:val="16"/>
          <w:sz w:val="24"/>
          <w:szCs w:val="24"/>
          <w:highlight w:val="none"/>
        </w:rPr>
        <w:t>、合同总金额包</w:t>
      </w:r>
      <w:r>
        <w:rPr>
          <w:rFonts w:hint="eastAsia" w:ascii="宋体" w:hAnsi="宋体" w:eastAsia="宋体" w:cs="宋体"/>
          <w:color w:val="auto"/>
          <w:spacing w:val="16"/>
          <w:sz w:val="24"/>
          <w:szCs w:val="24"/>
          <w:highlight w:val="none"/>
          <w:lang w:val="en-US" w:eastAsia="zh-CN"/>
        </w:rPr>
        <w:t>含本次招标范围内保安服务事项以及保安员工资、各种保险费、保安服务费、夜班费及合同期内法定节假日加班费及公司管理费等全部费用。</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pacing w:val="12"/>
          <w:sz w:val="24"/>
          <w:szCs w:val="24"/>
          <w:highlight w:val="none"/>
        </w:rPr>
      </w:pPr>
      <w:bookmarkStart w:id="24" w:name="_bookmark89"/>
      <w:bookmarkEnd w:id="24"/>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二条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质量保证</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right="71" w:firstLine="568"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2"/>
          <w:sz w:val="24"/>
          <w:szCs w:val="24"/>
          <w:highlight w:val="none"/>
        </w:rPr>
        <w:t>乙</w:t>
      </w:r>
      <w:r>
        <w:rPr>
          <w:rFonts w:hint="eastAsia" w:ascii="宋体" w:hAnsi="宋体" w:eastAsia="宋体" w:cs="宋体"/>
          <w:color w:val="auto"/>
          <w:spacing w:val="14"/>
          <w:sz w:val="24"/>
          <w:szCs w:val="24"/>
          <w:highlight w:val="none"/>
        </w:rPr>
        <w:t>方</w:t>
      </w:r>
      <w:r>
        <w:rPr>
          <w:rFonts w:hint="eastAsia" w:ascii="宋体" w:hAnsi="宋体" w:eastAsia="宋体" w:cs="宋体"/>
          <w:color w:val="auto"/>
          <w:spacing w:val="11"/>
          <w:sz w:val="24"/>
          <w:szCs w:val="24"/>
          <w:highlight w:val="none"/>
        </w:rPr>
        <w:t>所提供的服务及服务内容必须与投标文件承诺相一致，有国家强制性标准的，还必须符合国家强</w:t>
      </w:r>
      <w:r>
        <w:rPr>
          <w:rFonts w:hint="eastAsia" w:ascii="宋体" w:hAnsi="宋体" w:eastAsia="宋体" w:cs="宋体"/>
          <w:color w:val="auto"/>
          <w:spacing w:val="18"/>
          <w:sz w:val="24"/>
          <w:szCs w:val="24"/>
          <w:highlight w:val="none"/>
        </w:rPr>
        <w:t>制性</w:t>
      </w:r>
      <w:r>
        <w:rPr>
          <w:rFonts w:hint="eastAsia" w:ascii="宋体" w:hAnsi="宋体" w:eastAsia="宋体" w:cs="宋体"/>
          <w:color w:val="auto"/>
          <w:spacing w:val="12"/>
          <w:sz w:val="24"/>
          <w:szCs w:val="24"/>
          <w:highlight w:val="none"/>
        </w:rPr>
        <w:t>标</w:t>
      </w:r>
      <w:r>
        <w:rPr>
          <w:rFonts w:hint="eastAsia" w:ascii="宋体" w:hAnsi="宋体" w:eastAsia="宋体" w:cs="宋体"/>
          <w:color w:val="auto"/>
          <w:spacing w:val="9"/>
          <w:sz w:val="24"/>
          <w:szCs w:val="24"/>
          <w:highlight w:val="none"/>
        </w:rPr>
        <w:t>准的规定，没有国家强制性标准但有其他强制性标准的，必须符合其他强制性标准的规定。</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rPr>
      </w:pPr>
      <w:bookmarkStart w:id="25" w:name="_bookmark90"/>
      <w:bookmarkEnd w:id="25"/>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三条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权利保证</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left="1" w:right="70" w:firstLine="434"/>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rPr>
        <w:t>乙方应保证所提供服务在使用时不会侵犯任何第三方的</w:t>
      </w:r>
      <w:r>
        <w:rPr>
          <w:rFonts w:hint="eastAsia" w:ascii="宋体" w:hAnsi="宋体" w:eastAsia="宋体" w:cs="宋体"/>
          <w:color w:val="auto"/>
          <w:spacing w:val="9"/>
          <w:sz w:val="24"/>
          <w:szCs w:val="24"/>
          <w:highlight w:val="none"/>
          <w:lang w:val="en-US" w:eastAsia="zh-CN"/>
        </w:rPr>
        <w:t>其他权利。</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0"/>
        <w:textAlignment w:val="baseline"/>
        <w:outlineLvl w:val="1"/>
        <w:rPr>
          <w:rFonts w:hint="eastAsia" w:ascii="宋体" w:hAnsi="宋体" w:eastAsia="宋体" w:cs="宋体"/>
          <w:color w:val="auto"/>
          <w:sz w:val="24"/>
          <w:szCs w:val="24"/>
          <w:highlight w:val="none"/>
          <w:lang w:val="en-US" w:eastAsia="zh-CN"/>
        </w:rPr>
      </w:pPr>
      <w:bookmarkStart w:id="26" w:name="_bookmark91"/>
      <w:bookmarkEnd w:id="26"/>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8"/>
          <w:sz w:val="24"/>
          <w:szCs w:val="24"/>
          <w:highlight w:val="none"/>
        </w:rPr>
        <w:t>四条</w:t>
      </w:r>
      <w:r>
        <w:rPr>
          <w:rFonts w:hint="eastAsia" w:ascii="宋体" w:hAnsi="宋体" w:eastAsia="宋体" w:cs="宋体"/>
          <w:color w:val="auto"/>
          <w:spacing w:val="8"/>
          <w:sz w:val="24"/>
          <w:szCs w:val="24"/>
          <w:highlight w:val="none"/>
          <w:lang w:val="en-US" w:eastAsia="zh-CN"/>
        </w:rPr>
        <w:t xml:space="preserve"> 服务期限及岗位</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21" w:line="480" w:lineRule="exact"/>
        <w:ind w:left="435" w:leftChars="0" w:right="70" w:rightChars="0"/>
        <w:textAlignment w:val="baseline"/>
        <w:rPr>
          <w:rFonts w:hint="eastAsia" w:ascii="宋体" w:hAnsi="宋体" w:eastAsia="宋体" w:cs="宋体"/>
          <w:color w:val="auto"/>
          <w:spacing w:val="9"/>
          <w:sz w:val="24"/>
          <w:szCs w:val="24"/>
          <w:highlight w:val="none"/>
          <w:u w:val="single"/>
          <w:lang w:eastAsia="zh-CN"/>
        </w:rPr>
      </w:pPr>
      <w:r>
        <w:rPr>
          <w:rFonts w:hint="eastAsia" w:ascii="宋体" w:hAnsi="宋体" w:eastAsia="宋体" w:cs="宋体"/>
          <w:color w:val="auto"/>
          <w:spacing w:val="9"/>
          <w:sz w:val="24"/>
          <w:szCs w:val="24"/>
          <w:highlight w:val="none"/>
          <w:lang w:val="en-US" w:eastAsia="zh-CN"/>
        </w:rPr>
        <w:t>1、</w:t>
      </w:r>
      <w:r>
        <w:rPr>
          <w:rFonts w:hint="eastAsia" w:ascii="宋体" w:hAnsi="宋体" w:eastAsia="宋体" w:cs="宋体"/>
          <w:color w:val="auto"/>
          <w:spacing w:val="9"/>
          <w:sz w:val="24"/>
          <w:szCs w:val="24"/>
          <w:highlight w:val="none"/>
        </w:rPr>
        <w:t>服务期限：</w:t>
      </w:r>
      <w:r>
        <w:rPr>
          <w:rFonts w:hint="eastAsia" w:ascii="宋体" w:hAnsi="宋体" w:eastAsia="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u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right="70" w:firstLine="516" w:firstLineChars="200"/>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服务地点：</w:t>
      </w:r>
      <w:r>
        <w:rPr>
          <w:rFonts w:hint="eastAsia" w:ascii="宋体" w:hAnsi="宋体" w:eastAsia="宋体" w:cs="宋体"/>
          <w:color w:val="auto"/>
          <w:spacing w:val="9"/>
          <w:sz w:val="24"/>
          <w:szCs w:val="24"/>
          <w:highlight w:val="none"/>
          <w:u w:val="single"/>
          <w:lang w:val="en-US" w:eastAsia="zh-CN"/>
        </w:rPr>
        <w:t xml:space="preserve">                </w:t>
      </w:r>
      <w:r>
        <w:rPr>
          <w:rFonts w:hint="eastAsia" w:ascii="宋体" w:hAnsi="宋体" w:eastAsia="宋体" w:cs="宋体"/>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19"/>
        <w:textAlignment w:val="baseline"/>
        <w:outlineLvl w:val="1"/>
        <w:rPr>
          <w:rFonts w:hint="eastAsia" w:ascii="宋体" w:hAnsi="宋体" w:eastAsia="宋体" w:cs="宋体"/>
          <w:color w:val="auto"/>
          <w:sz w:val="24"/>
          <w:szCs w:val="24"/>
          <w:highlight w:val="none"/>
        </w:rPr>
      </w:pPr>
      <w:bookmarkStart w:id="27" w:name="_bookmark92"/>
      <w:bookmarkEnd w:id="27"/>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8"/>
          <w:sz w:val="24"/>
          <w:szCs w:val="24"/>
          <w:highlight w:val="none"/>
        </w:rPr>
        <w:t>五条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服务及培训</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firstLine="52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rPr>
        <w:t>1</w:t>
      </w:r>
      <w:r>
        <w:rPr>
          <w:rFonts w:hint="eastAsia" w:ascii="宋体" w:hAnsi="宋体" w:eastAsia="宋体" w:cs="宋体"/>
          <w:color w:val="auto"/>
          <w:spacing w:val="9"/>
          <w:position w:val="1"/>
          <w:sz w:val="24"/>
          <w:szCs w:val="24"/>
          <w:highlight w:val="none"/>
        </w:rPr>
        <w:t>、乙方应按照国家有关法律法规和本合同所附的《服务承诺书》承诺为甲方提供相应的服务。</w:t>
      </w:r>
    </w:p>
    <w:p>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22"/>
        <w:textAlignment w:val="baseline"/>
        <w:rPr>
          <w:rFonts w:hint="eastAsia" w:ascii="宋体" w:hAnsi="宋体" w:eastAsia="宋体" w:cs="宋体"/>
          <w:color w:val="auto"/>
          <w:spacing w:val="4"/>
          <w:sz w:val="24"/>
          <w:szCs w:val="24"/>
          <w:highlight w:val="none"/>
        </w:rPr>
      </w:pPr>
      <w:r>
        <w:rPr>
          <w:rFonts w:hint="eastAsia" w:ascii="宋体" w:hAnsi="宋体" w:eastAsia="宋体" w:cs="宋体"/>
          <w:color w:val="auto"/>
          <w:spacing w:val="4"/>
          <w:sz w:val="24"/>
          <w:szCs w:val="24"/>
          <w:highlight w:val="none"/>
        </w:rPr>
        <w:t>2、乙方按照合同、投标文件的承诺对有关人员的培训。</w:t>
      </w:r>
    </w:p>
    <w:p>
      <w:pPr>
        <w:keepNext w:val="0"/>
        <w:keepLines w:val="0"/>
        <w:pageBreakBefore w:val="0"/>
        <w:widowControl/>
        <w:kinsoku w:val="0"/>
        <w:wordWrap/>
        <w:overflowPunct/>
        <w:topLinePunct w:val="0"/>
        <w:autoSpaceDE w:val="0"/>
        <w:autoSpaceDN w:val="0"/>
        <w:bidi w:val="0"/>
        <w:adjustRightInd w:val="0"/>
        <w:snapToGrid w:val="0"/>
        <w:spacing w:before="201" w:line="480" w:lineRule="exact"/>
        <w:ind w:left="419"/>
        <w:textAlignment w:val="baseline"/>
        <w:outlineLvl w:val="1"/>
        <w:rPr>
          <w:rFonts w:hint="eastAsia" w:ascii="宋体" w:hAnsi="宋体" w:eastAsia="宋体" w:cs="宋体"/>
          <w:color w:val="auto"/>
          <w:sz w:val="24"/>
          <w:szCs w:val="24"/>
          <w:highlight w:val="none"/>
        </w:rPr>
      </w:pPr>
      <w:bookmarkStart w:id="28" w:name="_bookmark93"/>
      <w:bookmarkEnd w:id="28"/>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六条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付款方式</w:t>
      </w:r>
    </w:p>
    <w:p>
      <w:pPr>
        <w:keepNext w:val="0"/>
        <w:keepLines w:val="0"/>
        <w:pageBreakBefore w:val="0"/>
        <w:widowControl/>
        <w:kinsoku w:val="0"/>
        <w:wordWrap/>
        <w:overflowPunct/>
        <w:topLinePunct w:val="0"/>
        <w:autoSpaceDE w:val="0"/>
        <w:autoSpaceDN w:val="0"/>
        <w:bidi w:val="0"/>
        <w:adjustRightInd w:val="0"/>
        <w:snapToGrid w:val="0"/>
        <w:spacing w:before="198" w:line="480" w:lineRule="exact"/>
        <w:ind w:left="422"/>
        <w:textAlignment w:val="baseline"/>
        <w:rPr>
          <w:rFonts w:hint="default" w:ascii="宋体" w:hAnsi="宋体" w:eastAsia="宋体" w:cs="宋体"/>
          <w:color w:val="auto"/>
          <w:spacing w:val="4"/>
          <w:sz w:val="24"/>
          <w:szCs w:val="24"/>
          <w:highlight w:val="none"/>
          <w:lang w:val="en-US" w:eastAsia="zh-CN"/>
        </w:rPr>
      </w:pPr>
      <w:bookmarkStart w:id="29" w:name="_bookmark94"/>
      <w:bookmarkEnd w:id="29"/>
      <w:r>
        <w:rPr>
          <w:rFonts w:hint="eastAsia" w:ascii="宋体" w:hAnsi="宋体" w:eastAsia="宋体" w:cs="宋体"/>
          <w:color w:val="auto"/>
          <w:spacing w:val="4"/>
          <w:sz w:val="24"/>
          <w:szCs w:val="24"/>
          <w:highlight w:val="none"/>
        </w:rPr>
        <w:t>分 36 个月支付，每个月 1 日后的 15 个工作日内支付</w:t>
      </w:r>
      <w:r>
        <w:rPr>
          <w:rFonts w:hint="eastAsia" w:ascii="宋体" w:hAnsi="宋体" w:eastAsia="宋体" w:cs="宋体"/>
          <w:color w:val="auto"/>
          <w:spacing w:val="4"/>
          <w:sz w:val="24"/>
          <w:szCs w:val="24"/>
          <w:highlight w:val="none"/>
          <w:lang w:val="en-US" w:eastAsia="zh-CN"/>
        </w:rPr>
        <w:t>上一个月</w:t>
      </w:r>
      <w:r>
        <w:rPr>
          <w:rFonts w:hint="eastAsia" w:ascii="宋体" w:hAnsi="宋体" w:eastAsia="宋体" w:cs="宋体"/>
          <w:color w:val="auto"/>
          <w:spacing w:val="4"/>
          <w:sz w:val="24"/>
          <w:szCs w:val="24"/>
          <w:highlight w:val="none"/>
        </w:rPr>
        <w:t>总合同金额的 1/36(无息)。</w:t>
      </w:r>
      <w:r>
        <w:rPr>
          <w:rFonts w:hint="eastAsia" w:ascii="宋体" w:hAnsi="宋体" w:eastAsia="宋体" w:cs="宋体"/>
          <w:color w:val="auto"/>
          <w:spacing w:val="4"/>
          <w:sz w:val="24"/>
          <w:szCs w:val="24"/>
          <w:highlight w:val="none"/>
          <w:lang w:val="en-US" w:eastAsia="zh-CN"/>
        </w:rPr>
        <w:t>乙方在甲方付款前需提供合法有效票据，否则甲方有权延迟付款且不构成违约。</w:t>
      </w:r>
    </w:p>
    <w:p>
      <w:pPr>
        <w:keepNext w:val="0"/>
        <w:keepLines w:val="0"/>
        <w:pageBreakBefore w:val="0"/>
        <w:widowControl/>
        <w:kinsoku w:val="0"/>
        <w:wordWrap/>
        <w:overflowPunct/>
        <w:topLinePunct w:val="0"/>
        <w:autoSpaceDE w:val="0"/>
        <w:autoSpaceDN w:val="0"/>
        <w:bidi w:val="0"/>
        <w:adjustRightInd w:val="0"/>
        <w:snapToGrid w:val="0"/>
        <w:spacing w:before="260" w:line="480" w:lineRule="exact"/>
        <w:ind w:left="419"/>
        <w:textAlignment w:val="baseline"/>
        <w:outlineLvl w:val="1"/>
        <w:rPr>
          <w:rFonts w:hint="eastAsia" w:ascii="宋体" w:hAnsi="宋体" w:eastAsia="宋体" w:cs="宋体"/>
          <w:color w:val="auto"/>
          <w:sz w:val="24"/>
          <w:szCs w:val="24"/>
          <w:highlight w:val="none"/>
        </w:rPr>
      </w:pPr>
      <w:r>
        <w:rPr>
          <w:rFonts w:hint="eastAsia" w:ascii="宋体" w:hAnsi="宋体" w:eastAsia="宋体" w:cs="宋体"/>
          <w:color w:val="auto"/>
          <w:spacing w:val="13"/>
          <w:sz w:val="24"/>
          <w:szCs w:val="24"/>
          <w:highlight w:val="none"/>
        </w:rPr>
        <w:t>第</w:t>
      </w:r>
      <w:r>
        <w:rPr>
          <w:rFonts w:hint="eastAsia" w:ascii="宋体" w:hAnsi="宋体" w:eastAsia="宋体" w:cs="宋体"/>
          <w:color w:val="auto"/>
          <w:spacing w:val="8"/>
          <w:sz w:val="24"/>
          <w:szCs w:val="24"/>
          <w:highlight w:val="none"/>
        </w:rPr>
        <w:t>七条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履约保证金</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44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6"/>
          <w:sz w:val="24"/>
          <w:szCs w:val="24"/>
          <w:highlight w:val="none"/>
        </w:rPr>
        <w:t>本项目免收履约保证金。</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19"/>
        <w:textAlignment w:val="baseline"/>
        <w:outlineLvl w:val="1"/>
        <w:rPr>
          <w:rFonts w:hint="eastAsia" w:ascii="宋体" w:hAnsi="宋体" w:eastAsia="宋体" w:cs="宋体"/>
          <w:color w:val="auto"/>
          <w:sz w:val="24"/>
          <w:szCs w:val="24"/>
          <w:highlight w:val="none"/>
        </w:rPr>
      </w:pPr>
      <w:bookmarkStart w:id="30" w:name="_bookmark95"/>
      <w:bookmarkEnd w:id="30"/>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7"/>
          <w:sz w:val="24"/>
          <w:szCs w:val="24"/>
          <w:highlight w:val="none"/>
        </w:rPr>
        <w:t>八条</w:t>
      </w:r>
      <w:r>
        <w:rPr>
          <w:rFonts w:hint="eastAsia" w:ascii="宋体" w:hAnsi="宋体" w:eastAsia="宋体" w:cs="宋体"/>
          <w:color w:val="auto"/>
          <w:spacing w:val="7"/>
          <w:sz w:val="24"/>
          <w:szCs w:val="24"/>
          <w:highlight w:val="none"/>
          <w:lang w:val="en-US" w:eastAsia="zh-CN"/>
        </w:rPr>
        <w:t xml:space="preserve"> </w:t>
      </w:r>
      <w:r>
        <w:rPr>
          <w:rFonts w:hint="eastAsia" w:ascii="宋体" w:hAnsi="宋体" w:eastAsia="宋体" w:cs="宋体"/>
          <w:color w:val="auto"/>
          <w:spacing w:val="7"/>
          <w:sz w:val="24"/>
          <w:szCs w:val="24"/>
          <w:highlight w:val="none"/>
        </w:rPr>
        <w:t>税费</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8"/>
          <w:sz w:val="24"/>
          <w:szCs w:val="24"/>
          <w:highlight w:val="none"/>
        </w:rPr>
        <w:t>本</w:t>
      </w:r>
      <w:r>
        <w:rPr>
          <w:rFonts w:hint="eastAsia" w:ascii="宋体" w:hAnsi="宋体" w:eastAsia="宋体" w:cs="宋体"/>
          <w:color w:val="auto"/>
          <w:spacing w:val="9"/>
          <w:sz w:val="24"/>
          <w:szCs w:val="24"/>
          <w:highlight w:val="none"/>
        </w:rPr>
        <w:t>合同执行中相关的一切税费均由乙方负担，合同另有约定的除外。</w:t>
      </w:r>
    </w:p>
    <w:p>
      <w:pPr>
        <w:keepNext w:val="0"/>
        <w:keepLines w:val="0"/>
        <w:pageBreakBefore w:val="0"/>
        <w:widowControl/>
        <w:kinsoku w:val="0"/>
        <w:wordWrap/>
        <w:overflowPunct/>
        <w:topLinePunct w:val="0"/>
        <w:autoSpaceDE w:val="0"/>
        <w:autoSpaceDN w:val="0"/>
        <w:bidi w:val="0"/>
        <w:adjustRightInd w:val="0"/>
        <w:snapToGrid w:val="0"/>
        <w:spacing w:before="222" w:line="480" w:lineRule="exact"/>
        <w:ind w:left="419"/>
        <w:textAlignment w:val="baseline"/>
        <w:outlineLvl w:val="1"/>
        <w:rPr>
          <w:rFonts w:hint="eastAsia" w:ascii="宋体" w:hAnsi="宋体" w:eastAsia="宋体" w:cs="宋体"/>
          <w:color w:val="auto"/>
          <w:sz w:val="24"/>
          <w:szCs w:val="24"/>
          <w:highlight w:val="none"/>
        </w:rPr>
      </w:pPr>
      <w:bookmarkStart w:id="31" w:name="_bookmark96"/>
      <w:bookmarkEnd w:id="31"/>
      <w:r>
        <w:rPr>
          <w:rFonts w:hint="eastAsia" w:ascii="宋体" w:hAnsi="宋体" w:eastAsia="宋体" w:cs="宋体"/>
          <w:color w:val="auto"/>
          <w:spacing w:val="12"/>
          <w:sz w:val="24"/>
          <w:szCs w:val="24"/>
          <w:highlight w:val="none"/>
        </w:rPr>
        <w:t>第</w:t>
      </w:r>
      <w:r>
        <w:rPr>
          <w:rFonts w:hint="eastAsia" w:ascii="宋体" w:hAnsi="宋体" w:eastAsia="宋体" w:cs="宋体"/>
          <w:color w:val="auto"/>
          <w:spacing w:val="8"/>
          <w:sz w:val="24"/>
          <w:szCs w:val="24"/>
          <w:highlight w:val="none"/>
        </w:rPr>
        <w:t>九条</w:t>
      </w:r>
      <w:r>
        <w:rPr>
          <w:rFonts w:hint="eastAsia" w:ascii="宋体" w:hAnsi="宋体" w:eastAsia="宋体" w:cs="宋体"/>
          <w:color w:val="auto"/>
          <w:spacing w:val="8"/>
          <w:sz w:val="24"/>
          <w:szCs w:val="24"/>
          <w:highlight w:val="none"/>
          <w:lang w:val="en-US" w:eastAsia="zh-CN"/>
        </w:rPr>
        <w:t xml:space="preserve"> </w:t>
      </w:r>
      <w:r>
        <w:rPr>
          <w:rFonts w:hint="eastAsia" w:ascii="宋体" w:hAnsi="宋体" w:eastAsia="宋体" w:cs="宋体"/>
          <w:color w:val="auto"/>
          <w:spacing w:val="8"/>
          <w:sz w:val="24"/>
          <w:szCs w:val="24"/>
          <w:highlight w:val="none"/>
        </w:rPr>
        <w:t>违约责任</w:t>
      </w:r>
    </w:p>
    <w:p>
      <w:pPr>
        <w:keepNext w:val="0"/>
        <w:keepLines w:val="0"/>
        <w:pageBreakBefore w:val="0"/>
        <w:widowControl/>
        <w:kinsoku w:val="0"/>
        <w:wordWrap/>
        <w:overflowPunct/>
        <w:topLinePunct w:val="0"/>
        <w:autoSpaceDE w:val="0"/>
        <w:autoSpaceDN w:val="0"/>
        <w:bidi w:val="0"/>
        <w:adjustRightInd w:val="0"/>
        <w:snapToGrid w:val="0"/>
        <w:spacing w:before="122" w:line="480" w:lineRule="exact"/>
        <w:ind w:firstLine="435"/>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9"/>
          <w:sz w:val="24"/>
          <w:szCs w:val="24"/>
          <w:highlight w:val="none"/>
        </w:rPr>
        <w:t>1、除不可抗力原因外，乙方没有按照合同规定的时间提供服务的，甲方可要求乙方支付违约金。每</w:t>
      </w:r>
      <w:r>
        <w:rPr>
          <w:rFonts w:hint="eastAsia" w:ascii="宋体" w:hAnsi="宋体" w:eastAsia="宋体" w:cs="宋体"/>
          <w:color w:val="auto"/>
          <w:spacing w:val="4"/>
          <w:sz w:val="24"/>
          <w:szCs w:val="24"/>
          <w:highlight w:val="none"/>
        </w:rPr>
        <w:t>推</w:t>
      </w:r>
      <w:r>
        <w:rPr>
          <w:rFonts w:hint="eastAsia" w:ascii="宋体" w:hAnsi="宋体" w:eastAsia="宋体" w:cs="宋体"/>
          <w:color w:val="auto"/>
          <w:spacing w:val="6"/>
          <w:sz w:val="24"/>
          <w:szCs w:val="24"/>
          <w:highlight w:val="none"/>
        </w:rPr>
        <w:t>迟一天按</w:t>
      </w:r>
      <w:r>
        <w:rPr>
          <w:rFonts w:hint="eastAsia" w:ascii="宋体" w:hAnsi="宋体" w:eastAsia="宋体" w:cs="宋体"/>
          <w:color w:val="auto"/>
          <w:spacing w:val="6"/>
          <w:sz w:val="24"/>
          <w:szCs w:val="24"/>
          <w:highlight w:val="none"/>
          <w:lang w:val="en-US" w:eastAsia="zh-CN"/>
        </w:rPr>
        <w:t>当月服务费总额</w:t>
      </w:r>
      <w:r>
        <w:rPr>
          <w:rFonts w:hint="eastAsia" w:ascii="宋体" w:hAnsi="宋体" w:eastAsia="宋体" w:cs="宋体"/>
          <w:color w:val="auto"/>
          <w:spacing w:val="9"/>
          <w:sz w:val="24"/>
          <w:szCs w:val="24"/>
          <w:highlight w:val="none"/>
        </w:rPr>
        <w:t>的</w:t>
      </w:r>
      <w:r>
        <w:rPr>
          <w:rFonts w:hint="eastAsia" w:ascii="宋体" w:hAnsi="宋体" w:eastAsia="宋体" w:cs="宋体"/>
          <w:color w:val="auto"/>
          <w:spacing w:val="9"/>
          <w:sz w:val="24"/>
          <w:szCs w:val="24"/>
          <w:highlight w:val="none"/>
          <w:lang w:val="en-US" w:eastAsia="zh-CN"/>
        </w:rPr>
        <w:t>2</w:t>
      </w:r>
      <w:r>
        <w:rPr>
          <w:rFonts w:hint="eastAsia" w:ascii="宋体" w:hAnsi="宋体" w:eastAsia="宋体" w:cs="宋体"/>
          <w:color w:val="auto"/>
          <w:spacing w:val="9"/>
          <w:sz w:val="24"/>
          <w:szCs w:val="24"/>
          <w:highlight w:val="none"/>
        </w:rPr>
        <w:t>‰支付违约金</w:t>
      </w:r>
      <w:r>
        <w:rPr>
          <w:rFonts w:hint="eastAsia" w:ascii="宋体" w:hAnsi="宋体" w:eastAsia="宋体" w:cs="宋体"/>
          <w:color w:val="auto"/>
          <w:spacing w:val="6"/>
          <w:sz w:val="24"/>
          <w:szCs w:val="24"/>
          <w:highlight w:val="none"/>
        </w:rPr>
        <w:t>，该违约金累计不超过合同金额的10%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逾期超过5日，甲方有权单方解除合同，乙方除支付前述违约金外，还应向甲方支付合同总金额的20%的违约金，且甲方临时聘用保安增加的费用由乙方承担。</w:t>
      </w:r>
    </w:p>
    <w:p>
      <w:pPr>
        <w:keepNext w:val="0"/>
        <w:keepLines w:val="0"/>
        <w:pageBreakBefore w:val="0"/>
        <w:widowControl/>
        <w:kinsoku w:val="0"/>
        <w:wordWrap/>
        <w:overflowPunct/>
        <w:topLinePunct w:val="0"/>
        <w:autoSpaceDE w:val="0"/>
        <w:autoSpaceDN w:val="0"/>
        <w:bidi w:val="0"/>
        <w:adjustRightInd w:val="0"/>
        <w:snapToGrid w:val="0"/>
        <w:spacing w:before="122" w:line="480" w:lineRule="exact"/>
        <w:ind w:firstLine="435"/>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2、乙方未能按照服务承诺书履行，甲方有权单方解除合同，</w:t>
      </w:r>
      <w:r>
        <w:rPr>
          <w:rFonts w:hint="eastAsia" w:ascii="宋体" w:hAnsi="宋体" w:eastAsia="宋体" w:cs="宋体"/>
          <w:strike w:val="0"/>
          <w:color w:val="auto"/>
          <w:sz w:val="24"/>
          <w:szCs w:val="24"/>
          <w:highlight w:val="none"/>
          <w:lang w:val="en-US" w:eastAsia="zh-CN"/>
        </w:rPr>
        <w:t>乙方需按照</w:t>
      </w:r>
      <w:r>
        <w:rPr>
          <w:rFonts w:hint="eastAsia" w:ascii="宋体" w:hAnsi="宋体" w:eastAsia="宋体" w:cs="宋体"/>
          <w:color w:val="auto"/>
          <w:spacing w:val="6"/>
          <w:sz w:val="24"/>
          <w:szCs w:val="24"/>
          <w:highlight w:val="none"/>
          <w:lang w:val="en-US" w:eastAsia="zh-CN"/>
        </w:rPr>
        <w:t>当月服务费总额</w:t>
      </w:r>
      <w:r>
        <w:rPr>
          <w:rFonts w:hint="eastAsia" w:ascii="宋体" w:hAnsi="宋体" w:eastAsia="宋体" w:cs="宋体"/>
          <w:strike w:val="0"/>
          <w:color w:val="auto"/>
          <w:sz w:val="24"/>
          <w:szCs w:val="24"/>
          <w:highlight w:val="none"/>
          <w:lang w:val="en-US" w:eastAsia="zh-CN"/>
        </w:rPr>
        <w:t>的20%向甲方支付违约金，且甲方临时聘用保安增加的费用由乙方承担。若乙方及时纠正，甲方可选择不解除合同，则乙方应按照过错程度向甲方支付1000元-5000元的违约金。</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left="2" w:firstLine="42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lang w:val="en-US" w:eastAsia="zh-CN"/>
        </w:rPr>
        <w:t>3</w:t>
      </w:r>
      <w:r>
        <w:rPr>
          <w:rFonts w:hint="eastAsia" w:ascii="宋体" w:hAnsi="宋体" w:eastAsia="宋体" w:cs="宋体"/>
          <w:color w:val="auto"/>
          <w:spacing w:val="9"/>
          <w:sz w:val="24"/>
          <w:szCs w:val="24"/>
          <w:highlight w:val="none"/>
        </w:rPr>
        <w:t>、乙方提供的服务如侵犯了第三方合法权益而引发的任何纠纷或者诉讼，均由乙方负责交涉并承担全</w:t>
      </w:r>
      <w:r>
        <w:rPr>
          <w:rFonts w:hint="eastAsia" w:ascii="宋体" w:hAnsi="宋体" w:eastAsia="宋体" w:cs="宋体"/>
          <w:color w:val="auto"/>
          <w:spacing w:val="6"/>
          <w:sz w:val="24"/>
          <w:szCs w:val="24"/>
          <w:highlight w:val="none"/>
        </w:rPr>
        <w:t>部</w:t>
      </w:r>
      <w:r>
        <w:rPr>
          <w:rFonts w:hint="eastAsia" w:ascii="宋体" w:hAnsi="宋体" w:eastAsia="宋体" w:cs="宋体"/>
          <w:color w:val="auto"/>
          <w:spacing w:val="4"/>
          <w:sz w:val="24"/>
          <w:szCs w:val="24"/>
          <w:highlight w:val="none"/>
        </w:rPr>
        <w:t>责任。</w:t>
      </w:r>
    </w:p>
    <w:p>
      <w:pPr>
        <w:keepNext w:val="0"/>
        <w:keepLines w:val="0"/>
        <w:pageBreakBefore w:val="0"/>
        <w:widowControl/>
        <w:kinsoku w:val="0"/>
        <w:wordWrap/>
        <w:overflowPunct/>
        <w:topLinePunct w:val="0"/>
        <w:autoSpaceDE w:val="0"/>
        <w:autoSpaceDN w:val="0"/>
        <w:bidi w:val="0"/>
        <w:adjustRightInd w:val="0"/>
        <w:snapToGrid w:val="0"/>
        <w:spacing w:line="480" w:lineRule="exact"/>
        <w:ind w:firstLine="512"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8"/>
          <w:sz w:val="24"/>
          <w:szCs w:val="24"/>
          <w:highlight w:val="none"/>
          <w:lang w:val="en-US" w:eastAsia="zh-CN"/>
        </w:rPr>
        <w:t>4</w:t>
      </w:r>
      <w:r>
        <w:rPr>
          <w:rFonts w:hint="eastAsia" w:ascii="宋体" w:hAnsi="宋体" w:eastAsia="宋体" w:cs="宋体"/>
          <w:color w:val="auto"/>
          <w:spacing w:val="8"/>
          <w:sz w:val="24"/>
          <w:szCs w:val="24"/>
          <w:highlight w:val="none"/>
        </w:rPr>
        <w:t>、</w:t>
      </w:r>
      <w:r>
        <w:rPr>
          <w:rFonts w:ascii="黑体" w:hAnsi="黑体" w:eastAsia="黑体" w:cs="黑体"/>
          <w:color w:val="auto"/>
          <w:spacing w:val="1"/>
          <w:sz w:val="24"/>
          <w:szCs w:val="24"/>
          <w:highlight w:val="none"/>
        </w:rPr>
        <w:t>甲方</w:t>
      </w:r>
      <w:r>
        <w:rPr>
          <w:rFonts w:hint="eastAsia" w:ascii="黑体" w:hAnsi="黑体" w:eastAsia="黑体" w:cs="黑体"/>
          <w:color w:val="auto"/>
          <w:spacing w:val="1"/>
          <w:sz w:val="24"/>
          <w:szCs w:val="24"/>
          <w:highlight w:val="none"/>
          <w:lang w:val="en-US" w:eastAsia="zh-CN"/>
        </w:rPr>
        <w:t>应</w:t>
      </w:r>
      <w:r>
        <w:rPr>
          <w:rFonts w:ascii="黑体" w:hAnsi="黑体" w:eastAsia="黑体" w:cs="黑体"/>
          <w:color w:val="auto"/>
          <w:spacing w:val="1"/>
          <w:sz w:val="24"/>
          <w:szCs w:val="24"/>
          <w:highlight w:val="none"/>
        </w:rPr>
        <w:t>按时向</w:t>
      </w:r>
      <w:r>
        <w:rPr>
          <w:rFonts w:hint="eastAsia" w:ascii="黑体" w:hAnsi="黑体" w:eastAsia="黑体" w:cs="黑体"/>
          <w:color w:val="auto"/>
          <w:spacing w:val="1"/>
          <w:sz w:val="24"/>
          <w:szCs w:val="24"/>
          <w:highlight w:val="none"/>
          <w:lang w:val="en-US" w:eastAsia="zh-CN"/>
        </w:rPr>
        <w:t>乙方</w:t>
      </w:r>
      <w:r>
        <w:rPr>
          <w:rFonts w:ascii="黑体" w:hAnsi="黑体" w:eastAsia="黑体" w:cs="黑体"/>
          <w:color w:val="auto"/>
          <w:spacing w:val="1"/>
          <w:sz w:val="24"/>
          <w:szCs w:val="24"/>
          <w:highlight w:val="none"/>
        </w:rPr>
        <w:t>支付保安服务费用（遇节假日顺延），如无故拖欠，</w:t>
      </w:r>
      <w:r>
        <w:rPr>
          <w:rFonts w:hint="eastAsia" w:ascii="黑体" w:hAnsi="黑体" w:eastAsia="黑体" w:cs="黑体"/>
          <w:color w:val="auto"/>
          <w:spacing w:val="1"/>
          <w:sz w:val="24"/>
          <w:szCs w:val="24"/>
          <w:highlight w:val="none"/>
          <w:lang w:val="en-US" w:eastAsia="zh-CN"/>
        </w:rPr>
        <w:t>甲方</w:t>
      </w:r>
      <w:r>
        <w:rPr>
          <w:rFonts w:ascii="黑体" w:hAnsi="黑体" w:eastAsia="黑体" w:cs="黑体"/>
          <w:color w:val="auto"/>
          <w:spacing w:val="1"/>
          <w:sz w:val="24"/>
          <w:szCs w:val="24"/>
          <w:highlight w:val="none"/>
        </w:rPr>
        <w:t>需要</w:t>
      </w:r>
      <w:r>
        <w:rPr>
          <w:rFonts w:hint="eastAsia" w:ascii="黑体" w:hAnsi="黑体" w:eastAsia="黑体" w:cs="黑体"/>
          <w:color w:val="auto"/>
          <w:spacing w:val="1"/>
          <w:sz w:val="24"/>
          <w:szCs w:val="24"/>
          <w:highlight w:val="none"/>
          <w:lang w:val="en-US" w:eastAsia="zh-CN"/>
        </w:rPr>
        <w:t>每天</w:t>
      </w:r>
      <w:r>
        <w:rPr>
          <w:rFonts w:ascii="黑体" w:hAnsi="黑体" w:eastAsia="黑体" w:cs="黑体"/>
          <w:color w:val="auto"/>
          <w:spacing w:val="1"/>
          <w:sz w:val="24"/>
          <w:szCs w:val="24"/>
          <w:highlight w:val="none"/>
        </w:rPr>
        <w:t>向</w:t>
      </w:r>
      <w:r>
        <w:rPr>
          <w:rFonts w:hint="eastAsia" w:ascii="黑体" w:hAnsi="黑体" w:eastAsia="黑体" w:cs="黑体"/>
          <w:color w:val="auto"/>
          <w:spacing w:val="1"/>
          <w:sz w:val="24"/>
          <w:szCs w:val="24"/>
          <w:highlight w:val="none"/>
          <w:lang w:val="en-US" w:eastAsia="zh-CN"/>
        </w:rPr>
        <w:t>乙方偿</w:t>
      </w:r>
      <w:r>
        <w:rPr>
          <w:rFonts w:ascii="黑体" w:hAnsi="黑体" w:eastAsia="黑体" w:cs="黑体"/>
          <w:color w:val="auto"/>
          <w:spacing w:val="1"/>
          <w:sz w:val="24"/>
          <w:szCs w:val="24"/>
          <w:highlight w:val="none"/>
        </w:rPr>
        <w:t>付</w:t>
      </w:r>
      <w:r>
        <w:rPr>
          <w:rFonts w:hint="eastAsia" w:ascii="黑体" w:hAnsi="黑体" w:eastAsia="黑体" w:cs="黑体"/>
          <w:color w:val="auto"/>
          <w:spacing w:val="1"/>
          <w:sz w:val="24"/>
          <w:szCs w:val="24"/>
          <w:highlight w:val="none"/>
          <w:lang w:val="en-US" w:eastAsia="zh-CN"/>
        </w:rPr>
        <w:t>延期款额</w:t>
      </w:r>
      <w:r>
        <w:rPr>
          <w:rFonts w:hint="eastAsia" w:ascii="宋体" w:hAnsi="宋体" w:eastAsia="宋体" w:cs="宋体"/>
          <w:color w:val="auto"/>
          <w:spacing w:val="9"/>
          <w:sz w:val="24"/>
          <w:szCs w:val="24"/>
          <w:highlight w:val="none"/>
          <w:lang w:val="en-US" w:eastAsia="zh-CN"/>
        </w:rPr>
        <w:t>0.1</w:t>
      </w:r>
      <w:r>
        <w:rPr>
          <w:rFonts w:hint="eastAsia" w:ascii="宋体" w:hAnsi="宋体" w:eastAsia="宋体" w:cs="宋体"/>
          <w:color w:val="auto"/>
          <w:spacing w:val="9"/>
          <w:sz w:val="24"/>
          <w:szCs w:val="24"/>
          <w:highlight w:val="none"/>
        </w:rPr>
        <w:t>‰</w:t>
      </w:r>
      <w:r>
        <w:rPr>
          <w:rFonts w:ascii="黑体" w:hAnsi="黑体" w:eastAsia="黑体" w:cs="黑体"/>
          <w:color w:val="auto"/>
          <w:spacing w:val="1"/>
          <w:sz w:val="24"/>
          <w:szCs w:val="24"/>
          <w:highlight w:val="none"/>
        </w:rPr>
        <w:t>的违约金</w:t>
      </w:r>
      <w:r>
        <w:rPr>
          <w:rFonts w:hint="eastAsia" w:ascii="黑体" w:hAnsi="黑体" w:eastAsia="黑体" w:cs="黑体"/>
          <w:color w:val="auto"/>
          <w:spacing w:val="1"/>
          <w:sz w:val="24"/>
          <w:szCs w:val="24"/>
          <w:highlight w:val="none"/>
          <w:lang w:eastAsia="zh-CN"/>
        </w:rPr>
        <w:t>，</w:t>
      </w:r>
      <w:r>
        <w:rPr>
          <w:rFonts w:hint="eastAsia" w:ascii="黑体" w:hAnsi="黑体" w:eastAsia="黑体" w:cs="黑体"/>
          <w:color w:val="auto"/>
          <w:spacing w:val="1"/>
          <w:sz w:val="24"/>
          <w:szCs w:val="24"/>
          <w:highlight w:val="none"/>
          <w:lang w:val="en-US" w:eastAsia="zh-CN"/>
        </w:rPr>
        <w:t>但违约金不得超过延期款额5%</w:t>
      </w:r>
      <w:r>
        <w:rPr>
          <w:color w:val="auto"/>
          <w:spacing w:val="-17"/>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164" w:line="480" w:lineRule="exact"/>
        <w:ind w:firstLine="496" w:firstLineChars="200"/>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pacing w:val="4"/>
          <w:sz w:val="24"/>
          <w:szCs w:val="24"/>
          <w:highlight w:val="none"/>
          <w:lang w:val="en-US" w:eastAsia="zh-CN"/>
        </w:rPr>
        <w:t>5</w:t>
      </w:r>
      <w:r>
        <w:rPr>
          <w:rFonts w:hint="eastAsia" w:ascii="宋体" w:hAnsi="宋体" w:eastAsia="宋体" w:cs="宋体"/>
          <w:color w:val="auto"/>
          <w:spacing w:val="4"/>
          <w:sz w:val="24"/>
          <w:szCs w:val="24"/>
          <w:highlight w:val="none"/>
        </w:rPr>
        <w:t>、</w:t>
      </w:r>
      <w:r>
        <w:rPr>
          <w:rFonts w:hint="eastAsia" w:ascii="宋体" w:hAnsi="宋体" w:eastAsia="宋体" w:cs="宋体"/>
          <w:color w:val="auto"/>
          <w:spacing w:val="4"/>
          <w:sz w:val="24"/>
          <w:szCs w:val="24"/>
          <w:highlight w:val="none"/>
          <w:lang w:val="en-US" w:eastAsia="zh-CN"/>
        </w:rPr>
        <w:t>因乙方或其保安人员的过错导致甲方或第三方人身、财产遭受损失（以下简称“理赔情形”），乙方负有一切赔偿责任。</w:t>
      </w:r>
      <w:r>
        <w:rPr>
          <w:rFonts w:hint="eastAsia" w:ascii="宋体" w:hAnsi="宋体" w:eastAsia="宋体" w:cs="宋体"/>
          <w:color w:val="auto"/>
          <w:spacing w:val="4"/>
          <w:sz w:val="24"/>
          <w:szCs w:val="24"/>
          <w:highlight w:val="none"/>
        </w:rPr>
        <w:t>如发生理赔情形，甲方将理赔所需资料提供给乙方之日起</w:t>
      </w:r>
      <w:r>
        <w:rPr>
          <w:rFonts w:hint="eastAsia" w:ascii="宋体" w:hAnsi="宋体" w:eastAsia="宋体" w:cs="宋体"/>
          <w:color w:val="auto"/>
          <w:spacing w:val="4"/>
          <w:sz w:val="24"/>
          <w:szCs w:val="24"/>
          <w:highlight w:val="none"/>
          <w:u w:val="single" w:color="auto"/>
        </w:rPr>
        <w:t>5</w:t>
      </w:r>
      <w:r>
        <w:rPr>
          <w:rFonts w:hint="eastAsia" w:ascii="宋体" w:hAnsi="宋体" w:eastAsia="宋体" w:cs="宋体"/>
          <w:color w:val="auto"/>
          <w:spacing w:val="4"/>
          <w:sz w:val="24"/>
          <w:szCs w:val="24"/>
          <w:highlight w:val="none"/>
        </w:rPr>
        <w:t>个工作日内，乙方应当完成审查，</w:t>
      </w:r>
      <w:r>
        <w:rPr>
          <w:rFonts w:hint="eastAsia" w:ascii="宋体" w:hAnsi="宋体" w:eastAsia="宋体" w:cs="宋体"/>
          <w:color w:val="auto"/>
          <w:spacing w:val="9"/>
          <w:sz w:val="24"/>
          <w:szCs w:val="24"/>
          <w:highlight w:val="none"/>
        </w:rPr>
        <w:t>并书面答复不予理赔理由或者完成理赔。逾期未答复或者完成理赔的</w:t>
      </w:r>
      <w:r>
        <w:rPr>
          <w:rFonts w:hint="eastAsia" w:ascii="宋体" w:hAnsi="宋体" w:eastAsia="宋体" w:cs="宋体"/>
          <w:color w:val="auto"/>
          <w:spacing w:val="8"/>
          <w:sz w:val="24"/>
          <w:szCs w:val="24"/>
          <w:highlight w:val="none"/>
        </w:rPr>
        <w:t>，每推迟一天</w:t>
      </w:r>
      <w:r>
        <w:rPr>
          <w:rFonts w:hint="eastAsia" w:ascii="宋体" w:hAnsi="宋体" w:eastAsia="宋体" w:cs="宋体"/>
          <w:color w:val="auto"/>
          <w:spacing w:val="7"/>
          <w:sz w:val="24"/>
          <w:szCs w:val="24"/>
          <w:highlight w:val="none"/>
        </w:rPr>
        <w:t>按</w:t>
      </w:r>
      <w:r>
        <w:rPr>
          <w:rFonts w:hint="eastAsia" w:ascii="宋体" w:hAnsi="宋体" w:eastAsia="宋体" w:cs="宋体"/>
          <w:color w:val="auto"/>
          <w:spacing w:val="6"/>
          <w:sz w:val="24"/>
          <w:szCs w:val="24"/>
          <w:highlight w:val="none"/>
          <w:lang w:val="en-US" w:eastAsia="zh-CN"/>
        </w:rPr>
        <w:t>当月服务费总额</w:t>
      </w:r>
      <w:r>
        <w:rPr>
          <w:rFonts w:hint="eastAsia" w:ascii="宋体" w:hAnsi="宋体" w:eastAsia="宋体" w:cs="宋体"/>
          <w:color w:val="auto"/>
          <w:spacing w:val="4"/>
          <w:sz w:val="24"/>
          <w:szCs w:val="24"/>
          <w:highlight w:val="none"/>
        </w:rPr>
        <w:t>的3</w:t>
      </w:r>
      <w:r>
        <w:rPr>
          <w:rFonts w:hint="eastAsia" w:ascii="宋体" w:hAnsi="宋体" w:eastAsia="宋体" w:cs="宋体"/>
          <w:color w:val="auto"/>
          <w:spacing w:val="9"/>
          <w:sz w:val="24"/>
          <w:szCs w:val="24"/>
          <w:highlight w:val="none"/>
        </w:rPr>
        <w:t>‰</w:t>
      </w:r>
      <w:r>
        <w:rPr>
          <w:rFonts w:hint="eastAsia" w:ascii="宋体" w:hAnsi="宋体" w:eastAsia="宋体" w:cs="宋体"/>
          <w:color w:val="auto"/>
          <w:spacing w:val="4"/>
          <w:sz w:val="24"/>
          <w:szCs w:val="24"/>
          <w:highlight w:val="none"/>
        </w:rPr>
        <w:t>支付违约金，逾期达15日</w:t>
      </w:r>
      <w:r>
        <w:rPr>
          <w:rFonts w:hint="eastAsia" w:ascii="宋体" w:hAnsi="宋体" w:eastAsia="宋体" w:cs="宋体"/>
          <w:color w:val="auto"/>
          <w:spacing w:val="4"/>
          <w:sz w:val="24"/>
          <w:szCs w:val="24"/>
          <w:highlight w:val="none"/>
          <w:lang w:eastAsia="zh-CN"/>
        </w:rPr>
        <w:t>，</w:t>
      </w:r>
      <w:r>
        <w:rPr>
          <w:rFonts w:hint="eastAsia" w:ascii="宋体" w:hAnsi="宋体" w:eastAsia="宋体" w:cs="宋体"/>
          <w:color w:val="auto"/>
          <w:spacing w:val="4"/>
          <w:sz w:val="24"/>
          <w:szCs w:val="24"/>
          <w:highlight w:val="none"/>
        </w:rPr>
        <w:t>甲方有</w:t>
      </w:r>
      <w:r>
        <w:rPr>
          <w:rFonts w:hint="eastAsia" w:ascii="宋体" w:hAnsi="宋体" w:eastAsia="宋体" w:cs="宋体"/>
          <w:color w:val="auto"/>
          <w:spacing w:val="9"/>
          <w:sz w:val="24"/>
          <w:szCs w:val="24"/>
          <w:highlight w:val="none"/>
        </w:rPr>
        <w:t>权</w:t>
      </w:r>
      <w:r>
        <w:rPr>
          <w:rFonts w:hint="eastAsia" w:ascii="宋体" w:hAnsi="宋体" w:eastAsia="宋体" w:cs="宋体"/>
          <w:color w:val="auto"/>
          <w:spacing w:val="9"/>
          <w:sz w:val="24"/>
          <w:szCs w:val="24"/>
          <w:highlight w:val="none"/>
          <w:lang w:val="en-US" w:eastAsia="zh-CN"/>
        </w:rPr>
        <w:t>单方</w:t>
      </w:r>
      <w:r>
        <w:rPr>
          <w:rFonts w:hint="eastAsia" w:ascii="宋体" w:hAnsi="宋体" w:eastAsia="宋体" w:cs="宋体"/>
          <w:color w:val="auto"/>
          <w:spacing w:val="9"/>
          <w:sz w:val="24"/>
          <w:szCs w:val="24"/>
          <w:highlight w:val="none"/>
        </w:rPr>
        <w:t>解除本协议，乙方</w:t>
      </w:r>
      <w:r>
        <w:rPr>
          <w:rFonts w:hint="eastAsia" w:ascii="宋体" w:hAnsi="宋体" w:eastAsia="宋体" w:cs="宋体"/>
          <w:color w:val="auto"/>
          <w:spacing w:val="9"/>
          <w:sz w:val="24"/>
          <w:szCs w:val="24"/>
          <w:highlight w:val="none"/>
          <w:lang w:val="en-US" w:eastAsia="zh-CN"/>
        </w:rPr>
        <w:t>除承担赔偿责任外，还需向甲方支付合同总金额20%的违约金。</w:t>
      </w:r>
    </w:p>
    <w:p>
      <w:pPr>
        <w:keepNext w:val="0"/>
        <w:keepLines w:val="0"/>
        <w:pageBreakBefore w:val="0"/>
        <w:widowControl/>
        <w:kinsoku w:val="0"/>
        <w:wordWrap/>
        <w:overflowPunct/>
        <w:topLinePunct w:val="0"/>
        <w:autoSpaceDE w:val="0"/>
        <w:autoSpaceDN w:val="0"/>
        <w:bidi w:val="0"/>
        <w:adjustRightInd w:val="0"/>
        <w:snapToGrid w:val="0"/>
        <w:spacing w:before="260" w:line="480" w:lineRule="exact"/>
        <w:ind w:left="420"/>
        <w:textAlignment w:val="baseline"/>
        <w:outlineLvl w:val="1"/>
        <w:rPr>
          <w:rFonts w:hint="eastAsia" w:ascii="宋体" w:hAnsi="宋体" w:eastAsia="宋体" w:cs="宋体"/>
          <w:color w:val="auto"/>
          <w:sz w:val="24"/>
          <w:szCs w:val="24"/>
          <w:highlight w:val="none"/>
        </w:rPr>
      </w:pPr>
      <w:bookmarkStart w:id="32" w:name="_bookmark97"/>
      <w:bookmarkEnd w:id="32"/>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9"/>
          <w:sz w:val="24"/>
          <w:szCs w:val="24"/>
          <w:highlight w:val="none"/>
        </w:rPr>
        <w:t>十条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不可抗力事件处理</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4" w:firstLine="4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1、在合同有效期内，任何一方因不可抗力事件导致不能履行合同，则合同履行期可延长，其延长期</w:t>
      </w:r>
      <w:r>
        <w:rPr>
          <w:rFonts w:hint="eastAsia" w:ascii="宋体" w:hAnsi="宋体" w:eastAsia="宋体" w:cs="宋体"/>
          <w:color w:val="auto"/>
          <w:spacing w:val="4"/>
          <w:sz w:val="24"/>
          <w:szCs w:val="24"/>
          <w:highlight w:val="none"/>
        </w:rPr>
        <w:t>与</w:t>
      </w:r>
      <w:r>
        <w:rPr>
          <w:rFonts w:hint="eastAsia" w:ascii="宋体" w:hAnsi="宋体" w:eastAsia="宋体" w:cs="宋体"/>
          <w:color w:val="auto"/>
          <w:spacing w:val="14"/>
          <w:sz w:val="24"/>
          <w:szCs w:val="24"/>
          <w:highlight w:val="none"/>
        </w:rPr>
        <w:t>不</w:t>
      </w:r>
      <w:r>
        <w:rPr>
          <w:rFonts w:hint="eastAsia" w:ascii="宋体" w:hAnsi="宋体" w:eastAsia="宋体" w:cs="宋体"/>
          <w:color w:val="auto"/>
          <w:spacing w:val="7"/>
          <w:sz w:val="24"/>
          <w:szCs w:val="24"/>
          <w:highlight w:val="none"/>
        </w:rPr>
        <w:t>可抗力影响期相同。</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position w:val="1"/>
          <w:sz w:val="24"/>
          <w:szCs w:val="24"/>
          <w:highlight w:val="none"/>
        </w:rPr>
        <w:t>2</w:t>
      </w:r>
      <w:r>
        <w:rPr>
          <w:rFonts w:hint="eastAsia" w:ascii="宋体" w:hAnsi="宋体" w:eastAsia="宋体" w:cs="宋体"/>
          <w:color w:val="auto"/>
          <w:spacing w:val="9"/>
          <w:position w:val="1"/>
          <w:sz w:val="24"/>
          <w:szCs w:val="24"/>
          <w:highlight w:val="none"/>
        </w:rPr>
        <w:t>、不可抗力事件发生后，应立即通知对方，并寄送有关权威机构出具的证明。</w:t>
      </w:r>
    </w:p>
    <w:p>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0" w:leftChars="0" w:firstLine="422" w:firstLineChars="153"/>
        <w:textAlignment w:val="baseline"/>
        <w:rPr>
          <w:rFonts w:hint="eastAsia" w:ascii="宋体" w:hAnsi="宋体" w:eastAsia="宋体" w:cs="宋体"/>
          <w:color w:val="auto"/>
          <w:spacing w:val="9"/>
          <w:position w:val="1"/>
          <w:sz w:val="24"/>
          <w:szCs w:val="24"/>
          <w:highlight w:val="none"/>
        </w:rPr>
      </w:pPr>
      <w:r>
        <w:rPr>
          <w:rFonts w:hint="eastAsia" w:ascii="宋体" w:hAnsi="宋体" w:eastAsia="宋体" w:cs="宋体"/>
          <w:color w:val="auto"/>
          <w:spacing w:val="18"/>
          <w:position w:val="1"/>
          <w:sz w:val="24"/>
          <w:szCs w:val="24"/>
          <w:highlight w:val="none"/>
        </w:rPr>
        <w:t>3</w:t>
      </w:r>
      <w:r>
        <w:rPr>
          <w:rFonts w:hint="eastAsia" w:ascii="宋体" w:hAnsi="宋体" w:eastAsia="宋体" w:cs="宋体"/>
          <w:color w:val="auto"/>
          <w:spacing w:val="10"/>
          <w:position w:val="1"/>
          <w:sz w:val="24"/>
          <w:szCs w:val="24"/>
          <w:highlight w:val="none"/>
        </w:rPr>
        <w:t>、</w:t>
      </w:r>
      <w:r>
        <w:rPr>
          <w:rFonts w:hint="eastAsia" w:ascii="宋体" w:hAnsi="宋体" w:eastAsia="宋体" w:cs="宋体"/>
          <w:color w:val="auto"/>
          <w:spacing w:val="9"/>
          <w:position w:val="1"/>
          <w:sz w:val="24"/>
          <w:szCs w:val="24"/>
          <w:highlight w:val="none"/>
        </w:rPr>
        <w:t>不可抗力事件延续一百二十天以上，双方应通过友好协商，确定是否继续履行合同。</w:t>
      </w:r>
    </w:p>
    <w:p>
      <w:pPr>
        <w:keepNext w:val="0"/>
        <w:keepLines w:val="0"/>
        <w:pageBreakBefore w:val="0"/>
        <w:widowControl/>
        <w:kinsoku w:val="0"/>
        <w:wordWrap/>
        <w:overflowPunct/>
        <w:topLinePunct w:val="0"/>
        <w:autoSpaceDE w:val="0"/>
        <w:autoSpaceDN w:val="0"/>
        <w:bidi w:val="0"/>
        <w:adjustRightInd w:val="0"/>
        <w:snapToGrid w:val="0"/>
        <w:spacing w:before="199" w:line="480" w:lineRule="exact"/>
        <w:ind w:left="420"/>
        <w:textAlignment w:val="baseline"/>
        <w:outlineLvl w:val="1"/>
        <w:rPr>
          <w:rFonts w:hint="eastAsia" w:ascii="宋体" w:hAnsi="宋体" w:eastAsia="宋体" w:cs="宋体"/>
          <w:color w:val="auto"/>
          <w:spacing w:val="8"/>
          <w:sz w:val="24"/>
          <w:szCs w:val="24"/>
          <w:highlight w:val="none"/>
        </w:rPr>
      </w:pPr>
      <w:bookmarkStart w:id="33" w:name="_bookmark98"/>
      <w:bookmarkEnd w:id="33"/>
      <w:r>
        <w:rPr>
          <w:rFonts w:hint="eastAsia" w:ascii="宋体" w:hAnsi="宋体" w:eastAsia="宋体" w:cs="宋体"/>
          <w:color w:val="auto"/>
          <w:spacing w:val="9"/>
          <w:sz w:val="24"/>
          <w:szCs w:val="24"/>
          <w:highlight w:val="none"/>
        </w:rPr>
        <w:t>第十一条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合同争议解</w:t>
      </w:r>
      <w:r>
        <w:rPr>
          <w:rFonts w:hint="eastAsia" w:ascii="宋体" w:hAnsi="宋体" w:eastAsia="宋体" w:cs="宋体"/>
          <w:color w:val="auto"/>
          <w:spacing w:val="8"/>
          <w:sz w:val="24"/>
          <w:szCs w:val="24"/>
          <w:highlight w:val="none"/>
        </w:rPr>
        <w:t>决</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23"/>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1、因服务质量问题发生争议的，</w:t>
      </w:r>
      <w:r>
        <w:rPr>
          <w:rFonts w:hint="eastAsia" w:ascii="宋体" w:hAnsi="宋体" w:eastAsia="宋体" w:cs="宋体"/>
          <w:color w:val="auto"/>
          <w:spacing w:val="9"/>
          <w:sz w:val="24"/>
          <w:szCs w:val="24"/>
          <w:highlight w:val="none"/>
          <w:lang w:val="en-US" w:eastAsia="zh-CN"/>
        </w:rPr>
        <w:t>应以本合同约定及附件中的服务标准、以及甲方日常形成的《服务工作考核记录》作为主要认定依据。双方对考核记录无法达成一致的，可共同委托第三方评估机构进行评估，评估费用由责任方承担。</w:t>
      </w:r>
    </w:p>
    <w:p>
      <w:pPr>
        <w:keepNext w:val="0"/>
        <w:keepLines w:val="0"/>
        <w:pageBreakBefore w:val="0"/>
        <w:widowControl/>
        <w:kinsoku w:val="0"/>
        <w:wordWrap/>
        <w:overflowPunct/>
        <w:topLinePunct w:val="0"/>
        <w:autoSpaceDE w:val="0"/>
        <w:autoSpaceDN w:val="0"/>
        <w:bidi w:val="0"/>
        <w:adjustRightInd w:val="0"/>
        <w:snapToGrid w:val="0"/>
        <w:spacing w:before="1" w:line="480" w:lineRule="exact"/>
        <w:ind w:firstLine="423"/>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17"/>
          <w:sz w:val="24"/>
          <w:szCs w:val="24"/>
          <w:highlight w:val="none"/>
        </w:rPr>
        <w:t>2</w:t>
      </w:r>
      <w:r>
        <w:rPr>
          <w:rFonts w:hint="eastAsia" w:ascii="宋体" w:hAnsi="宋体" w:eastAsia="宋体" w:cs="宋体"/>
          <w:color w:val="auto"/>
          <w:spacing w:val="9"/>
          <w:sz w:val="24"/>
          <w:szCs w:val="24"/>
          <w:highlight w:val="none"/>
        </w:rPr>
        <w:t>、因履行本合同引起的或者与本合同有关的争议，甲乙双方应首先通过友好协商解决，如果协商不能</w:t>
      </w:r>
      <w:r>
        <w:rPr>
          <w:rFonts w:hint="eastAsia" w:ascii="宋体" w:hAnsi="宋体" w:eastAsia="宋体" w:cs="宋体"/>
          <w:color w:val="auto"/>
          <w:spacing w:val="14"/>
          <w:sz w:val="24"/>
          <w:szCs w:val="24"/>
          <w:highlight w:val="none"/>
        </w:rPr>
        <w:t>解</w:t>
      </w:r>
      <w:r>
        <w:rPr>
          <w:rFonts w:hint="eastAsia" w:ascii="宋体" w:hAnsi="宋体" w:eastAsia="宋体" w:cs="宋体"/>
          <w:color w:val="auto"/>
          <w:spacing w:val="9"/>
          <w:sz w:val="24"/>
          <w:szCs w:val="24"/>
          <w:highlight w:val="none"/>
        </w:rPr>
        <w:t>决，可向甲方所在地有管辖权的人民法院提起诉讼。</w:t>
      </w:r>
      <w:r>
        <w:rPr>
          <w:rFonts w:hint="eastAsia" w:ascii="宋体" w:hAnsi="宋体" w:eastAsia="宋体" w:cs="宋体"/>
          <w:color w:val="auto"/>
          <w:spacing w:val="9"/>
          <w:sz w:val="24"/>
          <w:szCs w:val="24"/>
          <w:highlight w:val="none"/>
          <w:lang w:val="en-US" w:eastAsia="zh-CN"/>
        </w:rPr>
        <w:t>本合同履行过程中发生任何纠纷，则前述地址视为法院邮寄法律文书及邮寄催收函、律师函等文件的法定送达地址。所留电话为文件邮寄的联系电话，邮件一旦邮寄，不管是否签收即视为送达，拒收或者退件，以拒收或退件时间为送达时间。</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0"/>
          <w:position w:val="1"/>
          <w:sz w:val="24"/>
          <w:szCs w:val="24"/>
          <w:highlight w:val="none"/>
        </w:rPr>
        <w:t>3</w:t>
      </w:r>
      <w:r>
        <w:rPr>
          <w:rFonts w:hint="eastAsia" w:ascii="宋体" w:hAnsi="宋体" w:eastAsia="宋体" w:cs="宋体"/>
          <w:color w:val="auto"/>
          <w:spacing w:val="8"/>
          <w:position w:val="1"/>
          <w:sz w:val="24"/>
          <w:szCs w:val="24"/>
          <w:highlight w:val="none"/>
        </w:rPr>
        <w:t>、诉讼期间，本合同继续履行。</w:t>
      </w:r>
    </w:p>
    <w:p>
      <w:pPr>
        <w:keepNext w:val="0"/>
        <w:keepLines w:val="0"/>
        <w:pageBreakBefore w:val="0"/>
        <w:widowControl/>
        <w:kinsoku w:val="0"/>
        <w:wordWrap/>
        <w:overflowPunct/>
        <w:topLinePunct w:val="0"/>
        <w:autoSpaceDE w:val="0"/>
        <w:autoSpaceDN w:val="0"/>
        <w:bidi w:val="0"/>
        <w:adjustRightInd w:val="0"/>
        <w:snapToGrid w:val="0"/>
        <w:spacing w:before="240" w:line="480" w:lineRule="exact"/>
        <w:ind w:left="420"/>
        <w:textAlignment w:val="baseline"/>
        <w:outlineLvl w:val="1"/>
        <w:rPr>
          <w:rFonts w:hint="eastAsia" w:ascii="宋体" w:hAnsi="宋体" w:eastAsia="宋体" w:cs="宋体"/>
          <w:color w:val="auto"/>
          <w:sz w:val="24"/>
          <w:szCs w:val="24"/>
          <w:highlight w:val="none"/>
        </w:rPr>
      </w:pPr>
      <w:bookmarkStart w:id="34" w:name="_bookmark99"/>
      <w:bookmarkEnd w:id="34"/>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9"/>
          <w:sz w:val="24"/>
          <w:szCs w:val="24"/>
          <w:highlight w:val="none"/>
        </w:rPr>
        <w:t>十二条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合同生效及其他</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firstLine="436"/>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sz w:val="24"/>
          <w:szCs w:val="24"/>
          <w:highlight w:val="none"/>
        </w:rPr>
        <w:t>1、合同</w:t>
      </w:r>
      <w:r>
        <w:rPr>
          <w:rFonts w:hint="eastAsia" w:ascii="宋体" w:hAnsi="宋体" w:eastAsia="宋体" w:cs="宋体"/>
          <w:color w:val="auto"/>
          <w:spacing w:val="8"/>
          <w:sz w:val="24"/>
          <w:szCs w:val="24"/>
          <w:highlight w:val="none"/>
        </w:rPr>
        <w:t>经双方法定代表人或者授权代表签字</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lang w:val="en-US" w:eastAsia="zh-CN"/>
        </w:rPr>
        <w:t>或盖章</w:t>
      </w:r>
      <w:r>
        <w:rPr>
          <w:rFonts w:hint="eastAsia" w:ascii="宋体" w:hAnsi="宋体" w:eastAsia="宋体" w:cs="宋体"/>
          <w:color w:val="auto"/>
          <w:spacing w:val="8"/>
          <w:sz w:val="24"/>
          <w:szCs w:val="24"/>
          <w:highlight w:val="none"/>
          <w:lang w:eastAsia="zh-CN"/>
        </w:rPr>
        <w:t>）</w:t>
      </w:r>
      <w:r>
        <w:rPr>
          <w:rFonts w:hint="eastAsia" w:ascii="宋体" w:hAnsi="宋体" w:eastAsia="宋体" w:cs="宋体"/>
          <w:color w:val="auto"/>
          <w:spacing w:val="8"/>
          <w:sz w:val="24"/>
          <w:szCs w:val="24"/>
          <w:highlight w:val="none"/>
        </w:rPr>
        <w:t>并加盖单位公章后生效(委托代理人签字的须后附法定代</w:t>
      </w:r>
      <w:r>
        <w:rPr>
          <w:rFonts w:hint="eastAsia" w:ascii="宋体" w:hAnsi="宋体" w:eastAsia="宋体" w:cs="宋体"/>
          <w:color w:val="auto"/>
          <w:spacing w:val="10"/>
          <w:sz w:val="24"/>
          <w:szCs w:val="24"/>
          <w:highlight w:val="none"/>
        </w:rPr>
        <w:t>表</w:t>
      </w:r>
      <w:r>
        <w:rPr>
          <w:rFonts w:hint="eastAsia" w:ascii="宋体" w:hAnsi="宋体" w:eastAsia="宋体" w:cs="宋体"/>
          <w:color w:val="auto"/>
          <w:spacing w:val="8"/>
          <w:sz w:val="24"/>
          <w:szCs w:val="24"/>
          <w:highlight w:val="none"/>
        </w:rPr>
        <w:t>人授权委托书，格式自拟)。</w:t>
      </w:r>
    </w:p>
    <w:p>
      <w:pPr>
        <w:keepNext w:val="0"/>
        <w:keepLines w:val="0"/>
        <w:pageBreakBefore w:val="0"/>
        <w:widowControl/>
        <w:kinsoku w:val="0"/>
        <w:wordWrap/>
        <w:overflowPunct/>
        <w:topLinePunct w:val="0"/>
        <w:autoSpaceDE w:val="0"/>
        <w:autoSpaceDN w:val="0"/>
        <w:bidi w:val="0"/>
        <w:adjustRightInd w:val="0"/>
        <w:snapToGrid w:val="0"/>
        <w:spacing w:before="2" w:line="480" w:lineRule="exact"/>
        <w:ind w:firstLine="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7"/>
          <w:sz w:val="24"/>
          <w:szCs w:val="24"/>
          <w:highlight w:val="none"/>
        </w:rPr>
        <w:t>2</w:t>
      </w:r>
      <w:r>
        <w:rPr>
          <w:rFonts w:hint="eastAsia" w:ascii="宋体" w:hAnsi="宋体" w:eastAsia="宋体" w:cs="宋体"/>
          <w:color w:val="auto"/>
          <w:spacing w:val="9"/>
          <w:sz w:val="24"/>
          <w:szCs w:val="24"/>
          <w:highlight w:val="none"/>
        </w:rPr>
        <w:t>、合同执行中涉及采购资金和采购内容修改或者补充的，须经财政部门审批，并签书面补充协议报财</w:t>
      </w:r>
      <w:r>
        <w:rPr>
          <w:rFonts w:hint="eastAsia" w:ascii="宋体" w:hAnsi="宋体" w:eastAsia="宋体" w:cs="宋体"/>
          <w:color w:val="auto"/>
          <w:spacing w:val="12"/>
          <w:sz w:val="24"/>
          <w:szCs w:val="24"/>
          <w:highlight w:val="none"/>
        </w:rPr>
        <w:t>政</w:t>
      </w:r>
      <w:r>
        <w:rPr>
          <w:rFonts w:hint="eastAsia" w:ascii="宋体" w:hAnsi="宋体" w:eastAsia="宋体" w:cs="宋体"/>
          <w:color w:val="auto"/>
          <w:spacing w:val="9"/>
          <w:sz w:val="24"/>
          <w:szCs w:val="24"/>
          <w:highlight w:val="none"/>
        </w:rPr>
        <w:t>部门备案，方可作为主合同不可分割的一部分。</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5"/>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2"/>
          <w:position w:val="1"/>
          <w:sz w:val="24"/>
          <w:szCs w:val="24"/>
          <w:highlight w:val="none"/>
        </w:rPr>
        <w:t>3</w:t>
      </w:r>
      <w:r>
        <w:rPr>
          <w:rFonts w:hint="eastAsia" w:ascii="宋体" w:hAnsi="宋体" w:eastAsia="宋体" w:cs="宋体"/>
          <w:color w:val="auto"/>
          <w:spacing w:val="9"/>
          <w:position w:val="1"/>
          <w:sz w:val="24"/>
          <w:szCs w:val="24"/>
          <w:highlight w:val="none"/>
        </w:rPr>
        <w:t>、本合同未尽事宜，遵照《中华人民共和国民法典》有关条文执行。</w:t>
      </w:r>
    </w:p>
    <w:p>
      <w:pPr>
        <w:keepNext w:val="0"/>
        <w:keepLines w:val="0"/>
        <w:pageBreakBefore w:val="0"/>
        <w:widowControl/>
        <w:kinsoku w:val="0"/>
        <w:wordWrap/>
        <w:overflowPunct/>
        <w:topLinePunct w:val="0"/>
        <w:autoSpaceDE w:val="0"/>
        <w:autoSpaceDN w:val="0"/>
        <w:bidi w:val="0"/>
        <w:adjustRightInd w:val="0"/>
        <w:snapToGrid w:val="0"/>
        <w:spacing w:before="200" w:line="480" w:lineRule="exact"/>
        <w:ind w:left="420"/>
        <w:textAlignment w:val="baseline"/>
        <w:outlineLvl w:val="1"/>
        <w:rPr>
          <w:rFonts w:hint="eastAsia" w:ascii="宋体" w:hAnsi="宋体" w:eastAsia="宋体" w:cs="宋体"/>
          <w:color w:val="auto"/>
          <w:sz w:val="24"/>
          <w:szCs w:val="24"/>
          <w:highlight w:val="none"/>
        </w:rPr>
      </w:pPr>
      <w:bookmarkStart w:id="35" w:name="_bookmark100"/>
      <w:bookmarkEnd w:id="35"/>
      <w:r>
        <w:rPr>
          <w:rFonts w:hint="eastAsia" w:ascii="宋体" w:hAnsi="宋体" w:eastAsia="宋体" w:cs="宋体"/>
          <w:color w:val="auto"/>
          <w:spacing w:val="17"/>
          <w:sz w:val="24"/>
          <w:szCs w:val="24"/>
          <w:highlight w:val="none"/>
        </w:rPr>
        <w:t>第</w:t>
      </w:r>
      <w:r>
        <w:rPr>
          <w:rFonts w:hint="eastAsia" w:ascii="宋体" w:hAnsi="宋体" w:eastAsia="宋体" w:cs="宋体"/>
          <w:color w:val="auto"/>
          <w:spacing w:val="9"/>
          <w:sz w:val="24"/>
          <w:szCs w:val="24"/>
          <w:highlight w:val="none"/>
        </w:rPr>
        <w:t>十三条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合同的变更、终止与转让</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9"/>
          <w:sz w:val="24"/>
          <w:szCs w:val="24"/>
          <w:highlight w:val="none"/>
        </w:rPr>
        <w:t>1、除《中华人民共和国政府采购法》第五十条规定的情形外，本合同一经签订，甲乙双方不得擅自</w:t>
      </w:r>
      <w:r>
        <w:rPr>
          <w:rFonts w:hint="eastAsia" w:ascii="宋体" w:hAnsi="宋体" w:eastAsia="宋体" w:cs="宋体"/>
          <w:color w:val="auto"/>
          <w:spacing w:val="4"/>
          <w:sz w:val="24"/>
          <w:szCs w:val="24"/>
          <w:highlight w:val="none"/>
        </w:rPr>
        <w:t>变</w:t>
      </w:r>
      <w:r>
        <w:rPr>
          <w:rFonts w:hint="eastAsia" w:ascii="宋体" w:hAnsi="宋体" w:eastAsia="宋体" w:cs="宋体"/>
          <w:color w:val="auto"/>
          <w:spacing w:val="11"/>
          <w:sz w:val="24"/>
          <w:szCs w:val="24"/>
          <w:highlight w:val="none"/>
        </w:rPr>
        <w:t>更</w:t>
      </w:r>
      <w:r>
        <w:rPr>
          <w:rFonts w:hint="eastAsia" w:ascii="宋体" w:hAnsi="宋体" w:eastAsia="宋体" w:cs="宋体"/>
          <w:color w:val="auto"/>
          <w:spacing w:val="7"/>
          <w:sz w:val="24"/>
          <w:szCs w:val="24"/>
          <w:highlight w:val="none"/>
        </w:rPr>
        <w:t>、中止或者终止。</w:t>
      </w:r>
    </w:p>
    <w:p>
      <w:pPr>
        <w:keepNext w:val="0"/>
        <w:keepLines w:val="0"/>
        <w:pageBreakBefore w:val="0"/>
        <w:widowControl/>
        <w:kinsoku w:val="0"/>
        <w:wordWrap/>
        <w:overflowPunct/>
        <w:topLinePunct w:val="0"/>
        <w:autoSpaceDE w:val="0"/>
        <w:autoSpaceDN w:val="0"/>
        <w:bidi w:val="0"/>
        <w:adjustRightInd w:val="0"/>
        <w:snapToGrid w:val="0"/>
        <w:spacing w:line="480" w:lineRule="exact"/>
        <w:ind w:left="423"/>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6"/>
          <w:position w:val="1"/>
          <w:sz w:val="24"/>
          <w:szCs w:val="24"/>
          <w:highlight w:val="none"/>
        </w:rPr>
        <w:t>2</w:t>
      </w:r>
      <w:r>
        <w:rPr>
          <w:rFonts w:hint="eastAsia" w:ascii="宋体" w:hAnsi="宋体" w:eastAsia="宋体" w:cs="宋体"/>
          <w:color w:val="auto"/>
          <w:spacing w:val="12"/>
          <w:position w:val="1"/>
          <w:sz w:val="24"/>
          <w:szCs w:val="24"/>
          <w:highlight w:val="none"/>
        </w:rPr>
        <w:t>、</w:t>
      </w:r>
      <w:r>
        <w:rPr>
          <w:rFonts w:hint="eastAsia" w:ascii="宋体" w:hAnsi="宋体" w:eastAsia="宋体" w:cs="宋体"/>
          <w:color w:val="auto"/>
          <w:spacing w:val="8"/>
          <w:position w:val="1"/>
          <w:sz w:val="24"/>
          <w:szCs w:val="24"/>
          <w:highlight w:val="none"/>
        </w:rPr>
        <w:t>乙方不得擅自转让其应履行的合同义务。</w:t>
      </w:r>
    </w:p>
    <w:p>
      <w:pPr>
        <w:keepNext w:val="0"/>
        <w:keepLines w:val="0"/>
        <w:pageBreakBefore w:val="0"/>
        <w:widowControl/>
        <w:kinsoku w:val="0"/>
        <w:wordWrap/>
        <w:overflowPunct/>
        <w:topLinePunct w:val="0"/>
        <w:autoSpaceDE w:val="0"/>
        <w:autoSpaceDN w:val="0"/>
        <w:bidi w:val="0"/>
        <w:adjustRightInd w:val="0"/>
        <w:snapToGrid w:val="0"/>
        <w:spacing w:before="197" w:line="480" w:lineRule="exact"/>
        <w:ind w:left="421"/>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7"/>
          <w:position w:val="1"/>
          <w:sz w:val="24"/>
          <w:szCs w:val="24"/>
          <w:highlight w:val="none"/>
        </w:rPr>
        <w:t>3、本协议约定的合同变更、终止、解除等情形可以适用</w:t>
      </w:r>
      <w:r>
        <w:rPr>
          <w:rFonts w:hint="eastAsia" w:ascii="宋体" w:hAnsi="宋体" w:eastAsia="宋体" w:cs="宋体"/>
          <w:color w:val="auto"/>
          <w:spacing w:val="2"/>
          <w:position w:val="1"/>
          <w:sz w:val="24"/>
          <w:szCs w:val="24"/>
          <w:highlight w:val="none"/>
        </w:rPr>
        <w:t>。</w:t>
      </w:r>
    </w:p>
    <w:p>
      <w:pPr>
        <w:keepNext w:val="0"/>
        <w:keepLines w:val="0"/>
        <w:pageBreakBefore w:val="0"/>
        <w:widowControl/>
        <w:kinsoku w:val="0"/>
        <w:wordWrap/>
        <w:overflowPunct/>
        <w:topLinePunct w:val="0"/>
        <w:autoSpaceDE w:val="0"/>
        <w:autoSpaceDN w:val="0"/>
        <w:bidi w:val="0"/>
        <w:adjustRightInd w:val="0"/>
        <w:snapToGrid w:val="0"/>
        <w:spacing w:before="203" w:line="480" w:lineRule="exact"/>
        <w:ind w:left="420"/>
        <w:textAlignment w:val="baseline"/>
        <w:outlineLvl w:val="1"/>
        <w:rPr>
          <w:rFonts w:hint="eastAsia" w:ascii="宋体" w:hAnsi="宋体" w:eastAsia="宋体" w:cs="宋体"/>
          <w:color w:val="auto"/>
          <w:sz w:val="24"/>
          <w:szCs w:val="24"/>
          <w:highlight w:val="none"/>
        </w:rPr>
      </w:pPr>
      <w:bookmarkStart w:id="36" w:name="_bookmark101"/>
      <w:bookmarkEnd w:id="36"/>
      <w:r>
        <w:rPr>
          <w:rFonts w:hint="eastAsia" w:ascii="宋体" w:hAnsi="宋体" w:eastAsia="宋体" w:cs="宋体"/>
          <w:color w:val="auto"/>
          <w:spacing w:val="11"/>
          <w:sz w:val="24"/>
          <w:szCs w:val="24"/>
          <w:highlight w:val="none"/>
        </w:rPr>
        <w:t>第</w:t>
      </w:r>
      <w:r>
        <w:rPr>
          <w:rFonts w:hint="eastAsia" w:ascii="宋体" w:hAnsi="宋体" w:eastAsia="宋体" w:cs="宋体"/>
          <w:color w:val="auto"/>
          <w:spacing w:val="9"/>
          <w:sz w:val="24"/>
          <w:szCs w:val="24"/>
          <w:highlight w:val="none"/>
        </w:rPr>
        <w:t>十四条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签订本合同依据</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1、合同文本的依据</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rPr>
      </w:pPr>
      <w:r>
        <w:rPr>
          <w:rFonts w:hint="eastAsia" w:ascii="宋体" w:hAnsi="宋体" w:eastAsia="宋体" w:cs="宋体"/>
          <w:color w:val="auto"/>
          <w:spacing w:val="9"/>
          <w:sz w:val="24"/>
          <w:szCs w:val="24"/>
          <w:highlight w:val="none"/>
        </w:rPr>
        <w:t>(1) 中标通知书；</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(2) 投标报价表</w:t>
      </w:r>
      <w:r>
        <w:rPr>
          <w:rFonts w:hint="eastAsia" w:ascii="宋体" w:hAnsi="宋体" w:eastAsia="宋体" w:cs="宋体"/>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color w:val="auto"/>
          <w:spacing w:val="9"/>
          <w:sz w:val="24"/>
          <w:szCs w:val="24"/>
          <w:highlight w:val="none"/>
          <w:lang w:eastAsia="zh-CN"/>
        </w:rPr>
      </w:pPr>
      <w:r>
        <w:rPr>
          <w:rFonts w:hint="eastAsia" w:ascii="宋体" w:hAnsi="宋体" w:eastAsia="宋体" w:cs="宋体"/>
          <w:color w:val="auto"/>
          <w:spacing w:val="9"/>
          <w:sz w:val="24"/>
          <w:szCs w:val="24"/>
          <w:highlight w:val="none"/>
        </w:rPr>
        <w:t>(3) 服务响应表</w:t>
      </w:r>
      <w:r>
        <w:rPr>
          <w:rFonts w:hint="eastAsia" w:ascii="宋体" w:hAnsi="宋体" w:eastAsia="宋体" w:cs="宋体"/>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b w:val="0"/>
          <w:bCs w:val="0"/>
          <w:color w:val="auto"/>
          <w:spacing w:val="9"/>
          <w:sz w:val="24"/>
          <w:szCs w:val="24"/>
          <w:highlight w:val="none"/>
          <w:lang w:eastAsia="zh-CN"/>
        </w:rPr>
      </w:pPr>
      <w:r>
        <w:rPr>
          <w:rFonts w:hint="eastAsia" w:ascii="宋体" w:hAnsi="宋体" w:eastAsia="宋体" w:cs="宋体"/>
          <w:b w:val="0"/>
          <w:bCs w:val="0"/>
          <w:color w:val="auto"/>
          <w:spacing w:val="9"/>
          <w:sz w:val="24"/>
          <w:szCs w:val="24"/>
          <w:highlight w:val="none"/>
        </w:rPr>
        <w:t>(4) 商务响应表</w:t>
      </w:r>
      <w:r>
        <w:rPr>
          <w:rFonts w:hint="eastAsia" w:ascii="宋体" w:hAnsi="宋体" w:eastAsia="宋体" w:cs="宋体"/>
          <w:b w:val="0"/>
          <w:bCs w:val="0"/>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b w:val="0"/>
          <w:bCs w:val="0"/>
          <w:color w:val="auto"/>
          <w:spacing w:val="9"/>
          <w:sz w:val="24"/>
          <w:szCs w:val="24"/>
          <w:highlight w:val="none"/>
          <w:lang w:eastAsia="zh-CN"/>
        </w:rPr>
      </w:pPr>
      <w:r>
        <w:rPr>
          <w:rFonts w:hint="eastAsia" w:ascii="宋体" w:hAnsi="宋体" w:eastAsia="宋体" w:cs="宋体"/>
          <w:b w:val="0"/>
          <w:bCs w:val="0"/>
          <w:color w:val="auto"/>
          <w:spacing w:val="9"/>
          <w:sz w:val="24"/>
          <w:szCs w:val="24"/>
          <w:highlight w:val="none"/>
        </w:rPr>
        <w:t xml:space="preserve">(5) 遵守最低工资政策承诺书 </w:t>
      </w:r>
      <w:r>
        <w:rPr>
          <w:rFonts w:hint="eastAsia" w:ascii="宋体" w:hAnsi="宋体" w:eastAsia="宋体" w:cs="宋体"/>
          <w:b w:val="0"/>
          <w:bCs w:val="0"/>
          <w:color w:val="auto"/>
          <w:spacing w:val="9"/>
          <w:sz w:val="24"/>
          <w:szCs w:val="24"/>
          <w:highlight w:val="none"/>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220" w:line="480" w:lineRule="exact"/>
        <w:ind w:left="3" w:firstLine="432"/>
        <w:textAlignment w:val="baseline"/>
        <w:rPr>
          <w:rFonts w:hint="eastAsia" w:ascii="宋体" w:hAnsi="宋体" w:eastAsia="宋体" w:cs="宋体"/>
          <w:b w:val="0"/>
          <w:bCs w:val="0"/>
          <w:color w:val="auto"/>
          <w:spacing w:val="9"/>
          <w:sz w:val="24"/>
          <w:szCs w:val="24"/>
          <w:highlight w:val="none"/>
        </w:rPr>
      </w:pPr>
      <w:r>
        <w:rPr>
          <w:rFonts w:hint="eastAsia" w:ascii="宋体" w:hAnsi="宋体" w:eastAsia="宋体" w:cs="宋体"/>
          <w:b w:val="0"/>
          <w:bCs w:val="0"/>
          <w:color w:val="auto"/>
          <w:spacing w:val="9"/>
          <w:sz w:val="24"/>
          <w:szCs w:val="24"/>
          <w:highlight w:val="none"/>
        </w:rPr>
        <w:t>以上文件须加盖代理机构公章。</w:t>
      </w:r>
    </w:p>
    <w:p>
      <w:pPr>
        <w:keepNext w:val="0"/>
        <w:keepLines w:val="0"/>
        <w:pageBreakBefore w:val="0"/>
        <w:widowControl/>
        <w:kinsoku w:val="0"/>
        <w:wordWrap/>
        <w:overflowPunct/>
        <w:topLinePunct w:val="0"/>
        <w:autoSpaceDE w:val="0"/>
        <w:autoSpaceDN w:val="0"/>
        <w:bidi w:val="0"/>
        <w:adjustRightInd w:val="0"/>
        <w:snapToGrid w:val="0"/>
        <w:spacing w:before="199" w:line="480" w:lineRule="exact"/>
        <w:ind w:firstLine="512" w:firstLineChars="200"/>
        <w:textAlignment w:val="baseline"/>
        <w:rPr>
          <w:rFonts w:hint="eastAsia" w:ascii="宋体" w:hAnsi="宋体" w:eastAsia="宋体" w:cs="宋体"/>
          <w:color w:val="auto"/>
          <w:spacing w:val="8"/>
          <w:position w:val="1"/>
          <w:sz w:val="24"/>
          <w:szCs w:val="24"/>
          <w:highlight w:val="none"/>
        </w:rPr>
      </w:pPr>
      <w:r>
        <w:rPr>
          <w:rFonts w:hint="eastAsia" w:ascii="宋体" w:hAnsi="宋体" w:eastAsia="宋体" w:cs="宋体"/>
          <w:color w:val="auto"/>
          <w:spacing w:val="8"/>
          <w:position w:val="1"/>
          <w:sz w:val="24"/>
          <w:szCs w:val="24"/>
          <w:highlight w:val="none"/>
          <w:lang w:val="en-US" w:eastAsia="zh-CN"/>
        </w:rPr>
        <w:t>2</w:t>
      </w:r>
      <w:r>
        <w:rPr>
          <w:rFonts w:hint="eastAsia" w:ascii="宋体" w:hAnsi="宋体" w:eastAsia="宋体" w:cs="宋体"/>
          <w:color w:val="auto"/>
          <w:spacing w:val="8"/>
          <w:position w:val="1"/>
          <w:sz w:val="24"/>
          <w:szCs w:val="24"/>
          <w:highlight w:val="none"/>
        </w:rPr>
        <w:t>、上述合同文件互相补充和解释。如果合同文件之间存在矛盾或者不一致之处，</w:t>
      </w:r>
      <w:r>
        <w:rPr>
          <w:rFonts w:hint="eastAsia" w:ascii="宋体" w:hAnsi="宋体" w:eastAsia="宋体" w:cs="宋体"/>
          <w:color w:val="auto"/>
          <w:spacing w:val="8"/>
          <w:position w:val="1"/>
          <w:sz w:val="24"/>
          <w:szCs w:val="24"/>
          <w:highlight w:val="none"/>
          <w:lang w:val="en-US" w:eastAsia="zh-CN"/>
        </w:rPr>
        <w:t>以本合同正文的约定为准，本合同正文未约定的，</w:t>
      </w:r>
      <w:r>
        <w:rPr>
          <w:rFonts w:hint="eastAsia" w:ascii="宋体" w:hAnsi="宋体" w:eastAsia="宋体" w:cs="宋体"/>
          <w:color w:val="auto"/>
          <w:spacing w:val="8"/>
          <w:position w:val="1"/>
          <w:sz w:val="24"/>
          <w:szCs w:val="24"/>
          <w:highlight w:val="none"/>
        </w:rPr>
        <w:t>以上述文件的排列顺序在先者为准。</w:t>
      </w:r>
    </w:p>
    <w:p>
      <w:pPr>
        <w:keepNext w:val="0"/>
        <w:keepLines w:val="0"/>
        <w:pageBreakBefore w:val="0"/>
        <w:widowControl/>
        <w:kinsoku w:val="0"/>
        <w:wordWrap/>
        <w:overflowPunct/>
        <w:topLinePunct w:val="0"/>
        <w:autoSpaceDE w:val="0"/>
        <w:autoSpaceDN w:val="0"/>
        <w:bidi w:val="0"/>
        <w:adjustRightInd w:val="0"/>
        <w:snapToGrid w:val="0"/>
        <w:spacing w:before="221" w:line="480" w:lineRule="exact"/>
        <w:ind w:left="540"/>
        <w:textAlignment w:val="baseline"/>
        <w:outlineLvl w:val="1"/>
        <w:rPr>
          <w:rFonts w:hint="eastAsia" w:ascii="宋体" w:hAnsi="宋体" w:eastAsia="宋体" w:cs="宋体"/>
          <w:color w:val="auto"/>
          <w:sz w:val="24"/>
          <w:szCs w:val="24"/>
          <w:highlight w:val="none"/>
        </w:rPr>
      </w:pPr>
      <w:bookmarkStart w:id="37" w:name="_bookmark102"/>
      <w:bookmarkEnd w:id="37"/>
      <w:r>
        <w:rPr>
          <w:rFonts w:hint="eastAsia" w:ascii="宋体" w:hAnsi="宋体" w:eastAsia="宋体" w:cs="宋体"/>
          <w:color w:val="auto"/>
          <w:spacing w:val="9"/>
          <w:sz w:val="24"/>
          <w:szCs w:val="24"/>
          <w:highlight w:val="none"/>
        </w:rPr>
        <w:t>第十五条</w:t>
      </w:r>
      <w:r>
        <w:rPr>
          <w:rFonts w:hint="eastAsia" w:ascii="宋体" w:hAnsi="宋体" w:eastAsia="宋体" w:cs="宋体"/>
          <w:color w:val="auto"/>
          <w:spacing w:val="9"/>
          <w:sz w:val="24"/>
          <w:szCs w:val="24"/>
          <w:highlight w:val="none"/>
          <w:lang w:val="en-US" w:eastAsia="zh-CN"/>
        </w:rPr>
        <w:t xml:space="preserve"> </w:t>
      </w:r>
      <w:r>
        <w:rPr>
          <w:rFonts w:hint="eastAsia" w:ascii="宋体" w:hAnsi="宋体" w:eastAsia="宋体" w:cs="宋体"/>
          <w:color w:val="auto"/>
          <w:spacing w:val="9"/>
          <w:sz w:val="24"/>
          <w:szCs w:val="24"/>
          <w:highlight w:val="none"/>
        </w:rPr>
        <w:t>合同说</w:t>
      </w:r>
      <w:r>
        <w:rPr>
          <w:rFonts w:hint="eastAsia" w:ascii="宋体" w:hAnsi="宋体" w:eastAsia="宋体" w:cs="宋体"/>
          <w:color w:val="auto"/>
          <w:spacing w:val="7"/>
          <w:sz w:val="24"/>
          <w:szCs w:val="24"/>
          <w:highlight w:val="none"/>
        </w:rPr>
        <w:t>明</w:t>
      </w:r>
    </w:p>
    <w:p>
      <w:pPr>
        <w:keepNext w:val="0"/>
        <w:keepLines w:val="0"/>
        <w:pageBreakBefore w:val="0"/>
        <w:widowControl/>
        <w:kinsoku w:val="0"/>
        <w:wordWrap/>
        <w:overflowPunct/>
        <w:topLinePunct w:val="0"/>
        <w:autoSpaceDE w:val="0"/>
        <w:autoSpaceDN w:val="0"/>
        <w:bidi w:val="0"/>
        <w:adjustRightInd w:val="0"/>
        <w:snapToGrid w:val="0"/>
        <w:spacing w:before="219" w:line="480" w:lineRule="exact"/>
        <w:ind w:firstLine="522" w:firstLineChars="200"/>
        <w:textAlignment w:val="baseline"/>
        <w:rPr>
          <w:rFonts w:hint="eastAsia" w:ascii="宋体" w:hAnsi="宋体" w:eastAsia="宋体" w:cs="宋体"/>
          <w:b/>
          <w:bCs/>
          <w:color w:val="auto"/>
          <w:spacing w:val="11"/>
          <w:sz w:val="24"/>
          <w:szCs w:val="24"/>
          <w:highlight w:val="none"/>
          <w:u w:val="single" w:color="auto"/>
        </w:rPr>
      </w:pPr>
      <w:r>
        <w:rPr>
          <w:rFonts w:hint="eastAsia" w:ascii="宋体" w:hAnsi="宋体" w:eastAsia="宋体" w:cs="宋体"/>
          <w:b/>
          <w:bCs/>
          <w:color w:val="auto"/>
          <w:spacing w:val="10"/>
          <w:sz w:val="24"/>
          <w:szCs w:val="24"/>
          <w:highlight w:val="none"/>
          <w:u w:val="single" w:color="auto"/>
        </w:rPr>
        <w:t>本</w:t>
      </w:r>
      <w:r>
        <w:rPr>
          <w:rFonts w:hint="eastAsia" w:ascii="宋体" w:hAnsi="宋体" w:eastAsia="宋体" w:cs="宋体"/>
          <w:b/>
          <w:bCs/>
          <w:color w:val="auto"/>
          <w:spacing w:val="9"/>
          <w:sz w:val="24"/>
          <w:szCs w:val="24"/>
          <w:highlight w:val="none"/>
          <w:u w:val="single" w:color="auto"/>
        </w:rPr>
        <w:t>合同甲乙双方签字盖章后生效，一式六份，具有同等法律效力，甲、乙双方各两份(可根据需要另增加)。政府采购合同双方自签订之日起1个工作日内将合同原件两份交采购代理机构。采购代理机构</w:t>
      </w:r>
      <w:r>
        <w:rPr>
          <w:rFonts w:hint="eastAsia" w:ascii="宋体" w:hAnsi="宋体" w:eastAsia="宋体" w:cs="宋体"/>
          <w:b/>
          <w:bCs/>
          <w:color w:val="auto"/>
          <w:spacing w:val="2"/>
          <w:sz w:val="24"/>
          <w:szCs w:val="24"/>
          <w:highlight w:val="none"/>
          <w:u w:val="single" w:color="auto"/>
        </w:rPr>
        <w:t>将</w:t>
      </w:r>
      <w:r>
        <w:rPr>
          <w:rFonts w:hint="eastAsia" w:ascii="宋体" w:hAnsi="宋体" w:eastAsia="宋体" w:cs="宋体"/>
          <w:b/>
          <w:bCs/>
          <w:color w:val="auto"/>
          <w:spacing w:val="13"/>
          <w:sz w:val="24"/>
          <w:szCs w:val="24"/>
          <w:highlight w:val="none"/>
          <w:u w:val="single" w:color="auto"/>
        </w:rPr>
        <w:t>政</w:t>
      </w:r>
      <w:r>
        <w:rPr>
          <w:rFonts w:hint="eastAsia" w:ascii="宋体" w:hAnsi="宋体" w:eastAsia="宋体" w:cs="宋体"/>
          <w:b/>
          <w:bCs/>
          <w:color w:val="auto"/>
          <w:spacing w:val="9"/>
          <w:sz w:val="24"/>
          <w:szCs w:val="24"/>
          <w:highlight w:val="none"/>
          <w:u w:val="single" w:color="auto"/>
        </w:rPr>
        <w:t>府采购合同在省级以上人民政府财政部门指定媒体上公告并于合同签订之日起7个工作日内将一份合同</w:t>
      </w:r>
      <w:r>
        <w:rPr>
          <w:rFonts w:hint="eastAsia" w:ascii="宋体" w:hAnsi="宋体" w:eastAsia="宋体" w:cs="宋体"/>
          <w:b/>
          <w:bCs/>
          <w:color w:val="auto"/>
          <w:spacing w:val="16"/>
          <w:sz w:val="24"/>
          <w:szCs w:val="24"/>
          <w:highlight w:val="none"/>
          <w:u w:val="single" w:color="auto"/>
        </w:rPr>
        <w:t>原</w:t>
      </w:r>
      <w:r>
        <w:rPr>
          <w:rFonts w:hint="eastAsia" w:ascii="宋体" w:hAnsi="宋体" w:eastAsia="宋体" w:cs="宋体"/>
          <w:b/>
          <w:bCs/>
          <w:color w:val="auto"/>
          <w:spacing w:val="11"/>
          <w:sz w:val="24"/>
          <w:szCs w:val="24"/>
          <w:highlight w:val="none"/>
          <w:u w:val="single" w:color="auto"/>
        </w:rPr>
        <w:t>件送监督管理部门备案，一份由采购代理机构存档。</w:t>
      </w:r>
    </w:p>
    <w:p>
      <w:pPr>
        <w:spacing w:line="262" w:lineRule="auto"/>
        <w:rPr>
          <w:rFonts w:ascii="Arial"/>
          <w:color w:val="auto"/>
          <w:sz w:val="21"/>
          <w:highlight w:val="none"/>
        </w:rPr>
      </w:pPr>
    </w:p>
    <w:p>
      <w:pPr>
        <w:spacing w:line="262" w:lineRule="auto"/>
        <w:rPr>
          <w:rFonts w:ascii="Arial"/>
          <w:color w:val="auto"/>
          <w:sz w:val="21"/>
          <w:highlight w:val="none"/>
        </w:rPr>
      </w:pPr>
    </w:p>
    <w:p>
      <w:pPr>
        <w:pStyle w:val="4"/>
        <w:keepNext w:val="0"/>
        <w:keepLines w:val="0"/>
        <w:pageBreakBefore w:val="0"/>
        <w:widowControl/>
        <w:kinsoku w:val="0"/>
        <w:wordWrap/>
        <w:overflowPunct/>
        <w:topLinePunct w:val="0"/>
        <w:autoSpaceDE w:val="0"/>
        <w:autoSpaceDN w:val="0"/>
        <w:bidi w:val="0"/>
        <w:adjustRightInd w:val="0"/>
        <w:snapToGrid w:val="0"/>
        <w:spacing w:before="219"/>
        <w:ind w:firstLine="482" w:firstLineChars="200"/>
        <w:textAlignment w:val="baseline"/>
        <w:rPr>
          <w:rFonts w:hint="eastAsia" w:ascii="宋体" w:hAnsi="宋体" w:eastAsia="宋体" w:cs="宋体"/>
          <w:color w:val="auto"/>
          <w:spacing w:val="11"/>
          <w:sz w:val="24"/>
          <w:szCs w:val="24"/>
          <w:highlight w:val="none"/>
          <w:u w:val="single" w:color="auto"/>
        </w:rPr>
      </w:pPr>
      <w:r>
        <w:rPr>
          <w:rFonts w:hint="eastAsia" w:hAnsi="宋体" w:eastAsia="宋体"/>
          <w:b/>
          <w:color w:val="auto"/>
          <w:sz w:val="24"/>
          <w:highlight w:val="none"/>
          <w:lang w:eastAsia="zh-CN"/>
        </w:rPr>
        <w:t>（</w:t>
      </w:r>
      <w:r>
        <w:rPr>
          <w:rFonts w:hint="eastAsia" w:hAnsi="宋体" w:eastAsia="宋体"/>
          <w:b/>
          <w:color w:val="auto"/>
          <w:sz w:val="24"/>
          <w:highlight w:val="none"/>
          <w:lang w:val="en-US" w:eastAsia="zh-CN"/>
        </w:rPr>
        <w:t>以下无正文，为签章处</w:t>
      </w:r>
      <w:r>
        <w:rPr>
          <w:rFonts w:hint="eastAsia" w:hAnsi="宋体" w:eastAsia="宋体"/>
          <w:b/>
          <w:color w:val="auto"/>
          <w:sz w:val="24"/>
          <w:highlight w:val="none"/>
          <w:lang w:eastAsia="zh-CN"/>
        </w:rPr>
        <w:t>）</w:t>
      </w:r>
    </w:p>
    <w:tbl>
      <w:tblPr>
        <w:tblStyle w:val="8"/>
        <w:tblW w:w="969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931"/>
        <w:gridCol w:w="4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61"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4" w:line="480" w:lineRule="exact"/>
              <w:ind w:left="142"/>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7"/>
                <w:sz w:val="21"/>
                <w:szCs w:val="21"/>
                <w:highlight w:val="none"/>
              </w:rPr>
              <w:t>甲</w:t>
            </w:r>
            <w:r>
              <w:rPr>
                <w:rFonts w:hint="eastAsia" w:ascii="宋体" w:hAnsi="宋体" w:eastAsia="宋体" w:cs="宋体"/>
                <w:color w:val="auto"/>
                <w:spacing w:val="-10"/>
                <w:sz w:val="21"/>
                <w:szCs w:val="21"/>
                <w:highlight w:val="none"/>
              </w:rPr>
              <w:t>方：(章)</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0"/>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年</w:t>
            </w:r>
            <w:r>
              <w:rPr>
                <w:rFonts w:hint="eastAsia" w:ascii="宋体" w:hAnsi="宋体" w:eastAsia="宋体" w:cs="宋体"/>
                <w:color w:val="auto"/>
                <w:spacing w:val="14"/>
                <w:sz w:val="21"/>
                <w:szCs w:val="21"/>
                <w:highlight w:val="none"/>
                <w:lang w:val="en-US" w:eastAsia="zh-CN"/>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日</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204" w:line="480" w:lineRule="exact"/>
              <w:ind w:left="13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乙</w:t>
            </w:r>
            <w:r>
              <w:rPr>
                <w:rFonts w:hint="eastAsia" w:ascii="宋体" w:hAnsi="宋体" w:eastAsia="宋体" w:cs="宋体"/>
                <w:color w:val="auto"/>
                <w:spacing w:val="-9"/>
                <w:sz w:val="21"/>
                <w:szCs w:val="21"/>
                <w:highlight w:val="none"/>
              </w:rPr>
              <w:t>方：(章)</w:t>
            </w: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line="480" w:lineRule="exact"/>
              <w:textAlignment w:val="baseline"/>
              <w:rPr>
                <w:rFonts w:hint="eastAsia" w:ascii="宋体" w:hAnsi="宋体" w:eastAsia="宋体" w:cs="宋体"/>
                <w:color w:val="auto"/>
                <w:sz w:val="21"/>
                <w:szCs w:val="21"/>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line="480" w:lineRule="exact"/>
              <w:ind w:right="73"/>
              <w:jc w:val="righ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年</w:t>
            </w:r>
            <w:r>
              <w:rPr>
                <w:rFonts w:hint="eastAsia" w:ascii="宋体" w:hAnsi="宋体" w:eastAsia="宋体" w:cs="宋体"/>
                <w:color w:val="auto"/>
                <w:spacing w:val="14"/>
                <w:sz w:val="21"/>
                <w:szCs w:val="21"/>
                <w:highlight w:val="none"/>
                <w:lang w:val="en-US" w:eastAsia="zh-CN"/>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9"/>
                <w:sz w:val="21"/>
                <w:szCs w:val="21"/>
                <w:highlight w:val="none"/>
              </w:rPr>
              <w:t>日</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1"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17"/>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单</w:t>
            </w:r>
            <w:r>
              <w:rPr>
                <w:rFonts w:hint="eastAsia" w:ascii="宋体" w:hAnsi="宋体" w:eastAsia="宋体" w:cs="宋体"/>
                <w:color w:val="auto"/>
                <w:spacing w:val="5"/>
                <w:sz w:val="21"/>
                <w:szCs w:val="21"/>
                <w:highlight w:val="none"/>
              </w:rPr>
              <w:t>位地址：</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15"/>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7"/>
                <w:sz w:val="21"/>
                <w:szCs w:val="21"/>
                <w:highlight w:val="none"/>
              </w:rPr>
              <w:t>单</w:t>
            </w:r>
            <w:r>
              <w:rPr>
                <w:rFonts w:hint="eastAsia" w:ascii="宋体" w:hAnsi="宋体" w:eastAsia="宋体" w:cs="宋体"/>
                <w:color w:val="auto"/>
                <w:spacing w:val="5"/>
                <w:sz w:val="21"/>
                <w:szCs w:val="21"/>
                <w:highlight w:val="none"/>
              </w:rPr>
              <w:t>位地址：</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4"/>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9"/>
                <w:sz w:val="21"/>
                <w:szCs w:val="21"/>
                <w:highlight w:val="none"/>
              </w:rPr>
              <w:t>法</w:t>
            </w:r>
            <w:r>
              <w:rPr>
                <w:rFonts w:hint="eastAsia" w:ascii="宋体" w:hAnsi="宋体" w:eastAsia="宋体" w:cs="宋体"/>
                <w:color w:val="auto"/>
                <w:spacing w:val="6"/>
                <w:sz w:val="21"/>
                <w:szCs w:val="21"/>
                <w:highlight w:val="none"/>
              </w:rPr>
              <w:t>定代表人：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5"/>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委托代理人</w:t>
            </w:r>
            <w:r>
              <w:rPr>
                <w:rFonts w:hint="eastAsia" w:ascii="宋体" w:hAnsi="宋体" w:eastAsia="宋体" w:cs="宋体"/>
                <w:color w:val="auto"/>
                <w:spacing w:val="6"/>
                <w:sz w:val="21"/>
                <w:szCs w:val="21"/>
                <w:highlight w:val="none"/>
              </w:rPr>
              <w:t>：</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2"/>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7"/>
                <w:sz w:val="21"/>
                <w:szCs w:val="21"/>
                <w:highlight w:val="none"/>
              </w:rPr>
              <w:t>委托代理人</w:t>
            </w:r>
            <w:r>
              <w:rPr>
                <w:rFonts w:hint="eastAsia" w:ascii="宋体" w:hAnsi="宋体" w:eastAsia="宋体" w:cs="宋体"/>
                <w:color w:val="auto"/>
                <w:spacing w:val="6"/>
                <w:sz w:val="21"/>
                <w:szCs w:val="21"/>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40"/>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电话：</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3" w:line="480" w:lineRule="exact"/>
              <w:ind w:left="137"/>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5"/>
                <w:sz w:val="21"/>
                <w:szCs w:val="21"/>
                <w:highlight w:val="none"/>
              </w:rPr>
              <w:t>电话：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w:t>
            </w:r>
            <w:r>
              <w:rPr>
                <w:rFonts w:hint="eastAsia" w:ascii="宋体" w:hAnsi="宋体" w:eastAsia="宋体" w:cs="宋体"/>
                <w:color w:val="auto"/>
                <w:spacing w:val="5"/>
                <w:sz w:val="21"/>
                <w:szCs w:val="21"/>
                <w:highlight w:val="none"/>
              </w:rPr>
              <w:t>户银行：</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5" w:line="480" w:lineRule="exact"/>
              <w:ind w:left="114"/>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开</w:t>
            </w:r>
            <w:r>
              <w:rPr>
                <w:rFonts w:hint="eastAsia" w:ascii="宋体" w:hAnsi="宋体" w:eastAsia="宋体" w:cs="宋体"/>
                <w:color w:val="auto"/>
                <w:spacing w:val="5"/>
                <w:sz w:val="21"/>
                <w:szCs w:val="21"/>
                <w:highlight w:val="none"/>
              </w:rPr>
              <w:t>户银行：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4" w:line="480" w:lineRule="exact"/>
              <w:ind w:left="119"/>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4" w:line="480" w:lineRule="exact"/>
              <w:ind w:left="116"/>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账号：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trPr>
        <w:tc>
          <w:tcPr>
            <w:tcW w:w="4931"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7" w:line="480" w:lineRule="exact"/>
              <w:ind w:left="131"/>
              <w:textAlignment w:val="baseline"/>
              <w:rPr>
                <w:rFonts w:hint="default" w:ascii="宋体" w:hAnsi="宋体" w:eastAsia="宋体" w:cs="宋体"/>
                <w:color w:val="auto"/>
                <w:sz w:val="21"/>
                <w:szCs w:val="21"/>
                <w:highlight w:val="none"/>
                <w:lang w:val="en-US"/>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tc>
        <w:tc>
          <w:tcPr>
            <w:tcW w:w="4768" w:type="dxa"/>
            <w:noWrap w:val="0"/>
            <w:vAlign w:val="top"/>
          </w:tcPr>
          <w:p>
            <w:pPr>
              <w:keepNext w:val="0"/>
              <w:keepLines w:val="0"/>
              <w:pageBreakBefore w:val="0"/>
              <w:widowControl/>
              <w:kinsoku w:val="0"/>
              <w:wordWrap/>
              <w:overflowPunct/>
              <w:topLinePunct w:val="0"/>
              <w:autoSpaceDE w:val="0"/>
              <w:autoSpaceDN w:val="0"/>
              <w:bidi w:val="0"/>
              <w:adjustRightInd w:val="0"/>
              <w:snapToGrid w:val="0"/>
              <w:spacing w:before="37" w:line="480" w:lineRule="exact"/>
              <w:ind w:left="128"/>
              <w:textAlignment w:val="baseline"/>
              <w:rPr>
                <w:rFonts w:hint="default" w:ascii="宋体" w:hAnsi="宋体" w:eastAsia="宋体" w:cs="宋体"/>
                <w:color w:val="auto"/>
                <w:sz w:val="21"/>
                <w:szCs w:val="21"/>
                <w:highlight w:val="none"/>
                <w:lang w:val="en-US" w:eastAsia="zh-CN"/>
              </w:rPr>
            </w:pPr>
            <w:r>
              <w:rPr>
                <w:rFonts w:hint="eastAsia" w:ascii="宋体" w:hAnsi="宋体" w:eastAsia="宋体" w:cs="宋体"/>
                <w:color w:val="auto"/>
                <w:spacing w:val="3"/>
                <w:sz w:val="21"/>
                <w:szCs w:val="21"/>
                <w:highlight w:val="none"/>
              </w:rPr>
              <w:t>邮政编码</w:t>
            </w:r>
            <w:r>
              <w:rPr>
                <w:rFonts w:hint="eastAsia" w:ascii="宋体" w:hAnsi="宋体" w:eastAsia="宋体" w:cs="宋体"/>
                <w:color w:val="auto"/>
                <w:spacing w:val="2"/>
                <w:sz w:val="21"/>
                <w:szCs w:val="21"/>
                <w:highlight w:val="none"/>
              </w:rPr>
              <w:t>：</w:t>
            </w:r>
          </w:p>
        </w:tc>
      </w:tr>
    </w:tbl>
    <w:p>
      <w:pPr>
        <w:spacing w:line="262" w:lineRule="auto"/>
        <w:rPr>
          <w:rFonts w:ascii="Arial"/>
          <w:color w:val="auto"/>
          <w:sz w:val="21"/>
          <w:highlight w:val="none"/>
        </w:rPr>
      </w:pPr>
    </w:p>
    <w:p>
      <w:pPr>
        <w:spacing w:line="262" w:lineRule="auto"/>
        <w:rPr>
          <w:rFonts w:ascii="Arial"/>
          <w:color w:val="auto"/>
          <w:sz w:val="21"/>
          <w:highlight w:val="none"/>
        </w:rPr>
      </w:pPr>
    </w:p>
    <w:p>
      <w:pPr>
        <w:spacing w:line="262" w:lineRule="auto"/>
        <w:rPr>
          <w:rFonts w:ascii="Arial"/>
          <w:color w:val="auto"/>
          <w:sz w:val="21"/>
          <w:highlight w:val="none"/>
        </w:rPr>
      </w:pPr>
    </w:p>
    <w:p>
      <w:pPr>
        <w:spacing w:line="263" w:lineRule="auto"/>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spacing w:line="263" w:lineRule="auto"/>
        <w:rPr>
          <w:rFonts w:ascii="Arial"/>
          <w:color w:val="auto"/>
          <w:sz w:val="21"/>
          <w:highlight w:val="none"/>
        </w:rPr>
      </w:pPr>
    </w:p>
    <w:p>
      <w:pPr>
        <w:spacing w:line="263" w:lineRule="auto"/>
        <w:rPr>
          <w:rFonts w:ascii="Arial"/>
          <w:color w:val="auto"/>
          <w:sz w:val="21"/>
          <w:highlight w:val="none"/>
        </w:rPr>
      </w:pPr>
    </w:p>
    <w:p>
      <w:pPr>
        <w:pStyle w:val="3"/>
        <w:spacing w:before="147" w:line="219" w:lineRule="auto"/>
        <w:ind w:left="2356"/>
        <w:rPr>
          <w:color w:val="auto"/>
          <w:sz w:val="45"/>
          <w:szCs w:val="45"/>
          <w:highlight w:val="none"/>
        </w:rPr>
      </w:pPr>
      <w:r>
        <w:rPr>
          <w:b/>
          <w:bCs/>
          <w:color w:val="auto"/>
          <w:spacing w:val="33"/>
          <w:sz w:val="45"/>
          <w:szCs w:val="45"/>
          <w:highlight w:val="none"/>
        </w:rPr>
        <w:t>第六章投标文件(格式)</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70" w:lineRule="auto"/>
        <w:rPr>
          <w:rFonts w:ascii="Arial"/>
          <w:color w:val="auto"/>
          <w:sz w:val="21"/>
          <w:highlight w:val="none"/>
        </w:rPr>
      </w:pPr>
    </w:p>
    <w:p>
      <w:pPr>
        <w:pStyle w:val="3"/>
        <w:spacing w:before="91" w:line="219" w:lineRule="auto"/>
        <w:ind w:left="4"/>
        <w:rPr>
          <w:color w:val="auto"/>
          <w:sz w:val="28"/>
          <w:szCs w:val="28"/>
          <w:highlight w:val="none"/>
        </w:rPr>
      </w:pPr>
      <w:r>
        <w:rPr>
          <w:b/>
          <w:bCs/>
          <w:color w:val="auto"/>
          <w:spacing w:val="9"/>
          <w:sz w:val="28"/>
          <w:szCs w:val="28"/>
          <w:highlight w:val="none"/>
        </w:rPr>
        <w:t>投标文件封面格式：</w:t>
      </w: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spacing w:line="241" w:lineRule="auto"/>
        <w:rPr>
          <w:rFonts w:ascii="Arial"/>
          <w:color w:val="auto"/>
          <w:sz w:val="21"/>
          <w:highlight w:val="none"/>
        </w:rPr>
      </w:pPr>
    </w:p>
    <w:p>
      <w:pPr>
        <w:pStyle w:val="3"/>
        <w:spacing w:before="221" w:line="219" w:lineRule="auto"/>
        <w:ind w:left="3509"/>
        <w:rPr>
          <w:color w:val="auto"/>
          <w:sz w:val="68"/>
          <w:szCs w:val="68"/>
          <w:highlight w:val="none"/>
        </w:rPr>
      </w:pPr>
      <w:bookmarkStart w:id="38" w:name="bookmark11"/>
      <w:bookmarkEnd w:id="38"/>
      <w:r>
        <w:rPr>
          <w:b/>
          <w:bCs/>
          <w:color w:val="auto"/>
          <w:spacing w:val="5"/>
          <w:sz w:val="68"/>
          <w:szCs w:val="68"/>
          <w:highlight w:val="none"/>
        </w:rPr>
        <w:t>投标文件</w:t>
      </w:r>
    </w:p>
    <w:p>
      <w:pPr>
        <w:spacing w:line="255"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spacing w:line="256" w:lineRule="auto"/>
        <w:rPr>
          <w:rFonts w:ascii="Arial"/>
          <w:color w:val="auto"/>
          <w:sz w:val="21"/>
          <w:highlight w:val="none"/>
        </w:rPr>
      </w:pPr>
    </w:p>
    <w:p>
      <w:pPr>
        <w:pStyle w:val="3"/>
        <w:spacing w:before="91" w:line="264" w:lineRule="auto"/>
        <w:ind w:left="2399" w:right="1045" w:hanging="970"/>
        <w:rPr>
          <w:rFonts w:hint="eastAsia" w:eastAsia="宋体"/>
          <w:color w:val="auto"/>
          <w:sz w:val="28"/>
          <w:szCs w:val="28"/>
          <w:highlight w:val="none"/>
          <w:lang w:eastAsia="zh-CN"/>
        </w:rPr>
      </w:pPr>
      <w:r>
        <w:rPr>
          <w:color w:val="auto"/>
          <w:spacing w:val="20"/>
          <w:sz w:val="28"/>
          <w:szCs w:val="28"/>
          <w:highlight w:val="none"/>
        </w:rPr>
        <w:t>项目名称：</w:t>
      </w:r>
      <w:r>
        <w:rPr>
          <w:rFonts w:hint="eastAsia"/>
          <w:color w:val="auto"/>
          <w:spacing w:val="20"/>
          <w:sz w:val="28"/>
          <w:szCs w:val="28"/>
          <w:highlight w:val="none"/>
          <w:lang w:eastAsia="zh-CN"/>
        </w:rPr>
        <w:t>秀峰区区属学校、幼儿园校园保安服务</w:t>
      </w:r>
      <w:r>
        <w:rPr>
          <w:color w:val="auto"/>
          <w:spacing w:val="13"/>
          <w:sz w:val="28"/>
          <w:szCs w:val="28"/>
          <w:highlight w:val="none"/>
        </w:rPr>
        <w:t xml:space="preserve"> </w:t>
      </w:r>
      <w:r>
        <w:rPr>
          <w:color w:val="auto"/>
          <w:sz w:val="28"/>
          <w:szCs w:val="28"/>
          <w:highlight w:val="none"/>
        </w:rPr>
        <w:t>项目编号：</w:t>
      </w:r>
      <w:r>
        <w:rPr>
          <w:color w:val="auto"/>
          <w:spacing w:val="-70"/>
          <w:sz w:val="28"/>
          <w:szCs w:val="28"/>
          <w:highlight w:val="none"/>
        </w:rPr>
        <w:t xml:space="preserve"> </w:t>
      </w:r>
      <w:r>
        <w:rPr>
          <w:rFonts w:hint="eastAsia"/>
          <w:color w:val="auto"/>
          <w:sz w:val="28"/>
          <w:szCs w:val="28"/>
          <w:highlight w:val="none"/>
          <w:u w:val="single" w:color="auto"/>
          <w:lang w:eastAsia="zh-CN"/>
        </w:rPr>
        <w:t>GLZC2025-G3-990646-TXZX</w:t>
      </w: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5"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spacing w:line="246" w:lineRule="auto"/>
        <w:rPr>
          <w:rFonts w:ascii="Arial"/>
          <w:color w:val="auto"/>
          <w:sz w:val="21"/>
          <w:highlight w:val="none"/>
        </w:rPr>
      </w:pPr>
    </w:p>
    <w:p>
      <w:pPr>
        <w:pStyle w:val="3"/>
        <w:spacing w:before="91" w:line="219" w:lineRule="auto"/>
        <w:rPr>
          <w:rFonts w:hint="eastAsia" w:eastAsia="宋体"/>
          <w:color w:val="auto"/>
          <w:sz w:val="28"/>
          <w:szCs w:val="28"/>
          <w:highlight w:val="none"/>
          <w:lang w:eastAsia="zh-CN"/>
        </w:rPr>
      </w:pPr>
      <w:r>
        <w:rPr>
          <w:color w:val="auto"/>
          <w:spacing w:val="1"/>
          <w:sz w:val="28"/>
          <w:szCs w:val="28"/>
          <w:highlight w:val="none"/>
        </w:rPr>
        <w:t>采购代理机构：</w:t>
      </w:r>
      <w:r>
        <w:rPr>
          <w:rFonts w:hint="eastAsia"/>
          <w:color w:val="auto"/>
          <w:spacing w:val="1"/>
          <w:sz w:val="28"/>
          <w:szCs w:val="28"/>
          <w:highlight w:val="none"/>
          <w:u w:val="single" w:color="auto"/>
          <w:lang w:eastAsia="zh-CN"/>
        </w:rPr>
        <w:t>广西泰新工程信息咨询有限公司</w:t>
      </w:r>
    </w:p>
    <w:p>
      <w:pPr>
        <w:pStyle w:val="3"/>
        <w:spacing w:before="78" w:line="215" w:lineRule="auto"/>
        <w:rPr>
          <w:color w:val="auto"/>
          <w:sz w:val="28"/>
          <w:szCs w:val="28"/>
          <w:highlight w:val="none"/>
        </w:rPr>
      </w:pPr>
      <w:r>
        <w:rPr>
          <w:color w:val="auto"/>
          <w:spacing w:val="-1"/>
          <w:sz w:val="28"/>
          <w:szCs w:val="28"/>
          <w:highlight w:val="none"/>
        </w:rPr>
        <w:t>投标人[公章(CA</w:t>
      </w:r>
      <w:r>
        <w:rPr>
          <w:color w:val="auto"/>
          <w:spacing w:val="-45"/>
          <w:sz w:val="28"/>
          <w:szCs w:val="28"/>
          <w:highlight w:val="none"/>
        </w:rPr>
        <w:t xml:space="preserve"> </w:t>
      </w:r>
      <w:r>
        <w:rPr>
          <w:color w:val="auto"/>
          <w:spacing w:val="-1"/>
          <w:sz w:val="28"/>
          <w:szCs w:val="28"/>
          <w:highlight w:val="none"/>
        </w:rPr>
        <w:t>签章)、自然人除外]:</w:t>
      </w:r>
      <w:r>
        <w:rPr>
          <w:color w:val="auto"/>
          <w:spacing w:val="-27"/>
          <w:sz w:val="28"/>
          <w:szCs w:val="28"/>
          <w:highlight w:val="none"/>
        </w:rPr>
        <w:t xml:space="preserve"> </w:t>
      </w:r>
      <w:r>
        <w:rPr>
          <w:color w:val="auto"/>
          <w:sz w:val="28"/>
          <w:szCs w:val="28"/>
          <w:highlight w:val="none"/>
          <w:u w:val="single" w:color="auto"/>
        </w:rPr>
        <w:t xml:space="preserve">                               </w:t>
      </w:r>
    </w:p>
    <w:p>
      <w:pPr>
        <w:pStyle w:val="3"/>
        <w:spacing w:line="218" w:lineRule="auto"/>
        <w:ind w:left="4"/>
        <w:rPr>
          <w:color w:val="auto"/>
          <w:sz w:val="28"/>
          <w:szCs w:val="28"/>
          <w:highlight w:val="none"/>
        </w:rPr>
      </w:pPr>
      <w:r>
        <w:rPr>
          <w:b/>
          <w:bCs/>
          <w:color w:val="auto"/>
          <w:spacing w:val="-4"/>
          <w:sz w:val="28"/>
          <w:szCs w:val="28"/>
          <w:highlight w:val="none"/>
        </w:rPr>
        <w:t>法定代表人、负责人、自然人或相应的委托代理人签字[或盖章(CA</w:t>
      </w:r>
      <w:r>
        <w:rPr>
          <w:color w:val="auto"/>
          <w:spacing w:val="-17"/>
          <w:sz w:val="28"/>
          <w:szCs w:val="28"/>
          <w:highlight w:val="none"/>
        </w:rPr>
        <w:t xml:space="preserve"> </w:t>
      </w:r>
      <w:r>
        <w:rPr>
          <w:b/>
          <w:bCs/>
          <w:color w:val="auto"/>
          <w:spacing w:val="-4"/>
          <w:sz w:val="28"/>
          <w:szCs w:val="28"/>
          <w:highlight w:val="none"/>
        </w:rPr>
        <w:t>签章)]</w:t>
      </w:r>
    </w:p>
    <w:p>
      <w:pPr>
        <w:pStyle w:val="3"/>
        <w:spacing w:before="52" w:line="219" w:lineRule="auto"/>
        <w:ind w:left="129"/>
        <w:rPr>
          <w:color w:val="auto"/>
          <w:sz w:val="28"/>
          <w:szCs w:val="28"/>
          <w:highlight w:val="none"/>
        </w:rPr>
      </w:pPr>
      <w:r>
        <w:rPr>
          <w:color w:val="auto"/>
          <w:spacing w:val="-4"/>
          <w:sz w:val="28"/>
          <w:szCs w:val="28"/>
          <w:highlight w:val="none"/>
        </w:rPr>
        <w:t>(属自然人的应在签名处加盖大拇指指印或个人</w:t>
      </w:r>
      <w:r>
        <w:rPr>
          <w:rFonts w:ascii="Arial" w:hAnsi="Arial" w:eastAsia="Arial" w:cs="Arial"/>
          <w:color w:val="auto"/>
          <w:spacing w:val="-4"/>
          <w:sz w:val="28"/>
          <w:szCs w:val="28"/>
          <w:highlight w:val="none"/>
        </w:rPr>
        <w:t>CA</w:t>
      </w:r>
      <w:r>
        <w:rPr>
          <w:color w:val="auto"/>
          <w:spacing w:val="-4"/>
          <w:sz w:val="28"/>
          <w:szCs w:val="28"/>
          <w:highlight w:val="none"/>
        </w:rPr>
        <w:t>签</w:t>
      </w:r>
      <w:r>
        <w:rPr>
          <w:color w:val="auto"/>
          <w:spacing w:val="-40"/>
          <w:sz w:val="28"/>
          <w:szCs w:val="28"/>
          <w:highlight w:val="none"/>
        </w:rPr>
        <w:t xml:space="preserve"> </w:t>
      </w:r>
      <w:r>
        <w:rPr>
          <w:color w:val="auto"/>
          <w:spacing w:val="-4"/>
          <w:sz w:val="28"/>
          <w:szCs w:val="28"/>
          <w:highlight w:val="none"/>
        </w:rPr>
        <w:t>章</w:t>
      </w:r>
      <w:r>
        <w:rPr>
          <w:color w:val="auto"/>
          <w:spacing w:val="-62"/>
          <w:sz w:val="28"/>
          <w:szCs w:val="28"/>
          <w:highlight w:val="none"/>
        </w:rPr>
        <w:t xml:space="preserve"> </w:t>
      </w:r>
      <w:r>
        <w:rPr>
          <w:color w:val="auto"/>
          <w:spacing w:val="-4"/>
          <w:sz w:val="28"/>
          <w:szCs w:val="28"/>
          <w:highlight w:val="none"/>
        </w:rPr>
        <w:t>) :</w:t>
      </w:r>
      <w:r>
        <w:rPr>
          <w:color w:val="auto"/>
          <w:spacing w:val="-47"/>
          <w:sz w:val="28"/>
          <w:szCs w:val="28"/>
          <w:highlight w:val="none"/>
        </w:rPr>
        <w:t xml:space="preserve"> </w:t>
      </w:r>
      <w:r>
        <w:rPr>
          <w:color w:val="auto"/>
          <w:sz w:val="28"/>
          <w:szCs w:val="28"/>
          <w:highlight w:val="none"/>
          <w:u w:val="single" w:color="auto"/>
        </w:rPr>
        <w:t xml:space="preserve">               </w:t>
      </w:r>
    </w:p>
    <w:p>
      <w:pPr>
        <w:pStyle w:val="3"/>
        <w:spacing w:before="53" w:line="221" w:lineRule="auto"/>
        <w:rPr>
          <w:color w:val="auto"/>
          <w:sz w:val="28"/>
          <w:szCs w:val="28"/>
          <w:highlight w:val="none"/>
        </w:rPr>
      </w:pPr>
      <w:r>
        <w:rPr>
          <w:color w:val="auto"/>
          <w:spacing w:val="-6"/>
          <w:sz w:val="28"/>
          <w:szCs w:val="28"/>
          <w:highlight w:val="none"/>
        </w:rPr>
        <w:t>联系电话：</w:t>
      </w:r>
      <w:r>
        <w:rPr>
          <w:color w:val="auto"/>
          <w:spacing w:val="-6"/>
          <w:sz w:val="28"/>
          <w:szCs w:val="28"/>
          <w:highlight w:val="none"/>
          <w:u w:val="single" w:color="auto"/>
        </w:rPr>
        <w:t xml:space="preserve">                                                  </w:t>
      </w:r>
    </w:p>
    <w:p>
      <w:pPr>
        <w:pStyle w:val="3"/>
        <w:spacing w:before="42" w:line="219" w:lineRule="auto"/>
        <w:rPr>
          <w:color w:val="auto"/>
          <w:sz w:val="28"/>
          <w:szCs w:val="28"/>
          <w:highlight w:val="none"/>
        </w:rPr>
      </w:pPr>
      <w:r>
        <w:rPr>
          <w:color w:val="auto"/>
          <w:spacing w:val="-7"/>
          <w:sz w:val="28"/>
          <w:szCs w:val="28"/>
          <w:highlight w:val="none"/>
        </w:rPr>
        <w:t>日期：</w:t>
      </w:r>
      <w:r>
        <w:rPr>
          <w:color w:val="auto"/>
          <w:sz w:val="28"/>
          <w:szCs w:val="28"/>
          <w:highlight w:val="none"/>
          <w:u w:val="single" w:color="auto"/>
        </w:rPr>
        <w:t xml:space="preserve">              </w:t>
      </w:r>
      <w:r>
        <w:rPr>
          <w:color w:val="auto"/>
          <w:spacing w:val="-7"/>
          <w:sz w:val="28"/>
          <w:szCs w:val="28"/>
          <w:highlight w:val="none"/>
        </w:rPr>
        <w:t>年</w:t>
      </w:r>
      <w:r>
        <w:rPr>
          <w:color w:val="auto"/>
          <w:spacing w:val="-117"/>
          <w:sz w:val="28"/>
          <w:szCs w:val="28"/>
          <w:highlight w:val="none"/>
        </w:rPr>
        <w:t xml:space="preserve"> </w:t>
      </w:r>
      <w:r>
        <w:rPr>
          <w:color w:val="auto"/>
          <w:spacing w:val="1"/>
          <w:sz w:val="28"/>
          <w:szCs w:val="28"/>
          <w:highlight w:val="none"/>
          <w:u w:val="single" w:color="000000"/>
        </w:rPr>
        <w:t xml:space="preserve">           </w:t>
      </w:r>
      <w:r>
        <w:rPr>
          <w:color w:val="auto"/>
          <w:spacing w:val="-111"/>
          <w:sz w:val="28"/>
          <w:szCs w:val="28"/>
          <w:highlight w:val="none"/>
        </w:rPr>
        <w:t xml:space="preserve"> </w:t>
      </w:r>
      <w:r>
        <w:rPr>
          <w:color w:val="auto"/>
          <w:spacing w:val="-7"/>
          <w:sz w:val="28"/>
          <w:szCs w:val="28"/>
          <w:highlight w:val="none"/>
        </w:rPr>
        <w:t>月</w:t>
      </w:r>
      <w:r>
        <w:rPr>
          <w:color w:val="auto"/>
          <w:spacing w:val="-103"/>
          <w:sz w:val="28"/>
          <w:szCs w:val="28"/>
          <w:highlight w:val="none"/>
        </w:rPr>
        <w:t xml:space="preserve"> </w:t>
      </w:r>
      <w:r>
        <w:rPr>
          <w:color w:val="auto"/>
          <w:spacing w:val="14"/>
          <w:sz w:val="28"/>
          <w:szCs w:val="28"/>
          <w:highlight w:val="none"/>
          <w:u w:val="single" w:color="auto"/>
        </w:rPr>
        <w:t xml:space="preserve">          </w:t>
      </w:r>
      <w:r>
        <w:rPr>
          <w:color w:val="auto"/>
          <w:spacing w:val="-119"/>
          <w:sz w:val="28"/>
          <w:szCs w:val="28"/>
          <w:highlight w:val="none"/>
        </w:rPr>
        <w:t xml:space="preserve"> </w:t>
      </w:r>
      <w:r>
        <w:rPr>
          <w:color w:val="auto"/>
          <w:spacing w:val="-7"/>
          <w:sz w:val="28"/>
          <w:szCs w:val="28"/>
          <w:highlight w:val="none"/>
        </w:rPr>
        <w:t>日</w:t>
      </w:r>
    </w:p>
    <w:p>
      <w:pPr>
        <w:spacing w:line="219" w:lineRule="auto"/>
        <w:rPr>
          <w:color w:val="auto"/>
          <w:sz w:val="28"/>
          <w:szCs w:val="28"/>
          <w:highlight w:val="none"/>
        </w:rPr>
        <w:sectPr>
          <w:footerReference r:id="rId35" w:type="default"/>
          <w:pgSz w:w="11900" w:h="16830"/>
          <w:pgMar w:top="400" w:right="1440" w:bottom="809" w:left="1070" w:header="0" w:footer="691" w:gutter="0"/>
          <w:cols w:space="720" w:num="1"/>
        </w:sect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pStyle w:val="3"/>
        <w:spacing w:before="104" w:line="219" w:lineRule="auto"/>
        <w:ind w:left="3924"/>
        <w:rPr>
          <w:color w:val="auto"/>
          <w:sz w:val="32"/>
          <w:szCs w:val="32"/>
          <w:highlight w:val="none"/>
        </w:rPr>
      </w:pPr>
      <w:r>
        <w:rPr>
          <w:b/>
          <w:bCs/>
          <w:color w:val="auto"/>
          <w:spacing w:val="-1"/>
          <w:sz w:val="32"/>
          <w:szCs w:val="32"/>
          <w:highlight w:val="none"/>
        </w:rPr>
        <w:t>投标文件目录</w:t>
      </w:r>
    </w:p>
    <w:p>
      <w:pPr>
        <w:spacing w:before="16" w:line="221" w:lineRule="auto"/>
        <w:ind w:left="573"/>
        <w:rPr>
          <w:rFonts w:ascii="黑体" w:hAnsi="黑体" w:eastAsia="黑体" w:cs="黑体"/>
          <w:color w:val="auto"/>
          <w:sz w:val="28"/>
          <w:szCs w:val="28"/>
          <w:highlight w:val="none"/>
        </w:rPr>
      </w:pPr>
      <w:r>
        <w:rPr>
          <w:rFonts w:ascii="黑体" w:hAnsi="黑体" w:eastAsia="黑体" w:cs="黑体"/>
          <w:b/>
          <w:bCs/>
          <w:color w:val="auto"/>
          <w:spacing w:val="-6"/>
          <w:sz w:val="28"/>
          <w:szCs w:val="28"/>
          <w:highlight w:val="none"/>
        </w:rPr>
        <w:t>一</w:t>
      </w:r>
      <w:r>
        <w:rPr>
          <w:rFonts w:ascii="黑体" w:hAnsi="黑体" w:eastAsia="黑体" w:cs="黑体"/>
          <w:color w:val="auto"/>
          <w:spacing w:val="-75"/>
          <w:sz w:val="28"/>
          <w:szCs w:val="28"/>
          <w:highlight w:val="none"/>
        </w:rPr>
        <w:t xml:space="preserve"> </w:t>
      </w:r>
      <w:r>
        <w:rPr>
          <w:rFonts w:ascii="黑体" w:hAnsi="黑体" w:eastAsia="黑体" w:cs="黑体"/>
          <w:b/>
          <w:bCs/>
          <w:color w:val="auto"/>
          <w:spacing w:val="-6"/>
          <w:sz w:val="28"/>
          <w:szCs w:val="28"/>
          <w:highlight w:val="none"/>
        </w:rPr>
        <w:t>、资格性响应证明材料</w:t>
      </w:r>
    </w:p>
    <w:p>
      <w:pPr>
        <w:pStyle w:val="3"/>
        <w:spacing w:before="27" w:line="221" w:lineRule="auto"/>
        <w:ind w:left="479"/>
        <w:rPr>
          <w:rFonts w:ascii="黑体" w:hAnsi="黑体" w:eastAsia="黑体" w:cs="黑体"/>
          <w:color w:val="auto"/>
          <w:sz w:val="24"/>
          <w:szCs w:val="24"/>
          <w:highlight w:val="none"/>
        </w:rPr>
      </w:pPr>
      <w:r>
        <w:rPr>
          <w:color w:val="auto"/>
          <w:spacing w:val="3"/>
          <w:sz w:val="24"/>
          <w:szCs w:val="24"/>
          <w:highlight w:val="none"/>
        </w:rPr>
        <w:t>1.</w:t>
      </w:r>
      <w:r>
        <w:rPr>
          <w:rFonts w:ascii="黑体" w:hAnsi="黑体" w:eastAsia="黑体" w:cs="黑体"/>
          <w:color w:val="auto"/>
          <w:spacing w:val="3"/>
          <w:sz w:val="24"/>
          <w:szCs w:val="24"/>
          <w:highlight w:val="none"/>
        </w:rPr>
        <w:t>供应商相应的法定代表人或负责人身份证正反面复印件</w:t>
      </w:r>
      <w:r>
        <w:rPr>
          <w:rFonts w:ascii="黑体" w:hAnsi="黑体" w:eastAsia="黑体" w:cs="黑体"/>
          <w:color w:val="auto"/>
          <w:spacing w:val="-40"/>
          <w:sz w:val="24"/>
          <w:szCs w:val="24"/>
          <w:highlight w:val="none"/>
        </w:rPr>
        <w:t xml:space="preserve"> </w:t>
      </w:r>
      <w:r>
        <w:rPr>
          <w:rFonts w:ascii="黑体" w:hAnsi="黑体" w:eastAsia="黑体" w:cs="黑体"/>
          <w:color w:val="auto"/>
          <w:spacing w:val="3"/>
          <w:sz w:val="24"/>
          <w:szCs w:val="24"/>
          <w:highlight w:val="none"/>
        </w:rPr>
        <w:t>(必须提供)</w:t>
      </w:r>
    </w:p>
    <w:p>
      <w:pPr>
        <w:pStyle w:val="3"/>
        <w:spacing w:before="62" w:line="253" w:lineRule="auto"/>
        <w:ind w:right="4" w:firstLine="479"/>
        <w:rPr>
          <w:rFonts w:ascii="黑体" w:hAnsi="黑体" w:eastAsia="黑体" w:cs="黑体"/>
          <w:color w:val="auto"/>
          <w:sz w:val="24"/>
          <w:szCs w:val="24"/>
          <w:highlight w:val="none"/>
        </w:rPr>
      </w:pPr>
      <w:r>
        <w:rPr>
          <w:color w:val="auto"/>
          <w:spacing w:val="4"/>
          <w:sz w:val="24"/>
          <w:szCs w:val="24"/>
          <w:highlight w:val="none"/>
        </w:rPr>
        <w:t>2.</w:t>
      </w:r>
      <w:r>
        <w:rPr>
          <w:rFonts w:ascii="黑体" w:hAnsi="黑体" w:eastAsia="黑体" w:cs="黑体"/>
          <w:color w:val="auto"/>
          <w:spacing w:val="4"/>
          <w:sz w:val="24"/>
          <w:szCs w:val="24"/>
          <w:highlight w:val="none"/>
        </w:rPr>
        <w:t>供应商的授权委托书原件、委托代理人身份证正反面复印件以及由县级以上(含县级)</w:t>
      </w:r>
      <w:r>
        <w:rPr>
          <w:rFonts w:ascii="黑体" w:hAnsi="黑体" w:eastAsia="黑体" w:cs="黑体"/>
          <w:color w:val="auto"/>
          <w:spacing w:val="5"/>
          <w:sz w:val="24"/>
          <w:szCs w:val="24"/>
          <w:highlight w:val="none"/>
        </w:rPr>
        <w:t xml:space="preserve"> </w:t>
      </w:r>
      <w:r>
        <w:rPr>
          <w:rFonts w:ascii="黑体" w:hAnsi="黑体" w:eastAsia="黑体" w:cs="黑体"/>
          <w:color w:val="auto"/>
          <w:spacing w:val="7"/>
          <w:sz w:val="24"/>
          <w:szCs w:val="24"/>
          <w:highlight w:val="none"/>
        </w:rPr>
        <w:t>养老保险经办机构出具的供应商为委托代理人交纳的2025年任意</w:t>
      </w:r>
      <w:r>
        <w:rPr>
          <w:rFonts w:ascii="黑体" w:hAnsi="黑体" w:eastAsia="黑体" w:cs="黑体"/>
          <w:color w:val="auto"/>
          <w:spacing w:val="6"/>
          <w:sz w:val="24"/>
          <w:szCs w:val="24"/>
          <w:highlight w:val="none"/>
        </w:rPr>
        <w:t>连续3个月的养老保险证明</w:t>
      </w:r>
      <w:r>
        <w:rPr>
          <w:rFonts w:ascii="黑体" w:hAnsi="黑体" w:eastAsia="黑体" w:cs="黑体"/>
          <w:color w:val="auto"/>
          <w:sz w:val="24"/>
          <w:szCs w:val="24"/>
          <w:highlight w:val="none"/>
        </w:rPr>
        <w:t xml:space="preserve"> </w:t>
      </w:r>
      <w:r>
        <w:rPr>
          <w:rFonts w:ascii="黑体" w:hAnsi="黑体" w:eastAsia="黑体" w:cs="黑体"/>
          <w:color w:val="auto"/>
          <w:spacing w:val="6"/>
          <w:sz w:val="24"/>
          <w:szCs w:val="24"/>
          <w:highlight w:val="none"/>
        </w:rPr>
        <w:t>复印件(委托代理时必须提供；若为新成立的企业，请根据实际情况提供)</w:t>
      </w:r>
    </w:p>
    <w:p>
      <w:pPr>
        <w:pStyle w:val="3"/>
        <w:spacing w:before="93" w:line="213" w:lineRule="auto"/>
        <w:ind w:left="479"/>
        <w:rPr>
          <w:rFonts w:ascii="黑体" w:hAnsi="黑体" w:eastAsia="黑体" w:cs="黑体"/>
          <w:color w:val="auto"/>
          <w:sz w:val="24"/>
          <w:szCs w:val="24"/>
          <w:highlight w:val="none"/>
        </w:rPr>
      </w:pPr>
      <w:r>
        <w:rPr>
          <w:color w:val="auto"/>
          <w:spacing w:val="5"/>
          <w:sz w:val="24"/>
          <w:szCs w:val="24"/>
          <w:highlight w:val="none"/>
        </w:rPr>
        <w:t>3.</w:t>
      </w:r>
      <w:r>
        <w:rPr>
          <w:rFonts w:ascii="黑体" w:hAnsi="黑体" w:eastAsia="黑体" w:cs="黑体"/>
          <w:color w:val="auto"/>
          <w:spacing w:val="5"/>
          <w:sz w:val="24"/>
          <w:szCs w:val="24"/>
          <w:highlight w:val="none"/>
        </w:rPr>
        <w:t>供应商的法人或者其他组织营业执照等证明文件复印件(必须提供，自然人除外)</w:t>
      </w:r>
    </w:p>
    <w:p>
      <w:pPr>
        <w:pStyle w:val="3"/>
        <w:spacing w:before="94" w:line="245" w:lineRule="auto"/>
        <w:ind w:right="10" w:firstLine="479"/>
        <w:rPr>
          <w:rFonts w:ascii="黑体" w:hAnsi="黑体" w:eastAsia="黑体" w:cs="黑体"/>
          <w:color w:val="auto"/>
          <w:sz w:val="24"/>
          <w:szCs w:val="24"/>
          <w:highlight w:val="none"/>
        </w:rPr>
      </w:pPr>
      <w:r>
        <w:rPr>
          <w:rFonts w:hint="eastAsia"/>
          <w:color w:val="auto"/>
          <w:spacing w:val="7"/>
          <w:sz w:val="24"/>
          <w:szCs w:val="24"/>
          <w:highlight w:val="none"/>
          <w:lang w:val="en-US" w:eastAsia="zh-CN"/>
        </w:rPr>
        <w:t>4</w:t>
      </w:r>
      <w:r>
        <w:rPr>
          <w:color w:val="auto"/>
          <w:spacing w:val="7"/>
          <w:sz w:val="24"/>
          <w:szCs w:val="24"/>
          <w:highlight w:val="none"/>
        </w:rPr>
        <w:t>.</w:t>
      </w:r>
      <w:r>
        <w:rPr>
          <w:rFonts w:ascii="黑体" w:hAnsi="黑体" w:eastAsia="黑体" w:cs="黑体"/>
          <w:color w:val="auto"/>
          <w:spacing w:val="7"/>
          <w:sz w:val="24"/>
          <w:szCs w:val="24"/>
          <w:highlight w:val="none"/>
        </w:rPr>
        <w:t>供应商参加政府采购活动前3年内在经营活动中没有重大违法记录及有关信用信息的</w:t>
      </w:r>
      <w:r>
        <w:rPr>
          <w:rFonts w:ascii="黑体" w:hAnsi="黑体" w:eastAsia="黑体" w:cs="黑体"/>
          <w:color w:val="auto"/>
          <w:spacing w:val="6"/>
          <w:sz w:val="24"/>
          <w:szCs w:val="24"/>
          <w:highlight w:val="none"/>
        </w:rPr>
        <w:t xml:space="preserve"> </w:t>
      </w:r>
      <w:r>
        <w:rPr>
          <w:rFonts w:ascii="黑体" w:hAnsi="黑体" w:eastAsia="黑体" w:cs="黑体"/>
          <w:color w:val="auto"/>
          <w:spacing w:val="16"/>
          <w:sz w:val="24"/>
          <w:szCs w:val="24"/>
          <w:highlight w:val="none"/>
        </w:rPr>
        <w:t>书面声明(必须提供)</w:t>
      </w:r>
    </w:p>
    <w:p>
      <w:pPr>
        <w:pStyle w:val="3"/>
        <w:spacing w:before="82" w:line="221" w:lineRule="auto"/>
        <w:ind w:left="479"/>
        <w:rPr>
          <w:rFonts w:ascii="黑体" w:hAnsi="黑体" w:eastAsia="黑体" w:cs="黑体"/>
          <w:color w:val="auto"/>
          <w:sz w:val="24"/>
          <w:szCs w:val="24"/>
          <w:highlight w:val="none"/>
        </w:rPr>
      </w:pPr>
      <w:r>
        <w:rPr>
          <w:rFonts w:hint="eastAsia"/>
          <w:color w:val="auto"/>
          <w:spacing w:val="3"/>
          <w:sz w:val="24"/>
          <w:szCs w:val="24"/>
          <w:highlight w:val="none"/>
          <w:lang w:val="en-US" w:eastAsia="zh-CN"/>
        </w:rPr>
        <w:t>5</w:t>
      </w:r>
      <w:r>
        <w:rPr>
          <w:color w:val="auto"/>
          <w:spacing w:val="3"/>
          <w:sz w:val="24"/>
          <w:szCs w:val="24"/>
          <w:highlight w:val="none"/>
        </w:rPr>
        <w:t>.</w:t>
      </w:r>
      <w:r>
        <w:rPr>
          <w:rFonts w:ascii="黑体" w:hAnsi="黑体" w:eastAsia="黑体" w:cs="黑体"/>
          <w:color w:val="auto"/>
          <w:spacing w:val="3"/>
          <w:sz w:val="24"/>
          <w:szCs w:val="24"/>
          <w:highlight w:val="none"/>
        </w:rPr>
        <w:t>供应商参加本项目无围标串标行为的承诺函</w:t>
      </w:r>
      <w:r>
        <w:rPr>
          <w:rFonts w:ascii="黑体" w:hAnsi="黑体" w:eastAsia="黑体" w:cs="黑体"/>
          <w:color w:val="auto"/>
          <w:spacing w:val="-25"/>
          <w:sz w:val="24"/>
          <w:szCs w:val="24"/>
          <w:highlight w:val="none"/>
        </w:rPr>
        <w:t xml:space="preserve"> </w:t>
      </w:r>
      <w:r>
        <w:rPr>
          <w:rFonts w:ascii="黑体" w:hAnsi="黑体" w:eastAsia="黑体" w:cs="黑体"/>
          <w:color w:val="auto"/>
          <w:spacing w:val="3"/>
          <w:sz w:val="24"/>
          <w:szCs w:val="24"/>
          <w:highlight w:val="none"/>
        </w:rPr>
        <w:t>(必须提供)</w:t>
      </w:r>
    </w:p>
    <w:p>
      <w:pPr>
        <w:pStyle w:val="3"/>
        <w:spacing w:before="73" w:line="221" w:lineRule="auto"/>
        <w:ind w:left="479"/>
        <w:rPr>
          <w:rFonts w:ascii="黑体" w:hAnsi="黑体" w:eastAsia="黑体" w:cs="黑体"/>
          <w:color w:val="auto"/>
          <w:sz w:val="24"/>
          <w:szCs w:val="24"/>
          <w:highlight w:val="none"/>
        </w:rPr>
      </w:pPr>
      <w:r>
        <w:rPr>
          <w:rFonts w:hint="eastAsia"/>
          <w:color w:val="auto"/>
          <w:spacing w:val="7"/>
          <w:sz w:val="24"/>
          <w:szCs w:val="24"/>
          <w:highlight w:val="none"/>
          <w:lang w:val="en-US" w:eastAsia="zh-CN"/>
        </w:rPr>
        <w:t>6</w:t>
      </w:r>
      <w:r>
        <w:rPr>
          <w:color w:val="auto"/>
          <w:spacing w:val="7"/>
          <w:sz w:val="24"/>
          <w:szCs w:val="24"/>
          <w:highlight w:val="none"/>
        </w:rPr>
        <w:t>.</w:t>
      </w:r>
      <w:r>
        <w:rPr>
          <w:rFonts w:ascii="黑体" w:hAnsi="黑体" w:eastAsia="黑体" w:cs="黑体"/>
          <w:color w:val="auto"/>
          <w:spacing w:val="7"/>
          <w:sz w:val="24"/>
          <w:szCs w:val="24"/>
          <w:highlight w:val="none"/>
        </w:rPr>
        <w:t>供应商为中小企业的相关有效证明材料</w:t>
      </w:r>
      <w:r>
        <w:rPr>
          <w:rFonts w:ascii="黑体" w:hAnsi="黑体" w:eastAsia="黑体" w:cs="黑体"/>
          <w:color w:val="auto"/>
          <w:spacing w:val="9"/>
          <w:sz w:val="24"/>
          <w:szCs w:val="24"/>
          <w:highlight w:val="none"/>
        </w:rPr>
        <w:t xml:space="preserve"> (</w:t>
      </w:r>
      <w:r>
        <w:rPr>
          <w:rFonts w:hint="eastAsia" w:ascii="黑体" w:hAnsi="黑体" w:eastAsia="黑体" w:cs="黑体"/>
          <w:color w:val="auto"/>
          <w:spacing w:val="9"/>
          <w:sz w:val="24"/>
          <w:szCs w:val="24"/>
          <w:highlight w:val="none"/>
          <w:lang w:val="en-US" w:eastAsia="zh-CN"/>
        </w:rPr>
        <w:t>如有，请提供</w:t>
      </w:r>
      <w:r>
        <w:rPr>
          <w:rFonts w:ascii="黑体" w:hAnsi="黑体" w:eastAsia="黑体" w:cs="黑体"/>
          <w:color w:val="auto"/>
          <w:spacing w:val="9"/>
          <w:sz w:val="24"/>
          <w:szCs w:val="24"/>
          <w:highlight w:val="none"/>
        </w:rPr>
        <w:t>)</w:t>
      </w:r>
      <w:r>
        <w:rPr>
          <w:rFonts w:ascii="黑体" w:hAnsi="黑体" w:eastAsia="黑体" w:cs="黑体"/>
          <w:color w:val="auto"/>
          <w:spacing w:val="7"/>
          <w:sz w:val="24"/>
          <w:szCs w:val="24"/>
          <w:highlight w:val="none"/>
        </w:rPr>
        <w:t>)</w:t>
      </w:r>
    </w:p>
    <w:p>
      <w:pPr>
        <w:spacing w:before="74" w:line="221" w:lineRule="auto"/>
        <w:ind w:left="549"/>
        <w:rPr>
          <w:rFonts w:ascii="黑体" w:hAnsi="黑体" w:eastAsia="黑体" w:cs="黑体"/>
          <w:color w:val="auto"/>
          <w:sz w:val="28"/>
          <w:szCs w:val="28"/>
          <w:highlight w:val="none"/>
        </w:rPr>
      </w:pPr>
      <w:r>
        <w:rPr>
          <w:rFonts w:ascii="黑体" w:hAnsi="黑体" w:eastAsia="黑体" w:cs="黑体"/>
          <w:color w:val="auto"/>
          <w:spacing w:val="-6"/>
          <w:sz w:val="28"/>
          <w:szCs w:val="28"/>
          <w:highlight w:val="none"/>
        </w:rPr>
        <w:t>二</w:t>
      </w:r>
      <w:r>
        <w:rPr>
          <w:rFonts w:ascii="黑体" w:hAnsi="黑体" w:eastAsia="黑体" w:cs="黑体"/>
          <w:color w:val="auto"/>
          <w:spacing w:val="-33"/>
          <w:sz w:val="28"/>
          <w:szCs w:val="28"/>
          <w:highlight w:val="none"/>
        </w:rPr>
        <w:t xml:space="preserve"> </w:t>
      </w:r>
      <w:r>
        <w:rPr>
          <w:rFonts w:ascii="黑体" w:hAnsi="黑体" w:eastAsia="黑体" w:cs="黑体"/>
          <w:color w:val="auto"/>
          <w:spacing w:val="-6"/>
          <w:sz w:val="28"/>
          <w:szCs w:val="28"/>
          <w:highlight w:val="none"/>
        </w:rPr>
        <w:t>、商务、技术性响应及其他证明材料：</w:t>
      </w:r>
    </w:p>
    <w:p>
      <w:pPr>
        <w:pStyle w:val="3"/>
        <w:spacing w:before="24" w:line="221" w:lineRule="auto"/>
        <w:ind w:left="479"/>
        <w:rPr>
          <w:rFonts w:ascii="黑体" w:hAnsi="黑体" w:eastAsia="黑体" w:cs="黑体"/>
          <w:color w:val="auto"/>
          <w:sz w:val="24"/>
          <w:szCs w:val="24"/>
          <w:highlight w:val="none"/>
        </w:rPr>
      </w:pPr>
      <w:r>
        <w:rPr>
          <w:color w:val="auto"/>
          <w:spacing w:val="6"/>
          <w:sz w:val="24"/>
          <w:szCs w:val="24"/>
          <w:highlight w:val="none"/>
        </w:rPr>
        <w:t>1.</w:t>
      </w:r>
      <w:r>
        <w:rPr>
          <w:rFonts w:ascii="黑体" w:hAnsi="黑体" w:eastAsia="黑体" w:cs="黑体"/>
          <w:color w:val="auto"/>
          <w:spacing w:val="6"/>
          <w:sz w:val="24"/>
          <w:szCs w:val="24"/>
          <w:highlight w:val="none"/>
        </w:rPr>
        <w:t>投标报价表</w:t>
      </w:r>
      <w:r>
        <w:rPr>
          <w:rFonts w:ascii="黑体" w:hAnsi="黑体" w:eastAsia="黑体" w:cs="黑体"/>
          <w:color w:val="auto"/>
          <w:spacing w:val="-32"/>
          <w:sz w:val="24"/>
          <w:szCs w:val="24"/>
          <w:highlight w:val="none"/>
        </w:rPr>
        <w:t xml:space="preserve"> </w:t>
      </w:r>
      <w:r>
        <w:rPr>
          <w:rFonts w:ascii="黑体" w:hAnsi="黑体" w:eastAsia="黑体" w:cs="黑体"/>
          <w:color w:val="auto"/>
          <w:spacing w:val="6"/>
          <w:sz w:val="24"/>
          <w:szCs w:val="24"/>
          <w:highlight w:val="none"/>
        </w:rPr>
        <w:t>(必须提供)</w:t>
      </w:r>
    </w:p>
    <w:p>
      <w:pPr>
        <w:pStyle w:val="3"/>
        <w:spacing w:before="73" w:line="221" w:lineRule="auto"/>
        <w:ind w:left="479"/>
        <w:rPr>
          <w:rFonts w:ascii="黑体" w:hAnsi="黑体" w:eastAsia="黑体" w:cs="黑体"/>
          <w:color w:val="auto"/>
          <w:sz w:val="24"/>
          <w:szCs w:val="24"/>
          <w:highlight w:val="none"/>
        </w:rPr>
      </w:pPr>
      <w:r>
        <w:rPr>
          <w:color w:val="auto"/>
          <w:spacing w:val="11"/>
          <w:sz w:val="24"/>
          <w:szCs w:val="24"/>
          <w:highlight w:val="none"/>
        </w:rPr>
        <w:t>2.</w:t>
      </w:r>
      <w:r>
        <w:rPr>
          <w:rFonts w:ascii="黑体" w:hAnsi="黑体" w:eastAsia="黑体" w:cs="黑体"/>
          <w:color w:val="auto"/>
          <w:spacing w:val="11"/>
          <w:sz w:val="24"/>
          <w:szCs w:val="24"/>
          <w:highlight w:val="none"/>
        </w:rPr>
        <w:t>服务采购偏离表(必须提供)</w:t>
      </w:r>
    </w:p>
    <w:p>
      <w:pPr>
        <w:pStyle w:val="3"/>
        <w:spacing w:before="72" w:line="221" w:lineRule="auto"/>
        <w:ind w:left="479"/>
        <w:rPr>
          <w:rFonts w:ascii="黑体" w:hAnsi="黑体" w:eastAsia="黑体" w:cs="黑体"/>
          <w:color w:val="auto"/>
          <w:sz w:val="24"/>
          <w:szCs w:val="24"/>
          <w:highlight w:val="none"/>
        </w:rPr>
      </w:pPr>
      <w:r>
        <w:rPr>
          <w:color w:val="auto"/>
          <w:spacing w:val="11"/>
          <w:sz w:val="24"/>
          <w:szCs w:val="24"/>
          <w:highlight w:val="none"/>
        </w:rPr>
        <w:t>3.</w:t>
      </w:r>
      <w:r>
        <w:rPr>
          <w:rFonts w:ascii="黑体" w:hAnsi="黑体" w:eastAsia="黑体" w:cs="黑体"/>
          <w:color w:val="auto"/>
          <w:spacing w:val="11"/>
          <w:sz w:val="24"/>
          <w:szCs w:val="24"/>
          <w:highlight w:val="none"/>
        </w:rPr>
        <w:t>服务承诺【自行编制)】</w:t>
      </w:r>
      <w:r>
        <w:rPr>
          <w:rFonts w:ascii="黑体" w:hAnsi="黑体" w:eastAsia="黑体" w:cs="黑体"/>
          <w:color w:val="auto"/>
          <w:spacing w:val="9"/>
          <w:sz w:val="24"/>
          <w:szCs w:val="24"/>
          <w:highlight w:val="none"/>
        </w:rPr>
        <w:t>(</w:t>
      </w:r>
      <w:r>
        <w:rPr>
          <w:rFonts w:hint="eastAsia" w:ascii="黑体" w:hAnsi="黑体" w:eastAsia="黑体" w:cs="黑体"/>
          <w:color w:val="auto"/>
          <w:spacing w:val="9"/>
          <w:sz w:val="24"/>
          <w:szCs w:val="24"/>
          <w:highlight w:val="none"/>
          <w:lang w:val="en-US" w:eastAsia="zh-CN"/>
        </w:rPr>
        <w:t>如有，请提供</w:t>
      </w:r>
      <w:r>
        <w:rPr>
          <w:rFonts w:ascii="黑体" w:hAnsi="黑体" w:eastAsia="黑体" w:cs="黑体"/>
          <w:color w:val="auto"/>
          <w:spacing w:val="9"/>
          <w:sz w:val="24"/>
          <w:szCs w:val="24"/>
          <w:highlight w:val="none"/>
        </w:rPr>
        <w:t>)</w:t>
      </w:r>
    </w:p>
    <w:p>
      <w:pPr>
        <w:pStyle w:val="3"/>
        <w:spacing w:before="63" w:line="221" w:lineRule="auto"/>
        <w:ind w:left="479"/>
        <w:rPr>
          <w:rFonts w:ascii="黑体" w:hAnsi="黑体" w:eastAsia="黑体" w:cs="黑体"/>
          <w:color w:val="auto"/>
          <w:sz w:val="24"/>
          <w:szCs w:val="24"/>
          <w:highlight w:val="none"/>
        </w:rPr>
      </w:pPr>
      <w:r>
        <w:rPr>
          <w:color w:val="auto"/>
          <w:spacing w:val="9"/>
          <w:sz w:val="24"/>
          <w:szCs w:val="24"/>
          <w:highlight w:val="none"/>
        </w:rPr>
        <w:t>4.</w:t>
      </w:r>
      <w:r>
        <w:rPr>
          <w:rFonts w:ascii="黑体" w:hAnsi="黑体" w:eastAsia="黑体" w:cs="黑体"/>
          <w:color w:val="auto"/>
          <w:spacing w:val="9"/>
          <w:sz w:val="24"/>
          <w:szCs w:val="24"/>
          <w:highlight w:val="none"/>
        </w:rPr>
        <w:t>服务实施方案(根据服务需求和评标办法自行编制内容) (</w:t>
      </w:r>
      <w:r>
        <w:rPr>
          <w:rFonts w:hint="eastAsia" w:ascii="黑体" w:hAnsi="黑体" w:eastAsia="黑体" w:cs="黑体"/>
          <w:color w:val="auto"/>
          <w:spacing w:val="9"/>
          <w:sz w:val="24"/>
          <w:szCs w:val="24"/>
          <w:highlight w:val="none"/>
          <w:lang w:val="en-US" w:eastAsia="zh-CN"/>
        </w:rPr>
        <w:t>如有，请提供</w:t>
      </w:r>
      <w:r>
        <w:rPr>
          <w:rFonts w:ascii="黑体" w:hAnsi="黑体" w:eastAsia="黑体" w:cs="黑体"/>
          <w:color w:val="auto"/>
          <w:spacing w:val="9"/>
          <w:sz w:val="24"/>
          <w:szCs w:val="24"/>
          <w:highlight w:val="none"/>
        </w:rPr>
        <w:t>)</w:t>
      </w:r>
    </w:p>
    <w:p>
      <w:pPr>
        <w:spacing w:before="62" w:line="213" w:lineRule="auto"/>
        <w:ind w:left="479"/>
        <w:rPr>
          <w:rFonts w:ascii="黑体" w:hAnsi="黑体" w:eastAsia="黑体" w:cs="黑体"/>
          <w:color w:val="auto"/>
          <w:sz w:val="24"/>
          <w:szCs w:val="24"/>
          <w:highlight w:val="none"/>
        </w:rPr>
      </w:pPr>
      <w:r>
        <w:rPr>
          <w:rFonts w:ascii="黑体" w:hAnsi="黑体" w:eastAsia="黑体" w:cs="黑体"/>
          <w:color w:val="auto"/>
          <w:spacing w:val="3"/>
          <w:sz w:val="24"/>
          <w:szCs w:val="24"/>
          <w:highlight w:val="none"/>
        </w:rPr>
        <w:t>5. “服务采购需求”中要求提供的有效证明文件</w:t>
      </w:r>
      <w:r>
        <w:rPr>
          <w:rFonts w:ascii="黑体" w:hAnsi="黑体" w:eastAsia="黑体" w:cs="黑体"/>
          <w:color w:val="auto"/>
          <w:spacing w:val="-23"/>
          <w:sz w:val="24"/>
          <w:szCs w:val="24"/>
          <w:highlight w:val="none"/>
        </w:rPr>
        <w:t xml:space="preserve"> </w:t>
      </w:r>
      <w:r>
        <w:rPr>
          <w:rFonts w:ascii="黑体" w:hAnsi="黑体" w:eastAsia="黑体" w:cs="黑体"/>
          <w:color w:val="auto"/>
          <w:spacing w:val="3"/>
          <w:sz w:val="24"/>
          <w:szCs w:val="24"/>
          <w:highlight w:val="none"/>
        </w:rPr>
        <w:t>(</w:t>
      </w:r>
      <w:r>
        <w:rPr>
          <w:rFonts w:hint="eastAsia" w:ascii="黑体" w:hAnsi="黑体" w:eastAsia="黑体" w:cs="黑体"/>
          <w:color w:val="auto"/>
          <w:spacing w:val="3"/>
          <w:sz w:val="24"/>
          <w:szCs w:val="24"/>
          <w:highlight w:val="none"/>
          <w:lang w:val="en-US" w:eastAsia="zh-CN"/>
        </w:rPr>
        <w:t>按其要求提供</w:t>
      </w:r>
      <w:r>
        <w:rPr>
          <w:rFonts w:ascii="黑体" w:hAnsi="黑体" w:eastAsia="黑体" w:cs="黑体"/>
          <w:color w:val="auto"/>
          <w:spacing w:val="3"/>
          <w:sz w:val="24"/>
          <w:szCs w:val="24"/>
          <w:highlight w:val="none"/>
        </w:rPr>
        <w:t>)</w:t>
      </w:r>
    </w:p>
    <w:p>
      <w:pPr>
        <w:pStyle w:val="3"/>
        <w:spacing w:before="83" w:line="213" w:lineRule="auto"/>
        <w:ind w:left="479"/>
        <w:rPr>
          <w:rFonts w:ascii="黑体" w:hAnsi="黑体" w:eastAsia="黑体" w:cs="黑体"/>
          <w:color w:val="auto"/>
          <w:sz w:val="24"/>
          <w:szCs w:val="24"/>
          <w:highlight w:val="none"/>
        </w:rPr>
      </w:pPr>
      <w:r>
        <w:rPr>
          <w:color w:val="auto"/>
          <w:spacing w:val="7"/>
          <w:sz w:val="24"/>
          <w:szCs w:val="24"/>
          <w:highlight w:val="none"/>
        </w:rPr>
        <w:t>6.</w:t>
      </w:r>
      <w:r>
        <w:rPr>
          <w:rFonts w:ascii="黑体" w:hAnsi="黑体" w:eastAsia="黑体" w:cs="黑体"/>
          <w:color w:val="auto"/>
          <w:spacing w:val="7"/>
          <w:sz w:val="24"/>
          <w:szCs w:val="24"/>
          <w:highlight w:val="none"/>
        </w:rPr>
        <w:t>项目实施人员一览表(格式自拟</w:t>
      </w:r>
      <w:r>
        <w:rPr>
          <w:rFonts w:hint="eastAsia" w:ascii="黑体" w:hAnsi="黑体" w:eastAsia="黑体" w:cs="黑体"/>
          <w:color w:val="auto"/>
          <w:spacing w:val="7"/>
          <w:sz w:val="24"/>
          <w:szCs w:val="24"/>
          <w:highlight w:val="none"/>
          <w:lang w:eastAsia="zh-CN"/>
        </w:rPr>
        <w:t>，</w:t>
      </w:r>
      <w:r>
        <w:rPr>
          <w:rFonts w:hint="eastAsia" w:ascii="黑体" w:hAnsi="黑体" w:eastAsia="黑体" w:cs="黑体"/>
          <w:color w:val="auto"/>
          <w:spacing w:val="7"/>
          <w:sz w:val="24"/>
          <w:szCs w:val="24"/>
          <w:highlight w:val="none"/>
          <w:lang w:val="en-US" w:eastAsia="zh-CN"/>
        </w:rPr>
        <w:t>必须</w:t>
      </w:r>
      <w:r>
        <w:rPr>
          <w:rFonts w:ascii="黑体" w:hAnsi="黑体" w:eastAsia="黑体" w:cs="黑体"/>
          <w:color w:val="auto"/>
          <w:spacing w:val="7"/>
          <w:sz w:val="24"/>
          <w:szCs w:val="24"/>
          <w:highlight w:val="none"/>
        </w:rPr>
        <w:t>提供)</w:t>
      </w:r>
    </w:p>
    <w:p>
      <w:pPr>
        <w:pStyle w:val="3"/>
        <w:spacing w:before="84" w:line="253" w:lineRule="auto"/>
        <w:ind w:firstLine="479"/>
        <w:rPr>
          <w:rFonts w:ascii="黑体" w:hAnsi="黑体" w:eastAsia="黑体" w:cs="黑体"/>
          <w:color w:val="auto"/>
          <w:sz w:val="24"/>
          <w:szCs w:val="24"/>
          <w:highlight w:val="none"/>
        </w:rPr>
      </w:pPr>
      <w:r>
        <w:rPr>
          <w:color w:val="auto"/>
          <w:spacing w:val="7"/>
          <w:sz w:val="24"/>
          <w:szCs w:val="24"/>
          <w:highlight w:val="none"/>
        </w:rPr>
        <w:t>7.</w:t>
      </w:r>
      <w:r>
        <w:rPr>
          <w:rFonts w:ascii="黑体" w:hAnsi="黑体" w:eastAsia="黑体" w:cs="黑体"/>
          <w:color w:val="auto"/>
          <w:spacing w:val="12"/>
          <w:sz w:val="24"/>
          <w:szCs w:val="24"/>
          <w:highlight w:val="none"/>
          <w:lang w:eastAsia="zh-CN"/>
        </w:rPr>
        <w:t>供应商2022年以来具有同类项目业绩</w:t>
      </w:r>
      <w:r>
        <w:rPr>
          <w:rFonts w:hint="eastAsia" w:ascii="黑体" w:hAnsi="黑体" w:eastAsia="黑体" w:cs="黑体"/>
          <w:color w:val="auto"/>
          <w:spacing w:val="12"/>
          <w:sz w:val="24"/>
          <w:szCs w:val="24"/>
          <w:highlight w:val="none"/>
          <w:lang w:eastAsia="zh-CN"/>
        </w:rPr>
        <w:t>(服务内容中包含</w:t>
      </w:r>
      <w:r>
        <w:rPr>
          <w:rFonts w:ascii="黑体" w:hAnsi="黑体" w:eastAsia="黑体" w:cs="黑体"/>
          <w:color w:val="auto"/>
          <w:spacing w:val="12"/>
          <w:sz w:val="24"/>
          <w:szCs w:val="24"/>
          <w:highlight w:val="none"/>
          <w:lang w:eastAsia="zh-CN"/>
        </w:rPr>
        <w:t>保安</w:t>
      </w:r>
      <w:r>
        <w:rPr>
          <w:rFonts w:hint="eastAsia" w:ascii="黑体" w:hAnsi="黑体" w:eastAsia="黑体" w:cs="黑体"/>
          <w:color w:val="auto"/>
          <w:spacing w:val="12"/>
          <w:sz w:val="24"/>
          <w:szCs w:val="24"/>
          <w:highlight w:val="none"/>
          <w:lang w:eastAsia="zh-CN"/>
        </w:rPr>
        <w:t>/安保服务或物业服务相关内容)</w:t>
      </w:r>
      <w:r>
        <w:rPr>
          <w:rFonts w:ascii="黑体" w:hAnsi="黑体" w:eastAsia="黑体" w:cs="黑体"/>
          <w:color w:val="auto"/>
          <w:spacing w:val="12"/>
          <w:sz w:val="24"/>
          <w:szCs w:val="24"/>
          <w:highlight w:val="none"/>
          <w:lang w:eastAsia="zh-CN"/>
        </w:rPr>
        <w:t xml:space="preserve"> [以中标(成交)通知 书或合同复印件为准(能清晰反映投标项目名称、种类，金额否则将不予评审。同一个编号的 项目有两个或两个以上的分标中标的只算一次)]</w:t>
      </w:r>
      <w:r>
        <w:rPr>
          <w:rFonts w:ascii="黑体" w:hAnsi="黑体" w:eastAsia="黑体" w:cs="黑体"/>
          <w:color w:val="auto"/>
          <w:spacing w:val="10"/>
          <w:sz w:val="24"/>
          <w:szCs w:val="24"/>
          <w:highlight w:val="none"/>
        </w:rPr>
        <w:t>(如有</w:t>
      </w:r>
      <w:r>
        <w:rPr>
          <w:rFonts w:ascii="黑体" w:hAnsi="黑体" w:eastAsia="黑体" w:cs="黑体"/>
          <w:color w:val="auto"/>
          <w:spacing w:val="9"/>
          <w:sz w:val="24"/>
          <w:szCs w:val="24"/>
          <w:highlight w:val="none"/>
        </w:rPr>
        <w:t>，请提供)</w:t>
      </w:r>
    </w:p>
    <w:p>
      <w:pPr>
        <w:pStyle w:val="3"/>
        <w:spacing w:before="103" w:line="213" w:lineRule="auto"/>
        <w:ind w:left="479"/>
        <w:rPr>
          <w:rFonts w:ascii="黑体" w:hAnsi="黑体" w:eastAsia="黑体" w:cs="黑体"/>
          <w:color w:val="auto"/>
          <w:sz w:val="24"/>
          <w:szCs w:val="24"/>
          <w:highlight w:val="none"/>
        </w:rPr>
      </w:pPr>
      <w:r>
        <w:rPr>
          <w:color w:val="auto"/>
          <w:spacing w:val="3"/>
          <w:sz w:val="24"/>
          <w:szCs w:val="24"/>
          <w:highlight w:val="none"/>
        </w:rPr>
        <w:t>8.</w:t>
      </w:r>
      <w:r>
        <w:rPr>
          <w:rFonts w:ascii="黑体" w:hAnsi="黑体" w:eastAsia="黑体" w:cs="黑体"/>
          <w:color w:val="auto"/>
          <w:spacing w:val="3"/>
          <w:sz w:val="24"/>
          <w:szCs w:val="24"/>
          <w:highlight w:val="none"/>
        </w:rPr>
        <w:t>供应商可结合本项目的评标办法视自身情况自行提交相关</w:t>
      </w:r>
      <w:r>
        <w:rPr>
          <w:rFonts w:ascii="黑体" w:hAnsi="黑体" w:eastAsia="黑体" w:cs="黑体"/>
          <w:color w:val="auto"/>
          <w:spacing w:val="2"/>
          <w:sz w:val="24"/>
          <w:szCs w:val="24"/>
          <w:highlight w:val="none"/>
        </w:rPr>
        <w:t>证明材料</w:t>
      </w:r>
      <w:r>
        <w:rPr>
          <w:rFonts w:ascii="黑体" w:hAnsi="黑体" w:eastAsia="黑体" w:cs="黑体"/>
          <w:color w:val="auto"/>
          <w:spacing w:val="-39"/>
          <w:sz w:val="24"/>
          <w:szCs w:val="24"/>
          <w:highlight w:val="none"/>
        </w:rPr>
        <w:t xml:space="preserve"> </w:t>
      </w:r>
      <w:r>
        <w:rPr>
          <w:rFonts w:ascii="黑体" w:hAnsi="黑体" w:eastAsia="黑体" w:cs="黑体"/>
          <w:color w:val="auto"/>
          <w:spacing w:val="2"/>
          <w:sz w:val="24"/>
          <w:szCs w:val="24"/>
          <w:highlight w:val="none"/>
        </w:rPr>
        <w:t>(如有，请提供)</w:t>
      </w:r>
    </w:p>
    <w:p>
      <w:pPr>
        <w:spacing w:line="213" w:lineRule="auto"/>
        <w:rPr>
          <w:rFonts w:ascii="黑体" w:hAnsi="黑体" w:eastAsia="黑体" w:cs="黑体"/>
          <w:color w:val="auto"/>
          <w:sz w:val="24"/>
          <w:szCs w:val="24"/>
          <w:highlight w:val="none"/>
        </w:rPr>
        <w:sectPr>
          <w:footerReference r:id="rId36" w:type="default"/>
          <w:pgSz w:w="11900" w:h="16830"/>
          <w:pgMar w:top="400" w:right="1068" w:bottom="801" w:left="1060" w:header="0" w:footer="657" w:gutter="0"/>
          <w:cols w:space="720" w:num="1"/>
        </w:sect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pStyle w:val="3"/>
        <w:spacing w:before="104" w:line="219" w:lineRule="auto"/>
        <w:ind w:left="4"/>
        <w:rPr>
          <w:color w:val="auto"/>
          <w:sz w:val="32"/>
          <w:szCs w:val="32"/>
          <w:highlight w:val="none"/>
        </w:rPr>
      </w:pPr>
      <w:r>
        <w:rPr>
          <w:b/>
          <w:bCs/>
          <w:color w:val="auto"/>
          <w:spacing w:val="-8"/>
          <w:sz w:val="32"/>
          <w:szCs w:val="32"/>
          <w:highlight w:val="none"/>
        </w:rPr>
        <w:t>一</w:t>
      </w:r>
      <w:r>
        <w:rPr>
          <w:color w:val="auto"/>
          <w:spacing w:val="-88"/>
          <w:sz w:val="32"/>
          <w:szCs w:val="32"/>
          <w:highlight w:val="none"/>
        </w:rPr>
        <w:t xml:space="preserve"> </w:t>
      </w:r>
      <w:r>
        <w:rPr>
          <w:b/>
          <w:bCs/>
          <w:color w:val="auto"/>
          <w:spacing w:val="-8"/>
          <w:sz w:val="32"/>
          <w:szCs w:val="32"/>
          <w:highlight w:val="none"/>
        </w:rPr>
        <w:t>、资格性响应证明材料</w:t>
      </w:r>
    </w:p>
    <w:p>
      <w:pPr>
        <w:spacing w:line="309" w:lineRule="auto"/>
        <w:rPr>
          <w:rFonts w:ascii="Arial"/>
          <w:color w:val="auto"/>
          <w:sz w:val="21"/>
          <w:highlight w:val="none"/>
        </w:rPr>
      </w:pPr>
    </w:p>
    <w:p>
      <w:pPr>
        <w:pStyle w:val="3"/>
        <w:spacing w:before="104" w:line="219" w:lineRule="auto"/>
        <w:rPr>
          <w:color w:val="auto"/>
          <w:sz w:val="32"/>
          <w:szCs w:val="32"/>
          <w:highlight w:val="none"/>
        </w:rPr>
      </w:pPr>
      <w:r>
        <w:rPr>
          <w:color w:val="auto"/>
          <w:spacing w:val="6"/>
          <w:sz w:val="32"/>
          <w:szCs w:val="32"/>
          <w:highlight w:val="none"/>
        </w:rPr>
        <w:t>1.供应商相应的法定代表人或负责人身份证正反面复印件(必</w:t>
      </w:r>
      <w:r>
        <w:rPr>
          <w:color w:val="auto"/>
          <w:spacing w:val="5"/>
          <w:sz w:val="32"/>
          <w:szCs w:val="32"/>
          <w:highlight w:val="none"/>
        </w:rPr>
        <w:t>须提供)</w:t>
      </w:r>
    </w:p>
    <w:p>
      <w:pPr>
        <w:spacing w:line="355" w:lineRule="auto"/>
        <w:rPr>
          <w:rFonts w:ascii="Arial"/>
          <w:color w:val="auto"/>
          <w:sz w:val="21"/>
          <w:highlight w:val="none"/>
        </w:rPr>
      </w:pPr>
    </w:p>
    <w:p>
      <w:pPr>
        <w:spacing w:line="355" w:lineRule="auto"/>
        <w:rPr>
          <w:rFonts w:ascii="Arial"/>
          <w:color w:val="auto"/>
          <w:sz w:val="21"/>
          <w:highlight w:val="none"/>
        </w:rPr>
      </w:pPr>
    </w:p>
    <w:p>
      <w:pPr>
        <w:pStyle w:val="3"/>
        <w:spacing w:before="104" w:line="232" w:lineRule="auto"/>
        <w:ind w:right="67"/>
        <w:jc w:val="both"/>
        <w:rPr>
          <w:color w:val="auto"/>
          <w:sz w:val="32"/>
          <w:szCs w:val="32"/>
          <w:highlight w:val="none"/>
        </w:rPr>
      </w:pPr>
      <w:r>
        <w:rPr>
          <w:color w:val="auto"/>
          <w:spacing w:val="6"/>
          <w:sz w:val="32"/>
          <w:szCs w:val="32"/>
          <w:highlight w:val="none"/>
        </w:rPr>
        <w:t>2.供应商的授权委托书原件、委托代理人身份证正反面复印件以及由</w:t>
      </w:r>
      <w:r>
        <w:rPr>
          <w:color w:val="auto"/>
          <w:spacing w:val="10"/>
          <w:sz w:val="32"/>
          <w:szCs w:val="32"/>
          <w:highlight w:val="none"/>
        </w:rPr>
        <w:t xml:space="preserve"> </w:t>
      </w:r>
      <w:r>
        <w:rPr>
          <w:color w:val="auto"/>
          <w:spacing w:val="16"/>
          <w:sz w:val="32"/>
          <w:szCs w:val="32"/>
          <w:highlight w:val="none"/>
        </w:rPr>
        <w:t>县级以上(含县级)养老保险经办机构出具的供应</w:t>
      </w:r>
      <w:r>
        <w:rPr>
          <w:color w:val="auto"/>
          <w:spacing w:val="15"/>
          <w:sz w:val="32"/>
          <w:szCs w:val="32"/>
          <w:highlight w:val="none"/>
        </w:rPr>
        <w:t>商为委托代理人交</w:t>
      </w:r>
      <w:r>
        <w:rPr>
          <w:color w:val="auto"/>
          <w:sz w:val="32"/>
          <w:szCs w:val="32"/>
          <w:highlight w:val="none"/>
        </w:rPr>
        <w:t xml:space="preserve"> </w:t>
      </w:r>
      <w:r>
        <w:rPr>
          <w:color w:val="auto"/>
          <w:spacing w:val="15"/>
          <w:sz w:val="32"/>
          <w:szCs w:val="32"/>
          <w:highlight w:val="none"/>
        </w:rPr>
        <w:t xml:space="preserve">纳的2025年任意连续3个月的养老保险证明复印件(委托代理时必须 </w:t>
      </w:r>
      <w:r>
        <w:rPr>
          <w:color w:val="auto"/>
          <w:spacing w:val="3"/>
          <w:sz w:val="32"/>
          <w:szCs w:val="32"/>
          <w:highlight w:val="none"/>
        </w:rPr>
        <w:t>提供；若为新成立的企业，请根据实际情况提供)</w:t>
      </w:r>
    </w:p>
    <w:p>
      <w:pPr>
        <w:spacing w:before="42" w:line="310" w:lineRule="auto"/>
        <w:ind w:right="172" w:firstLine="419"/>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注：①供应商为截标时间前60日以内成立的企业，可以提供供应商与</w:t>
      </w:r>
      <w:r>
        <w:rPr>
          <w:rFonts w:ascii="黑体" w:hAnsi="黑体" w:eastAsia="黑体" w:cs="黑体"/>
          <w:color w:val="auto"/>
          <w:sz w:val="21"/>
          <w:szCs w:val="21"/>
          <w:highlight w:val="none"/>
        </w:rPr>
        <w:t xml:space="preserve">委托代理人签订的劳动合同复印 </w:t>
      </w:r>
      <w:r>
        <w:rPr>
          <w:rFonts w:ascii="黑体" w:hAnsi="黑体" w:eastAsia="黑体" w:cs="黑体"/>
          <w:color w:val="auto"/>
          <w:spacing w:val="1"/>
          <w:sz w:val="21"/>
          <w:szCs w:val="21"/>
          <w:highlight w:val="none"/>
        </w:rPr>
        <w:t>件代替社保证明复印件；②委托代理人为免缴纳社保人员，提供</w:t>
      </w:r>
      <w:r>
        <w:rPr>
          <w:rFonts w:ascii="黑体" w:hAnsi="黑体" w:eastAsia="黑体" w:cs="黑体"/>
          <w:color w:val="auto"/>
          <w:sz w:val="21"/>
          <w:szCs w:val="21"/>
          <w:highlight w:val="none"/>
        </w:rPr>
        <w:t xml:space="preserve">免缴纳社保的证明材料复印件及供应商与 </w:t>
      </w:r>
      <w:r>
        <w:rPr>
          <w:rFonts w:ascii="黑体" w:hAnsi="黑体" w:eastAsia="黑体" w:cs="黑体"/>
          <w:color w:val="auto"/>
          <w:spacing w:val="4"/>
          <w:sz w:val="21"/>
          <w:szCs w:val="21"/>
          <w:highlight w:val="none"/>
        </w:rPr>
        <w:t>委托代理人签订的劳动合同复印件代替社保证明复印件；③自然人投标的，应提供由县级以上</w:t>
      </w:r>
      <w:r>
        <w:rPr>
          <w:rFonts w:ascii="黑体" w:hAnsi="黑体" w:eastAsia="黑体" w:cs="黑体"/>
          <w:color w:val="auto"/>
          <w:spacing w:val="3"/>
          <w:sz w:val="21"/>
          <w:szCs w:val="21"/>
          <w:highlight w:val="none"/>
        </w:rPr>
        <w:t>(含县级)</w:t>
      </w:r>
      <w:r>
        <w:rPr>
          <w:rFonts w:ascii="黑体" w:hAnsi="黑体" w:eastAsia="黑体" w:cs="黑体"/>
          <w:color w:val="auto"/>
          <w:sz w:val="21"/>
          <w:szCs w:val="21"/>
          <w:highlight w:val="none"/>
        </w:rPr>
        <w:t xml:space="preserve"> </w:t>
      </w:r>
      <w:r>
        <w:rPr>
          <w:rFonts w:ascii="黑体" w:hAnsi="黑体" w:eastAsia="黑体" w:cs="黑体"/>
          <w:color w:val="auto"/>
          <w:spacing w:val="1"/>
          <w:sz w:val="21"/>
          <w:szCs w:val="21"/>
          <w:highlight w:val="none"/>
        </w:rPr>
        <w:t>社会保险经办机构出具的自然人本人及委托代理人所交纳的开标截</w:t>
      </w:r>
      <w:r>
        <w:rPr>
          <w:rFonts w:ascii="黑体" w:hAnsi="黑体" w:eastAsia="黑体" w:cs="黑体"/>
          <w:color w:val="auto"/>
          <w:sz w:val="21"/>
          <w:szCs w:val="21"/>
          <w:highlight w:val="none"/>
        </w:rPr>
        <w:t xml:space="preserve">止时间前三个月内任意一个月社保证明 </w:t>
      </w:r>
      <w:r>
        <w:rPr>
          <w:rFonts w:ascii="黑体" w:hAnsi="黑体" w:eastAsia="黑体" w:cs="黑体"/>
          <w:color w:val="auto"/>
          <w:spacing w:val="6"/>
          <w:sz w:val="21"/>
          <w:szCs w:val="21"/>
          <w:highlight w:val="none"/>
        </w:rPr>
        <w:t>复印件。</w:t>
      </w:r>
    </w:p>
    <w:p>
      <w:pPr>
        <w:spacing w:line="388" w:lineRule="auto"/>
        <w:rPr>
          <w:rFonts w:ascii="Arial"/>
          <w:color w:val="auto"/>
          <w:sz w:val="21"/>
          <w:highlight w:val="none"/>
        </w:rPr>
      </w:pPr>
    </w:p>
    <w:p>
      <w:pPr>
        <w:pStyle w:val="3"/>
        <w:spacing w:before="81" w:line="219" w:lineRule="auto"/>
        <w:ind w:left="3"/>
        <w:rPr>
          <w:color w:val="auto"/>
          <w:sz w:val="25"/>
          <w:szCs w:val="25"/>
          <w:highlight w:val="none"/>
        </w:rPr>
      </w:pPr>
      <w:r>
        <w:rPr>
          <w:b/>
          <w:bCs/>
          <w:color w:val="auto"/>
          <w:spacing w:val="-16"/>
          <w:sz w:val="25"/>
          <w:szCs w:val="25"/>
          <w:highlight w:val="none"/>
        </w:rPr>
        <w:t>附</w:t>
      </w:r>
      <w:r>
        <w:rPr>
          <w:color w:val="auto"/>
          <w:spacing w:val="-33"/>
          <w:sz w:val="25"/>
          <w:szCs w:val="25"/>
          <w:highlight w:val="none"/>
        </w:rPr>
        <w:t xml:space="preserve"> </w:t>
      </w:r>
      <w:r>
        <w:rPr>
          <w:b/>
          <w:bCs/>
          <w:color w:val="auto"/>
          <w:spacing w:val="-16"/>
          <w:sz w:val="25"/>
          <w:szCs w:val="25"/>
          <w:highlight w:val="none"/>
        </w:rPr>
        <w:t>件</w:t>
      </w:r>
      <w:r>
        <w:rPr>
          <w:color w:val="auto"/>
          <w:spacing w:val="-43"/>
          <w:sz w:val="25"/>
          <w:szCs w:val="25"/>
          <w:highlight w:val="none"/>
        </w:rPr>
        <w:t xml:space="preserve"> </w:t>
      </w:r>
      <w:r>
        <w:rPr>
          <w:b/>
          <w:bCs/>
          <w:color w:val="auto"/>
          <w:spacing w:val="-16"/>
          <w:sz w:val="25"/>
          <w:szCs w:val="25"/>
          <w:highlight w:val="none"/>
        </w:rPr>
        <w:t>：</w:t>
      </w:r>
    </w:p>
    <w:p>
      <w:pPr>
        <w:pStyle w:val="3"/>
        <w:spacing w:before="14" w:line="219" w:lineRule="auto"/>
        <w:ind w:left="1384"/>
        <w:rPr>
          <w:color w:val="auto"/>
          <w:sz w:val="32"/>
          <w:szCs w:val="32"/>
          <w:highlight w:val="none"/>
        </w:rPr>
      </w:pPr>
      <w:r>
        <w:rPr>
          <w:b/>
          <w:bCs/>
          <w:color w:val="auto"/>
          <w:spacing w:val="3"/>
          <w:sz w:val="32"/>
          <w:szCs w:val="32"/>
          <w:highlight w:val="none"/>
        </w:rPr>
        <w:t>授权委托书(格式一，适用于法人或其他组织投标)</w:t>
      </w:r>
    </w:p>
    <w:p>
      <w:pPr>
        <w:spacing w:before="140" w:line="222" w:lineRule="auto"/>
        <w:ind w:left="3"/>
        <w:rPr>
          <w:rFonts w:hint="eastAsia" w:ascii="黑体" w:hAnsi="黑体" w:eastAsia="黑体" w:cs="黑体"/>
          <w:color w:val="auto"/>
          <w:sz w:val="21"/>
          <w:szCs w:val="21"/>
          <w:highlight w:val="none"/>
          <w:lang w:eastAsia="zh-CN"/>
        </w:rPr>
      </w:pPr>
      <w:r>
        <w:rPr>
          <w:rFonts w:ascii="黑体" w:hAnsi="黑体" w:eastAsia="黑体" w:cs="黑体"/>
          <w:b/>
          <w:bCs/>
          <w:color w:val="auto"/>
          <w:spacing w:val="-4"/>
          <w:sz w:val="21"/>
          <w:szCs w:val="21"/>
          <w:highlight w:val="none"/>
        </w:rPr>
        <w:t>致</w:t>
      </w:r>
      <w:r>
        <w:rPr>
          <w:rFonts w:ascii="黑体" w:hAnsi="黑体" w:eastAsia="黑体" w:cs="黑体"/>
          <w:color w:val="auto"/>
          <w:spacing w:val="-29"/>
          <w:sz w:val="21"/>
          <w:szCs w:val="21"/>
          <w:highlight w:val="none"/>
        </w:rPr>
        <w:t xml:space="preserve"> </w:t>
      </w:r>
      <w:r>
        <w:rPr>
          <w:rFonts w:ascii="黑体" w:hAnsi="黑体" w:eastAsia="黑体" w:cs="黑体"/>
          <w:b/>
          <w:bCs/>
          <w:color w:val="auto"/>
          <w:spacing w:val="-4"/>
          <w:sz w:val="21"/>
          <w:szCs w:val="21"/>
          <w:highlight w:val="none"/>
        </w:rPr>
        <w:t>：</w:t>
      </w:r>
      <w:r>
        <w:rPr>
          <w:rFonts w:hint="eastAsia" w:ascii="黑体" w:hAnsi="黑体" w:eastAsia="黑体" w:cs="黑体"/>
          <w:color w:val="auto"/>
          <w:spacing w:val="-4"/>
          <w:sz w:val="21"/>
          <w:szCs w:val="21"/>
          <w:highlight w:val="none"/>
          <w:u w:val="single" w:color="auto"/>
          <w:lang w:eastAsia="zh-CN"/>
        </w:rPr>
        <w:t>广西泰新工程信息咨询有限公司</w:t>
      </w:r>
    </w:p>
    <w:p>
      <w:pPr>
        <w:spacing w:line="446" w:lineRule="auto"/>
        <w:rPr>
          <w:rFonts w:ascii="Arial"/>
          <w:color w:val="auto"/>
          <w:sz w:val="21"/>
          <w:highlight w:val="none"/>
        </w:rPr>
      </w:pPr>
    </w:p>
    <w:p>
      <w:pPr>
        <w:spacing w:before="70" w:line="350" w:lineRule="auto"/>
        <w:ind w:firstLine="519"/>
        <w:jc w:val="both"/>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我</w:t>
      </w:r>
      <w:r>
        <w:rPr>
          <w:rFonts w:ascii="黑体" w:hAnsi="黑体" w:eastAsia="黑体" w:cs="黑体"/>
          <w:color w:val="auto"/>
          <w:spacing w:val="-88"/>
          <w:sz w:val="21"/>
          <w:szCs w:val="21"/>
          <w:highlight w:val="none"/>
        </w:rPr>
        <w:t xml:space="preserve"> </w:t>
      </w:r>
      <w:r>
        <w:rPr>
          <w:rFonts w:ascii="黑体" w:hAnsi="黑体" w:eastAsia="黑体" w:cs="黑体"/>
          <w:color w:val="auto"/>
          <w:spacing w:val="1"/>
          <w:sz w:val="21"/>
          <w:szCs w:val="21"/>
          <w:highlight w:val="none"/>
          <w:u w:val="single" w:color="auto"/>
        </w:rPr>
        <w:t xml:space="preserve">               </w:t>
      </w:r>
      <w:r>
        <w:rPr>
          <w:rFonts w:ascii="黑体" w:hAnsi="黑体" w:eastAsia="黑体" w:cs="黑体"/>
          <w:color w:val="auto"/>
          <w:spacing w:val="-35"/>
          <w:sz w:val="21"/>
          <w:szCs w:val="21"/>
          <w:highlight w:val="none"/>
        </w:rPr>
        <w:t xml:space="preserve"> </w:t>
      </w:r>
      <w:r>
        <w:rPr>
          <w:rFonts w:ascii="黑体" w:hAnsi="黑体" w:eastAsia="黑体" w:cs="黑体"/>
          <w:color w:val="auto"/>
          <w:spacing w:val="2"/>
          <w:sz w:val="21"/>
          <w:szCs w:val="21"/>
          <w:highlight w:val="none"/>
        </w:rPr>
        <w:t>(姓名)系</w:t>
      </w:r>
      <w:r>
        <w:rPr>
          <w:rFonts w:ascii="黑体" w:hAnsi="黑体" w:eastAsia="黑体" w:cs="黑体"/>
          <w:color w:val="auto"/>
          <w:sz w:val="21"/>
          <w:szCs w:val="21"/>
          <w:highlight w:val="none"/>
          <w:u w:val="single" w:color="auto"/>
        </w:rPr>
        <w:t xml:space="preserve">                               </w:t>
      </w:r>
      <w:r>
        <w:rPr>
          <w:rFonts w:ascii="黑体" w:hAnsi="黑体" w:eastAsia="黑体" w:cs="黑体"/>
          <w:color w:val="auto"/>
          <w:spacing w:val="-31"/>
          <w:sz w:val="21"/>
          <w:szCs w:val="21"/>
          <w:highlight w:val="none"/>
        </w:rPr>
        <w:t xml:space="preserve"> </w:t>
      </w:r>
      <w:r>
        <w:rPr>
          <w:rFonts w:ascii="黑体" w:hAnsi="黑体" w:eastAsia="黑体" w:cs="黑体"/>
          <w:color w:val="auto"/>
          <w:spacing w:val="2"/>
          <w:sz w:val="21"/>
          <w:szCs w:val="21"/>
          <w:highlight w:val="none"/>
        </w:rPr>
        <w:t>(供应商名称)的法定代表人，现授</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权委托本单位在职职</w:t>
      </w:r>
      <w:r>
        <w:rPr>
          <w:rFonts w:ascii="黑体" w:hAnsi="黑体" w:eastAsia="黑体" w:cs="黑体"/>
          <w:color w:val="auto"/>
          <w:spacing w:val="-3"/>
          <w:sz w:val="21"/>
          <w:szCs w:val="21"/>
          <w:highlight w:val="none"/>
          <w:u w:val="single" w:color="auto"/>
        </w:rPr>
        <w:t>工</w:t>
      </w:r>
      <w:r>
        <w:rPr>
          <w:rFonts w:ascii="黑体" w:hAnsi="黑体" w:eastAsia="黑体" w:cs="黑体"/>
          <w:color w:val="auto"/>
          <w:spacing w:val="4"/>
          <w:sz w:val="21"/>
          <w:szCs w:val="21"/>
          <w:highlight w:val="none"/>
          <w:u w:val="single" w:color="auto"/>
        </w:rPr>
        <w:t xml:space="preserve">            </w:t>
      </w:r>
      <w:r>
        <w:rPr>
          <w:rFonts w:ascii="黑体" w:hAnsi="黑体" w:eastAsia="黑体" w:cs="黑体"/>
          <w:color w:val="auto"/>
          <w:spacing w:val="-44"/>
          <w:sz w:val="21"/>
          <w:szCs w:val="21"/>
          <w:highlight w:val="none"/>
        </w:rPr>
        <w:t xml:space="preserve"> </w:t>
      </w:r>
      <w:r>
        <w:rPr>
          <w:rFonts w:ascii="黑体" w:hAnsi="黑体" w:eastAsia="黑体" w:cs="黑体"/>
          <w:color w:val="auto"/>
          <w:spacing w:val="-3"/>
          <w:sz w:val="21"/>
          <w:szCs w:val="21"/>
          <w:highlight w:val="none"/>
        </w:rPr>
        <w:t>(姓名)以我公司名义参加</w:t>
      </w:r>
      <w:r>
        <w:rPr>
          <w:rFonts w:ascii="黑体" w:hAnsi="黑体" w:eastAsia="黑体" w:cs="黑体"/>
          <w:color w:val="auto"/>
          <w:spacing w:val="26"/>
          <w:sz w:val="21"/>
          <w:szCs w:val="21"/>
          <w:highlight w:val="none"/>
          <w:u w:val="single" w:color="auto"/>
        </w:rPr>
        <w:t xml:space="preserve">   </w:t>
      </w:r>
      <w:r>
        <w:rPr>
          <w:rFonts w:ascii="黑体" w:hAnsi="黑体" w:eastAsia="黑体" w:cs="黑体"/>
          <w:color w:val="auto"/>
          <w:spacing w:val="-3"/>
          <w:sz w:val="21"/>
          <w:szCs w:val="21"/>
          <w:highlight w:val="none"/>
          <w:u w:val="single" w:color="auto"/>
        </w:rPr>
        <w:t>(</w:t>
      </w:r>
      <w:r>
        <w:rPr>
          <w:rFonts w:ascii="黑体" w:hAnsi="黑体" w:eastAsia="黑体" w:cs="黑体"/>
          <w:color w:val="auto"/>
          <w:spacing w:val="-24"/>
          <w:sz w:val="21"/>
          <w:szCs w:val="21"/>
          <w:highlight w:val="none"/>
          <w:u w:val="single" w:color="auto"/>
        </w:rPr>
        <w:t xml:space="preserve"> </w:t>
      </w:r>
      <w:r>
        <w:rPr>
          <w:rFonts w:ascii="黑体" w:hAnsi="黑体" w:eastAsia="黑体" w:cs="黑体"/>
          <w:color w:val="auto"/>
          <w:spacing w:val="-3"/>
          <w:sz w:val="21"/>
          <w:szCs w:val="21"/>
          <w:highlight w:val="none"/>
          <w:u w:val="single" w:color="auto"/>
        </w:rPr>
        <w:t>项 目</w:t>
      </w:r>
      <w:r>
        <w:rPr>
          <w:rFonts w:ascii="黑体" w:hAnsi="黑体" w:eastAsia="黑体" w:cs="黑体"/>
          <w:color w:val="auto"/>
          <w:spacing w:val="-21"/>
          <w:sz w:val="21"/>
          <w:szCs w:val="21"/>
          <w:highlight w:val="none"/>
          <w:u w:val="single" w:color="auto"/>
        </w:rPr>
        <w:t xml:space="preserve"> </w:t>
      </w:r>
      <w:r>
        <w:rPr>
          <w:rFonts w:ascii="黑体" w:hAnsi="黑体" w:eastAsia="黑体" w:cs="黑体"/>
          <w:color w:val="auto"/>
          <w:spacing w:val="-3"/>
          <w:sz w:val="21"/>
          <w:szCs w:val="21"/>
          <w:highlight w:val="none"/>
          <w:u w:val="single" w:color="auto"/>
        </w:rPr>
        <w:t>名</w:t>
      </w:r>
      <w:r>
        <w:rPr>
          <w:rFonts w:ascii="黑体" w:hAnsi="黑体" w:eastAsia="黑体" w:cs="黑体"/>
          <w:color w:val="auto"/>
          <w:spacing w:val="-23"/>
          <w:sz w:val="21"/>
          <w:szCs w:val="21"/>
          <w:highlight w:val="none"/>
          <w:u w:val="single" w:color="auto"/>
        </w:rPr>
        <w:t xml:space="preserve"> </w:t>
      </w:r>
      <w:r>
        <w:rPr>
          <w:rFonts w:ascii="黑体" w:hAnsi="黑体" w:eastAsia="黑体" w:cs="黑体"/>
          <w:color w:val="auto"/>
          <w:spacing w:val="-3"/>
          <w:sz w:val="21"/>
          <w:szCs w:val="21"/>
          <w:highlight w:val="none"/>
          <w:u w:val="single" w:color="auto"/>
        </w:rPr>
        <w:t>称</w:t>
      </w:r>
      <w:r>
        <w:rPr>
          <w:rFonts w:ascii="黑体" w:hAnsi="黑体" w:eastAsia="黑体" w:cs="黑体"/>
          <w:color w:val="auto"/>
          <w:spacing w:val="-23"/>
          <w:sz w:val="21"/>
          <w:szCs w:val="21"/>
          <w:highlight w:val="none"/>
          <w:u w:val="single" w:color="auto"/>
        </w:rPr>
        <w:t xml:space="preserve"> </w:t>
      </w:r>
      <w:r>
        <w:rPr>
          <w:rFonts w:ascii="黑体" w:hAnsi="黑体" w:eastAsia="黑体" w:cs="黑体"/>
          <w:color w:val="auto"/>
          <w:spacing w:val="-3"/>
          <w:sz w:val="21"/>
          <w:szCs w:val="21"/>
          <w:highlight w:val="none"/>
          <w:u w:val="single" w:color="auto"/>
        </w:rPr>
        <w:t>及</w:t>
      </w:r>
      <w:r>
        <w:rPr>
          <w:rFonts w:ascii="黑体" w:hAnsi="黑体" w:eastAsia="黑体" w:cs="黑体"/>
          <w:color w:val="auto"/>
          <w:spacing w:val="-23"/>
          <w:sz w:val="21"/>
          <w:szCs w:val="21"/>
          <w:highlight w:val="none"/>
          <w:u w:val="single" w:color="auto"/>
        </w:rPr>
        <w:t xml:space="preserve"> </w:t>
      </w:r>
      <w:r>
        <w:rPr>
          <w:rFonts w:ascii="黑体" w:hAnsi="黑体" w:eastAsia="黑体" w:cs="黑体"/>
          <w:color w:val="auto"/>
          <w:spacing w:val="-3"/>
          <w:sz w:val="21"/>
          <w:szCs w:val="21"/>
          <w:highlight w:val="none"/>
          <w:u w:val="single" w:color="auto"/>
        </w:rPr>
        <w:t>项 目</w:t>
      </w:r>
      <w:r>
        <w:rPr>
          <w:rFonts w:ascii="黑体" w:hAnsi="黑体" w:eastAsia="黑体" w:cs="黑体"/>
          <w:color w:val="auto"/>
          <w:spacing w:val="-25"/>
          <w:sz w:val="21"/>
          <w:szCs w:val="21"/>
          <w:highlight w:val="none"/>
          <w:u w:val="single" w:color="auto"/>
        </w:rPr>
        <w:t xml:space="preserve"> </w:t>
      </w:r>
      <w:r>
        <w:rPr>
          <w:rFonts w:ascii="黑体" w:hAnsi="黑体" w:eastAsia="黑体" w:cs="黑体"/>
          <w:color w:val="auto"/>
          <w:spacing w:val="-3"/>
          <w:sz w:val="21"/>
          <w:szCs w:val="21"/>
          <w:highlight w:val="none"/>
          <w:u w:val="single" w:color="auto"/>
        </w:rPr>
        <w:t>编 号</w:t>
      </w:r>
      <w:r>
        <w:rPr>
          <w:rFonts w:ascii="黑体" w:hAnsi="黑体" w:eastAsia="黑体" w:cs="黑体"/>
          <w:color w:val="auto"/>
          <w:spacing w:val="-27"/>
          <w:sz w:val="21"/>
          <w:szCs w:val="21"/>
          <w:highlight w:val="none"/>
          <w:u w:val="single" w:color="auto"/>
        </w:rPr>
        <w:t xml:space="preserve"> </w:t>
      </w:r>
      <w:r>
        <w:rPr>
          <w:rFonts w:ascii="黑体" w:hAnsi="黑体" w:eastAsia="黑体" w:cs="黑体"/>
          <w:color w:val="auto"/>
          <w:spacing w:val="-3"/>
          <w:sz w:val="21"/>
          <w:szCs w:val="21"/>
          <w:highlight w:val="none"/>
          <w:u w:val="single" w:color="auto"/>
        </w:rPr>
        <w:t xml:space="preserve">) </w:t>
      </w:r>
      <w:r>
        <w:rPr>
          <w:rFonts w:ascii="黑体" w:hAnsi="黑体" w:eastAsia="黑体" w:cs="黑体"/>
          <w:color w:val="auto"/>
          <w:spacing w:val="-4"/>
          <w:sz w:val="21"/>
          <w:szCs w:val="21"/>
          <w:highlight w:val="none"/>
          <w:u w:val="single" w:color="auto"/>
        </w:rPr>
        <w:t xml:space="preserve">    </w:t>
      </w:r>
      <w:r>
        <w:rPr>
          <w:rFonts w:ascii="黑体" w:hAnsi="黑体" w:eastAsia="黑体" w:cs="黑体"/>
          <w:color w:val="auto"/>
          <w:spacing w:val="-95"/>
          <w:sz w:val="21"/>
          <w:szCs w:val="21"/>
          <w:highlight w:val="none"/>
        </w:rPr>
        <w:t xml:space="preserve"> </w:t>
      </w:r>
      <w:r>
        <w:rPr>
          <w:rFonts w:ascii="黑体" w:hAnsi="黑体" w:eastAsia="黑体" w:cs="黑体"/>
          <w:color w:val="auto"/>
          <w:spacing w:val="-4"/>
          <w:sz w:val="21"/>
          <w:szCs w:val="21"/>
          <w:highlight w:val="none"/>
        </w:rPr>
        <w:t>项</w:t>
      </w:r>
      <w:r>
        <w:rPr>
          <w:rFonts w:ascii="黑体" w:hAnsi="黑体" w:eastAsia="黑体" w:cs="黑体"/>
          <w:color w:val="auto"/>
          <w:sz w:val="21"/>
          <w:szCs w:val="21"/>
          <w:highlight w:val="none"/>
        </w:rPr>
        <w:t xml:space="preserve">  目的投标活动，并代表我方全权办理针对上述项目的投标、开标、评标、签约等具体事务和</w:t>
      </w:r>
      <w:r>
        <w:rPr>
          <w:rFonts w:ascii="黑体" w:hAnsi="黑体" w:eastAsia="黑体" w:cs="黑体"/>
          <w:color w:val="auto"/>
          <w:spacing w:val="-1"/>
          <w:sz w:val="21"/>
          <w:szCs w:val="21"/>
          <w:highlight w:val="none"/>
        </w:rPr>
        <w:t>签署相关文件。</w:t>
      </w:r>
    </w:p>
    <w:p>
      <w:pPr>
        <w:spacing w:before="15" w:line="221"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我方对被授权人的签字事项负全部责任。</w:t>
      </w:r>
    </w:p>
    <w:p>
      <w:pPr>
        <w:spacing w:before="159" w:line="222"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授权委托代理期限：自即日起至该项目政府采购活动结束。</w:t>
      </w:r>
    </w:p>
    <w:p>
      <w:pPr>
        <w:spacing w:before="138" w:line="213" w:lineRule="auto"/>
        <w:ind w:left="419"/>
        <w:rPr>
          <w:rFonts w:ascii="黑体" w:hAnsi="黑体" w:eastAsia="黑体" w:cs="黑体"/>
          <w:color w:val="auto"/>
          <w:sz w:val="21"/>
          <w:szCs w:val="21"/>
          <w:highlight w:val="none"/>
        </w:rPr>
      </w:pPr>
      <w:r>
        <w:rPr>
          <w:rFonts w:ascii="黑体" w:hAnsi="黑体" w:eastAsia="黑体" w:cs="黑体"/>
          <w:color w:val="auto"/>
          <w:sz w:val="21"/>
          <w:szCs w:val="21"/>
          <w:highlight w:val="none"/>
        </w:rPr>
        <w:t>代理人无转委托权，特此委托。</w:t>
      </w:r>
    </w:p>
    <w:p>
      <w:pPr>
        <w:spacing w:before="158" w:line="213" w:lineRule="auto"/>
        <w:ind w:left="4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我已在下面签字，以资证明。</w:t>
      </w:r>
    </w:p>
    <w:p>
      <w:pPr>
        <w:spacing w:before="167" w:line="222" w:lineRule="auto"/>
        <w:ind w:left="419"/>
        <w:rPr>
          <w:rFonts w:ascii="黑体" w:hAnsi="黑体" w:eastAsia="黑体" w:cs="黑体"/>
          <w:color w:val="auto"/>
          <w:sz w:val="21"/>
          <w:szCs w:val="21"/>
          <w:highlight w:val="none"/>
        </w:rPr>
      </w:pPr>
      <w:r>
        <w:rPr>
          <w:rFonts w:ascii="黑体" w:hAnsi="黑体" w:eastAsia="黑体" w:cs="黑体"/>
          <w:color w:val="auto"/>
          <w:spacing w:val="28"/>
          <w:sz w:val="21"/>
          <w:szCs w:val="21"/>
          <w:highlight w:val="none"/>
        </w:rPr>
        <w:t>供应商(电子签章)</w:t>
      </w:r>
      <w:r>
        <w:rPr>
          <w:rFonts w:ascii="黑体" w:hAnsi="黑体" w:eastAsia="黑体" w:cs="黑体"/>
          <w:color w:val="auto"/>
          <w:spacing w:val="-16"/>
          <w:sz w:val="21"/>
          <w:szCs w:val="21"/>
          <w:highlight w:val="none"/>
        </w:rPr>
        <w:t xml:space="preserve"> </w:t>
      </w:r>
      <w:r>
        <w:rPr>
          <w:rFonts w:ascii="黑体" w:hAnsi="黑体" w:eastAsia="黑体" w:cs="黑体"/>
          <w:color w:val="auto"/>
          <w:spacing w:val="28"/>
          <w:sz w:val="21"/>
          <w:szCs w:val="21"/>
          <w:highlight w:val="none"/>
        </w:rPr>
        <w:t>:</w:t>
      </w:r>
      <w:r>
        <w:rPr>
          <w:rFonts w:ascii="黑体" w:hAnsi="黑体" w:eastAsia="黑体" w:cs="黑体"/>
          <w:color w:val="auto"/>
          <w:sz w:val="21"/>
          <w:szCs w:val="21"/>
          <w:highlight w:val="none"/>
          <w:u w:val="single" w:color="auto"/>
        </w:rPr>
        <w:t xml:space="preserve">                                   </w:t>
      </w:r>
    </w:p>
    <w:p>
      <w:pPr>
        <w:spacing w:before="147" w:line="221" w:lineRule="auto"/>
        <w:ind w:left="419"/>
        <w:rPr>
          <w:rFonts w:ascii="黑体" w:hAnsi="黑体" w:eastAsia="黑体" w:cs="黑体"/>
          <w:color w:val="auto"/>
          <w:sz w:val="21"/>
          <w:szCs w:val="21"/>
          <w:highlight w:val="none"/>
        </w:rPr>
      </w:pPr>
      <w:r>
        <w:rPr>
          <w:rFonts w:ascii="黑体" w:hAnsi="黑体" w:eastAsia="黑体" w:cs="黑体"/>
          <w:color w:val="auto"/>
          <w:spacing w:val="9"/>
          <w:sz w:val="21"/>
          <w:szCs w:val="21"/>
          <w:highlight w:val="none"/>
        </w:rPr>
        <w:t>法定代表人签字(负责人)签字(或个人</w:t>
      </w:r>
      <w:r>
        <w:rPr>
          <w:rFonts w:ascii="Times New Roman" w:hAnsi="Times New Roman" w:eastAsia="Times New Roman" w:cs="Times New Roman"/>
          <w:color w:val="auto"/>
          <w:sz w:val="21"/>
          <w:szCs w:val="21"/>
          <w:highlight w:val="none"/>
        </w:rPr>
        <w:t>CA</w:t>
      </w:r>
      <w:r>
        <w:rPr>
          <w:rFonts w:ascii="Times New Roman" w:hAnsi="Times New Roman" w:eastAsia="Times New Roman" w:cs="Times New Roman"/>
          <w:color w:val="auto"/>
          <w:spacing w:val="-24"/>
          <w:sz w:val="21"/>
          <w:szCs w:val="21"/>
          <w:highlight w:val="none"/>
        </w:rPr>
        <w:t xml:space="preserve"> </w:t>
      </w:r>
      <w:r>
        <w:rPr>
          <w:rFonts w:ascii="黑体" w:hAnsi="黑体" w:eastAsia="黑体" w:cs="黑体"/>
          <w:color w:val="auto"/>
          <w:spacing w:val="9"/>
          <w:sz w:val="21"/>
          <w:szCs w:val="21"/>
          <w:highlight w:val="none"/>
        </w:rPr>
        <w:t>签</w:t>
      </w:r>
      <w:r>
        <w:rPr>
          <w:rFonts w:ascii="黑体" w:hAnsi="黑体" w:eastAsia="黑体" w:cs="黑体"/>
          <w:color w:val="auto"/>
          <w:spacing w:val="-35"/>
          <w:sz w:val="21"/>
          <w:szCs w:val="21"/>
          <w:highlight w:val="none"/>
        </w:rPr>
        <w:t xml:space="preserve"> </w:t>
      </w:r>
      <w:r>
        <w:rPr>
          <w:rFonts w:ascii="黑体" w:hAnsi="黑体" w:eastAsia="黑体" w:cs="黑体"/>
          <w:color w:val="auto"/>
          <w:spacing w:val="9"/>
          <w:sz w:val="21"/>
          <w:szCs w:val="21"/>
          <w:highlight w:val="none"/>
        </w:rPr>
        <w:t>章</w:t>
      </w:r>
      <w:r>
        <w:rPr>
          <w:rFonts w:ascii="黑体" w:hAnsi="黑体" w:eastAsia="黑体" w:cs="黑体"/>
          <w:color w:val="auto"/>
          <w:spacing w:val="-39"/>
          <w:sz w:val="21"/>
          <w:szCs w:val="21"/>
          <w:highlight w:val="none"/>
        </w:rPr>
        <w:t xml:space="preserve"> </w:t>
      </w:r>
      <w:r>
        <w:rPr>
          <w:rFonts w:ascii="黑体" w:hAnsi="黑体" w:eastAsia="黑体" w:cs="黑体"/>
          <w:color w:val="auto"/>
          <w:spacing w:val="9"/>
          <w:sz w:val="21"/>
          <w:szCs w:val="21"/>
          <w:highlight w:val="none"/>
        </w:rPr>
        <w:t>) :</w:t>
      </w:r>
      <w:r>
        <w:rPr>
          <w:rFonts w:ascii="黑体" w:hAnsi="黑体" w:eastAsia="黑体" w:cs="黑体"/>
          <w:color w:val="auto"/>
          <w:sz w:val="21"/>
          <w:szCs w:val="21"/>
          <w:highlight w:val="none"/>
          <w:u w:val="single" w:color="auto"/>
        </w:rPr>
        <w:t xml:space="preserve">               </w:t>
      </w:r>
    </w:p>
    <w:p>
      <w:pPr>
        <w:tabs>
          <w:tab w:val="left" w:pos="1109"/>
        </w:tabs>
        <w:spacing w:before="141" w:line="223" w:lineRule="auto"/>
        <w:ind w:left="519"/>
        <w:rPr>
          <w:rFonts w:ascii="黑体" w:hAnsi="黑体" w:eastAsia="黑体" w:cs="黑体"/>
          <w:color w:val="auto"/>
          <w:sz w:val="21"/>
          <w:szCs w:val="21"/>
          <w:highlight w:val="none"/>
        </w:rPr>
      </w:pPr>
      <w:r>
        <w:rPr>
          <w:rFonts w:ascii="黑体" w:hAnsi="黑体" w:eastAsia="黑体" w:cs="黑体"/>
          <w:color w:val="auto"/>
          <w:sz w:val="21"/>
          <w:szCs w:val="21"/>
          <w:highlight w:val="none"/>
          <w:u w:val="single" w:color="auto"/>
        </w:rPr>
        <w:tab/>
      </w:r>
      <w:r>
        <w:rPr>
          <w:rFonts w:ascii="黑体" w:hAnsi="黑体" w:eastAsia="黑体" w:cs="黑体"/>
          <w:color w:val="auto"/>
          <w:spacing w:val="-34"/>
          <w:w w:val="92"/>
          <w:sz w:val="21"/>
          <w:szCs w:val="21"/>
          <w:highlight w:val="none"/>
          <w:u w:val="single" w:color="auto"/>
        </w:rPr>
        <w:t>年</w:t>
      </w:r>
      <w:r>
        <w:rPr>
          <w:rFonts w:ascii="黑体" w:hAnsi="黑体" w:eastAsia="黑体" w:cs="黑体"/>
          <w:color w:val="auto"/>
          <w:spacing w:val="4"/>
          <w:sz w:val="21"/>
          <w:szCs w:val="21"/>
          <w:highlight w:val="none"/>
          <w:u w:val="single" w:color="auto"/>
        </w:rPr>
        <w:t xml:space="preserve">      </w:t>
      </w:r>
      <w:r>
        <w:rPr>
          <w:rFonts w:ascii="黑体" w:hAnsi="黑体" w:eastAsia="黑体" w:cs="黑体"/>
          <w:color w:val="auto"/>
          <w:spacing w:val="-80"/>
          <w:sz w:val="21"/>
          <w:szCs w:val="21"/>
          <w:highlight w:val="none"/>
        </w:rPr>
        <w:t xml:space="preserve"> </w:t>
      </w:r>
      <w:r>
        <w:rPr>
          <w:rFonts w:ascii="黑体" w:hAnsi="黑体" w:eastAsia="黑体" w:cs="黑体"/>
          <w:color w:val="auto"/>
          <w:spacing w:val="-34"/>
          <w:w w:val="92"/>
          <w:sz w:val="21"/>
          <w:szCs w:val="21"/>
          <w:highlight w:val="none"/>
        </w:rPr>
        <w:t>月</w:t>
      </w:r>
      <w:r>
        <w:rPr>
          <w:rFonts w:ascii="黑体" w:hAnsi="黑体" w:eastAsia="黑体" w:cs="黑体"/>
          <w:color w:val="auto"/>
          <w:spacing w:val="25"/>
          <w:sz w:val="21"/>
          <w:szCs w:val="21"/>
          <w:highlight w:val="none"/>
          <w:u w:val="single" w:color="auto"/>
        </w:rPr>
        <w:t xml:space="preserve">    </w:t>
      </w:r>
      <w:r>
        <w:rPr>
          <w:rFonts w:ascii="黑体" w:hAnsi="黑体" w:eastAsia="黑体" w:cs="黑体"/>
          <w:color w:val="auto"/>
          <w:spacing w:val="-34"/>
          <w:w w:val="92"/>
          <w:sz w:val="21"/>
          <w:szCs w:val="21"/>
          <w:highlight w:val="none"/>
          <w:u w:val="single" w:color="auto"/>
        </w:rPr>
        <w:t>日</w:t>
      </w:r>
    </w:p>
    <w:p>
      <w:pPr>
        <w:spacing w:before="231" w:line="221" w:lineRule="auto"/>
        <w:ind w:left="3"/>
        <w:rPr>
          <w:rFonts w:ascii="黑体" w:hAnsi="黑体" w:eastAsia="黑体" w:cs="黑体"/>
          <w:color w:val="auto"/>
          <w:sz w:val="21"/>
          <w:szCs w:val="21"/>
          <w:highlight w:val="none"/>
        </w:rPr>
      </w:pPr>
      <w:r>
        <w:rPr>
          <w:rFonts w:ascii="黑体" w:hAnsi="黑体" w:eastAsia="黑体" w:cs="黑体"/>
          <w:b/>
          <w:bCs/>
          <w:color w:val="auto"/>
          <w:spacing w:val="35"/>
          <w:sz w:val="21"/>
          <w:szCs w:val="21"/>
          <w:highlight w:val="none"/>
        </w:rPr>
        <w:t>附：委托代理人身份证正反面复印件(委托代理时必须提供)。</w:t>
      </w:r>
    </w:p>
    <w:p>
      <w:pPr>
        <w:spacing w:line="221" w:lineRule="auto"/>
        <w:rPr>
          <w:rFonts w:ascii="黑体" w:hAnsi="黑体" w:eastAsia="黑体" w:cs="黑体"/>
          <w:color w:val="auto"/>
          <w:sz w:val="21"/>
          <w:szCs w:val="21"/>
          <w:highlight w:val="none"/>
        </w:rPr>
        <w:sectPr>
          <w:footerReference r:id="rId37" w:type="default"/>
          <w:pgSz w:w="11900" w:h="16830"/>
          <w:pgMar w:top="400" w:right="985" w:bottom="801" w:left="1050" w:header="0" w:footer="657" w:gutter="0"/>
          <w:cols w:space="720" w:num="1"/>
        </w:sect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spacing w:line="249" w:lineRule="auto"/>
        <w:rPr>
          <w:rFonts w:ascii="Arial"/>
          <w:color w:val="auto"/>
          <w:sz w:val="21"/>
          <w:highlight w:val="none"/>
        </w:rPr>
      </w:pPr>
    </w:p>
    <w:p>
      <w:pPr>
        <w:pStyle w:val="3"/>
        <w:spacing w:before="104" w:line="219" w:lineRule="auto"/>
        <w:ind w:left="1844"/>
        <w:rPr>
          <w:color w:val="auto"/>
          <w:sz w:val="32"/>
          <w:szCs w:val="32"/>
          <w:highlight w:val="none"/>
        </w:rPr>
      </w:pPr>
      <w:r>
        <w:rPr>
          <w:b/>
          <w:bCs/>
          <w:color w:val="auto"/>
          <w:spacing w:val="10"/>
          <w:sz w:val="32"/>
          <w:szCs w:val="32"/>
          <w:highlight w:val="none"/>
        </w:rPr>
        <w:t>授权委托书(格式二，适用于自然人投标)</w:t>
      </w:r>
    </w:p>
    <w:p>
      <w:pPr>
        <w:spacing w:before="120" w:line="222" w:lineRule="auto"/>
        <w:ind w:left="3"/>
        <w:rPr>
          <w:rFonts w:hint="eastAsia" w:ascii="黑体" w:hAnsi="黑体" w:eastAsia="黑体" w:cs="黑体"/>
          <w:color w:val="auto"/>
          <w:sz w:val="21"/>
          <w:szCs w:val="21"/>
          <w:highlight w:val="none"/>
          <w:lang w:eastAsia="zh-CN"/>
        </w:rPr>
      </w:pPr>
      <w:r>
        <w:rPr>
          <w:rFonts w:ascii="黑体" w:hAnsi="黑体" w:eastAsia="黑体" w:cs="黑体"/>
          <w:b/>
          <w:bCs/>
          <w:color w:val="auto"/>
          <w:spacing w:val="-3"/>
          <w:sz w:val="21"/>
          <w:szCs w:val="21"/>
          <w:highlight w:val="none"/>
        </w:rPr>
        <w:t>致</w:t>
      </w:r>
      <w:r>
        <w:rPr>
          <w:rFonts w:ascii="黑体" w:hAnsi="黑体" w:eastAsia="黑体" w:cs="黑体"/>
          <w:color w:val="auto"/>
          <w:spacing w:val="-34"/>
          <w:sz w:val="21"/>
          <w:szCs w:val="21"/>
          <w:highlight w:val="none"/>
        </w:rPr>
        <w:t xml:space="preserve"> </w:t>
      </w:r>
      <w:r>
        <w:rPr>
          <w:rFonts w:ascii="黑体" w:hAnsi="黑体" w:eastAsia="黑体" w:cs="黑体"/>
          <w:b/>
          <w:bCs/>
          <w:color w:val="auto"/>
          <w:spacing w:val="-3"/>
          <w:sz w:val="21"/>
          <w:szCs w:val="21"/>
          <w:highlight w:val="none"/>
        </w:rPr>
        <w:t>：</w:t>
      </w:r>
      <w:r>
        <w:rPr>
          <w:rFonts w:hint="eastAsia" w:ascii="黑体" w:hAnsi="黑体" w:eastAsia="黑体" w:cs="黑体"/>
          <w:color w:val="auto"/>
          <w:spacing w:val="-3"/>
          <w:sz w:val="21"/>
          <w:szCs w:val="21"/>
          <w:highlight w:val="none"/>
          <w:u w:val="single" w:color="auto"/>
          <w:lang w:eastAsia="zh-CN"/>
        </w:rPr>
        <w:t>广西泰新工程信息咨询有限公司</w:t>
      </w:r>
    </w:p>
    <w:p>
      <w:pPr>
        <w:spacing w:line="417" w:lineRule="auto"/>
        <w:rPr>
          <w:rFonts w:ascii="Arial"/>
          <w:color w:val="auto"/>
          <w:sz w:val="21"/>
          <w:highlight w:val="none"/>
        </w:rPr>
      </w:pPr>
    </w:p>
    <w:p>
      <w:pPr>
        <w:spacing w:before="69" w:line="213" w:lineRule="auto"/>
        <w:jc w:val="right"/>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u w:val="single" w:color="auto"/>
        </w:rPr>
        <w:t>我</w:t>
      </w:r>
      <w:r>
        <w:rPr>
          <w:rFonts w:ascii="黑体" w:hAnsi="黑体" w:eastAsia="黑体" w:cs="黑体"/>
          <w:color w:val="auto"/>
          <w:spacing w:val="75"/>
          <w:sz w:val="21"/>
          <w:szCs w:val="21"/>
          <w:highlight w:val="none"/>
          <w:u w:val="single" w:color="auto"/>
        </w:rPr>
        <w:t xml:space="preserve"> </w:t>
      </w:r>
      <w:r>
        <w:rPr>
          <w:rFonts w:ascii="黑体" w:hAnsi="黑体" w:eastAsia="黑体" w:cs="黑体"/>
          <w:color w:val="auto"/>
          <w:spacing w:val="3"/>
          <w:sz w:val="21"/>
          <w:szCs w:val="21"/>
          <w:highlight w:val="none"/>
        </w:rPr>
        <w:t xml:space="preserve">             </w:t>
      </w:r>
      <w:r>
        <w:rPr>
          <w:rFonts w:ascii="黑体" w:hAnsi="黑体" w:eastAsia="黑体" w:cs="黑体"/>
          <w:color w:val="auto"/>
          <w:spacing w:val="8"/>
          <w:sz w:val="21"/>
          <w:szCs w:val="21"/>
          <w:highlight w:val="none"/>
        </w:rPr>
        <w:t>(姓名)系自然人，现授权委托</w:t>
      </w:r>
      <w:r>
        <w:rPr>
          <w:rFonts w:ascii="黑体" w:hAnsi="黑体" w:eastAsia="黑体" w:cs="黑体"/>
          <w:color w:val="auto"/>
          <w:spacing w:val="8"/>
          <w:sz w:val="21"/>
          <w:szCs w:val="21"/>
          <w:highlight w:val="none"/>
          <w:u w:val="single" w:color="auto"/>
        </w:rPr>
        <w:t xml:space="preserve">           </w:t>
      </w:r>
      <w:r>
        <w:rPr>
          <w:rFonts w:ascii="黑体" w:hAnsi="黑体" w:eastAsia="黑体" w:cs="黑体"/>
          <w:color w:val="auto"/>
          <w:spacing w:val="-19"/>
          <w:sz w:val="21"/>
          <w:szCs w:val="21"/>
          <w:highlight w:val="none"/>
        </w:rPr>
        <w:t xml:space="preserve"> </w:t>
      </w:r>
      <w:r>
        <w:rPr>
          <w:rFonts w:ascii="黑体" w:hAnsi="黑体" w:eastAsia="黑体" w:cs="黑体"/>
          <w:color w:val="auto"/>
          <w:spacing w:val="8"/>
          <w:sz w:val="21"/>
          <w:szCs w:val="21"/>
          <w:highlight w:val="none"/>
        </w:rPr>
        <w:t>(姓名)以本人名义参加</w:t>
      </w:r>
      <w:r>
        <w:rPr>
          <w:rFonts w:ascii="黑体" w:hAnsi="黑体" w:eastAsia="黑体" w:cs="黑体"/>
          <w:color w:val="auto"/>
          <w:spacing w:val="8"/>
          <w:sz w:val="21"/>
          <w:szCs w:val="21"/>
          <w:highlight w:val="none"/>
          <w:u w:val="single" w:color="auto"/>
        </w:rPr>
        <w:t xml:space="preserve">        </w:t>
      </w:r>
      <w:r>
        <w:rPr>
          <w:rFonts w:ascii="黑体" w:hAnsi="黑体" w:eastAsia="黑体" w:cs="黑体"/>
          <w:color w:val="auto"/>
          <w:spacing w:val="7"/>
          <w:sz w:val="21"/>
          <w:szCs w:val="21"/>
          <w:highlight w:val="none"/>
          <w:u w:val="single" w:color="auto"/>
        </w:rPr>
        <w:t xml:space="preserve">  </w:t>
      </w:r>
      <w:r>
        <w:rPr>
          <w:rFonts w:ascii="黑体" w:hAnsi="黑体" w:eastAsia="黑体" w:cs="黑体"/>
          <w:color w:val="auto"/>
          <w:spacing w:val="-85"/>
          <w:sz w:val="21"/>
          <w:szCs w:val="21"/>
          <w:highlight w:val="none"/>
        </w:rPr>
        <w:t xml:space="preserve"> </w:t>
      </w:r>
      <w:r>
        <w:rPr>
          <w:rFonts w:ascii="黑体" w:hAnsi="黑体" w:eastAsia="黑体" w:cs="黑体"/>
          <w:color w:val="auto"/>
          <w:spacing w:val="7"/>
          <w:sz w:val="21"/>
          <w:szCs w:val="21"/>
          <w:highlight w:val="none"/>
        </w:rPr>
        <w:t>(</w:t>
      </w:r>
      <w:r>
        <w:rPr>
          <w:rFonts w:ascii="黑体" w:hAnsi="黑体" w:eastAsia="黑体" w:cs="黑体"/>
          <w:color w:val="auto"/>
          <w:spacing w:val="-41"/>
          <w:sz w:val="21"/>
          <w:szCs w:val="21"/>
          <w:highlight w:val="none"/>
        </w:rPr>
        <w:t xml:space="preserve"> </w:t>
      </w:r>
      <w:r>
        <w:rPr>
          <w:rFonts w:ascii="黑体" w:hAnsi="黑体" w:eastAsia="黑体" w:cs="黑体"/>
          <w:color w:val="auto"/>
          <w:spacing w:val="7"/>
          <w:sz w:val="21"/>
          <w:szCs w:val="21"/>
          <w:highlight w:val="none"/>
        </w:rPr>
        <w:t>项</w:t>
      </w:r>
    </w:p>
    <w:p>
      <w:pPr>
        <w:spacing w:before="88" w:line="299" w:lineRule="auto"/>
        <w:ind w:right="388"/>
        <w:rPr>
          <w:rFonts w:ascii="黑体" w:hAnsi="黑体" w:eastAsia="黑体" w:cs="黑体"/>
          <w:color w:val="auto"/>
          <w:sz w:val="21"/>
          <w:szCs w:val="21"/>
          <w:highlight w:val="none"/>
        </w:rPr>
      </w:pPr>
      <w:r>
        <w:rPr>
          <w:rFonts w:ascii="黑体" w:hAnsi="黑体" w:eastAsia="黑体" w:cs="黑体"/>
          <w:color w:val="auto"/>
          <w:sz w:val="21"/>
          <w:szCs w:val="21"/>
          <w:highlight w:val="none"/>
          <w:u w:val="single" w:color="auto"/>
        </w:rPr>
        <w:t>目</w:t>
      </w:r>
      <w:r>
        <w:rPr>
          <w:rFonts w:ascii="黑体" w:hAnsi="黑体" w:eastAsia="黑体" w:cs="黑体"/>
          <w:color w:val="auto"/>
          <w:spacing w:val="-34"/>
          <w:sz w:val="21"/>
          <w:szCs w:val="21"/>
          <w:highlight w:val="none"/>
          <w:u w:val="single" w:color="auto"/>
        </w:rPr>
        <w:t xml:space="preserve"> </w:t>
      </w:r>
      <w:r>
        <w:rPr>
          <w:rFonts w:ascii="黑体" w:hAnsi="黑体" w:eastAsia="黑体" w:cs="黑体"/>
          <w:color w:val="auto"/>
          <w:sz w:val="21"/>
          <w:szCs w:val="21"/>
          <w:highlight w:val="none"/>
          <w:u w:val="single" w:color="auto"/>
        </w:rPr>
        <w:t>名</w:t>
      </w:r>
      <w:r>
        <w:rPr>
          <w:rFonts w:ascii="黑体" w:hAnsi="黑体" w:eastAsia="黑体" w:cs="黑体"/>
          <w:color w:val="auto"/>
          <w:spacing w:val="-36"/>
          <w:sz w:val="21"/>
          <w:szCs w:val="21"/>
          <w:highlight w:val="none"/>
          <w:u w:val="single" w:color="auto"/>
        </w:rPr>
        <w:t xml:space="preserve"> </w:t>
      </w:r>
      <w:r>
        <w:rPr>
          <w:rFonts w:ascii="黑体" w:hAnsi="黑体" w:eastAsia="黑体" w:cs="黑体"/>
          <w:color w:val="auto"/>
          <w:sz w:val="21"/>
          <w:szCs w:val="21"/>
          <w:highlight w:val="none"/>
          <w:u w:val="single" w:color="auto"/>
        </w:rPr>
        <w:t>称</w:t>
      </w:r>
      <w:r>
        <w:rPr>
          <w:rFonts w:ascii="黑体" w:hAnsi="黑体" w:eastAsia="黑体" w:cs="黑体"/>
          <w:color w:val="auto"/>
          <w:spacing w:val="-35"/>
          <w:sz w:val="21"/>
          <w:szCs w:val="21"/>
          <w:highlight w:val="none"/>
          <w:u w:val="single" w:color="auto"/>
        </w:rPr>
        <w:t xml:space="preserve"> </w:t>
      </w:r>
      <w:r>
        <w:rPr>
          <w:rFonts w:ascii="黑体" w:hAnsi="黑体" w:eastAsia="黑体" w:cs="黑体"/>
          <w:color w:val="auto"/>
          <w:sz w:val="21"/>
          <w:szCs w:val="21"/>
          <w:highlight w:val="none"/>
          <w:u w:val="single" w:color="auto"/>
        </w:rPr>
        <w:t>及</w:t>
      </w:r>
      <w:r>
        <w:rPr>
          <w:rFonts w:ascii="黑体" w:hAnsi="黑体" w:eastAsia="黑体" w:cs="黑体"/>
          <w:color w:val="auto"/>
          <w:spacing w:val="-35"/>
          <w:sz w:val="21"/>
          <w:szCs w:val="21"/>
          <w:highlight w:val="none"/>
          <w:u w:val="single" w:color="auto"/>
        </w:rPr>
        <w:t xml:space="preserve"> </w:t>
      </w:r>
      <w:r>
        <w:rPr>
          <w:rFonts w:ascii="黑体" w:hAnsi="黑体" w:eastAsia="黑体" w:cs="黑体"/>
          <w:color w:val="auto"/>
          <w:sz w:val="21"/>
          <w:szCs w:val="21"/>
          <w:highlight w:val="none"/>
          <w:u w:val="single" w:color="auto"/>
        </w:rPr>
        <w:t>项 目</w:t>
      </w:r>
      <w:r>
        <w:rPr>
          <w:rFonts w:ascii="黑体" w:hAnsi="黑体" w:eastAsia="黑体" w:cs="黑体"/>
          <w:color w:val="auto"/>
          <w:spacing w:val="-38"/>
          <w:sz w:val="21"/>
          <w:szCs w:val="21"/>
          <w:highlight w:val="none"/>
          <w:u w:val="single" w:color="auto"/>
        </w:rPr>
        <w:t xml:space="preserve"> </w:t>
      </w:r>
      <w:r>
        <w:rPr>
          <w:rFonts w:ascii="黑体" w:hAnsi="黑体" w:eastAsia="黑体" w:cs="黑体"/>
          <w:color w:val="auto"/>
          <w:sz w:val="21"/>
          <w:szCs w:val="21"/>
          <w:highlight w:val="none"/>
          <w:u w:val="single" w:color="auto"/>
        </w:rPr>
        <w:t>编</w:t>
      </w:r>
      <w:r>
        <w:rPr>
          <w:rFonts w:ascii="黑体" w:hAnsi="黑体" w:eastAsia="黑体" w:cs="黑体"/>
          <w:color w:val="auto"/>
          <w:spacing w:val="-31"/>
          <w:sz w:val="21"/>
          <w:szCs w:val="21"/>
          <w:highlight w:val="none"/>
          <w:u w:val="single" w:color="auto"/>
        </w:rPr>
        <w:t xml:space="preserve"> </w:t>
      </w:r>
      <w:r>
        <w:rPr>
          <w:rFonts w:ascii="黑体" w:hAnsi="黑体" w:eastAsia="黑体" w:cs="黑体"/>
          <w:color w:val="auto"/>
          <w:sz w:val="21"/>
          <w:szCs w:val="21"/>
          <w:highlight w:val="none"/>
          <w:u w:val="single" w:color="auto"/>
        </w:rPr>
        <w:t>号</w:t>
      </w:r>
      <w:r>
        <w:rPr>
          <w:rFonts w:ascii="黑体" w:hAnsi="黑体" w:eastAsia="黑体" w:cs="黑体"/>
          <w:color w:val="auto"/>
          <w:spacing w:val="-39"/>
          <w:sz w:val="21"/>
          <w:szCs w:val="21"/>
          <w:highlight w:val="none"/>
          <w:u w:val="single" w:color="auto"/>
        </w:rPr>
        <w:t xml:space="preserve"> </w:t>
      </w:r>
      <w:r>
        <w:rPr>
          <w:rFonts w:ascii="黑体" w:hAnsi="黑体" w:eastAsia="黑体" w:cs="黑体"/>
          <w:color w:val="auto"/>
          <w:sz w:val="21"/>
          <w:szCs w:val="21"/>
          <w:highlight w:val="none"/>
          <w:u w:val="single" w:color="auto"/>
        </w:rPr>
        <w:t xml:space="preserve">)    </w:t>
      </w:r>
      <w:r>
        <w:rPr>
          <w:rFonts w:ascii="黑体" w:hAnsi="黑体" w:eastAsia="黑体" w:cs="黑体"/>
          <w:color w:val="auto"/>
          <w:spacing w:val="-65"/>
          <w:sz w:val="21"/>
          <w:szCs w:val="21"/>
          <w:highlight w:val="none"/>
        </w:rPr>
        <w:t xml:space="preserve"> </w:t>
      </w:r>
      <w:r>
        <w:rPr>
          <w:rFonts w:ascii="黑体" w:hAnsi="黑体" w:eastAsia="黑体" w:cs="黑体"/>
          <w:color w:val="auto"/>
          <w:sz w:val="21"/>
          <w:szCs w:val="21"/>
          <w:highlight w:val="none"/>
        </w:rPr>
        <w:t>项目的投标活动，并</w:t>
      </w:r>
      <w:r>
        <w:rPr>
          <w:rFonts w:ascii="黑体" w:hAnsi="黑体" w:eastAsia="黑体" w:cs="黑体"/>
          <w:color w:val="auto"/>
          <w:spacing w:val="-1"/>
          <w:sz w:val="21"/>
          <w:szCs w:val="21"/>
          <w:highlight w:val="none"/>
        </w:rPr>
        <w:t>代表本人全权办理针对上述项目的投标、开标、评标、</w:t>
      </w:r>
      <w:r>
        <w:rPr>
          <w:rFonts w:ascii="黑体" w:hAnsi="黑体" w:eastAsia="黑体" w:cs="黑体"/>
          <w:color w:val="auto"/>
          <w:sz w:val="21"/>
          <w:szCs w:val="21"/>
          <w:highlight w:val="none"/>
        </w:rPr>
        <w:t xml:space="preserve"> 签约等具体事务和签署相关文件。</w:t>
      </w:r>
    </w:p>
    <w:p>
      <w:pPr>
        <w:spacing w:before="18" w:line="221" w:lineRule="auto"/>
        <w:ind w:left="429"/>
        <w:rPr>
          <w:rFonts w:ascii="黑体" w:hAnsi="黑体" w:eastAsia="黑体" w:cs="黑体"/>
          <w:color w:val="auto"/>
          <w:sz w:val="21"/>
          <w:szCs w:val="21"/>
          <w:highlight w:val="none"/>
        </w:rPr>
      </w:pPr>
      <w:r>
        <w:rPr>
          <w:rFonts w:ascii="黑体" w:hAnsi="黑体" w:eastAsia="黑体" w:cs="黑体"/>
          <w:color w:val="auto"/>
          <w:sz w:val="21"/>
          <w:szCs w:val="21"/>
          <w:highlight w:val="none"/>
        </w:rPr>
        <w:t>本人对被授权人的签字事项负全部责任。</w:t>
      </w:r>
    </w:p>
    <w:p>
      <w:pPr>
        <w:spacing w:before="119" w:line="222" w:lineRule="auto"/>
        <w:ind w:left="429"/>
        <w:rPr>
          <w:rFonts w:ascii="黑体" w:hAnsi="黑体" w:eastAsia="黑体" w:cs="黑体"/>
          <w:color w:val="auto"/>
          <w:sz w:val="21"/>
          <w:szCs w:val="21"/>
          <w:highlight w:val="none"/>
        </w:rPr>
      </w:pPr>
      <w:r>
        <w:rPr>
          <w:rFonts w:ascii="黑体" w:hAnsi="黑体" w:eastAsia="黑体" w:cs="黑体"/>
          <w:color w:val="auto"/>
          <w:sz w:val="21"/>
          <w:szCs w:val="21"/>
          <w:highlight w:val="none"/>
        </w:rPr>
        <w:t>授权委托代理期限：自即日起至该项目政府采购活动结束。</w:t>
      </w:r>
    </w:p>
    <w:p>
      <w:pPr>
        <w:spacing w:line="241" w:lineRule="auto"/>
        <w:rPr>
          <w:rFonts w:ascii="Arial"/>
          <w:color w:val="auto"/>
          <w:sz w:val="21"/>
          <w:highlight w:val="none"/>
        </w:rPr>
      </w:pPr>
    </w:p>
    <w:p>
      <w:pPr>
        <w:spacing w:line="242" w:lineRule="auto"/>
        <w:rPr>
          <w:rFonts w:ascii="Arial"/>
          <w:color w:val="auto"/>
          <w:sz w:val="21"/>
          <w:highlight w:val="none"/>
        </w:rPr>
      </w:pPr>
    </w:p>
    <w:p>
      <w:pPr>
        <w:spacing w:line="242" w:lineRule="auto"/>
        <w:rPr>
          <w:rFonts w:ascii="Arial"/>
          <w:color w:val="auto"/>
          <w:sz w:val="21"/>
          <w:highlight w:val="none"/>
        </w:rPr>
      </w:pPr>
    </w:p>
    <w:p>
      <w:pPr>
        <w:spacing w:before="68" w:line="213" w:lineRule="auto"/>
        <w:ind w:left="42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代理人无转委托权，特此委托。</w:t>
      </w:r>
    </w:p>
    <w:p>
      <w:pPr>
        <w:spacing w:line="367" w:lineRule="auto"/>
        <w:rPr>
          <w:rFonts w:ascii="Arial"/>
          <w:color w:val="auto"/>
          <w:sz w:val="21"/>
          <w:highlight w:val="none"/>
        </w:rPr>
      </w:pPr>
    </w:p>
    <w:p>
      <w:pPr>
        <w:spacing w:before="68" w:line="213" w:lineRule="auto"/>
        <w:ind w:left="429"/>
        <w:rPr>
          <w:rFonts w:ascii="黑体" w:hAnsi="黑体" w:eastAsia="黑体" w:cs="黑体"/>
          <w:color w:val="auto"/>
          <w:sz w:val="21"/>
          <w:szCs w:val="21"/>
          <w:highlight w:val="none"/>
        </w:rPr>
      </w:pPr>
      <w:r>
        <w:rPr>
          <w:rFonts w:ascii="黑体" w:hAnsi="黑体" w:eastAsia="黑体" w:cs="黑体"/>
          <w:color w:val="auto"/>
          <w:sz w:val="21"/>
          <w:szCs w:val="21"/>
          <w:highlight w:val="none"/>
        </w:rPr>
        <w:t>我已在下面签字，以资证明。</w:t>
      </w:r>
    </w:p>
    <w:p>
      <w:pPr>
        <w:spacing w:line="370" w:lineRule="auto"/>
        <w:rPr>
          <w:rFonts w:ascii="Arial"/>
          <w:color w:val="auto"/>
          <w:sz w:val="21"/>
          <w:highlight w:val="none"/>
        </w:rPr>
      </w:pPr>
    </w:p>
    <w:p>
      <w:pPr>
        <w:spacing w:before="69" w:line="217" w:lineRule="auto"/>
        <w:ind w:left="469"/>
        <w:rPr>
          <w:rFonts w:ascii="黑体" w:hAnsi="黑体" w:eastAsia="黑体" w:cs="黑体"/>
          <w:color w:val="auto"/>
          <w:sz w:val="21"/>
          <w:szCs w:val="21"/>
          <w:highlight w:val="none"/>
        </w:rPr>
      </w:pPr>
      <w:r>
        <w:rPr>
          <w:rFonts w:ascii="黑体" w:hAnsi="黑体" w:eastAsia="黑体" w:cs="黑体"/>
          <w:color w:val="auto"/>
          <w:spacing w:val="7"/>
          <w:sz w:val="21"/>
          <w:szCs w:val="21"/>
          <w:highlight w:val="none"/>
        </w:rPr>
        <w:t>自然人签字(或者电子签名):</w:t>
      </w:r>
      <w:r>
        <w:rPr>
          <w:rFonts w:ascii="黑体" w:hAnsi="黑体" w:eastAsia="黑体" w:cs="黑体"/>
          <w:color w:val="auto"/>
          <w:spacing w:val="-30"/>
          <w:sz w:val="21"/>
          <w:szCs w:val="21"/>
          <w:highlight w:val="none"/>
        </w:rPr>
        <w:t xml:space="preserve"> </w:t>
      </w:r>
      <w:r>
        <w:rPr>
          <w:rFonts w:ascii="黑体" w:hAnsi="黑体" w:eastAsia="黑体" w:cs="黑体"/>
          <w:color w:val="auto"/>
          <w:spacing w:val="1"/>
          <w:sz w:val="21"/>
          <w:szCs w:val="21"/>
          <w:highlight w:val="none"/>
          <w:u w:val="single" w:color="auto"/>
        </w:rPr>
        <w:t xml:space="preserve">                      </w:t>
      </w:r>
      <w:r>
        <w:rPr>
          <w:rFonts w:ascii="黑体" w:hAnsi="黑体" w:eastAsia="黑体" w:cs="黑体"/>
          <w:color w:val="auto"/>
          <w:spacing w:val="7"/>
          <w:sz w:val="21"/>
          <w:szCs w:val="21"/>
          <w:highlight w:val="none"/>
        </w:rPr>
        <w:t>年</w:t>
      </w:r>
      <w:r>
        <w:rPr>
          <w:rFonts w:ascii="黑体" w:hAnsi="黑体" w:eastAsia="黑体" w:cs="黑体"/>
          <w:color w:val="auto"/>
          <w:spacing w:val="22"/>
          <w:sz w:val="21"/>
          <w:szCs w:val="21"/>
          <w:highlight w:val="none"/>
          <w:u w:val="single" w:color="auto"/>
        </w:rPr>
        <w:t xml:space="preserve">    </w:t>
      </w:r>
      <w:r>
        <w:rPr>
          <w:rFonts w:ascii="黑体" w:hAnsi="黑体" w:eastAsia="黑体" w:cs="黑体"/>
          <w:color w:val="auto"/>
          <w:spacing w:val="-83"/>
          <w:sz w:val="21"/>
          <w:szCs w:val="21"/>
          <w:highlight w:val="none"/>
        </w:rPr>
        <w:t xml:space="preserve"> </w:t>
      </w:r>
      <w:r>
        <w:rPr>
          <w:rFonts w:ascii="黑体" w:hAnsi="黑体" w:eastAsia="黑体" w:cs="黑体"/>
          <w:color w:val="auto"/>
          <w:spacing w:val="7"/>
          <w:sz w:val="21"/>
          <w:szCs w:val="21"/>
          <w:highlight w:val="none"/>
        </w:rPr>
        <w:t>_月</w:t>
      </w:r>
      <w:r>
        <w:rPr>
          <w:rFonts w:ascii="黑体" w:hAnsi="黑体" w:eastAsia="黑体" w:cs="黑体"/>
          <w:color w:val="auto"/>
          <w:spacing w:val="12"/>
          <w:sz w:val="21"/>
          <w:szCs w:val="21"/>
          <w:highlight w:val="none"/>
          <w:u w:val="single" w:color="auto"/>
        </w:rPr>
        <w:t xml:space="preserve">     </w:t>
      </w:r>
      <w:r>
        <w:rPr>
          <w:rFonts w:ascii="黑体" w:hAnsi="黑体" w:eastAsia="黑体" w:cs="黑体"/>
          <w:color w:val="auto"/>
          <w:spacing w:val="-82"/>
          <w:sz w:val="21"/>
          <w:szCs w:val="21"/>
          <w:highlight w:val="none"/>
        </w:rPr>
        <w:t xml:space="preserve"> </w:t>
      </w:r>
      <w:r>
        <w:rPr>
          <w:rFonts w:ascii="黑体" w:hAnsi="黑体" w:eastAsia="黑体" w:cs="黑体"/>
          <w:color w:val="auto"/>
          <w:spacing w:val="7"/>
          <w:sz w:val="21"/>
          <w:szCs w:val="21"/>
          <w:highlight w:val="none"/>
        </w:rPr>
        <w:t>_日</w:t>
      </w:r>
    </w:p>
    <w:p>
      <w:pPr>
        <w:spacing w:line="319" w:lineRule="auto"/>
        <w:rPr>
          <w:rFonts w:ascii="Arial"/>
          <w:color w:val="auto"/>
          <w:sz w:val="21"/>
          <w:highlight w:val="none"/>
        </w:rPr>
      </w:pPr>
    </w:p>
    <w:p>
      <w:pPr>
        <w:spacing w:before="85" w:line="221" w:lineRule="auto"/>
        <w:ind w:left="613"/>
        <w:rPr>
          <w:rFonts w:ascii="黑体" w:hAnsi="黑体" w:eastAsia="黑体" w:cs="黑体"/>
          <w:color w:val="auto"/>
          <w:sz w:val="26"/>
          <w:szCs w:val="26"/>
          <w:highlight w:val="none"/>
        </w:rPr>
      </w:pPr>
      <w:r>
        <w:rPr>
          <w:rFonts w:ascii="黑体" w:hAnsi="黑体" w:eastAsia="黑体" w:cs="黑体"/>
          <w:b/>
          <w:bCs/>
          <w:color w:val="auto"/>
          <w:spacing w:val="-12"/>
          <w:sz w:val="26"/>
          <w:szCs w:val="26"/>
          <w:highlight w:val="none"/>
        </w:rPr>
        <w:t>附：委托代理人身份证正反面复印件(委托代理时必须提供)。</w:t>
      </w: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spacing w:line="258" w:lineRule="auto"/>
        <w:rPr>
          <w:rFonts w:ascii="Arial"/>
          <w:color w:val="auto"/>
          <w:sz w:val="21"/>
          <w:highlight w:val="none"/>
        </w:rPr>
      </w:pPr>
    </w:p>
    <w:p>
      <w:pPr>
        <w:pStyle w:val="3"/>
        <w:spacing w:before="105" w:line="239" w:lineRule="auto"/>
        <w:ind w:left="73" w:right="297" w:hanging="69"/>
        <w:rPr>
          <w:color w:val="auto"/>
          <w:sz w:val="32"/>
          <w:szCs w:val="32"/>
          <w:highlight w:val="none"/>
        </w:rPr>
      </w:pPr>
      <w:r>
        <w:rPr>
          <w:b/>
          <w:bCs/>
          <w:color w:val="auto"/>
          <w:spacing w:val="-1"/>
          <w:sz w:val="32"/>
          <w:szCs w:val="32"/>
          <w:highlight w:val="none"/>
        </w:rPr>
        <w:t>3.供应商的法人或者其他组织营业执照等证明文件复印件</w:t>
      </w:r>
      <w:r>
        <w:rPr>
          <w:b/>
          <w:bCs/>
          <w:color w:val="auto"/>
          <w:spacing w:val="-2"/>
          <w:sz w:val="32"/>
          <w:szCs w:val="32"/>
          <w:highlight w:val="none"/>
        </w:rPr>
        <w:t>(必须提供，</w:t>
      </w:r>
      <w:r>
        <w:rPr>
          <w:color w:val="auto"/>
          <w:sz w:val="32"/>
          <w:szCs w:val="32"/>
          <w:highlight w:val="none"/>
        </w:rPr>
        <w:t xml:space="preserve"> </w:t>
      </w:r>
      <w:r>
        <w:rPr>
          <w:b/>
          <w:bCs/>
          <w:color w:val="auto"/>
          <w:spacing w:val="1"/>
          <w:sz w:val="32"/>
          <w:szCs w:val="32"/>
          <w:highlight w:val="none"/>
        </w:rPr>
        <w:t>自然人除外)</w:t>
      </w:r>
    </w:p>
    <w:p>
      <w:pPr>
        <w:spacing w:before="202" w:line="239" w:lineRule="auto"/>
        <w:ind w:right="433"/>
        <w:jc w:val="both"/>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注：①法人包括企业法人、机关法人、事业单位法人和社会</w:t>
      </w:r>
      <w:r>
        <w:rPr>
          <w:rFonts w:ascii="黑体" w:hAnsi="黑体" w:eastAsia="黑体" w:cs="黑体"/>
          <w:color w:val="auto"/>
          <w:sz w:val="21"/>
          <w:szCs w:val="21"/>
          <w:highlight w:val="none"/>
        </w:rPr>
        <w:t xml:space="preserve">团体法人；其他组织主要包括合伙企业、非企 </w:t>
      </w:r>
      <w:r>
        <w:rPr>
          <w:rFonts w:ascii="黑体" w:hAnsi="黑体" w:eastAsia="黑体" w:cs="黑体"/>
          <w:color w:val="auto"/>
          <w:spacing w:val="8"/>
          <w:sz w:val="21"/>
          <w:szCs w:val="21"/>
          <w:highlight w:val="none"/>
        </w:rPr>
        <w:t>业专业服务机构、个体工商户、农村承包经营户。②如供应商为企业(</w:t>
      </w:r>
      <w:r>
        <w:rPr>
          <w:rFonts w:ascii="黑体" w:hAnsi="黑体" w:eastAsia="黑体" w:cs="黑体"/>
          <w:color w:val="auto"/>
          <w:spacing w:val="7"/>
          <w:sz w:val="21"/>
          <w:szCs w:val="21"/>
          <w:highlight w:val="none"/>
        </w:rPr>
        <w:t>包括合伙企业),应提供工商部门</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注册的有效“企业法人营业执照”或“营业执照”;供应商为事业单位，应提供有效的“</w:t>
      </w:r>
      <w:r>
        <w:rPr>
          <w:rFonts w:ascii="黑体" w:hAnsi="黑体" w:eastAsia="黑体" w:cs="黑体"/>
          <w:color w:val="auto"/>
          <w:spacing w:val="2"/>
          <w:sz w:val="21"/>
          <w:szCs w:val="21"/>
          <w:highlight w:val="none"/>
        </w:rPr>
        <w:t>事业单位法人证</w:t>
      </w:r>
      <w:r>
        <w:rPr>
          <w:rFonts w:ascii="黑体" w:hAnsi="黑体" w:eastAsia="黑体" w:cs="黑体"/>
          <w:color w:val="auto"/>
          <w:sz w:val="21"/>
          <w:szCs w:val="21"/>
          <w:highlight w:val="none"/>
        </w:rPr>
        <w:t xml:space="preserve"> </w:t>
      </w:r>
      <w:r>
        <w:rPr>
          <w:rFonts w:ascii="黑体" w:hAnsi="黑体" w:eastAsia="黑体" w:cs="黑体"/>
          <w:color w:val="auto"/>
          <w:spacing w:val="3"/>
          <w:sz w:val="21"/>
          <w:szCs w:val="21"/>
          <w:highlight w:val="none"/>
        </w:rPr>
        <w:t>书”;供应商为非企业专业服务机构的，应提供执业许</w:t>
      </w:r>
      <w:r>
        <w:rPr>
          <w:rFonts w:ascii="黑体" w:hAnsi="黑体" w:eastAsia="黑体" w:cs="黑体"/>
          <w:color w:val="auto"/>
          <w:spacing w:val="2"/>
          <w:sz w:val="21"/>
          <w:szCs w:val="21"/>
          <w:highlight w:val="none"/>
        </w:rPr>
        <w:t>可证等证明文件；供应商为个体工商户，应提供有</w:t>
      </w:r>
      <w:r>
        <w:rPr>
          <w:rFonts w:ascii="黑体" w:hAnsi="黑体" w:eastAsia="黑体" w:cs="黑体"/>
          <w:color w:val="auto"/>
          <w:sz w:val="21"/>
          <w:szCs w:val="21"/>
          <w:highlight w:val="none"/>
        </w:rPr>
        <w:t xml:space="preserve"> 效的“个体工商户营业执照”。</w:t>
      </w:r>
    </w:p>
    <w:p>
      <w:pPr>
        <w:spacing w:line="239" w:lineRule="auto"/>
        <w:rPr>
          <w:rFonts w:ascii="黑体" w:hAnsi="黑体" w:eastAsia="黑体" w:cs="黑体"/>
          <w:color w:val="auto"/>
          <w:sz w:val="21"/>
          <w:szCs w:val="21"/>
          <w:highlight w:val="none"/>
        </w:rPr>
        <w:sectPr>
          <w:footerReference r:id="rId38" w:type="default"/>
          <w:pgSz w:w="11900" w:h="16830"/>
          <w:pgMar w:top="400" w:right="716" w:bottom="814" w:left="1050" w:header="0" w:footer="679" w:gutter="0"/>
          <w:cols w:space="720" w:num="1"/>
        </w:sectPr>
      </w:pPr>
    </w:p>
    <w:p>
      <w:pPr>
        <w:pStyle w:val="3"/>
        <w:spacing w:before="107" w:line="226" w:lineRule="auto"/>
        <w:ind w:left="4" w:right="28"/>
        <w:rPr>
          <w:color w:val="auto"/>
          <w:sz w:val="33"/>
          <w:szCs w:val="33"/>
          <w:highlight w:val="none"/>
        </w:rPr>
      </w:pPr>
      <w:r>
        <w:rPr>
          <w:rFonts w:hint="eastAsia"/>
          <w:b/>
          <w:bCs/>
          <w:color w:val="auto"/>
          <w:spacing w:val="8"/>
          <w:sz w:val="33"/>
          <w:szCs w:val="33"/>
          <w:highlight w:val="none"/>
          <w:lang w:val="en-US" w:eastAsia="zh-CN"/>
        </w:rPr>
        <w:t>4</w:t>
      </w:r>
      <w:r>
        <w:rPr>
          <w:b/>
          <w:bCs/>
          <w:color w:val="auto"/>
          <w:spacing w:val="8"/>
          <w:sz w:val="33"/>
          <w:szCs w:val="33"/>
          <w:highlight w:val="none"/>
        </w:rPr>
        <w:t>.供应商参加政府采购活动前3年内在经营活动中没有重大违法记</w:t>
      </w:r>
      <w:r>
        <w:rPr>
          <w:color w:val="auto"/>
          <w:spacing w:val="5"/>
          <w:sz w:val="33"/>
          <w:szCs w:val="33"/>
          <w:highlight w:val="none"/>
        </w:rPr>
        <w:t xml:space="preserve"> </w:t>
      </w:r>
      <w:r>
        <w:rPr>
          <w:b/>
          <w:bCs/>
          <w:color w:val="auto"/>
          <w:sz w:val="33"/>
          <w:szCs w:val="33"/>
          <w:highlight w:val="none"/>
        </w:rPr>
        <w:t>录及有关信用信息的书面声明(必须提供)</w:t>
      </w:r>
    </w:p>
    <w:p>
      <w:pPr>
        <w:pStyle w:val="3"/>
        <w:spacing w:before="90" w:line="219" w:lineRule="auto"/>
        <w:ind w:left="3"/>
        <w:rPr>
          <w:color w:val="auto"/>
          <w:sz w:val="22"/>
          <w:szCs w:val="22"/>
          <w:highlight w:val="none"/>
        </w:rPr>
      </w:pPr>
      <w:r>
        <w:rPr>
          <w:b/>
          <w:bCs/>
          <w:color w:val="auto"/>
          <w:spacing w:val="-14"/>
          <w:sz w:val="22"/>
          <w:szCs w:val="22"/>
          <w:highlight w:val="none"/>
        </w:rPr>
        <w:t>附</w:t>
      </w:r>
      <w:r>
        <w:rPr>
          <w:color w:val="auto"/>
          <w:spacing w:val="23"/>
          <w:sz w:val="22"/>
          <w:szCs w:val="22"/>
          <w:highlight w:val="none"/>
        </w:rPr>
        <w:t xml:space="preserve"> </w:t>
      </w:r>
      <w:r>
        <w:rPr>
          <w:b/>
          <w:bCs/>
          <w:color w:val="auto"/>
          <w:spacing w:val="-14"/>
          <w:sz w:val="22"/>
          <w:szCs w:val="22"/>
          <w:highlight w:val="none"/>
        </w:rPr>
        <w:t>件</w:t>
      </w:r>
      <w:r>
        <w:rPr>
          <w:color w:val="auto"/>
          <w:spacing w:val="15"/>
          <w:sz w:val="22"/>
          <w:szCs w:val="22"/>
          <w:highlight w:val="none"/>
        </w:rPr>
        <w:t xml:space="preserve"> </w:t>
      </w:r>
      <w:r>
        <w:rPr>
          <w:b/>
          <w:bCs/>
          <w:color w:val="auto"/>
          <w:spacing w:val="-14"/>
          <w:sz w:val="22"/>
          <w:szCs w:val="22"/>
          <w:highlight w:val="none"/>
        </w:rPr>
        <w:t>：</w:t>
      </w:r>
    </w:p>
    <w:p>
      <w:pPr>
        <w:spacing w:line="344" w:lineRule="auto"/>
        <w:rPr>
          <w:rFonts w:ascii="Arial"/>
          <w:color w:val="auto"/>
          <w:sz w:val="21"/>
          <w:highlight w:val="none"/>
        </w:rPr>
      </w:pPr>
    </w:p>
    <w:p>
      <w:pPr>
        <w:pStyle w:val="3"/>
        <w:spacing w:before="107" w:line="219" w:lineRule="auto"/>
        <w:ind w:left="3704"/>
        <w:rPr>
          <w:color w:val="auto"/>
          <w:sz w:val="33"/>
          <w:szCs w:val="33"/>
          <w:highlight w:val="none"/>
        </w:rPr>
      </w:pPr>
      <w:r>
        <w:rPr>
          <w:b/>
          <w:bCs/>
          <w:color w:val="auto"/>
          <w:spacing w:val="25"/>
          <w:sz w:val="33"/>
          <w:szCs w:val="33"/>
          <w:highlight w:val="none"/>
        </w:rPr>
        <w:t>声</w:t>
      </w:r>
      <w:r>
        <w:rPr>
          <w:color w:val="auto"/>
          <w:spacing w:val="80"/>
          <w:sz w:val="33"/>
          <w:szCs w:val="33"/>
          <w:highlight w:val="none"/>
        </w:rPr>
        <w:t xml:space="preserve">  </w:t>
      </w:r>
      <w:r>
        <w:rPr>
          <w:b/>
          <w:bCs/>
          <w:color w:val="auto"/>
          <w:spacing w:val="25"/>
          <w:sz w:val="33"/>
          <w:szCs w:val="33"/>
          <w:highlight w:val="none"/>
        </w:rPr>
        <w:t>明(格式)</w:t>
      </w:r>
    </w:p>
    <w:p>
      <w:pPr>
        <w:spacing w:before="76" w:line="222" w:lineRule="auto"/>
        <w:ind w:left="3"/>
        <w:rPr>
          <w:rFonts w:hint="eastAsia" w:ascii="黑体" w:hAnsi="黑体" w:eastAsia="黑体" w:cs="黑体"/>
          <w:color w:val="auto"/>
          <w:sz w:val="22"/>
          <w:szCs w:val="22"/>
          <w:highlight w:val="none"/>
          <w:lang w:eastAsia="zh-CN"/>
        </w:rPr>
      </w:pPr>
      <w:r>
        <w:rPr>
          <w:rFonts w:ascii="黑体" w:hAnsi="黑体" w:eastAsia="黑体" w:cs="黑体"/>
          <w:b/>
          <w:bCs/>
          <w:color w:val="auto"/>
          <w:spacing w:val="-12"/>
          <w:sz w:val="22"/>
          <w:szCs w:val="22"/>
          <w:highlight w:val="none"/>
        </w:rPr>
        <w:t>致</w:t>
      </w:r>
      <w:r>
        <w:rPr>
          <w:rFonts w:ascii="黑体" w:hAnsi="黑体" w:eastAsia="黑体" w:cs="黑体"/>
          <w:color w:val="auto"/>
          <w:spacing w:val="-49"/>
          <w:sz w:val="22"/>
          <w:szCs w:val="22"/>
          <w:highlight w:val="none"/>
        </w:rPr>
        <w:t xml:space="preserve"> </w:t>
      </w:r>
      <w:r>
        <w:rPr>
          <w:rFonts w:ascii="黑体" w:hAnsi="黑体" w:eastAsia="黑体" w:cs="黑体"/>
          <w:b/>
          <w:bCs/>
          <w:color w:val="auto"/>
          <w:spacing w:val="-12"/>
          <w:sz w:val="22"/>
          <w:szCs w:val="22"/>
          <w:highlight w:val="none"/>
        </w:rPr>
        <w:t>：</w:t>
      </w:r>
      <w:r>
        <w:rPr>
          <w:rFonts w:hint="eastAsia" w:ascii="黑体" w:hAnsi="黑体" w:eastAsia="黑体" w:cs="黑体"/>
          <w:color w:val="auto"/>
          <w:spacing w:val="-12"/>
          <w:sz w:val="22"/>
          <w:szCs w:val="22"/>
          <w:highlight w:val="none"/>
          <w:u w:val="single" w:color="auto"/>
          <w:lang w:eastAsia="zh-CN"/>
        </w:rPr>
        <w:t>广西泰新工程信息咨询有限公司</w:t>
      </w:r>
    </w:p>
    <w:p>
      <w:pPr>
        <w:spacing w:line="414" w:lineRule="auto"/>
        <w:rPr>
          <w:rFonts w:ascii="Arial"/>
          <w:color w:val="auto"/>
          <w:sz w:val="21"/>
          <w:highlight w:val="none"/>
        </w:rPr>
      </w:pPr>
    </w:p>
    <w:p>
      <w:pPr>
        <w:spacing w:before="72" w:line="317" w:lineRule="auto"/>
        <w:ind w:firstLine="429"/>
        <w:jc w:val="both"/>
        <w:rPr>
          <w:rFonts w:ascii="黑体" w:hAnsi="黑体" w:eastAsia="黑体" w:cs="黑体"/>
          <w:color w:val="auto"/>
          <w:sz w:val="22"/>
          <w:szCs w:val="22"/>
          <w:highlight w:val="none"/>
        </w:rPr>
      </w:pPr>
      <w:r>
        <w:rPr>
          <w:rFonts w:ascii="黑体" w:hAnsi="黑体" w:eastAsia="黑体" w:cs="黑体"/>
          <w:color w:val="auto"/>
          <w:spacing w:val="3"/>
          <w:sz w:val="22"/>
          <w:szCs w:val="22"/>
          <w:highlight w:val="none"/>
        </w:rPr>
        <w:t>我(公司)郑重声明，在参加本项目政府采购活动前3年内在经</w:t>
      </w:r>
      <w:r>
        <w:rPr>
          <w:rFonts w:ascii="黑体" w:hAnsi="黑体" w:eastAsia="黑体" w:cs="黑体"/>
          <w:color w:val="auto"/>
          <w:spacing w:val="2"/>
          <w:sz w:val="22"/>
          <w:szCs w:val="22"/>
          <w:highlight w:val="none"/>
        </w:rPr>
        <w:t>营活动中没有重大违法记录(重大违</w:t>
      </w:r>
      <w:r>
        <w:rPr>
          <w:rFonts w:ascii="黑体" w:hAnsi="黑体" w:eastAsia="黑体" w:cs="黑体"/>
          <w:color w:val="auto"/>
          <w:sz w:val="22"/>
          <w:szCs w:val="22"/>
          <w:highlight w:val="none"/>
        </w:rPr>
        <w:t xml:space="preserve"> </w:t>
      </w:r>
      <w:r>
        <w:rPr>
          <w:rFonts w:ascii="黑体" w:hAnsi="黑体" w:eastAsia="黑体" w:cs="黑体"/>
          <w:color w:val="auto"/>
          <w:spacing w:val="-7"/>
          <w:sz w:val="22"/>
          <w:szCs w:val="22"/>
          <w:highlight w:val="none"/>
        </w:rPr>
        <w:t>法记录是指供应商因违法经营受到刑事处罚或者责令停产停业、吊销许可证或</w:t>
      </w:r>
      <w:r>
        <w:rPr>
          <w:rFonts w:ascii="黑体" w:hAnsi="黑体" w:eastAsia="黑体" w:cs="黑体"/>
          <w:color w:val="auto"/>
          <w:spacing w:val="-8"/>
          <w:sz w:val="22"/>
          <w:szCs w:val="22"/>
          <w:highlight w:val="none"/>
        </w:rPr>
        <w:t>者执照、较大数额罚款等行</w:t>
      </w:r>
      <w:r>
        <w:rPr>
          <w:rFonts w:ascii="黑体" w:hAnsi="黑体" w:eastAsia="黑体" w:cs="黑体"/>
          <w:color w:val="auto"/>
          <w:sz w:val="22"/>
          <w:szCs w:val="22"/>
          <w:highlight w:val="none"/>
        </w:rPr>
        <w:t xml:space="preserve"> </w:t>
      </w:r>
      <w:r>
        <w:rPr>
          <w:rFonts w:ascii="黑体" w:hAnsi="黑体" w:eastAsia="黑体" w:cs="黑体"/>
          <w:color w:val="auto"/>
          <w:spacing w:val="-2"/>
          <w:sz w:val="22"/>
          <w:szCs w:val="22"/>
          <w:highlight w:val="none"/>
        </w:rPr>
        <w:t>政处罚),未被列入失信被执行人、重大税收违法失信主体</w:t>
      </w:r>
      <w:r>
        <w:rPr>
          <w:rFonts w:ascii="黑体" w:hAnsi="黑体" w:eastAsia="黑体" w:cs="黑体"/>
          <w:color w:val="auto"/>
          <w:spacing w:val="-3"/>
          <w:sz w:val="22"/>
          <w:szCs w:val="22"/>
          <w:highlight w:val="none"/>
        </w:rPr>
        <w:t>、政府采购严重违法失信行为记录名单，完全</w:t>
      </w:r>
      <w:r>
        <w:rPr>
          <w:rFonts w:ascii="黑体" w:hAnsi="黑体" w:eastAsia="黑体" w:cs="黑体"/>
          <w:color w:val="auto"/>
          <w:sz w:val="22"/>
          <w:szCs w:val="22"/>
          <w:highlight w:val="none"/>
        </w:rPr>
        <w:t xml:space="preserve"> </w:t>
      </w:r>
      <w:r>
        <w:rPr>
          <w:rFonts w:ascii="黑体" w:hAnsi="黑体" w:eastAsia="黑体" w:cs="黑体"/>
          <w:color w:val="auto"/>
          <w:spacing w:val="-9"/>
          <w:sz w:val="22"/>
          <w:szCs w:val="22"/>
          <w:highlight w:val="none"/>
        </w:rPr>
        <w:t>符合《中华人民共和国政府采购法》第二十二条规定的供应商资格条件，我方对此声明</w:t>
      </w:r>
      <w:r>
        <w:rPr>
          <w:rFonts w:ascii="黑体" w:hAnsi="黑体" w:eastAsia="黑体" w:cs="黑体"/>
          <w:color w:val="auto"/>
          <w:spacing w:val="-10"/>
          <w:sz w:val="22"/>
          <w:szCs w:val="22"/>
          <w:highlight w:val="none"/>
        </w:rPr>
        <w:t>负全部法律责任。</w:t>
      </w:r>
    </w:p>
    <w:p>
      <w:pPr>
        <w:spacing w:line="289" w:lineRule="auto"/>
        <w:rPr>
          <w:rFonts w:ascii="Arial"/>
          <w:color w:val="auto"/>
          <w:sz w:val="21"/>
          <w:highlight w:val="none"/>
        </w:rPr>
      </w:pPr>
    </w:p>
    <w:p>
      <w:pPr>
        <w:spacing w:line="289" w:lineRule="auto"/>
        <w:rPr>
          <w:rFonts w:ascii="Arial"/>
          <w:color w:val="auto"/>
          <w:sz w:val="21"/>
          <w:highlight w:val="none"/>
        </w:rPr>
      </w:pPr>
    </w:p>
    <w:p>
      <w:pPr>
        <w:spacing w:line="289" w:lineRule="auto"/>
        <w:rPr>
          <w:rFonts w:ascii="Arial"/>
          <w:color w:val="auto"/>
          <w:sz w:val="21"/>
          <w:highlight w:val="none"/>
        </w:rPr>
      </w:pPr>
    </w:p>
    <w:p>
      <w:pPr>
        <w:spacing w:line="290" w:lineRule="auto"/>
        <w:rPr>
          <w:rFonts w:ascii="Arial"/>
          <w:color w:val="auto"/>
          <w:sz w:val="21"/>
          <w:highlight w:val="none"/>
        </w:rPr>
      </w:pPr>
    </w:p>
    <w:p>
      <w:pPr>
        <w:pStyle w:val="3"/>
        <w:spacing w:before="73" w:line="213" w:lineRule="auto"/>
        <w:ind w:left="1919"/>
        <w:rPr>
          <w:rFonts w:ascii="黑体" w:hAnsi="黑体" w:eastAsia="黑体" w:cs="黑体"/>
          <w:color w:val="auto"/>
          <w:sz w:val="22"/>
          <w:szCs w:val="22"/>
          <w:highlight w:val="none"/>
        </w:rPr>
      </w:pPr>
      <w:r>
        <w:rPr>
          <w:rFonts w:ascii="黑体" w:hAnsi="黑体" w:eastAsia="黑体" w:cs="黑体"/>
          <w:color w:val="auto"/>
          <w:spacing w:val="-8"/>
          <w:sz w:val="22"/>
          <w:szCs w:val="22"/>
          <w:highlight w:val="none"/>
        </w:rPr>
        <w:t>供应商公章</w:t>
      </w:r>
      <w:r>
        <w:rPr>
          <w:color w:val="auto"/>
          <w:spacing w:val="-8"/>
          <w:sz w:val="22"/>
          <w:szCs w:val="22"/>
          <w:highlight w:val="none"/>
        </w:rPr>
        <w:t xml:space="preserve">(CA </w:t>
      </w:r>
      <w:r>
        <w:rPr>
          <w:rFonts w:ascii="黑体" w:hAnsi="黑体" w:eastAsia="黑体" w:cs="黑体"/>
          <w:color w:val="auto"/>
          <w:spacing w:val="-8"/>
          <w:sz w:val="22"/>
          <w:szCs w:val="22"/>
          <w:highlight w:val="none"/>
        </w:rPr>
        <w:t>签章，自然人签字或个人</w:t>
      </w:r>
      <w:r>
        <w:rPr>
          <w:color w:val="auto"/>
          <w:spacing w:val="-8"/>
          <w:sz w:val="22"/>
          <w:szCs w:val="22"/>
          <w:highlight w:val="none"/>
        </w:rPr>
        <w:t>CA</w:t>
      </w:r>
      <w:r>
        <w:rPr>
          <w:color w:val="auto"/>
          <w:spacing w:val="-47"/>
          <w:sz w:val="22"/>
          <w:szCs w:val="22"/>
          <w:highlight w:val="none"/>
        </w:rPr>
        <w:t xml:space="preserve"> </w:t>
      </w:r>
      <w:r>
        <w:rPr>
          <w:rFonts w:ascii="黑体" w:hAnsi="黑体" w:eastAsia="黑体" w:cs="黑体"/>
          <w:color w:val="auto"/>
          <w:spacing w:val="-8"/>
          <w:sz w:val="22"/>
          <w:szCs w:val="22"/>
          <w:highlight w:val="none"/>
        </w:rPr>
        <w:t>签</w:t>
      </w:r>
      <w:r>
        <w:rPr>
          <w:rFonts w:ascii="黑体" w:hAnsi="黑体" w:eastAsia="黑体" w:cs="黑体"/>
          <w:color w:val="auto"/>
          <w:spacing w:val="-48"/>
          <w:sz w:val="22"/>
          <w:szCs w:val="22"/>
          <w:highlight w:val="none"/>
        </w:rPr>
        <w:t xml:space="preserve"> </w:t>
      </w:r>
      <w:r>
        <w:rPr>
          <w:rFonts w:ascii="黑体" w:hAnsi="黑体" w:eastAsia="黑体" w:cs="黑体"/>
          <w:color w:val="auto"/>
          <w:spacing w:val="-8"/>
          <w:sz w:val="22"/>
          <w:szCs w:val="22"/>
          <w:highlight w:val="none"/>
        </w:rPr>
        <w:t>章</w:t>
      </w:r>
      <w:r>
        <w:rPr>
          <w:rFonts w:ascii="黑体" w:hAnsi="黑体" w:eastAsia="黑体" w:cs="黑体"/>
          <w:color w:val="auto"/>
          <w:spacing w:val="-53"/>
          <w:sz w:val="22"/>
          <w:szCs w:val="22"/>
          <w:highlight w:val="none"/>
        </w:rPr>
        <w:t xml:space="preserve"> </w:t>
      </w:r>
      <w:r>
        <w:rPr>
          <w:rFonts w:ascii="黑体" w:hAnsi="黑体" w:eastAsia="黑体" w:cs="黑体"/>
          <w:color w:val="auto"/>
          <w:spacing w:val="-8"/>
          <w:sz w:val="22"/>
          <w:szCs w:val="22"/>
          <w:highlight w:val="none"/>
        </w:rPr>
        <w:t>) :</w:t>
      </w:r>
      <w:r>
        <w:rPr>
          <w:rFonts w:ascii="黑体" w:hAnsi="黑体" w:eastAsia="黑体" w:cs="黑体"/>
          <w:color w:val="auto"/>
          <w:spacing w:val="-57"/>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46" w:line="222" w:lineRule="auto"/>
        <w:ind w:left="1889"/>
        <w:rPr>
          <w:rFonts w:ascii="黑体" w:hAnsi="黑体" w:eastAsia="黑体" w:cs="黑体"/>
          <w:color w:val="auto"/>
          <w:sz w:val="22"/>
          <w:szCs w:val="22"/>
          <w:highlight w:val="none"/>
        </w:rPr>
      </w:pPr>
      <w:r>
        <w:rPr>
          <w:rFonts w:ascii="黑体" w:hAnsi="黑体" w:eastAsia="黑体" w:cs="黑体"/>
          <w:color w:val="auto"/>
          <w:spacing w:val="1"/>
          <w:sz w:val="22"/>
          <w:szCs w:val="22"/>
          <w:highlight w:val="none"/>
        </w:rPr>
        <w:t>法定代表人或相应的委托代理人签字(或者电子签名):</w:t>
      </w:r>
      <w:r>
        <w:rPr>
          <w:rFonts w:ascii="黑体" w:hAnsi="黑体" w:eastAsia="黑体" w:cs="黑体"/>
          <w:color w:val="auto"/>
          <w:spacing w:val="-26"/>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28" w:line="224" w:lineRule="auto"/>
        <w:ind w:left="1999"/>
        <w:rPr>
          <w:rFonts w:ascii="黑体" w:hAnsi="黑体" w:eastAsia="黑体" w:cs="黑体"/>
          <w:color w:val="auto"/>
          <w:sz w:val="22"/>
          <w:szCs w:val="22"/>
          <w:highlight w:val="none"/>
        </w:rPr>
      </w:pPr>
      <w:r>
        <w:rPr>
          <w:rFonts w:ascii="黑体" w:hAnsi="黑体" w:eastAsia="黑体" w:cs="黑体"/>
          <w:color w:val="auto"/>
          <w:spacing w:val="-17"/>
          <w:sz w:val="22"/>
          <w:szCs w:val="22"/>
          <w:highlight w:val="none"/>
        </w:rPr>
        <w:t>日</w:t>
      </w:r>
      <w:r>
        <w:rPr>
          <w:rFonts w:ascii="黑体" w:hAnsi="黑体" w:eastAsia="黑体" w:cs="黑体"/>
          <w:color w:val="auto"/>
          <w:spacing w:val="10"/>
          <w:sz w:val="22"/>
          <w:szCs w:val="22"/>
          <w:highlight w:val="none"/>
        </w:rPr>
        <w:t xml:space="preserve">         </w:t>
      </w:r>
      <w:r>
        <w:rPr>
          <w:rFonts w:ascii="黑体" w:hAnsi="黑体" w:eastAsia="黑体" w:cs="黑体"/>
          <w:color w:val="auto"/>
          <w:spacing w:val="-17"/>
          <w:sz w:val="22"/>
          <w:szCs w:val="22"/>
          <w:highlight w:val="none"/>
        </w:rPr>
        <w:t>期</w:t>
      </w:r>
      <w:r>
        <w:rPr>
          <w:rFonts w:ascii="黑体" w:hAnsi="黑体" w:eastAsia="黑体" w:cs="黑体"/>
          <w:color w:val="auto"/>
          <w:spacing w:val="40"/>
          <w:sz w:val="22"/>
          <w:szCs w:val="22"/>
          <w:highlight w:val="none"/>
        </w:rPr>
        <w:t xml:space="preserve"> </w:t>
      </w:r>
      <w:r>
        <w:rPr>
          <w:rFonts w:ascii="黑体" w:hAnsi="黑体" w:eastAsia="黑体" w:cs="黑体"/>
          <w:color w:val="auto"/>
          <w:spacing w:val="-17"/>
          <w:sz w:val="22"/>
          <w:szCs w:val="22"/>
          <w:highlight w:val="none"/>
        </w:rPr>
        <w:t>：</w:t>
      </w:r>
      <w:r>
        <w:rPr>
          <w:rFonts w:ascii="黑体" w:hAnsi="黑体" w:eastAsia="黑体" w:cs="黑体"/>
          <w:color w:val="auto"/>
          <w:sz w:val="22"/>
          <w:szCs w:val="22"/>
          <w:highlight w:val="none"/>
          <w:u w:val="single" w:color="auto"/>
        </w:rPr>
        <w:t xml:space="preserve">                                                </w:t>
      </w:r>
    </w:p>
    <w:p>
      <w:pPr>
        <w:spacing w:line="224" w:lineRule="auto"/>
        <w:rPr>
          <w:rFonts w:ascii="黑体" w:hAnsi="黑体" w:eastAsia="黑体" w:cs="黑体"/>
          <w:color w:val="auto"/>
          <w:sz w:val="22"/>
          <w:szCs w:val="22"/>
          <w:highlight w:val="none"/>
        </w:rPr>
        <w:sectPr>
          <w:footerReference r:id="rId39" w:type="default"/>
          <w:pgSz w:w="11900" w:h="16830"/>
          <w:pgMar w:top="400" w:right="1060" w:bottom="801" w:left="1050" w:header="0" w:footer="657" w:gutter="0"/>
          <w:cols w:space="720" w:num="1"/>
        </w:sect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spacing w:line="250" w:lineRule="auto"/>
        <w:rPr>
          <w:rFonts w:ascii="Arial"/>
          <w:color w:val="auto"/>
          <w:sz w:val="21"/>
          <w:highlight w:val="none"/>
        </w:rPr>
      </w:pPr>
    </w:p>
    <w:p>
      <w:pPr>
        <w:pStyle w:val="3"/>
        <w:spacing w:before="104" w:line="221" w:lineRule="auto"/>
        <w:rPr>
          <w:rFonts w:ascii="黑体" w:hAnsi="黑体" w:eastAsia="黑体" w:cs="黑体"/>
          <w:color w:val="auto"/>
          <w:sz w:val="32"/>
          <w:szCs w:val="32"/>
          <w:highlight w:val="none"/>
        </w:rPr>
      </w:pPr>
      <w:r>
        <w:rPr>
          <w:rFonts w:hint="eastAsia"/>
          <w:color w:val="auto"/>
          <w:spacing w:val="11"/>
          <w:sz w:val="32"/>
          <w:szCs w:val="32"/>
          <w:highlight w:val="none"/>
          <w:lang w:val="en-US" w:eastAsia="zh-CN"/>
        </w:rPr>
        <w:t>5</w:t>
      </w:r>
      <w:r>
        <w:rPr>
          <w:color w:val="auto"/>
          <w:spacing w:val="11"/>
          <w:sz w:val="32"/>
          <w:szCs w:val="32"/>
          <w:highlight w:val="none"/>
        </w:rPr>
        <w:t>.</w:t>
      </w:r>
      <w:r>
        <w:rPr>
          <w:rFonts w:ascii="黑体" w:hAnsi="黑体" w:eastAsia="黑体" w:cs="黑体"/>
          <w:color w:val="auto"/>
          <w:spacing w:val="11"/>
          <w:sz w:val="32"/>
          <w:szCs w:val="32"/>
          <w:highlight w:val="none"/>
        </w:rPr>
        <w:t>供应商参加本项目无围标串标行为的承诺函(必须提供)</w:t>
      </w:r>
    </w:p>
    <w:p>
      <w:pPr>
        <w:pStyle w:val="3"/>
        <w:spacing w:before="95" w:line="219" w:lineRule="auto"/>
        <w:rPr>
          <w:color w:val="auto"/>
          <w:sz w:val="25"/>
          <w:szCs w:val="25"/>
          <w:highlight w:val="none"/>
        </w:rPr>
      </w:pPr>
      <w:r>
        <w:rPr>
          <w:color w:val="auto"/>
          <w:spacing w:val="-13"/>
          <w:sz w:val="25"/>
          <w:szCs w:val="25"/>
          <w:highlight w:val="none"/>
        </w:rPr>
        <w:t>附</w:t>
      </w:r>
      <w:r>
        <w:rPr>
          <w:color w:val="auto"/>
          <w:spacing w:val="-31"/>
          <w:sz w:val="25"/>
          <w:szCs w:val="25"/>
          <w:highlight w:val="none"/>
        </w:rPr>
        <w:t xml:space="preserve"> </w:t>
      </w:r>
      <w:r>
        <w:rPr>
          <w:color w:val="auto"/>
          <w:spacing w:val="-13"/>
          <w:sz w:val="25"/>
          <w:szCs w:val="25"/>
          <w:highlight w:val="none"/>
        </w:rPr>
        <w:t>件</w:t>
      </w:r>
      <w:r>
        <w:rPr>
          <w:color w:val="auto"/>
          <w:spacing w:val="-39"/>
          <w:sz w:val="25"/>
          <w:szCs w:val="25"/>
          <w:highlight w:val="none"/>
        </w:rPr>
        <w:t xml:space="preserve"> </w:t>
      </w:r>
      <w:r>
        <w:rPr>
          <w:color w:val="auto"/>
          <w:spacing w:val="-13"/>
          <w:sz w:val="25"/>
          <w:szCs w:val="25"/>
          <w:highlight w:val="none"/>
        </w:rPr>
        <w:t>：</w:t>
      </w:r>
    </w:p>
    <w:p>
      <w:pPr>
        <w:spacing w:line="315" w:lineRule="auto"/>
        <w:rPr>
          <w:rFonts w:ascii="Arial"/>
          <w:color w:val="auto"/>
          <w:sz w:val="21"/>
          <w:highlight w:val="none"/>
        </w:rPr>
      </w:pPr>
    </w:p>
    <w:p>
      <w:pPr>
        <w:pStyle w:val="3"/>
        <w:spacing w:before="104" w:line="219" w:lineRule="auto"/>
        <w:ind w:left="1224"/>
        <w:rPr>
          <w:color w:val="auto"/>
          <w:sz w:val="32"/>
          <w:szCs w:val="32"/>
          <w:highlight w:val="none"/>
        </w:rPr>
      </w:pPr>
      <w:r>
        <w:rPr>
          <w:b/>
          <w:bCs/>
          <w:color w:val="auto"/>
          <w:spacing w:val="7"/>
          <w:sz w:val="32"/>
          <w:szCs w:val="32"/>
          <w:highlight w:val="none"/>
        </w:rPr>
        <w:t>供应商参加本项目无围标串标行为的承诺函(格式)</w:t>
      </w:r>
    </w:p>
    <w:p>
      <w:pPr>
        <w:spacing w:line="253" w:lineRule="auto"/>
        <w:rPr>
          <w:rFonts w:ascii="Arial"/>
          <w:color w:val="auto"/>
          <w:sz w:val="21"/>
          <w:highlight w:val="none"/>
        </w:rPr>
      </w:pPr>
    </w:p>
    <w:p>
      <w:pPr>
        <w:spacing w:line="253" w:lineRule="auto"/>
        <w:rPr>
          <w:rFonts w:ascii="Arial"/>
          <w:color w:val="auto"/>
          <w:sz w:val="21"/>
          <w:highlight w:val="none"/>
        </w:rPr>
      </w:pPr>
    </w:p>
    <w:p>
      <w:pPr>
        <w:spacing w:before="68" w:line="221" w:lineRule="auto"/>
        <w:ind w:left="3"/>
        <w:rPr>
          <w:rFonts w:ascii="黑体" w:hAnsi="黑体" w:eastAsia="黑体" w:cs="黑体"/>
          <w:color w:val="auto"/>
          <w:sz w:val="21"/>
          <w:szCs w:val="21"/>
          <w:highlight w:val="none"/>
        </w:rPr>
      </w:pPr>
      <w:r>
        <w:rPr>
          <w:rFonts w:ascii="黑体" w:hAnsi="黑体" w:eastAsia="黑体" w:cs="黑体"/>
          <w:b/>
          <w:bCs/>
          <w:color w:val="auto"/>
          <w:spacing w:val="20"/>
          <w:sz w:val="21"/>
          <w:szCs w:val="21"/>
          <w:highlight w:val="none"/>
        </w:rPr>
        <w:t>一</w:t>
      </w:r>
      <w:r>
        <w:rPr>
          <w:rFonts w:ascii="黑体" w:hAnsi="黑体" w:eastAsia="黑体" w:cs="黑体"/>
          <w:color w:val="auto"/>
          <w:spacing w:val="20"/>
          <w:sz w:val="21"/>
          <w:szCs w:val="21"/>
          <w:highlight w:val="none"/>
        </w:rPr>
        <w:t xml:space="preserve"> </w:t>
      </w:r>
      <w:r>
        <w:rPr>
          <w:rFonts w:ascii="黑体" w:hAnsi="黑体" w:eastAsia="黑体" w:cs="黑体"/>
          <w:b/>
          <w:bCs/>
          <w:color w:val="auto"/>
          <w:spacing w:val="20"/>
          <w:sz w:val="21"/>
          <w:szCs w:val="21"/>
          <w:highlight w:val="none"/>
        </w:rPr>
        <w:t>、我公司承诺无下列相互串通投标的情形：</w:t>
      </w:r>
    </w:p>
    <w:p>
      <w:pPr>
        <w:pStyle w:val="3"/>
        <w:spacing w:before="152" w:line="213" w:lineRule="auto"/>
        <w:ind w:left="409"/>
        <w:rPr>
          <w:rFonts w:ascii="黑体" w:hAnsi="黑体" w:eastAsia="黑体" w:cs="黑体"/>
          <w:color w:val="auto"/>
          <w:sz w:val="21"/>
          <w:szCs w:val="21"/>
          <w:highlight w:val="none"/>
        </w:rPr>
      </w:pPr>
      <w:r>
        <w:rPr>
          <w:color w:val="auto"/>
          <w:spacing w:val="-1"/>
          <w:sz w:val="21"/>
          <w:szCs w:val="21"/>
          <w:highlight w:val="none"/>
        </w:rPr>
        <w:t>1.</w:t>
      </w:r>
      <w:r>
        <w:rPr>
          <w:rFonts w:ascii="黑体" w:hAnsi="黑体" w:eastAsia="黑体" w:cs="黑体"/>
          <w:color w:val="auto"/>
          <w:spacing w:val="-1"/>
          <w:sz w:val="21"/>
          <w:szCs w:val="21"/>
          <w:highlight w:val="none"/>
        </w:rPr>
        <w:t>不同供应商的投标文件由同一单位或者个人编制；</w:t>
      </w:r>
    </w:p>
    <w:p>
      <w:pPr>
        <w:pStyle w:val="3"/>
        <w:spacing w:before="117" w:line="213" w:lineRule="auto"/>
        <w:ind w:left="409"/>
        <w:rPr>
          <w:rFonts w:ascii="黑体" w:hAnsi="黑体" w:eastAsia="黑体" w:cs="黑体"/>
          <w:color w:val="auto"/>
          <w:sz w:val="21"/>
          <w:szCs w:val="21"/>
          <w:highlight w:val="none"/>
        </w:rPr>
      </w:pPr>
      <w:r>
        <w:rPr>
          <w:color w:val="auto"/>
          <w:spacing w:val="-1"/>
          <w:sz w:val="21"/>
          <w:szCs w:val="21"/>
          <w:highlight w:val="none"/>
        </w:rPr>
        <w:t>2.</w:t>
      </w:r>
      <w:r>
        <w:rPr>
          <w:rFonts w:ascii="黑体" w:hAnsi="黑体" w:eastAsia="黑体" w:cs="黑体"/>
          <w:color w:val="auto"/>
          <w:spacing w:val="-1"/>
          <w:sz w:val="21"/>
          <w:szCs w:val="21"/>
          <w:highlight w:val="none"/>
        </w:rPr>
        <w:t>不同供应商委托同一单位或者个人办理投标事宜；</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3.</w:t>
      </w:r>
      <w:r>
        <w:rPr>
          <w:rFonts w:ascii="黑体" w:hAnsi="黑体" w:eastAsia="黑体" w:cs="黑体"/>
          <w:color w:val="auto"/>
          <w:sz w:val="21"/>
          <w:szCs w:val="21"/>
          <w:highlight w:val="none"/>
        </w:rPr>
        <w:t>不同的供应商的投标文件载明的项目管理员</w:t>
      </w:r>
      <w:r>
        <w:rPr>
          <w:rFonts w:ascii="黑体" w:hAnsi="黑体" w:eastAsia="黑体" w:cs="黑体"/>
          <w:color w:val="auto"/>
          <w:spacing w:val="-1"/>
          <w:sz w:val="21"/>
          <w:szCs w:val="21"/>
          <w:highlight w:val="none"/>
        </w:rPr>
        <w:t>为同一个人；</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4.</w:t>
      </w:r>
      <w:r>
        <w:rPr>
          <w:rFonts w:ascii="黑体" w:hAnsi="黑体" w:eastAsia="黑体" w:cs="黑体"/>
          <w:color w:val="auto"/>
          <w:sz w:val="21"/>
          <w:szCs w:val="21"/>
          <w:highlight w:val="none"/>
        </w:rPr>
        <w:t>不同供应商的投标文件异常一致或投标报价呈规</w:t>
      </w:r>
      <w:r>
        <w:rPr>
          <w:rFonts w:ascii="黑体" w:hAnsi="黑体" w:eastAsia="黑体" w:cs="黑体"/>
          <w:color w:val="auto"/>
          <w:spacing w:val="-1"/>
          <w:sz w:val="21"/>
          <w:szCs w:val="21"/>
          <w:highlight w:val="none"/>
        </w:rPr>
        <w:t>律性差异；</w:t>
      </w:r>
    </w:p>
    <w:p>
      <w:pPr>
        <w:pStyle w:val="3"/>
        <w:spacing w:before="137" w:line="222" w:lineRule="auto"/>
        <w:ind w:left="409"/>
        <w:rPr>
          <w:rFonts w:ascii="黑体" w:hAnsi="黑体" w:eastAsia="黑体" w:cs="黑体"/>
          <w:color w:val="auto"/>
          <w:sz w:val="21"/>
          <w:szCs w:val="21"/>
          <w:highlight w:val="none"/>
        </w:rPr>
      </w:pPr>
      <w:r>
        <w:rPr>
          <w:color w:val="auto"/>
          <w:sz w:val="21"/>
          <w:szCs w:val="21"/>
          <w:highlight w:val="none"/>
        </w:rPr>
        <w:t>5.</w:t>
      </w:r>
      <w:r>
        <w:rPr>
          <w:rFonts w:ascii="黑体" w:hAnsi="黑体" w:eastAsia="黑体" w:cs="黑体"/>
          <w:color w:val="auto"/>
          <w:sz w:val="21"/>
          <w:szCs w:val="21"/>
          <w:highlight w:val="none"/>
        </w:rPr>
        <w:t>不同供应商的投标文件相互混装。</w:t>
      </w:r>
    </w:p>
    <w:p>
      <w:pPr>
        <w:spacing w:before="214" w:line="221" w:lineRule="auto"/>
        <w:ind w:left="3"/>
        <w:rPr>
          <w:rFonts w:ascii="黑体" w:hAnsi="黑体" w:eastAsia="黑体" w:cs="黑体"/>
          <w:color w:val="auto"/>
          <w:sz w:val="21"/>
          <w:szCs w:val="21"/>
          <w:highlight w:val="none"/>
        </w:rPr>
      </w:pPr>
      <w:r>
        <w:rPr>
          <w:rFonts w:ascii="黑体" w:hAnsi="黑体" w:eastAsia="黑体" w:cs="黑体"/>
          <w:b/>
          <w:bCs/>
          <w:color w:val="auto"/>
          <w:spacing w:val="19"/>
          <w:sz w:val="21"/>
          <w:szCs w:val="21"/>
          <w:highlight w:val="none"/>
        </w:rPr>
        <w:t>二</w:t>
      </w:r>
      <w:r>
        <w:rPr>
          <w:rFonts w:ascii="黑体" w:hAnsi="黑体" w:eastAsia="黑体" w:cs="黑体"/>
          <w:color w:val="auto"/>
          <w:spacing w:val="19"/>
          <w:sz w:val="21"/>
          <w:szCs w:val="21"/>
          <w:highlight w:val="none"/>
        </w:rPr>
        <w:t xml:space="preserve"> </w:t>
      </w:r>
      <w:r>
        <w:rPr>
          <w:rFonts w:ascii="黑体" w:hAnsi="黑体" w:eastAsia="黑体" w:cs="黑体"/>
          <w:b/>
          <w:bCs/>
          <w:color w:val="auto"/>
          <w:spacing w:val="19"/>
          <w:sz w:val="21"/>
          <w:szCs w:val="21"/>
          <w:highlight w:val="none"/>
        </w:rPr>
        <w:t>、我公司承诺无下列恶意串通的情形：</w:t>
      </w:r>
    </w:p>
    <w:p>
      <w:pPr>
        <w:pStyle w:val="3"/>
        <w:spacing w:before="163" w:line="260" w:lineRule="auto"/>
        <w:ind w:right="29" w:firstLine="409"/>
        <w:rPr>
          <w:rFonts w:ascii="黑体" w:hAnsi="黑体" w:eastAsia="黑体" w:cs="黑体"/>
          <w:color w:val="auto"/>
          <w:sz w:val="21"/>
          <w:szCs w:val="21"/>
          <w:highlight w:val="none"/>
        </w:rPr>
      </w:pPr>
      <w:r>
        <w:rPr>
          <w:color w:val="auto"/>
          <w:spacing w:val="2"/>
          <w:sz w:val="21"/>
          <w:szCs w:val="21"/>
          <w:highlight w:val="none"/>
        </w:rPr>
        <w:t>1.</w:t>
      </w:r>
      <w:r>
        <w:rPr>
          <w:rFonts w:ascii="黑体" w:hAnsi="黑体" w:eastAsia="黑体" w:cs="黑体"/>
          <w:color w:val="auto"/>
          <w:spacing w:val="2"/>
          <w:sz w:val="21"/>
          <w:szCs w:val="21"/>
          <w:highlight w:val="none"/>
        </w:rPr>
        <w:t>供应商直接或者间接从采购人或者采购代理机构处获得其他供应商的相关信息并修改其投标文件或</w:t>
      </w:r>
      <w:r>
        <w:rPr>
          <w:rFonts w:ascii="黑体" w:hAnsi="黑体" w:eastAsia="黑体" w:cs="黑体"/>
          <w:color w:val="auto"/>
          <w:spacing w:val="18"/>
          <w:sz w:val="21"/>
          <w:szCs w:val="21"/>
          <w:highlight w:val="none"/>
        </w:rPr>
        <w:t xml:space="preserve"> </w:t>
      </w:r>
      <w:r>
        <w:rPr>
          <w:rFonts w:ascii="黑体" w:hAnsi="黑体" w:eastAsia="黑体" w:cs="黑体"/>
          <w:color w:val="auto"/>
          <w:spacing w:val="-3"/>
          <w:sz w:val="21"/>
          <w:szCs w:val="21"/>
          <w:highlight w:val="none"/>
        </w:rPr>
        <w:t>者投标文件；</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2.</w:t>
      </w:r>
      <w:r>
        <w:rPr>
          <w:rFonts w:ascii="黑体" w:hAnsi="黑体" w:eastAsia="黑体" w:cs="黑体"/>
          <w:color w:val="auto"/>
          <w:sz w:val="21"/>
          <w:szCs w:val="21"/>
          <w:highlight w:val="none"/>
        </w:rPr>
        <w:t>供应商按照采购人或者采购代理机构的授意撤换、修改投标文件或</w:t>
      </w:r>
      <w:r>
        <w:rPr>
          <w:rFonts w:ascii="黑体" w:hAnsi="黑体" w:eastAsia="黑体" w:cs="黑体"/>
          <w:color w:val="auto"/>
          <w:spacing w:val="-1"/>
          <w:sz w:val="21"/>
          <w:szCs w:val="21"/>
          <w:highlight w:val="none"/>
        </w:rPr>
        <w:t>者投标文件；</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3.</w:t>
      </w:r>
      <w:r>
        <w:rPr>
          <w:rFonts w:ascii="黑体" w:hAnsi="黑体" w:eastAsia="黑体" w:cs="黑体"/>
          <w:color w:val="auto"/>
          <w:sz w:val="21"/>
          <w:szCs w:val="21"/>
          <w:highlight w:val="none"/>
        </w:rPr>
        <w:t>供应商之间协商报价、技术方案等投标文件或者投标文件</w:t>
      </w:r>
      <w:r>
        <w:rPr>
          <w:rFonts w:ascii="黑体" w:hAnsi="黑体" w:eastAsia="黑体" w:cs="黑体"/>
          <w:color w:val="auto"/>
          <w:spacing w:val="-1"/>
          <w:sz w:val="21"/>
          <w:szCs w:val="21"/>
          <w:highlight w:val="none"/>
        </w:rPr>
        <w:t>的实质性内容；</w:t>
      </w:r>
    </w:p>
    <w:p>
      <w:pPr>
        <w:pStyle w:val="3"/>
        <w:spacing w:before="117" w:line="213" w:lineRule="auto"/>
        <w:ind w:left="409"/>
        <w:rPr>
          <w:rFonts w:ascii="黑体" w:hAnsi="黑体" w:eastAsia="黑体" w:cs="黑体"/>
          <w:color w:val="auto"/>
          <w:sz w:val="21"/>
          <w:szCs w:val="21"/>
          <w:highlight w:val="none"/>
        </w:rPr>
      </w:pPr>
      <w:r>
        <w:rPr>
          <w:color w:val="auto"/>
          <w:sz w:val="21"/>
          <w:szCs w:val="21"/>
          <w:highlight w:val="none"/>
        </w:rPr>
        <w:t>4.</w:t>
      </w:r>
      <w:r>
        <w:rPr>
          <w:rFonts w:ascii="黑体" w:hAnsi="黑体" w:eastAsia="黑体" w:cs="黑体"/>
          <w:color w:val="auto"/>
          <w:sz w:val="21"/>
          <w:szCs w:val="21"/>
          <w:highlight w:val="none"/>
        </w:rPr>
        <w:t>属于同一集团、协会、商会等组织成员的供应商按照该组织要求协同参加政府采购活动；</w:t>
      </w:r>
    </w:p>
    <w:p>
      <w:pPr>
        <w:pStyle w:val="3"/>
        <w:spacing w:before="117" w:line="265" w:lineRule="auto"/>
        <w:ind w:right="31" w:firstLine="409"/>
        <w:rPr>
          <w:rFonts w:ascii="黑体" w:hAnsi="黑体" w:eastAsia="黑体" w:cs="黑体"/>
          <w:color w:val="auto"/>
          <w:sz w:val="21"/>
          <w:szCs w:val="21"/>
          <w:highlight w:val="none"/>
        </w:rPr>
      </w:pPr>
      <w:r>
        <w:rPr>
          <w:color w:val="auto"/>
          <w:spacing w:val="2"/>
          <w:sz w:val="21"/>
          <w:szCs w:val="21"/>
          <w:highlight w:val="none"/>
        </w:rPr>
        <w:t>5.</w:t>
      </w:r>
      <w:r>
        <w:rPr>
          <w:rFonts w:ascii="黑体" w:hAnsi="黑体" w:eastAsia="黑体" w:cs="黑体"/>
          <w:color w:val="auto"/>
          <w:spacing w:val="2"/>
          <w:sz w:val="21"/>
          <w:szCs w:val="21"/>
          <w:highlight w:val="none"/>
        </w:rPr>
        <w:t>供应商之间事先约定一致抬高或者压低投标报价，或者在招标项目中事先约定轮流以高价位或者低</w:t>
      </w:r>
      <w:r>
        <w:rPr>
          <w:rFonts w:ascii="黑体" w:hAnsi="黑体" w:eastAsia="黑体" w:cs="黑体"/>
          <w:color w:val="auto"/>
          <w:spacing w:val="16"/>
          <w:sz w:val="21"/>
          <w:szCs w:val="21"/>
          <w:highlight w:val="none"/>
        </w:rPr>
        <w:t xml:space="preserve"> </w:t>
      </w:r>
      <w:r>
        <w:rPr>
          <w:rFonts w:ascii="黑体" w:hAnsi="黑体" w:eastAsia="黑体" w:cs="黑体"/>
          <w:color w:val="auto"/>
          <w:sz w:val="21"/>
          <w:szCs w:val="21"/>
          <w:highlight w:val="none"/>
        </w:rPr>
        <w:t>价位中标，或者事先约定由某一特定供应商中标，然后再</w:t>
      </w:r>
      <w:r>
        <w:rPr>
          <w:rFonts w:ascii="黑体" w:hAnsi="黑体" w:eastAsia="黑体" w:cs="黑体"/>
          <w:color w:val="auto"/>
          <w:spacing w:val="-1"/>
          <w:sz w:val="21"/>
          <w:szCs w:val="21"/>
          <w:highlight w:val="none"/>
        </w:rPr>
        <w:t>参加投标；</w:t>
      </w:r>
    </w:p>
    <w:p>
      <w:pPr>
        <w:pStyle w:val="3"/>
        <w:spacing w:before="118" w:line="213" w:lineRule="auto"/>
        <w:ind w:left="409"/>
        <w:rPr>
          <w:rFonts w:ascii="黑体" w:hAnsi="黑体" w:eastAsia="黑体" w:cs="黑体"/>
          <w:color w:val="auto"/>
          <w:sz w:val="21"/>
          <w:szCs w:val="21"/>
          <w:highlight w:val="none"/>
        </w:rPr>
      </w:pPr>
      <w:r>
        <w:rPr>
          <w:color w:val="auto"/>
          <w:sz w:val="21"/>
          <w:szCs w:val="21"/>
          <w:highlight w:val="none"/>
        </w:rPr>
        <w:t>6.</w:t>
      </w:r>
      <w:r>
        <w:rPr>
          <w:rFonts w:ascii="黑体" w:hAnsi="黑体" w:eastAsia="黑体" w:cs="黑体"/>
          <w:color w:val="auto"/>
          <w:sz w:val="21"/>
          <w:szCs w:val="21"/>
          <w:highlight w:val="none"/>
        </w:rPr>
        <w:t>供应商之间商定部分供应商放弃参加政府采购活动或者放弃中标；</w:t>
      </w:r>
    </w:p>
    <w:p>
      <w:pPr>
        <w:pStyle w:val="3"/>
        <w:spacing w:before="118" w:line="269" w:lineRule="auto"/>
        <w:ind w:right="26" w:firstLine="409"/>
        <w:rPr>
          <w:rFonts w:ascii="黑体" w:hAnsi="黑体" w:eastAsia="黑体" w:cs="黑体"/>
          <w:color w:val="auto"/>
          <w:sz w:val="21"/>
          <w:szCs w:val="21"/>
          <w:highlight w:val="none"/>
        </w:rPr>
      </w:pPr>
      <w:r>
        <w:rPr>
          <w:color w:val="auto"/>
          <w:spacing w:val="3"/>
          <w:sz w:val="21"/>
          <w:szCs w:val="21"/>
          <w:highlight w:val="none"/>
        </w:rPr>
        <w:t>7.</w:t>
      </w:r>
      <w:r>
        <w:rPr>
          <w:rFonts w:ascii="黑体" w:hAnsi="黑体" w:eastAsia="黑体" w:cs="黑体"/>
          <w:color w:val="auto"/>
          <w:spacing w:val="3"/>
          <w:sz w:val="21"/>
          <w:szCs w:val="21"/>
          <w:highlight w:val="none"/>
        </w:rPr>
        <w:t>供应商与采购人或者采购代理机构之间、供</w:t>
      </w:r>
      <w:r>
        <w:rPr>
          <w:rFonts w:ascii="黑体" w:hAnsi="黑体" w:eastAsia="黑体" w:cs="黑体"/>
          <w:color w:val="auto"/>
          <w:spacing w:val="2"/>
          <w:sz w:val="21"/>
          <w:szCs w:val="21"/>
          <w:highlight w:val="none"/>
        </w:rPr>
        <w:t>应商相互之间，为谋求特定供应商中标或者排斥其他供</w:t>
      </w:r>
      <w:r>
        <w:rPr>
          <w:rFonts w:ascii="黑体" w:hAnsi="黑体" w:eastAsia="黑体" w:cs="黑体"/>
          <w:color w:val="auto"/>
          <w:sz w:val="21"/>
          <w:szCs w:val="21"/>
          <w:highlight w:val="none"/>
        </w:rPr>
        <w:t xml:space="preserve"> 应商的其他串通行为。</w:t>
      </w:r>
    </w:p>
    <w:p>
      <w:pPr>
        <w:spacing w:line="251" w:lineRule="auto"/>
        <w:rPr>
          <w:rFonts w:ascii="Arial"/>
          <w:color w:val="auto"/>
          <w:sz w:val="21"/>
          <w:highlight w:val="none"/>
        </w:rPr>
      </w:pPr>
    </w:p>
    <w:p>
      <w:pPr>
        <w:spacing w:line="251" w:lineRule="auto"/>
        <w:rPr>
          <w:rFonts w:ascii="Arial"/>
          <w:color w:val="auto"/>
          <w:sz w:val="21"/>
          <w:highlight w:val="none"/>
        </w:rPr>
      </w:pPr>
    </w:p>
    <w:p>
      <w:pPr>
        <w:spacing w:before="69" w:line="327" w:lineRule="auto"/>
        <w:ind w:left="3" w:firstLine="499"/>
        <w:rPr>
          <w:rFonts w:ascii="黑体" w:hAnsi="黑体" w:eastAsia="黑体" w:cs="黑体"/>
          <w:color w:val="auto"/>
          <w:sz w:val="21"/>
          <w:szCs w:val="21"/>
          <w:highlight w:val="none"/>
        </w:rPr>
      </w:pPr>
      <w:r>
        <w:rPr>
          <w:rFonts w:ascii="黑体" w:hAnsi="黑体" w:eastAsia="黑体" w:cs="黑体"/>
          <w:b/>
          <w:bCs/>
          <w:color w:val="auto"/>
          <w:spacing w:val="26"/>
          <w:sz w:val="21"/>
          <w:szCs w:val="21"/>
          <w:highlight w:val="none"/>
        </w:rPr>
        <w:t>以上情形一经核查属实，我方愿意承担一切后果，并不再寻求任何旨在减轻或</w:t>
      </w:r>
      <w:r>
        <w:rPr>
          <w:rFonts w:ascii="黑体" w:hAnsi="黑体" w:eastAsia="黑体" w:cs="黑体"/>
          <w:b/>
          <w:bCs/>
          <w:color w:val="auto"/>
          <w:spacing w:val="25"/>
          <w:sz w:val="21"/>
          <w:szCs w:val="21"/>
          <w:highlight w:val="none"/>
        </w:rPr>
        <w:t>免除法律责</w:t>
      </w:r>
      <w:r>
        <w:rPr>
          <w:rFonts w:ascii="黑体" w:hAnsi="黑体" w:eastAsia="黑体" w:cs="黑体"/>
          <w:color w:val="auto"/>
          <w:sz w:val="21"/>
          <w:szCs w:val="21"/>
          <w:highlight w:val="none"/>
        </w:rPr>
        <w:t xml:space="preserve"> </w:t>
      </w:r>
      <w:r>
        <w:rPr>
          <w:rFonts w:ascii="黑体" w:hAnsi="黑体" w:eastAsia="黑体" w:cs="黑体"/>
          <w:b/>
          <w:bCs/>
          <w:color w:val="auto"/>
          <w:spacing w:val="25"/>
          <w:sz w:val="21"/>
          <w:szCs w:val="21"/>
          <w:highlight w:val="none"/>
        </w:rPr>
        <w:t>任的辩解。</w:t>
      </w:r>
    </w:p>
    <w:p>
      <w:pPr>
        <w:spacing w:line="369" w:lineRule="auto"/>
        <w:rPr>
          <w:rFonts w:ascii="Arial"/>
          <w:color w:val="auto"/>
          <w:sz w:val="21"/>
          <w:highlight w:val="none"/>
        </w:rPr>
      </w:pPr>
    </w:p>
    <w:p>
      <w:pPr>
        <w:pStyle w:val="3"/>
        <w:spacing w:before="69" w:line="213" w:lineRule="auto"/>
        <w:ind w:left="1919"/>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供应商公章</w:t>
      </w:r>
      <w:r>
        <w:rPr>
          <w:color w:val="auto"/>
          <w:spacing w:val="-1"/>
          <w:sz w:val="21"/>
          <w:szCs w:val="21"/>
          <w:highlight w:val="none"/>
        </w:rPr>
        <w:t xml:space="preserve">(CA </w:t>
      </w:r>
      <w:r>
        <w:rPr>
          <w:rFonts w:ascii="黑体" w:hAnsi="黑体" w:eastAsia="黑体" w:cs="黑体"/>
          <w:color w:val="auto"/>
          <w:spacing w:val="-1"/>
          <w:sz w:val="21"/>
          <w:szCs w:val="21"/>
          <w:highlight w:val="none"/>
        </w:rPr>
        <w:t>签章，自然人签字或个人</w:t>
      </w:r>
      <w:r>
        <w:rPr>
          <w:color w:val="auto"/>
          <w:spacing w:val="-1"/>
          <w:sz w:val="21"/>
          <w:szCs w:val="21"/>
          <w:highlight w:val="none"/>
        </w:rPr>
        <w:t>CA</w:t>
      </w:r>
      <w:r>
        <w:rPr>
          <w:color w:val="auto"/>
          <w:spacing w:val="-35"/>
          <w:sz w:val="21"/>
          <w:szCs w:val="21"/>
          <w:highlight w:val="none"/>
        </w:rPr>
        <w:t xml:space="preserve"> </w:t>
      </w:r>
      <w:r>
        <w:rPr>
          <w:rFonts w:ascii="黑体" w:hAnsi="黑体" w:eastAsia="黑体" w:cs="黑体"/>
          <w:color w:val="auto"/>
          <w:spacing w:val="-1"/>
          <w:sz w:val="21"/>
          <w:szCs w:val="21"/>
          <w:highlight w:val="none"/>
        </w:rPr>
        <w:t>签</w:t>
      </w:r>
      <w:r>
        <w:rPr>
          <w:rFonts w:ascii="黑体" w:hAnsi="黑体" w:eastAsia="黑体" w:cs="黑体"/>
          <w:color w:val="auto"/>
          <w:spacing w:val="-35"/>
          <w:sz w:val="21"/>
          <w:szCs w:val="21"/>
          <w:highlight w:val="none"/>
        </w:rPr>
        <w:t xml:space="preserve"> </w:t>
      </w:r>
      <w:r>
        <w:rPr>
          <w:rFonts w:ascii="黑体" w:hAnsi="黑体" w:eastAsia="黑体" w:cs="黑体"/>
          <w:color w:val="auto"/>
          <w:spacing w:val="-1"/>
          <w:sz w:val="21"/>
          <w:szCs w:val="21"/>
          <w:highlight w:val="none"/>
        </w:rPr>
        <w:t>章</w:t>
      </w:r>
      <w:r>
        <w:rPr>
          <w:rFonts w:ascii="黑体" w:hAnsi="黑体" w:eastAsia="黑体" w:cs="黑体"/>
          <w:color w:val="auto"/>
          <w:spacing w:val="-39"/>
          <w:sz w:val="21"/>
          <w:szCs w:val="21"/>
          <w:highlight w:val="none"/>
        </w:rPr>
        <w:t xml:space="preserve"> </w:t>
      </w:r>
      <w:r>
        <w:rPr>
          <w:rFonts w:ascii="黑体" w:hAnsi="黑体" w:eastAsia="黑体" w:cs="黑体"/>
          <w:color w:val="auto"/>
          <w:spacing w:val="-1"/>
          <w:sz w:val="21"/>
          <w:szCs w:val="21"/>
          <w:highlight w:val="none"/>
        </w:rPr>
        <w:t>) :</w:t>
      </w:r>
      <w:r>
        <w:rPr>
          <w:rFonts w:ascii="黑体" w:hAnsi="黑体" w:eastAsia="黑体" w:cs="黑体"/>
          <w:color w:val="auto"/>
          <w:spacing w:val="-40"/>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67" w:line="222" w:lineRule="auto"/>
        <w:ind w:left="1909"/>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法定代表人或相应的委托代理人签字(或者电子签名):</w:t>
      </w:r>
      <w:r>
        <w:rPr>
          <w:rFonts w:ascii="黑体" w:hAnsi="黑体" w:eastAsia="黑体" w:cs="黑体"/>
          <w:color w:val="auto"/>
          <w:spacing w:val="-31"/>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50" w:line="224" w:lineRule="auto"/>
        <w:ind w:left="1999"/>
        <w:rPr>
          <w:rFonts w:ascii="黑体" w:hAnsi="黑体" w:eastAsia="黑体" w:cs="黑体"/>
          <w:color w:val="auto"/>
          <w:sz w:val="21"/>
          <w:szCs w:val="21"/>
          <w:highlight w:val="none"/>
        </w:rPr>
      </w:pPr>
      <w:r>
        <w:rPr>
          <w:rFonts w:ascii="黑体" w:hAnsi="黑体" w:eastAsia="黑体" w:cs="黑体"/>
          <w:color w:val="auto"/>
          <w:spacing w:val="-8"/>
          <w:sz w:val="21"/>
          <w:szCs w:val="21"/>
          <w:highlight w:val="none"/>
        </w:rPr>
        <w:t>日</w:t>
      </w:r>
      <w:r>
        <w:rPr>
          <w:rFonts w:ascii="黑体" w:hAnsi="黑体" w:eastAsia="黑体" w:cs="黑体"/>
          <w:color w:val="auto"/>
          <w:spacing w:val="4"/>
          <w:sz w:val="21"/>
          <w:szCs w:val="21"/>
          <w:highlight w:val="none"/>
        </w:rPr>
        <w:t xml:space="preserve">          </w:t>
      </w:r>
      <w:r>
        <w:rPr>
          <w:rFonts w:ascii="黑体" w:hAnsi="黑体" w:eastAsia="黑体" w:cs="黑体"/>
          <w:color w:val="auto"/>
          <w:spacing w:val="-8"/>
          <w:sz w:val="21"/>
          <w:szCs w:val="21"/>
          <w:highlight w:val="none"/>
        </w:rPr>
        <w:t>期</w:t>
      </w:r>
      <w:r>
        <w:rPr>
          <w:rFonts w:ascii="黑体" w:hAnsi="黑体" w:eastAsia="黑体" w:cs="黑体"/>
          <w:color w:val="auto"/>
          <w:spacing w:val="57"/>
          <w:sz w:val="21"/>
          <w:szCs w:val="21"/>
          <w:highlight w:val="none"/>
        </w:rPr>
        <w:t xml:space="preserve"> </w:t>
      </w:r>
      <w:r>
        <w:rPr>
          <w:rFonts w:ascii="黑体" w:hAnsi="黑体" w:eastAsia="黑体" w:cs="黑体"/>
          <w:color w:val="auto"/>
          <w:spacing w:val="-8"/>
          <w:sz w:val="21"/>
          <w:szCs w:val="21"/>
          <w:highlight w:val="none"/>
        </w:rPr>
        <w:t>：</w:t>
      </w:r>
      <w:r>
        <w:rPr>
          <w:rFonts w:ascii="黑体" w:hAnsi="黑体" w:eastAsia="黑体" w:cs="黑体"/>
          <w:color w:val="auto"/>
          <w:spacing w:val="-8"/>
          <w:sz w:val="21"/>
          <w:szCs w:val="21"/>
          <w:highlight w:val="none"/>
          <w:u w:val="single" w:color="auto"/>
        </w:rPr>
        <w:t xml:space="preserve">                   </w:t>
      </w:r>
      <w:r>
        <w:rPr>
          <w:rFonts w:ascii="黑体" w:hAnsi="黑体" w:eastAsia="黑体" w:cs="黑体"/>
          <w:color w:val="auto"/>
          <w:spacing w:val="-9"/>
          <w:sz w:val="21"/>
          <w:szCs w:val="21"/>
          <w:highlight w:val="none"/>
          <w:u w:val="single" w:color="auto"/>
        </w:rPr>
        <w:t xml:space="preserve">                                   </w:t>
      </w: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pStyle w:val="2"/>
        <w:rPr>
          <w:rFonts w:ascii="Arial"/>
          <w:color w:val="auto"/>
          <w:sz w:val="21"/>
          <w:highlight w:val="none"/>
        </w:rPr>
      </w:pPr>
    </w:p>
    <w:p>
      <w:pPr>
        <w:spacing w:line="270" w:lineRule="auto"/>
        <w:rPr>
          <w:rFonts w:ascii="Arial"/>
          <w:color w:val="auto"/>
          <w:sz w:val="21"/>
          <w:highlight w:val="none"/>
        </w:rPr>
      </w:pPr>
    </w:p>
    <w:p>
      <w:pPr>
        <w:spacing w:line="270" w:lineRule="auto"/>
        <w:rPr>
          <w:rFonts w:ascii="Arial"/>
          <w:color w:val="auto"/>
          <w:sz w:val="21"/>
          <w:highlight w:val="none"/>
        </w:rPr>
      </w:pPr>
    </w:p>
    <w:p>
      <w:pPr>
        <w:pStyle w:val="2"/>
        <w:rPr>
          <w:color w:val="auto"/>
          <w:highlight w:val="none"/>
        </w:rPr>
      </w:pPr>
    </w:p>
    <w:p>
      <w:pPr>
        <w:spacing w:line="240" w:lineRule="auto"/>
        <w:rPr>
          <w:rFonts w:ascii="Arial"/>
          <w:color w:val="auto"/>
          <w:sz w:val="21"/>
          <w:highlight w:val="none"/>
        </w:rPr>
      </w:pPr>
      <w:r>
        <w:rPr>
          <w:rFonts w:hint="eastAsia" w:eastAsia="宋体"/>
          <w:b/>
          <w:bCs/>
          <w:color w:val="auto"/>
          <w:spacing w:val="6"/>
          <w:sz w:val="32"/>
          <w:szCs w:val="32"/>
          <w:highlight w:val="none"/>
          <w:lang w:val="en-US" w:eastAsia="zh-CN"/>
        </w:rPr>
        <w:t>6</w:t>
      </w:r>
      <w:r>
        <w:rPr>
          <w:b/>
          <w:bCs/>
          <w:color w:val="auto"/>
          <w:spacing w:val="6"/>
          <w:sz w:val="32"/>
          <w:szCs w:val="32"/>
          <w:highlight w:val="none"/>
        </w:rPr>
        <w:t>.</w:t>
      </w:r>
      <w:r>
        <w:rPr>
          <w:rFonts w:ascii="黑体" w:hAnsi="黑体" w:eastAsia="黑体" w:cs="黑体"/>
          <w:b/>
          <w:bCs/>
          <w:color w:val="auto"/>
          <w:spacing w:val="6"/>
          <w:sz w:val="32"/>
          <w:szCs w:val="32"/>
          <w:highlight w:val="none"/>
        </w:rPr>
        <w:t>供应商为中小企业的相关有效证明材料(</w:t>
      </w:r>
      <w:r>
        <w:rPr>
          <w:rFonts w:hint="eastAsia" w:ascii="黑体" w:hAnsi="黑体" w:eastAsia="黑体" w:cs="黑体"/>
          <w:b/>
          <w:bCs/>
          <w:color w:val="auto"/>
          <w:spacing w:val="6"/>
          <w:sz w:val="32"/>
          <w:szCs w:val="32"/>
          <w:highlight w:val="none"/>
          <w:lang w:val="en-US" w:eastAsia="zh-CN"/>
        </w:rPr>
        <w:t>如有，请</w:t>
      </w:r>
      <w:r>
        <w:rPr>
          <w:rFonts w:ascii="黑体" w:hAnsi="黑体" w:eastAsia="黑体" w:cs="黑体"/>
          <w:b/>
          <w:bCs/>
          <w:color w:val="auto"/>
          <w:spacing w:val="6"/>
          <w:sz w:val="32"/>
          <w:szCs w:val="32"/>
          <w:highlight w:val="none"/>
        </w:rPr>
        <w:t>提供)</w:t>
      </w:r>
    </w:p>
    <w:p>
      <w:pPr>
        <w:spacing w:line="270" w:lineRule="auto"/>
        <w:rPr>
          <w:rFonts w:ascii="Arial"/>
          <w:color w:val="auto"/>
          <w:sz w:val="21"/>
          <w:highlight w:val="none"/>
        </w:rPr>
      </w:pPr>
    </w:p>
    <w:p>
      <w:pPr>
        <w:spacing w:before="71" w:line="291" w:lineRule="auto"/>
        <w:jc w:val="both"/>
        <w:rPr>
          <w:rFonts w:ascii="黑体" w:hAnsi="黑体" w:eastAsia="黑体" w:cs="黑体"/>
          <w:color w:val="auto"/>
          <w:sz w:val="22"/>
          <w:szCs w:val="22"/>
          <w:highlight w:val="none"/>
        </w:rPr>
      </w:pPr>
      <w:r>
        <w:rPr>
          <w:rFonts w:ascii="黑体" w:hAnsi="黑体" w:eastAsia="黑体" w:cs="黑体"/>
          <w:color w:val="auto"/>
          <w:spacing w:val="-8"/>
          <w:sz w:val="22"/>
          <w:szCs w:val="22"/>
          <w:highlight w:val="none"/>
        </w:rPr>
        <w:t>注：本项目</w:t>
      </w:r>
      <w:r>
        <w:rPr>
          <w:rFonts w:hint="eastAsia" w:ascii="黑体" w:hAnsi="黑体" w:eastAsia="黑体" w:cs="黑体"/>
          <w:color w:val="auto"/>
          <w:spacing w:val="-8"/>
          <w:sz w:val="22"/>
          <w:szCs w:val="22"/>
          <w:highlight w:val="none"/>
          <w:lang w:val="en-US" w:eastAsia="zh-CN"/>
        </w:rPr>
        <w:t>非</w:t>
      </w:r>
      <w:r>
        <w:rPr>
          <w:rFonts w:ascii="黑体" w:hAnsi="黑体" w:eastAsia="黑体" w:cs="黑体"/>
          <w:color w:val="auto"/>
          <w:spacing w:val="-8"/>
          <w:sz w:val="22"/>
          <w:szCs w:val="22"/>
          <w:highlight w:val="none"/>
        </w:rPr>
        <w:t>专门面向中小</w:t>
      </w:r>
      <w:r>
        <w:rPr>
          <w:rFonts w:ascii="黑体" w:hAnsi="黑体" w:eastAsia="黑体" w:cs="黑体"/>
          <w:color w:val="auto"/>
          <w:spacing w:val="-8"/>
          <w:sz w:val="22"/>
          <w:szCs w:val="22"/>
          <w:highlight w:val="none"/>
          <w:u w:val="single" w:color="auto"/>
        </w:rPr>
        <w:t>企业</w:t>
      </w:r>
      <w:r>
        <w:rPr>
          <w:rFonts w:ascii="黑体" w:hAnsi="黑体" w:eastAsia="黑体" w:cs="黑体"/>
          <w:color w:val="auto"/>
          <w:spacing w:val="-8"/>
          <w:sz w:val="22"/>
          <w:szCs w:val="22"/>
          <w:highlight w:val="none"/>
        </w:rPr>
        <w:t>采购</w:t>
      </w:r>
      <w:r>
        <w:rPr>
          <w:rFonts w:hint="eastAsia" w:ascii="黑体" w:hAnsi="黑体" w:eastAsia="黑体" w:cs="黑体"/>
          <w:color w:val="auto"/>
          <w:spacing w:val="-8"/>
          <w:sz w:val="22"/>
          <w:szCs w:val="22"/>
          <w:highlight w:val="none"/>
          <w:lang w:eastAsia="zh-CN"/>
        </w:rPr>
        <w:t>，</w:t>
      </w:r>
      <w:r>
        <w:rPr>
          <w:rFonts w:ascii="黑体" w:hAnsi="黑体" w:eastAsia="黑体" w:cs="黑体"/>
          <w:color w:val="auto"/>
          <w:spacing w:val="-5"/>
          <w:sz w:val="22"/>
          <w:szCs w:val="22"/>
          <w:highlight w:val="none"/>
        </w:rPr>
        <w:t>供应商根据自身情况，相应提供以</w:t>
      </w:r>
      <w:r>
        <w:rPr>
          <w:rFonts w:ascii="黑体" w:hAnsi="黑体" w:eastAsia="黑体" w:cs="黑体"/>
          <w:color w:val="auto"/>
          <w:spacing w:val="-9"/>
          <w:sz w:val="22"/>
          <w:szCs w:val="22"/>
          <w:highlight w:val="none"/>
        </w:rPr>
        <w:t>下证明材料：①供应商如为符合政策要求的中小</w:t>
      </w:r>
      <w:r>
        <w:rPr>
          <w:rFonts w:ascii="黑体" w:hAnsi="黑体" w:eastAsia="黑体" w:cs="黑体"/>
          <w:color w:val="auto"/>
          <w:spacing w:val="-10"/>
          <w:sz w:val="22"/>
          <w:szCs w:val="22"/>
          <w:highlight w:val="none"/>
          <w:u w:val="single" w:color="auto"/>
        </w:rPr>
        <w:t>企业且</w:t>
      </w:r>
      <w:r>
        <w:rPr>
          <w:rFonts w:ascii="黑体" w:hAnsi="黑体" w:eastAsia="黑体" w:cs="黑体"/>
          <w:color w:val="auto"/>
          <w:spacing w:val="-10"/>
          <w:sz w:val="22"/>
          <w:szCs w:val="22"/>
          <w:highlight w:val="none"/>
        </w:rPr>
        <w:t>承接本项目全部服务的，提供《中小</w:t>
      </w:r>
      <w:r>
        <w:rPr>
          <w:rFonts w:ascii="黑体" w:hAnsi="黑体" w:eastAsia="黑体" w:cs="黑体"/>
          <w:color w:val="auto"/>
          <w:spacing w:val="-10"/>
          <w:sz w:val="22"/>
          <w:szCs w:val="22"/>
          <w:highlight w:val="none"/>
          <w:u w:val="single" w:color="auto"/>
        </w:rPr>
        <w:t>企业</w:t>
      </w:r>
      <w:r>
        <w:rPr>
          <w:rFonts w:ascii="黑体" w:hAnsi="黑体" w:eastAsia="黑体" w:cs="黑体"/>
          <w:color w:val="auto"/>
          <w:spacing w:val="-10"/>
          <w:sz w:val="22"/>
          <w:szCs w:val="22"/>
          <w:highlight w:val="none"/>
        </w:rPr>
        <w:t>声明函》。</w:t>
      </w:r>
      <w:r>
        <w:rPr>
          <w:rFonts w:ascii="黑体" w:hAnsi="黑体" w:eastAsia="黑体" w:cs="黑体"/>
          <w:color w:val="auto"/>
          <w:sz w:val="22"/>
          <w:szCs w:val="22"/>
          <w:highlight w:val="none"/>
        </w:rPr>
        <w:t xml:space="preserve"> </w:t>
      </w:r>
      <w:r>
        <w:rPr>
          <w:rFonts w:ascii="黑体" w:hAnsi="黑体" w:eastAsia="黑体" w:cs="黑体"/>
          <w:color w:val="auto"/>
          <w:spacing w:val="-10"/>
          <w:sz w:val="22"/>
          <w:szCs w:val="22"/>
          <w:highlight w:val="none"/>
        </w:rPr>
        <w:t>②供应商如属于监狱企业且承接本项目全部服务的，提供由省级以上监狱管理局、戒毒管理</w:t>
      </w:r>
      <w:r>
        <w:rPr>
          <w:rFonts w:ascii="黑体" w:hAnsi="黑体" w:eastAsia="黑体" w:cs="黑体"/>
          <w:color w:val="auto"/>
          <w:spacing w:val="-11"/>
          <w:sz w:val="22"/>
          <w:szCs w:val="22"/>
          <w:highlight w:val="none"/>
        </w:rPr>
        <w:t>局(含新疆生产</w:t>
      </w:r>
      <w:r>
        <w:rPr>
          <w:rFonts w:ascii="黑体" w:hAnsi="黑体" w:eastAsia="黑体" w:cs="黑体"/>
          <w:color w:val="auto"/>
          <w:sz w:val="22"/>
          <w:szCs w:val="22"/>
          <w:highlight w:val="none"/>
        </w:rPr>
        <w:t xml:space="preserve">  </w:t>
      </w:r>
      <w:r>
        <w:rPr>
          <w:rFonts w:ascii="黑体" w:hAnsi="黑体" w:eastAsia="黑体" w:cs="黑体"/>
          <w:color w:val="auto"/>
          <w:spacing w:val="-10"/>
          <w:sz w:val="22"/>
          <w:szCs w:val="22"/>
          <w:highlight w:val="none"/>
        </w:rPr>
        <w:t>建设兵团)出具的属于监狱企业的证明文件。③供应商如属于符合条件的残疾人福利性单位且承接本项目全</w:t>
      </w:r>
      <w:r>
        <w:rPr>
          <w:rFonts w:ascii="黑体" w:hAnsi="黑体" w:eastAsia="黑体" w:cs="黑体"/>
          <w:color w:val="auto"/>
          <w:spacing w:val="8"/>
          <w:sz w:val="22"/>
          <w:szCs w:val="22"/>
          <w:highlight w:val="none"/>
        </w:rPr>
        <w:t xml:space="preserve"> </w:t>
      </w:r>
      <w:r>
        <w:rPr>
          <w:rFonts w:ascii="黑体" w:hAnsi="黑体" w:eastAsia="黑体" w:cs="黑体"/>
          <w:color w:val="auto"/>
          <w:spacing w:val="-1"/>
          <w:sz w:val="22"/>
          <w:szCs w:val="22"/>
          <w:highlight w:val="none"/>
        </w:rPr>
        <w:t>部服务的，提供《残疾人福利性单位声明函》(并对声</w:t>
      </w:r>
      <w:r>
        <w:rPr>
          <w:rFonts w:ascii="黑体" w:hAnsi="黑体" w:eastAsia="黑体" w:cs="黑体"/>
          <w:color w:val="auto"/>
          <w:spacing w:val="-2"/>
          <w:sz w:val="22"/>
          <w:szCs w:val="22"/>
          <w:highlight w:val="none"/>
        </w:rPr>
        <w:t>明的真实性负责)。</w:t>
      </w:r>
    </w:p>
    <w:p>
      <w:pPr>
        <w:spacing w:line="286" w:lineRule="auto"/>
        <w:rPr>
          <w:rFonts w:ascii="Arial"/>
          <w:color w:val="auto"/>
          <w:sz w:val="21"/>
          <w:highlight w:val="none"/>
        </w:rPr>
      </w:pPr>
    </w:p>
    <w:p>
      <w:pPr>
        <w:spacing w:line="286" w:lineRule="auto"/>
        <w:rPr>
          <w:rFonts w:ascii="Arial"/>
          <w:color w:val="auto"/>
          <w:sz w:val="21"/>
          <w:highlight w:val="none"/>
        </w:rPr>
      </w:pPr>
    </w:p>
    <w:p>
      <w:pPr>
        <w:spacing w:line="286" w:lineRule="auto"/>
        <w:rPr>
          <w:rFonts w:ascii="Arial"/>
          <w:color w:val="auto"/>
          <w:sz w:val="21"/>
          <w:highlight w:val="none"/>
        </w:rPr>
      </w:pPr>
    </w:p>
    <w:p>
      <w:pPr>
        <w:pStyle w:val="3"/>
        <w:spacing w:before="72" w:line="219" w:lineRule="auto"/>
        <w:ind w:left="3"/>
        <w:rPr>
          <w:color w:val="auto"/>
          <w:sz w:val="22"/>
          <w:szCs w:val="22"/>
          <w:highlight w:val="none"/>
        </w:rPr>
      </w:pPr>
      <w:r>
        <w:rPr>
          <w:b/>
          <w:bCs/>
          <w:color w:val="auto"/>
          <w:spacing w:val="-14"/>
          <w:sz w:val="22"/>
          <w:szCs w:val="22"/>
          <w:highlight w:val="none"/>
        </w:rPr>
        <w:t>附</w:t>
      </w:r>
      <w:r>
        <w:rPr>
          <w:color w:val="auto"/>
          <w:spacing w:val="43"/>
          <w:sz w:val="22"/>
          <w:szCs w:val="22"/>
          <w:highlight w:val="none"/>
        </w:rPr>
        <w:t xml:space="preserve"> </w:t>
      </w:r>
      <w:r>
        <w:rPr>
          <w:b/>
          <w:bCs/>
          <w:color w:val="auto"/>
          <w:spacing w:val="-14"/>
          <w:sz w:val="22"/>
          <w:szCs w:val="22"/>
          <w:highlight w:val="none"/>
        </w:rPr>
        <w:t>件</w:t>
      </w:r>
      <w:r>
        <w:rPr>
          <w:color w:val="auto"/>
          <w:spacing w:val="35"/>
          <w:sz w:val="22"/>
          <w:szCs w:val="22"/>
          <w:highlight w:val="none"/>
        </w:rPr>
        <w:t xml:space="preserve"> </w:t>
      </w:r>
      <w:r>
        <w:rPr>
          <w:b/>
          <w:bCs/>
          <w:color w:val="auto"/>
          <w:spacing w:val="-14"/>
          <w:sz w:val="22"/>
          <w:szCs w:val="22"/>
          <w:highlight w:val="none"/>
        </w:rPr>
        <w:t>：</w:t>
      </w:r>
    </w:p>
    <w:p>
      <w:pPr>
        <w:pStyle w:val="3"/>
        <w:spacing w:before="73" w:line="219" w:lineRule="auto"/>
        <w:ind w:left="2504"/>
        <w:rPr>
          <w:color w:val="auto"/>
          <w:sz w:val="33"/>
          <w:szCs w:val="33"/>
          <w:highlight w:val="none"/>
        </w:rPr>
      </w:pPr>
      <w:r>
        <w:rPr>
          <w:b/>
          <w:bCs/>
          <w:color w:val="auto"/>
          <w:spacing w:val="8"/>
          <w:sz w:val="33"/>
          <w:szCs w:val="33"/>
          <w:highlight w:val="none"/>
        </w:rPr>
        <w:t>中小企业声明函(服务)</w:t>
      </w:r>
      <w:r>
        <w:rPr>
          <w:color w:val="auto"/>
          <w:spacing w:val="54"/>
          <w:sz w:val="33"/>
          <w:szCs w:val="33"/>
          <w:highlight w:val="none"/>
        </w:rPr>
        <w:t xml:space="preserve"> </w:t>
      </w:r>
      <w:r>
        <w:rPr>
          <w:b/>
          <w:bCs/>
          <w:color w:val="auto"/>
          <w:spacing w:val="8"/>
          <w:sz w:val="33"/>
          <w:szCs w:val="33"/>
          <w:highlight w:val="none"/>
        </w:rPr>
        <w:t>(格式)</w:t>
      </w:r>
    </w:p>
    <w:p>
      <w:pPr>
        <w:spacing w:line="271" w:lineRule="auto"/>
        <w:rPr>
          <w:rFonts w:ascii="Arial"/>
          <w:color w:val="auto"/>
          <w:sz w:val="21"/>
          <w:highlight w:val="none"/>
        </w:rPr>
      </w:pPr>
    </w:p>
    <w:p>
      <w:pPr>
        <w:spacing w:line="272" w:lineRule="auto"/>
        <w:rPr>
          <w:rFonts w:ascii="Arial"/>
          <w:color w:val="auto"/>
          <w:sz w:val="21"/>
          <w:highlight w:val="none"/>
        </w:rPr>
      </w:pPr>
    </w:p>
    <w:p>
      <w:pPr>
        <w:spacing w:before="72" w:line="409" w:lineRule="auto"/>
        <w:ind w:right="223" w:firstLine="419"/>
        <w:jc w:val="both"/>
        <w:rPr>
          <w:rFonts w:ascii="黑体" w:hAnsi="黑体" w:eastAsia="黑体" w:cs="黑体"/>
          <w:color w:val="auto"/>
          <w:sz w:val="22"/>
          <w:szCs w:val="22"/>
          <w:highlight w:val="none"/>
        </w:rPr>
      </w:pPr>
      <w:r>
        <w:rPr>
          <w:rFonts w:ascii="黑体" w:hAnsi="黑体" w:eastAsia="黑体" w:cs="黑体"/>
          <w:color w:val="auto"/>
          <w:spacing w:val="5"/>
          <w:sz w:val="22"/>
          <w:szCs w:val="22"/>
          <w:highlight w:val="none"/>
        </w:rPr>
        <w:t>本公司郑重声明，根据《政府采购促进中小</w:t>
      </w:r>
      <w:r>
        <w:rPr>
          <w:rFonts w:ascii="黑体" w:hAnsi="黑体" w:eastAsia="黑体" w:cs="黑体"/>
          <w:color w:val="auto"/>
          <w:spacing w:val="5"/>
          <w:sz w:val="22"/>
          <w:szCs w:val="22"/>
          <w:highlight w:val="none"/>
          <w:u w:val="single" w:color="auto"/>
        </w:rPr>
        <w:t>企业</w:t>
      </w:r>
      <w:r>
        <w:rPr>
          <w:rFonts w:ascii="黑体" w:hAnsi="黑体" w:eastAsia="黑体" w:cs="黑体"/>
          <w:color w:val="auto"/>
          <w:spacing w:val="5"/>
          <w:sz w:val="22"/>
          <w:szCs w:val="22"/>
          <w:highlight w:val="none"/>
        </w:rPr>
        <w:t>发展管理办法》(财库〔2020〕46号)的规定，</w:t>
      </w:r>
      <w:r>
        <w:rPr>
          <w:rFonts w:ascii="黑体" w:hAnsi="黑体" w:eastAsia="黑体" w:cs="黑体"/>
          <w:color w:val="auto"/>
          <w:spacing w:val="3"/>
          <w:sz w:val="22"/>
          <w:szCs w:val="22"/>
          <w:highlight w:val="none"/>
        </w:rPr>
        <w:t xml:space="preserve"> </w:t>
      </w:r>
      <w:r>
        <w:rPr>
          <w:rFonts w:ascii="黑体" w:hAnsi="黑体" w:eastAsia="黑体" w:cs="黑体"/>
          <w:color w:val="auto"/>
          <w:spacing w:val="9"/>
          <w:sz w:val="22"/>
          <w:szCs w:val="22"/>
          <w:highlight w:val="none"/>
        </w:rPr>
        <w:t>本公司参</w:t>
      </w:r>
      <w:r>
        <w:rPr>
          <w:rFonts w:ascii="黑体" w:hAnsi="黑体" w:eastAsia="黑体" w:cs="黑体"/>
          <w:color w:val="auto"/>
          <w:spacing w:val="9"/>
          <w:sz w:val="22"/>
          <w:szCs w:val="22"/>
          <w:highlight w:val="none"/>
          <w:u w:val="single" w:color="auto"/>
        </w:rPr>
        <w:t>加(单位名称)的(项目名称)</w:t>
      </w:r>
      <w:r>
        <w:rPr>
          <w:rFonts w:ascii="黑体" w:hAnsi="黑体" w:eastAsia="黑体" w:cs="黑体"/>
          <w:color w:val="auto"/>
          <w:spacing w:val="9"/>
          <w:sz w:val="22"/>
          <w:szCs w:val="22"/>
          <w:highlight w:val="none"/>
        </w:rPr>
        <w:t>采购活动，服务全部由符合政策要求的中小</w:t>
      </w:r>
      <w:r>
        <w:rPr>
          <w:rFonts w:ascii="黑体" w:hAnsi="黑体" w:eastAsia="黑体" w:cs="黑体"/>
          <w:color w:val="auto"/>
          <w:spacing w:val="9"/>
          <w:sz w:val="22"/>
          <w:szCs w:val="22"/>
          <w:highlight w:val="none"/>
          <w:u w:val="single" w:color="auto"/>
        </w:rPr>
        <w:t>企业</w:t>
      </w:r>
      <w:r>
        <w:rPr>
          <w:rFonts w:ascii="黑体" w:hAnsi="黑体" w:eastAsia="黑体" w:cs="黑体"/>
          <w:color w:val="auto"/>
          <w:spacing w:val="9"/>
          <w:sz w:val="22"/>
          <w:szCs w:val="22"/>
          <w:highlight w:val="none"/>
        </w:rPr>
        <w:t>承接。具体</w:t>
      </w:r>
      <w:r>
        <w:rPr>
          <w:rFonts w:ascii="黑体" w:hAnsi="黑体" w:eastAsia="黑体" w:cs="黑体"/>
          <w:color w:val="auto"/>
          <w:spacing w:val="5"/>
          <w:sz w:val="22"/>
          <w:szCs w:val="22"/>
          <w:highlight w:val="none"/>
        </w:rPr>
        <w:t xml:space="preserve"> </w:t>
      </w:r>
      <w:r>
        <w:rPr>
          <w:rFonts w:ascii="黑体" w:hAnsi="黑体" w:eastAsia="黑体" w:cs="黑体"/>
          <w:color w:val="auto"/>
          <w:spacing w:val="-8"/>
          <w:sz w:val="22"/>
          <w:szCs w:val="22"/>
          <w:highlight w:val="none"/>
        </w:rPr>
        <w:t>情况如下：</w:t>
      </w:r>
    </w:p>
    <w:p>
      <w:pPr>
        <w:spacing w:before="16" w:line="392" w:lineRule="auto"/>
        <w:ind w:right="380" w:firstLine="629"/>
        <w:rPr>
          <w:rFonts w:ascii="黑体" w:hAnsi="黑体" w:eastAsia="黑体" w:cs="黑体"/>
          <w:color w:val="auto"/>
          <w:sz w:val="22"/>
          <w:szCs w:val="22"/>
          <w:highlight w:val="none"/>
        </w:rPr>
      </w:pPr>
      <w:r>
        <w:rPr>
          <w:rFonts w:ascii="黑体" w:hAnsi="黑体" w:eastAsia="黑体" w:cs="黑体"/>
          <w:color w:val="auto"/>
          <w:spacing w:val="13"/>
          <w:sz w:val="22"/>
          <w:szCs w:val="22"/>
          <w:highlight w:val="none"/>
          <w:u w:val="single" w:color="auto"/>
        </w:rPr>
        <w:t>(标的名称)</w:t>
      </w:r>
      <w:r>
        <w:rPr>
          <w:rFonts w:ascii="黑体" w:hAnsi="黑体" w:eastAsia="黑体" w:cs="黑体"/>
          <w:color w:val="auto"/>
          <w:spacing w:val="-53"/>
          <w:sz w:val="22"/>
          <w:szCs w:val="22"/>
          <w:highlight w:val="none"/>
        </w:rPr>
        <w:t xml:space="preserve"> </w:t>
      </w:r>
      <w:r>
        <w:rPr>
          <w:rFonts w:ascii="黑体" w:hAnsi="黑体" w:eastAsia="黑体" w:cs="黑体"/>
          <w:color w:val="auto"/>
          <w:spacing w:val="13"/>
          <w:sz w:val="22"/>
          <w:szCs w:val="22"/>
          <w:highlight w:val="none"/>
        </w:rPr>
        <w:t>属于</w:t>
      </w:r>
      <w:r>
        <w:rPr>
          <w:rFonts w:ascii="黑体" w:hAnsi="黑体" w:eastAsia="黑体" w:cs="黑体"/>
          <w:color w:val="auto"/>
          <w:spacing w:val="76"/>
          <w:sz w:val="22"/>
          <w:szCs w:val="22"/>
          <w:highlight w:val="none"/>
          <w:u w:val="single" w:color="auto"/>
        </w:rPr>
        <w:t xml:space="preserve"> </w:t>
      </w:r>
      <w:r>
        <w:rPr>
          <w:rFonts w:ascii="黑体" w:hAnsi="黑体" w:eastAsia="黑体" w:cs="黑体"/>
          <w:color w:val="auto"/>
          <w:spacing w:val="13"/>
          <w:sz w:val="22"/>
          <w:szCs w:val="22"/>
          <w:highlight w:val="none"/>
          <w:u w:val="single" w:color="auto"/>
        </w:rPr>
        <w:t>(采购文件中明确的所属行业)</w:t>
      </w:r>
      <w:r>
        <w:rPr>
          <w:rFonts w:ascii="黑体" w:hAnsi="黑体" w:eastAsia="黑体" w:cs="黑体"/>
          <w:color w:val="auto"/>
          <w:spacing w:val="58"/>
          <w:sz w:val="22"/>
          <w:szCs w:val="22"/>
          <w:highlight w:val="none"/>
        </w:rPr>
        <w:t xml:space="preserve"> </w:t>
      </w:r>
      <w:r>
        <w:rPr>
          <w:rFonts w:ascii="黑体" w:hAnsi="黑体" w:eastAsia="黑体" w:cs="黑体"/>
          <w:color w:val="auto"/>
          <w:spacing w:val="13"/>
          <w:sz w:val="22"/>
          <w:szCs w:val="22"/>
          <w:highlight w:val="none"/>
        </w:rPr>
        <w:t>;</w:t>
      </w:r>
      <w:r>
        <w:rPr>
          <w:rFonts w:ascii="黑体" w:hAnsi="黑体" w:eastAsia="黑体" w:cs="黑体"/>
          <w:color w:val="auto"/>
          <w:spacing w:val="39"/>
          <w:sz w:val="22"/>
          <w:szCs w:val="22"/>
          <w:highlight w:val="none"/>
        </w:rPr>
        <w:t xml:space="preserve"> </w:t>
      </w:r>
      <w:r>
        <w:rPr>
          <w:rFonts w:ascii="黑体" w:hAnsi="黑体" w:eastAsia="黑体" w:cs="黑体"/>
          <w:color w:val="auto"/>
          <w:spacing w:val="13"/>
          <w:sz w:val="22"/>
          <w:szCs w:val="22"/>
          <w:highlight w:val="none"/>
        </w:rPr>
        <w:t>承</w:t>
      </w:r>
      <w:r>
        <w:rPr>
          <w:rFonts w:ascii="黑体" w:hAnsi="黑体" w:eastAsia="黑体" w:cs="黑体"/>
          <w:color w:val="auto"/>
          <w:spacing w:val="13"/>
          <w:sz w:val="22"/>
          <w:szCs w:val="22"/>
          <w:highlight w:val="none"/>
          <w:u w:val="single" w:color="auto"/>
        </w:rPr>
        <w:t>接企业</w:t>
      </w:r>
      <w:r>
        <w:rPr>
          <w:rFonts w:ascii="黑体" w:hAnsi="黑体" w:eastAsia="黑体" w:cs="黑体"/>
          <w:color w:val="auto"/>
          <w:spacing w:val="13"/>
          <w:sz w:val="22"/>
          <w:szCs w:val="22"/>
          <w:highlight w:val="none"/>
        </w:rPr>
        <w:t>为</w:t>
      </w:r>
      <w:r>
        <w:rPr>
          <w:rFonts w:ascii="黑体" w:hAnsi="黑体" w:eastAsia="黑体" w:cs="黑体"/>
          <w:color w:val="auto"/>
          <w:spacing w:val="-46"/>
          <w:sz w:val="22"/>
          <w:szCs w:val="22"/>
          <w:highlight w:val="none"/>
        </w:rPr>
        <w:t xml:space="preserve"> </w:t>
      </w:r>
      <w:r>
        <w:rPr>
          <w:rFonts w:ascii="黑体" w:hAnsi="黑体" w:eastAsia="黑体" w:cs="黑体"/>
          <w:color w:val="auto"/>
          <w:spacing w:val="-60"/>
          <w:sz w:val="22"/>
          <w:szCs w:val="22"/>
          <w:highlight w:val="none"/>
          <w:u w:val="single" w:color="auto"/>
        </w:rPr>
        <w:t xml:space="preserve"> </w:t>
      </w:r>
      <w:r>
        <w:rPr>
          <w:rFonts w:ascii="黑体" w:hAnsi="黑体" w:eastAsia="黑体" w:cs="黑体"/>
          <w:color w:val="auto"/>
          <w:spacing w:val="13"/>
          <w:sz w:val="22"/>
          <w:szCs w:val="22"/>
          <w:highlight w:val="none"/>
          <w:u w:val="single" w:color="auto"/>
        </w:rPr>
        <w:t>(企业名称)</w:t>
      </w:r>
      <w:r>
        <w:rPr>
          <w:rFonts w:ascii="黑体" w:hAnsi="黑体" w:eastAsia="黑体" w:cs="黑体"/>
          <w:color w:val="auto"/>
          <w:spacing w:val="13"/>
          <w:sz w:val="22"/>
          <w:szCs w:val="22"/>
          <w:highlight w:val="none"/>
        </w:rPr>
        <w:t>,从业人员</w:t>
      </w:r>
      <w:r>
        <w:rPr>
          <w:rFonts w:ascii="黑体" w:hAnsi="黑体" w:eastAsia="黑体" w:cs="黑体"/>
          <w:color w:val="auto"/>
          <w:sz w:val="22"/>
          <w:szCs w:val="22"/>
          <w:highlight w:val="none"/>
        </w:rPr>
        <w:t xml:space="preserve"> </w:t>
      </w:r>
      <w:r>
        <w:rPr>
          <w:rFonts w:ascii="黑体" w:hAnsi="黑体" w:eastAsia="黑体" w:cs="黑体"/>
          <w:color w:val="auto"/>
          <w:spacing w:val="4"/>
          <w:sz w:val="22"/>
          <w:szCs w:val="22"/>
          <w:highlight w:val="none"/>
        </w:rPr>
        <w:t>人，营业收入为</w:t>
      </w:r>
      <w:r>
        <w:rPr>
          <w:rFonts w:ascii="黑体" w:hAnsi="黑体" w:eastAsia="黑体" w:cs="黑体"/>
          <w:color w:val="auto"/>
          <w:spacing w:val="-87"/>
          <w:sz w:val="22"/>
          <w:szCs w:val="22"/>
          <w:highlight w:val="none"/>
        </w:rPr>
        <w:t xml:space="preserve"> </w:t>
      </w:r>
      <w:r>
        <w:rPr>
          <w:rFonts w:ascii="黑体" w:hAnsi="黑体" w:eastAsia="黑体" w:cs="黑体"/>
          <w:color w:val="auto"/>
          <w:spacing w:val="14"/>
          <w:sz w:val="22"/>
          <w:szCs w:val="22"/>
          <w:highlight w:val="none"/>
          <w:u w:val="single" w:color="auto"/>
        </w:rPr>
        <w:t xml:space="preserve">     </w:t>
      </w:r>
      <w:r>
        <w:rPr>
          <w:rFonts w:ascii="黑体" w:hAnsi="黑体" w:eastAsia="黑体" w:cs="黑体"/>
          <w:color w:val="auto"/>
          <w:spacing w:val="-90"/>
          <w:sz w:val="22"/>
          <w:szCs w:val="22"/>
          <w:highlight w:val="none"/>
        </w:rPr>
        <w:t xml:space="preserve"> </w:t>
      </w:r>
      <w:r>
        <w:rPr>
          <w:rFonts w:ascii="黑体" w:hAnsi="黑体" w:eastAsia="黑体" w:cs="黑体"/>
          <w:color w:val="auto"/>
          <w:spacing w:val="4"/>
          <w:sz w:val="22"/>
          <w:szCs w:val="22"/>
          <w:highlight w:val="none"/>
        </w:rPr>
        <w:t>万元，资产总额为</w:t>
      </w:r>
      <w:r>
        <w:rPr>
          <w:rFonts w:ascii="黑体" w:hAnsi="黑体" w:eastAsia="黑体" w:cs="黑体"/>
          <w:color w:val="auto"/>
          <w:spacing w:val="4"/>
          <w:sz w:val="22"/>
          <w:szCs w:val="22"/>
          <w:highlight w:val="none"/>
          <w:u w:val="single" w:color="auto"/>
        </w:rPr>
        <w:t xml:space="preserve">     </w:t>
      </w:r>
      <w:r>
        <w:rPr>
          <w:rFonts w:ascii="黑体" w:hAnsi="黑体" w:eastAsia="黑体" w:cs="黑体"/>
          <w:color w:val="auto"/>
          <w:spacing w:val="4"/>
          <w:sz w:val="22"/>
          <w:szCs w:val="22"/>
          <w:highlight w:val="none"/>
        </w:rPr>
        <w:t>万元，属于</w:t>
      </w:r>
      <w:r>
        <w:rPr>
          <w:rFonts w:ascii="黑体" w:hAnsi="黑体" w:eastAsia="黑体" w:cs="黑体"/>
          <w:color w:val="auto"/>
          <w:spacing w:val="-63"/>
          <w:sz w:val="22"/>
          <w:szCs w:val="22"/>
          <w:highlight w:val="none"/>
          <w:u w:val="single" w:color="auto"/>
        </w:rPr>
        <w:t xml:space="preserve"> </w:t>
      </w:r>
      <w:r>
        <w:rPr>
          <w:rFonts w:ascii="黑体" w:hAnsi="黑体" w:eastAsia="黑体" w:cs="黑体"/>
          <w:color w:val="auto"/>
          <w:spacing w:val="4"/>
          <w:sz w:val="22"/>
          <w:szCs w:val="22"/>
          <w:highlight w:val="none"/>
          <w:u w:val="single" w:color="auto"/>
        </w:rPr>
        <w:t>(中型企业、小型企业、微型企业)</w:t>
      </w:r>
      <w:r>
        <w:rPr>
          <w:rFonts w:ascii="黑体" w:hAnsi="黑体" w:eastAsia="黑体" w:cs="黑体"/>
          <w:color w:val="auto"/>
          <w:spacing w:val="4"/>
          <w:sz w:val="22"/>
          <w:szCs w:val="22"/>
          <w:highlight w:val="none"/>
        </w:rPr>
        <w:t>;</w:t>
      </w:r>
    </w:p>
    <w:p>
      <w:pPr>
        <w:pStyle w:val="3"/>
        <w:spacing w:before="141" w:line="24" w:lineRule="exact"/>
        <w:ind w:left="1209"/>
        <w:rPr>
          <w:color w:val="auto"/>
          <w:sz w:val="6"/>
          <w:szCs w:val="6"/>
          <w:highlight w:val="none"/>
        </w:rPr>
      </w:pPr>
      <w:r>
        <w:rPr>
          <w:color w:val="auto"/>
          <w:spacing w:val="-1"/>
          <w:sz w:val="6"/>
          <w:szCs w:val="6"/>
          <w:highlight w:val="none"/>
        </w:rPr>
        <w:t>.....</w:t>
      </w:r>
    </w:p>
    <w:p>
      <w:pPr>
        <w:spacing w:line="286" w:lineRule="auto"/>
        <w:rPr>
          <w:rFonts w:ascii="Arial"/>
          <w:color w:val="auto"/>
          <w:sz w:val="21"/>
          <w:highlight w:val="none"/>
        </w:rPr>
      </w:pPr>
    </w:p>
    <w:p>
      <w:pPr>
        <w:spacing w:before="72" w:line="424" w:lineRule="auto"/>
        <w:ind w:right="316" w:firstLine="419"/>
        <w:rPr>
          <w:rFonts w:ascii="黑体" w:hAnsi="黑体" w:eastAsia="黑体" w:cs="黑体"/>
          <w:color w:val="auto"/>
          <w:sz w:val="22"/>
          <w:szCs w:val="22"/>
          <w:highlight w:val="none"/>
        </w:rPr>
      </w:pPr>
      <w:r>
        <w:rPr>
          <w:rFonts w:ascii="黑体" w:hAnsi="黑体" w:eastAsia="黑体" w:cs="黑体"/>
          <w:color w:val="auto"/>
          <w:spacing w:val="-3"/>
          <w:sz w:val="22"/>
          <w:szCs w:val="22"/>
          <w:highlight w:val="none"/>
        </w:rPr>
        <w:t>以</w:t>
      </w:r>
      <w:r>
        <w:rPr>
          <w:rFonts w:ascii="黑体" w:hAnsi="黑体" w:eastAsia="黑体" w:cs="黑体"/>
          <w:color w:val="auto"/>
          <w:spacing w:val="-81"/>
          <w:sz w:val="22"/>
          <w:szCs w:val="22"/>
          <w:highlight w:val="none"/>
        </w:rPr>
        <w:t xml:space="preserve"> </w:t>
      </w:r>
      <w:r>
        <w:rPr>
          <w:rFonts w:ascii="黑体" w:hAnsi="黑体" w:eastAsia="黑体" w:cs="黑体"/>
          <w:color w:val="auto"/>
          <w:spacing w:val="-98"/>
          <w:sz w:val="22"/>
          <w:szCs w:val="22"/>
          <w:highlight w:val="none"/>
          <w:u w:val="single" w:color="auto"/>
        </w:rPr>
        <w:t xml:space="preserve"> </w:t>
      </w:r>
      <w:r>
        <w:rPr>
          <w:rFonts w:ascii="黑体" w:hAnsi="黑体" w:eastAsia="黑体" w:cs="黑体"/>
          <w:color w:val="auto"/>
          <w:spacing w:val="-3"/>
          <w:sz w:val="22"/>
          <w:szCs w:val="22"/>
          <w:highlight w:val="none"/>
          <w:u w:val="single" w:color="auto"/>
        </w:rPr>
        <w:t>上企业</w:t>
      </w:r>
      <w:r>
        <w:rPr>
          <w:rFonts w:ascii="黑体" w:hAnsi="黑体" w:eastAsia="黑体" w:cs="黑体"/>
          <w:color w:val="auto"/>
          <w:spacing w:val="-3"/>
          <w:sz w:val="22"/>
          <w:szCs w:val="22"/>
          <w:highlight w:val="none"/>
        </w:rPr>
        <w:t>，不属干大</w:t>
      </w:r>
      <w:r>
        <w:rPr>
          <w:rFonts w:ascii="黑体" w:hAnsi="黑体" w:eastAsia="黑体" w:cs="黑体"/>
          <w:color w:val="auto"/>
          <w:spacing w:val="-3"/>
          <w:sz w:val="22"/>
          <w:szCs w:val="22"/>
          <w:highlight w:val="none"/>
          <w:u w:val="single" w:color="auto"/>
        </w:rPr>
        <w:t>企业</w:t>
      </w:r>
      <w:r>
        <w:rPr>
          <w:rFonts w:ascii="黑体" w:hAnsi="黑体" w:eastAsia="黑体" w:cs="黑体"/>
          <w:color w:val="auto"/>
          <w:spacing w:val="-3"/>
          <w:sz w:val="22"/>
          <w:szCs w:val="22"/>
          <w:highlight w:val="none"/>
        </w:rPr>
        <w:t>的分支机构，不存在控股股东为大企业的情形，也不存在与大企业的负</w:t>
      </w:r>
      <w:r>
        <w:rPr>
          <w:rFonts w:ascii="黑体" w:hAnsi="黑体" w:eastAsia="黑体" w:cs="黑体"/>
          <w:color w:val="auto"/>
          <w:sz w:val="22"/>
          <w:szCs w:val="22"/>
          <w:highlight w:val="none"/>
        </w:rPr>
        <w:t xml:space="preserve"> 责人为同一人的情形。</w:t>
      </w:r>
    </w:p>
    <w:p>
      <w:pPr>
        <w:spacing w:before="1" w:line="212" w:lineRule="auto"/>
        <w:ind w:left="419"/>
        <w:rPr>
          <w:rFonts w:ascii="黑体" w:hAnsi="黑体" w:eastAsia="黑体" w:cs="黑体"/>
          <w:color w:val="auto"/>
          <w:sz w:val="22"/>
          <w:szCs w:val="22"/>
          <w:highlight w:val="none"/>
        </w:rPr>
      </w:pPr>
      <w:r>
        <w:rPr>
          <w:rFonts w:ascii="黑体" w:hAnsi="黑体" w:eastAsia="黑体" w:cs="黑体"/>
          <w:color w:val="auto"/>
          <w:sz w:val="22"/>
          <w:szCs w:val="22"/>
          <w:highlight w:val="none"/>
        </w:rPr>
        <w:t>本企业对上述声明内容的真实性负责。如有虚假，将依法承担相应责</w:t>
      </w:r>
      <w:r>
        <w:rPr>
          <w:rFonts w:ascii="黑体" w:hAnsi="黑体" w:eastAsia="黑体" w:cs="黑体"/>
          <w:color w:val="auto"/>
          <w:spacing w:val="-1"/>
          <w:sz w:val="22"/>
          <w:szCs w:val="22"/>
          <w:highlight w:val="none"/>
        </w:rPr>
        <w:t>任。</w:t>
      </w:r>
    </w:p>
    <w:p>
      <w:pPr>
        <w:rPr>
          <w:rFonts w:ascii="Arial"/>
          <w:color w:val="auto"/>
          <w:sz w:val="21"/>
          <w:highlight w:val="none"/>
        </w:rPr>
      </w:pPr>
    </w:p>
    <w:p>
      <w:pPr>
        <w:spacing w:line="241" w:lineRule="auto"/>
        <w:rPr>
          <w:rFonts w:ascii="Arial"/>
          <w:color w:val="auto"/>
          <w:sz w:val="21"/>
          <w:highlight w:val="none"/>
        </w:rPr>
      </w:pPr>
    </w:p>
    <w:p>
      <w:pPr>
        <w:spacing w:before="72" w:line="222" w:lineRule="auto"/>
        <w:ind w:left="7130"/>
        <w:rPr>
          <w:rFonts w:ascii="黑体" w:hAnsi="黑体" w:eastAsia="黑体" w:cs="黑体"/>
          <w:color w:val="auto"/>
          <w:sz w:val="22"/>
          <w:szCs w:val="22"/>
          <w:highlight w:val="none"/>
        </w:rPr>
      </w:pPr>
      <w:r>
        <w:rPr>
          <w:rFonts w:ascii="黑体" w:hAnsi="黑体" w:eastAsia="黑体" w:cs="黑体"/>
          <w:color w:val="auto"/>
          <w:spacing w:val="38"/>
          <w:sz w:val="22"/>
          <w:szCs w:val="22"/>
          <w:highlight w:val="none"/>
        </w:rPr>
        <w:t>单位名称(电子签章):</w:t>
      </w:r>
    </w:p>
    <w:p>
      <w:pPr>
        <w:spacing w:before="158" w:line="224" w:lineRule="auto"/>
        <w:ind w:left="7559"/>
        <w:rPr>
          <w:rFonts w:ascii="黑体" w:hAnsi="黑体" w:eastAsia="黑体" w:cs="黑体"/>
          <w:color w:val="auto"/>
          <w:sz w:val="22"/>
          <w:szCs w:val="22"/>
          <w:highlight w:val="none"/>
        </w:rPr>
      </w:pPr>
      <w:r>
        <w:rPr>
          <w:rFonts w:ascii="黑体" w:hAnsi="黑体" w:eastAsia="黑体" w:cs="黑体"/>
          <w:color w:val="auto"/>
          <w:spacing w:val="-17"/>
          <w:sz w:val="22"/>
          <w:szCs w:val="22"/>
          <w:highlight w:val="none"/>
        </w:rPr>
        <w:t>日</w:t>
      </w:r>
      <w:r>
        <w:rPr>
          <w:rFonts w:ascii="黑体" w:hAnsi="黑体" w:eastAsia="黑体" w:cs="黑体"/>
          <w:color w:val="auto"/>
          <w:spacing w:val="14"/>
          <w:sz w:val="22"/>
          <w:szCs w:val="22"/>
          <w:highlight w:val="none"/>
        </w:rPr>
        <w:t xml:space="preserve">   </w:t>
      </w:r>
      <w:r>
        <w:rPr>
          <w:rFonts w:ascii="黑体" w:hAnsi="黑体" w:eastAsia="黑体" w:cs="黑体"/>
          <w:color w:val="auto"/>
          <w:spacing w:val="-17"/>
          <w:sz w:val="22"/>
          <w:szCs w:val="22"/>
          <w:highlight w:val="none"/>
        </w:rPr>
        <w:t>期</w:t>
      </w:r>
      <w:r>
        <w:rPr>
          <w:rFonts w:ascii="黑体" w:hAnsi="黑体" w:eastAsia="黑体" w:cs="黑体"/>
          <w:color w:val="auto"/>
          <w:spacing w:val="-52"/>
          <w:sz w:val="22"/>
          <w:szCs w:val="22"/>
          <w:highlight w:val="none"/>
        </w:rPr>
        <w:t xml:space="preserve"> </w:t>
      </w:r>
      <w:r>
        <w:rPr>
          <w:rFonts w:ascii="黑体" w:hAnsi="黑体" w:eastAsia="黑体" w:cs="黑体"/>
          <w:color w:val="auto"/>
          <w:spacing w:val="-17"/>
          <w:sz w:val="22"/>
          <w:szCs w:val="22"/>
          <w:highlight w:val="none"/>
        </w:rPr>
        <w:t>：</w:t>
      </w:r>
    </w:p>
    <w:p>
      <w:pPr>
        <w:spacing w:line="433" w:lineRule="auto"/>
        <w:rPr>
          <w:rFonts w:ascii="Arial"/>
          <w:color w:val="auto"/>
          <w:sz w:val="21"/>
          <w:highlight w:val="none"/>
        </w:rPr>
      </w:pPr>
    </w:p>
    <w:p>
      <w:pPr>
        <w:spacing w:before="72" w:line="222" w:lineRule="auto"/>
        <w:ind w:left="423"/>
        <w:rPr>
          <w:rFonts w:ascii="黑体" w:hAnsi="黑体" w:eastAsia="黑体" w:cs="黑体"/>
          <w:color w:val="auto"/>
          <w:sz w:val="22"/>
          <w:szCs w:val="22"/>
          <w:highlight w:val="none"/>
        </w:rPr>
      </w:pPr>
      <w:r>
        <w:rPr>
          <w:rFonts w:ascii="黑体" w:hAnsi="黑体" w:eastAsia="黑体" w:cs="黑体"/>
          <w:b/>
          <w:bCs/>
          <w:color w:val="auto"/>
          <w:spacing w:val="-8"/>
          <w:sz w:val="22"/>
          <w:szCs w:val="22"/>
          <w:highlight w:val="none"/>
        </w:rPr>
        <w:t>注</w:t>
      </w:r>
      <w:r>
        <w:rPr>
          <w:rFonts w:ascii="黑体" w:hAnsi="黑体" w:eastAsia="黑体" w:cs="黑体"/>
          <w:color w:val="auto"/>
          <w:spacing w:val="-45"/>
          <w:sz w:val="22"/>
          <w:szCs w:val="22"/>
          <w:highlight w:val="none"/>
        </w:rPr>
        <w:t xml:space="preserve"> </w:t>
      </w:r>
      <w:r>
        <w:rPr>
          <w:rFonts w:ascii="黑体" w:hAnsi="黑体" w:eastAsia="黑体" w:cs="黑体"/>
          <w:b/>
          <w:bCs/>
          <w:color w:val="auto"/>
          <w:spacing w:val="-8"/>
          <w:sz w:val="22"/>
          <w:szCs w:val="22"/>
          <w:highlight w:val="none"/>
        </w:rPr>
        <w:t>：</w:t>
      </w:r>
    </w:p>
    <w:p>
      <w:pPr>
        <w:pStyle w:val="3"/>
        <w:spacing w:before="128" w:line="339" w:lineRule="auto"/>
        <w:ind w:right="111" w:firstLine="499"/>
        <w:jc w:val="both"/>
        <w:rPr>
          <w:rFonts w:ascii="黑体" w:hAnsi="黑体" w:eastAsia="黑体" w:cs="黑体"/>
          <w:color w:val="auto"/>
          <w:sz w:val="22"/>
          <w:szCs w:val="22"/>
          <w:highlight w:val="none"/>
        </w:rPr>
      </w:pPr>
      <w:r>
        <w:rPr>
          <w:color w:val="auto"/>
          <w:spacing w:val="21"/>
          <w:sz w:val="22"/>
          <w:szCs w:val="22"/>
          <w:highlight w:val="none"/>
        </w:rPr>
        <w:t>1.</w:t>
      </w:r>
      <w:r>
        <w:rPr>
          <w:color w:val="auto"/>
          <w:spacing w:val="-63"/>
          <w:sz w:val="22"/>
          <w:szCs w:val="22"/>
          <w:highlight w:val="none"/>
        </w:rPr>
        <w:t xml:space="preserve"> </w:t>
      </w:r>
      <w:r>
        <w:rPr>
          <w:rFonts w:ascii="黑体" w:hAnsi="黑体" w:eastAsia="黑体" w:cs="黑体"/>
          <w:color w:val="auto"/>
          <w:spacing w:val="21"/>
          <w:sz w:val="22"/>
          <w:szCs w:val="22"/>
          <w:highlight w:val="none"/>
        </w:rPr>
        <w:t>从业人员、营业收入、资产总额填报上一年度数据，无上一年度数据的新成</w:t>
      </w:r>
      <w:r>
        <w:rPr>
          <w:rFonts w:ascii="黑体" w:hAnsi="黑体" w:eastAsia="黑体" w:cs="黑体"/>
          <w:color w:val="auto"/>
          <w:spacing w:val="21"/>
          <w:sz w:val="22"/>
          <w:szCs w:val="22"/>
          <w:highlight w:val="none"/>
          <w:u w:val="single" w:color="auto"/>
        </w:rPr>
        <w:t>立企业</w:t>
      </w:r>
      <w:r>
        <w:rPr>
          <w:rFonts w:ascii="黑体" w:hAnsi="黑体" w:eastAsia="黑体" w:cs="黑体"/>
          <w:color w:val="auto"/>
          <w:spacing w:val="21"/>
          <w:sz w:val="22"/>
          <w:szCs w:val="22"/>
          <w:highlight w:val="none"/>
        </w:rPr>
        <w:t>可</w:t>
      </w:r>
      <w:r>
        <w:rPr>
          <w:rFonts w:ascii="黑体" w:hAnsi="黑体" w:eastAsia="黑体" w:cs="黑体"/>
          <w:color w:val="auto"/>
          <w:sz w:val="22"/>
          <w:szCs w:val="22"/>
          <w:highlight w:val="none"/>
        </w:rPr>
        <w:t xml:space="preserve"> </w:t>
      </w:r>
      <w:r>
        <w:rPr>
          <w:rFonts w:ascii="黑体" w:hAnsi="黑体" w:eastAsia="黑体" w:cs="黑体"/>
          <w:color w:val="auto"/>
          <w:spacing w:val="22"/>
          <w:sz w:val="22"/>
          <w:szCs w:val="22"/>
          <w:highlight w:val="none"/>
        </w:rPr>
        <w:t>不填报。2.</w:t>
      </w:r>
      <w:r>
        <w:rPr>
          <w:rFonts w:ascii="黑体" w:hAnsi="黑体" w:eastAsia="黑体" w:cs="黑体"/>
          <w:color w:val="auto"/>
          <w:spacing w:val="-61"/>
          <w:sz w:val="22"/>
          <w:szCs w:val="22"/>
          <w:highlight w:val="none"/>
        </w:rPr>
        <w:t xml:space="preserve"> </w:t>
      </w:r>
      <w:r>
        <w:rPr>
          <w:rFonts w:ascii="黑体" w:hAnsi="黑体" w:eastAsia="黑体" w:cs="黑体"/>
          <w:color w:val="auto"/>
          <w:spacing w:val="22"/>
          <w:sz w:val="22"/>
          <w:szCs w:val="22"/>
          <w:highlight w:val="none"/>
        </w:rPr>
        <w:t>中小企业在政府采购活动过程中，请根据自己的真实情况出具本声明</w:t>
      </w:r>
      <w:r>
        <w:rPr>
          <w:rFonts w:ascii="黑体" w:hAnsi="黑体" w:eastAsia="黑体" w:cs="黑体"/>
          <w:color w:val="auto"/>
          <w:spacing w:val="21"/>
          <w:sz w:val="22"/>
          <w:szCs w:val="22"/>
          <w:highlight w:val="none"/>
        </w:rPr>
        <w:t>函。依法享</w:t>
      </w:r>
      <w:r>
        <w:rPr>
          <w:rFonts w:ascii="黑体" w:hAnsi="黑体" w:eastAsia="黑体" w:cs="黑体"/>
          <w:color w:val="auto"/>
          <w:sz w:val="22"/>
          <w:szCs w:val="22"/>
          <w:highlight w:val="none"/>
        </w:rPr>
        <w:t xml:space="preserve"> </w:t>
      </w:r>
      <w:r>
        <w:rPr>
          <w:rFonts w:ascii="黑体" w:hAnsi="黑体" w:eastAsia="黑体" w:cs="黑体"/>
          <w:color w:val="auto"/>
          <w:spacing w:val="23"/>
          <w:sz w:val="22"/>
          <w:szCs w:val="22"/>
          <w:highlight w:val="none"/>
        </w:rPr>
        <w:t>受中小</w:t>
      </w:r>
      <w:r>
        <w:rPr>
          <w:rFonts w:ascii="黑体" w:hAnsi="黑体" w:eastAsia="黑体" w:cs="黑体"/>
          <w:color w:val="auto"/>
          <w:spacing w:val="23"/>
          <w:sz w:val="22"/>
          <w:szCs w:val="22"/>
          <w:highlight w:val="none"/>
          <w:u w:val="single" w:color="auto"/>
        </w:rPr>
        <w:t>企</w:t>
      </w:r>
      <w:r>
        <w:rPr>
          <w:rFonts w:ascii="黑体" w:hAnsi="黑体" w:eastAsia="黑体" w:cs="黑体"/>
          <w:color w:val="auto"/>
          <w:spacing w:val="-30"/>
          <w:sz w:val="22"/>
          <w:szCs w:val="22"/>
          <w:highlight w:val="none"/>
          <w:u w:val="single" w:color="auto"/>
        </w:rPr>
        <w:t xml:space="preserve"> </w:t>
      </w:r>
      <w:r>
        <w:rPr>
          <w:rFonts w:ascii="黑体" w:hAnsi="黑体" w:eastAsia="黑体" w:cs="黑体"/>
          <w:color w:val="auto"/>
          <w:spacing w:val="23"/>
          <w:sz w:val="22"/>
          <w:szCs w:val="22"/>
          <w:highlight w:val="none"/>
          <w:u w:val="single" w:color="auto"/>
        </w:rPr>
        <w:t>业</w:t>
      </w:r>
      <w:r>
        <w:rPr>
          <w:rFonts w:ascii="黑体" w:hAnsi="黑体" w:eastAsia="黑体" w:cs="黑体"/>
          <w:color w:val="auto"/>
          <w:spacing w:val="23"/>
          <w:sz w:val="22"/>
          <w:szCs w:val="22"/>
          <w:highlight w:val="none"/>
        </w:rPr>
        <w:t>优惠政策的，采购人或采购代理机</w:t>
      </w:r>
      <w:r>
        <w:rPr>
          <w:rFonts w:ascii="黑体" w:hAnsi="黑体" w:eastAsia="黑体" w:cs="黑体"/>
          <w:color w:val="auto"/>
          <w:spacing w:val="22"/>
          <w:sz w:val="22"/>
          <w:szCs w:val="22"/>
          <w:highlight w:val="none"/>
        </w:rPr>
        <w:t>构在公告中标结果时，同时公告其《中小企业</w:t>
      </w:r>
      <w:r>
        <w:rPr>
          <w:rFonts w:ascii="黑体" w:hAnsi="黑体" w:eastAsia="黑体" w:cs="黑体"/>
          <w:color w:val="auto"/>
          <w:sz w:val="22"/>
          <w:szCs w:val="22"/>
          <w:highlight w:val="none"/>
        </w:rPr>
        <w:t xml:space="preserve"> </w:t>
      </w:r>
      <w:r>
        <w:rPr>
          <w:rFonts w:ascii="黑体" w:hAnsi="黑体" w:eastAsia="黑体" w:cs="黑体"/>
          <w:color w:val="auto"/>
          <w:spacing w:val="30"/>
          <w:sz w:val="22"/>
          <w:szCs w:val="22"/>
          <w:highlight w:val="none"/>
        </w:rPr>
        <w:t>声明函》,接受社会监督。</w:t>
      </w:r>
    </w:p>
    <w:p>
      <w:pPr>
        <w:spacing w:line="339" w:lineRule="auto"/>
        <w:rPr>
          <w:rFonts w:ascii="黑体" w:hAnsi="黑体" w:eastAsia="黑体" w:cs="黑体"/>
          <w:color w:val="auto"/>
          <w:sz w:val="22"/>
          <w:szCs w:val="22"/>
          <w:highlight w:val="none"/>
        </w:rPr>
        <w:sectPr>
          <w:footerReference r:id="rId40" w:type="default"/>
          <w:pgSz w:w="11900" w:h="16830"/>
          <w:pgMar w:top="400" w:right="946" w:bottom="801" w:left="1060" w:header="0" w:footer="657" w:gutter="0"/>
          <w:cols w:space="720" w:num="1"/>
        </w:sect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8" w:lineRule="auto"/>
        <w:rPr>
          <w:rFonts w:ascii="Arial"/>
          <w:color w:val="auto"/>
          <w:sz w:val="21"/>
          <w:highlight w:val="none"/>
        </w:rPr>
      </w:pPr>
    </w:p>
    <w:p>
      <w:pPr>
        <w:spacing w:line="279" w:lineRule="auto"/>
        <w:rPr>
          <w:rFonts w:ascii="Arial"/>
          <w:color w:val="auto"/>
          <w:sz w:val="21"/>
          <w:highlight w:val="none"/>
        </w:rPr>
      </w:pPr>
    </w:p>
    <w:p>
      <w:pPr>
        <w:spacing w:line="279" w:lineRule="auto"/>
        <w:rPr>
          <w:rFonts w:ascii="Arial"/>
          <w:color w:val="auto"/>
          <w:sz w:val="21"/>
          <w:highlight w:val="none"/>
        </w:rPr>
      </w:pPr>
    </w:p>
    <w:p>
      <w:pPr>
        <w:pStyle w:val="3"/>
        <w:spacing w:before="97" w:line="219" w:lineRule="auto"/>
        <w:ind w:left="2494"/>
        <w:rPr>
          <w:color w:val="auto"/>
          <w:sz w:val="30"/>
          <w:szCs w:val="30"/>
          <w:highlight w:val="none"/>
        </w:rPr>
      </w:pPr>
      <w:r>
        <w:rPr>
          <w:b/>
          <w:bCs/>
          <w:color w:val="auto"/>
          <w:spacing w:val="31"/>
          <w:sz w:val="30"/>
          <w:szCs w:val="30"/>
          <w:highlight w:val="none"/>
        </w:rPr>
        <w:t>残疾人福利性单位声明函(格式)</w:t>
      </w:r>
    </w:p>
    <w:p>
      <w:pPr>
        <w:spacing w:line="345" w:lineRule="auto"/>
        <w:rPr>
          <w:rFonts w:ascii="Arial"/>
          <w:color w:val="auto"/>
          <w:sz w:val="21"/>
          <w:highlight w:val="none"/>
        </w:rPr>
      </w:pPr>
    </w:p>
    <w:p>
      <w:pPr>
        <w:spacing w:line="345" w:lineRule="auto"/>
        <w:rPr>
          <w:rFonts w:ascii="Arial"/>
          <w:color w:val="auto"/>
          <w:sz w:val="21"/>
          <w:highlight w:val="none"/>
        </w:rPr>
      </w:pPr>
    </w:p>
    <w:p>
      <w:pPr>
        <w:tabs>
          <w:tab w:val="left" w:pos="979"/>
        </w:tabs>
        <w:spacing w:before="98" w:line="361" w:lineRule="auto"/>
        <w:ind w:right="80" w:firstLine="669"/>
        <w:jc w:val="both"/>
        <w:rPr>
          <w:rFonts w:ascii="仿宋" w:hAnsi="仿宋" w:eastAsia="仿宋" w:cs="仿宋"/>
          <w:color w:val="auto"/>
          <w:sz w:val="30"/>
          <w:szCs w:val="30"/>
          <w:highlight w:val="none"/>
        </w:rPr>
      </w:pPr>
      <w:r>
        <w:rPr>
          <w:rFonts w:ascii="仿宋" w:hAnsi="仿宋" w:eastAsia="仿宋" w:cs="仿宋"/>
          <w:color w:val="auto"/>
          <w:spacing w:val="24"/>
          <w:sz w:val="30"/>
          <w:szCs w:val="30"/>
          <w:highlight w:val="none"/>
        </w:rPr>
        <w:t>本单位郑重声明，根据《财政部民政部中国残疾人联合会关于促</w:t>
      </w:r>
      <w:r>
        <w:rPr>
          <w:rFonts w:ascii="仿宋" w:hAnsi="仿宋" w:eastAsia="仿宋" w:cs="仿宋"/>
          <w:color w:val="auto"/>
          <w:spacing w:val="7"/>
          <w:sz w:val="30"/>
          <w:szCs w:val="30"/>
          <w:highlight w:val="none"/>
        </w:rPr>
        <w:t xml:space="preserve"> </w:t>
      </w:r>
      <w:r>
        <w:rPr>
          <w:rFonts w:ascii="仿宋" w:hAnsi="仿宋" w:eastAsia="仿宋" w:cs="仿宋"/>
          <w:color w:val="auto"/>
          <w:spacing w:val="20"/>
          <w:sz w:val="30"/>
          <w:szCs w:val="30"/>
          <w:highlight w:val="none"/>
        </w:rPr>
        <w:t>进残疾人就业政府采购政策的通知》(财库</w:t>
      </w:r>
      <w:r>
        <w:rPr>
          <w:rFonts w:ascii="仿宋" w:hAnsi="仿宋" w:eastAsia="仿宋" w:cs="仿宋"/>
          <w:color w:val="auto"/>
          <w:spacing w:val="19"/>
          <w:sz w:val="30"/>
          <w:szCs w:val="30"/>
          <w:highlight w:val="none"/>
        </w:rPr>
        <w:t>〔2017)</w:t>
      </w:r>
      <w:r>
        <w:rPr>
          <w:rFonts w:ascii="仿宋" w:hAnsi="仿宋" w:eastAsia="仿宋" w:cs="仿宋"/>
          <w:color w:val="auto"/>
          <w:spacing w:val="133"/>
          <w:sz w:val="30"/>
          <w:szCs w:val="30"/>
          <w:highlight w:val="none"/>
        </w:rPr>
        <w:t xml:space="preserve"> </w:t>
      </w:r>
      <w:r>
        <w:rPr>
          <w:rFonts w:ascii="仿宋" w:hAnsi="仿宋" w:eastAsia="仿宋" w:cs="仿宋"/>
          <w:color w:val="auto"/>
          <w:spacing w:val="19"/>
          <w:sz w:val="30"/>
          <w:szCs w:val="30"/>
          <w:highlight w:val="none"/>
        </w:rPr>
        <w:t>141号〕的规定，</w:t>
      </w:r>
      <w:r>
        <w:rPr>
          <w:rFonts w:ascii="仿宋" w:hAnsi="仿宋" w:eastAsia="仿宋" w:cs="仿宋"/>
          <w:color w:val="auto"/>
          <w:sz w:val="30"/>
          <w:szCs w:val="30"/>
          <w:highlight w:val="none"/>
        </w:rPr>
        <w:t xml:space="preserve"> </w:t>
      </w:r>
      <w:r>
        <w:rPr>
          <w:rFonts w:ascii="仿宋" w:hAnsi="仿宋" w:eastAsia="仿宋" w:cs="仿宋"/>
          <w:color w:val="auto"/>
          <w:spacing w:val="25"/>
          <w:sz w:val="30"/>
          <w:szCs w:val="30"/>
          <w:highlight w:val="none"/>
        </w:rPr>
        <w:t>本单位为符合条件的残疾人福利性单位，且本单位参加</w:t>
      </w:r>
      <w:r>
        <w:rPr>
          <w:rFonts w:ascii="仿宋" w:hAnsi="仿宋" w:eastAsia="仿宋" w:cs="仿宋"/>
          <w:color w:val="auto"/>
          <w:spacing w:val="10"/>
          <w:sz w:val="30"/>
          <w:szCs w:val="30"/>
          <w:highlight w:val="none"/>
          <w:u w:val="single" w:color="auto"/>
        </w:rPr>
        <w:t xml:space="preserve">      </w:t>
      </w:r>
      <w:r>
        <w:rPr>
          <w:rFonts w:ascii="仿宋" w:hAnsi="仿宋" w:eastAsia="仿宋" w:cs="仿宋"/>
          <w:color w:val="auto"/>
          <w:spacing w:val="-127"/>
          <w:sz w:val="30"/>
          <w:szCs w:val="30"/>
          <w:highlight w:val="none"/>
        </w:rPr>
        <w:t xml:space="preserve"> </w:t>
      </w:r>
      <w:r>
        <w:rPr>
          <w:rFonts w:ascii="仿宋" w:hAnsi="仿宋" w:eastAsia="仿宋" w:cs="仿宋"/>
          <w:color w:val="auto"/>
          <w:spacing w:val="25"/>
          <w:sz w:val="30"/>
          <w:szCs w:val="30"/>
          <w:highlight w:val="none"/>
        </w:rPr>
        <w:t>单位的</w:t>
      </w:r>
      <w:r>
        <w:rPr>
          <w:rFonts w:ascii="仿宋" w:hAnsi="仿宋" w:eastAsia="仿宋" w:cs="仿宋"/>
          <w:color w:val="auto"/>
          <w:sz w:val="30"/>
          <w:szCs w:val="30"/>
          <w:highlight w:val="none"/>
        </w:rPr>
        <w:t xml:space="preserve"> </w:t>
      </w:r>
      <w:r>
        <w:rPr>
          <w:rFonts w:ascii="仿宋" w:hAnsi="仿宋" w:eastAsia="仿宋" w:cs="仿宋"/>
          <w:color w:val="auto"/>
          <w:sz w:val="30"/>
          <w:szCs w:val="30"/>
          <w:highlight w:val="none"/>
          <w:u w:val="single" w:color="auto"/>
        </w:rPr>
        <w:tab/>
      </w:r>
      <w:r>
        <w:rPr>
          <w:rFonts w:ascii="仿宋" w:hAnsi="仿宋" w:eastAsia="仿宋" w:cs="仿宋"/>
          <w:color w:val="auto"/>
          <w:spacing w:val="13"/>
          <w:sz w:val="30"/>
          <w:szCs w:val="30"/>
          <w:highlight w:val="none"/>
        </w:rPr>
        <w:t>项目采购活动提供本单位制造的货物(由本单位承担工程/提供服</w:t>
      </w:r>
      <w:r>
        <w:rPr>
          <w:rFonts w:ascii="仿宋" w:hAnsi="仿宋" w:eastAsia="仿宋" w:cs="仿宋"/>
          <w:color w:val="auto"/>
          <w:spacing w:val="12"/>
          <w:sz w:val="30"/>
          <w:szCs w:val="30"/>
          <w:highlight w:val="none"/>
        </w:rPr>
        <w:t xml:space="preserve"> </w:t>
      </w:r>
      <w:r>
        <w:rPr>
          <w:rFonts w:ascii="仿宋" w:hAnsi="仿宋" w:eastAsia="仿宋" w:cs="仿宋"/>
          <w:color w:val="auto"/>
          <w:spacing w:val="29"/>
          <w:sz w:val="30"/>
          <w:szCs w:val="30"/>
          <w:highlight w:val="none"/>
        </w:rPr>
        <w:t>务),或者提供其他残疾人福利性单位制造的货物(不包括使用非残疾</w:t>
      </w:r>
      <w:r>
        <w:rPr>
          <w:rFonts w:ascii="仿宋" w:hAnsi="仿宋" w:eastAsia="仿宋" w:cs="仿宋"/>
          <w:color w:val="auto"/>
          <w:spacing w:val="4"/>
          <w:sz w:val="30"/>
          <w:szCs w:val="30"/>
          <w:highlight w:val="none"/>
        </w:rPr>
        <w:t xml:space="preserve"> </w:t>
      </w:r>
      <w:r>
        <w:rPr>
          <w:rFonts w:ascii="仿宋" w:hAnsi="仿宋" w:eastAsia="仿宋" w:cs="仿宋"/>
          <w:color w:val="auto"/>
          <w:spacing w:val="20"/>
          <w:sz w:val="30"/>
          <w:szCs w:val="30"/>
          <w:highlight w:val="none"/>
        </w:rPr>
        <w:t>人福利性单位注册商标的货物)。</w:t>
      </w:r>
    </w:p>
    <w:p>
      <w:pPr>
        <w:spacing w:line="220" w:lineRule="auto"/>
        <w:jc w:val="right"/>
        <w:rPr>
          <w:rFonts w:ascii="仿宋" w:hAnsi="仿宋" w:eastAsia="仿宋" w:cs="仿宋"/>
          <w:color w:val="auto"/>
          <w:sz w:val="30"/>
          <w:szCs w:val="30"/>
          <w:highlight w:val="none"/>
        </w:rPr>
      </w:pPr>
      <w:r>
        <w:rPr>
          <w:rFonts w:ascii="仿宋" w:hAnsi="仿宋" w:eastAsia="仿宋" w:cs="仿宋"/>
          <w:color w:val="auto"/>
          <w:spacing w:val="7"/>
          <w:sz w:val="30"/>
          <w:szCs w:val="30"/>
          <w:highlight w:val="none"/>
        </w:rPr>
        <w:t>本单位对上述声明的真实性负责。如有虚假，将依法承担相应责</w:t>
      </w:r>
      <w:r>
        <w:rPr>
          <w:rFonts w:ascii="仿宋" w:hAnsi="仿宋" w:eastAsia="仿宋" w:cs="仿宋"/>
          <w:color w:val="auto"/>
          <w:spacing w:val="6"/>
          <w:sz w:val="30"/>
          <w:szCs w:val="30"/>
          <w:highlight w:val="none"/>
        </w:rPr>
        <w:t>任。</w:t>
      </w:r>
    </w:p>
    <w:p>
      <w:pPr>
        <w:rPr>
          <w:rFonts w:ascii="Arial"/>
          <w:color w:val="auto"/>
          <w:sz w:val="21"/>
          <w:highlight w:val="none"/>
        </w:rPr>
      </w:pPr>
    </w:p>
    <w:p>
      <w:pPr>
        <w:rPr>
          <w:rFonts w:ascii="Arial"/>
          <w:color w:val="auto"/>
          <w:sz w:val="21"/>
          <w:highlight w:val="none"/>
        </w:rPr>
      </w:pPr>
    </w:p>
    <w:p>
      <w:pPr>
        <w:spacing w:line="241" w:lineRule="auto"/>
        <w:rPr>
          <w:rFonts w:ascii="Arial"/>
          <w:color w:val="auto"/>
          <w:sz w:val="21"/>
          <w:highlight w:val="none"/>
        </w:rPr>
      </w:pPr>
    </w:p>
    <w:p>
      <w:pPr>
        <w:spacing w:before="97" w:line="221" w:lineRule="auto"/>
        <w:ind w:left="3219"/>
        <w:rPr>
          <w:rFonts w:ascii="仿宋" w:hAnsi="仿宋" w:eastAsia="仿宋" w:cs="仿宋"/>
          <w:color w:val="auto"/>
          <w:sz w:val="30"/>
          <w:szCs w:val="30"/>
          <w:highlight w:val="none"/>
        </w:rPr>
      </w:pPr>
      <w:r>
        <w:rPr>
          <w:rFonts w:ascii="仿宋" w:hAnsi="仿宋" w:eastAsia="仿宋" w:cs="仿宋"/>
          <w:color w:val="auto"/>
          <w:spacing w:val="39"/>
          <w:sz w:val="30"/>
          <w:szCs w:val="30"/>
          <w:highlight w:val="none"/>
        </w:rPr>
        <w:t>单位名称(电子签章):</w:t>
      </w:r>
    </w:p>
    <w:p>
      <w:pPr>
        <w:spacing w:before="282" w:line="223" w:lineRule="auto"/>
        <w:ind w:left="4099"/>
        <w:rPr>
          <w:rFonts w:ascii="仿宋" w:hAnsi="仿宋" w:eastAsia="仿宋" w:cs="仿宋"/>
          <w:color w:val="auto"/>
          <w:sz w:val="25"/>
          <w:szCs w:val="25"/>
          <w:highlight w:val="none"/>
        </w:rPr>
      </w:pPr>
      <w:r>
        <w:rPr>
          <w:rFonts w:ascii="仿宋" w:hAnsi="仿宋" w:eastAsia="仿宋" w:cs="仿宋"/>
          <w:color w:val="auto"/>
          <w:spacing w:val="-29"/>
          <w:sz w:val="25"/>
          <w:szCs w:val="25"/>
          <w:highlight w:val="none"/>
        </w:rPr>
        <w:t>日</w:t>
      </w:r>
      <w:r>
        <w:rPr>
          <w:rFonts w:ascii="仿宋" w:hAnsi="仿宋" w:eastAsia="仿宋" w:cs="仿宋"/>
          <w:color w:val="auto"/>
          <w:spacing w:val="1"/>
          <w:sz w:val="25"/>
          <w:szCs w:val="25"/>
          <w:highlight w:val="none"/>
        </w:rPr>
        <w:t xml:space="preserve">   </w:t>
      </w:r>
      <w:r>
        <w:rPr>
          <w:rFonts w:ascii="仿宋" w:hAnsi="仿宋" w:eastAsia="仿宋" w:cs="仿宋"/>
          <w:color w:val="auto"/>
          <w:spacing w:val="-29"/>
          <w:sz w:val="25"/>
          <w:szCs w:val="25"/>
          <w:highlight w:val="none"/>
        </w:rPr>
        <w:t>期</w:t>
      </w:r>
      <w:r>
        <w:rPr>
          <w:rFonts w:ascii="仿宋" w:hAnsi="仿宋" w:eastAsia="仿宋" w:cs="仿宋"/>
          <w:color w:val="auto"/>
          <w:spacing w:val="3"/>
          <w:sz w:val="25"/>
          <w:szCs w:val="25"/>
          <w:highlight w:val="none"/>
        </w:rPr>
        <w:t xml:space="preserve"> </w:t>
      </w:r>
      <w:r>
        <w:rPr>
          <w:rFonts w:ascii="仿宋" w:hAnsi="仿宋" w:eastAsia="仿宋" w:cs="仿宋"/>
          <w:color w:val="auto"/>
          <w:spacing w:val="-29"/>
          <w:sz w:val="25"/>
          <w:szCs w:val="25"/>
          <w:highlight w:val="none"/>
        </w:rPr>
        <w:t>：</w:t>
      </w:r>
    </w:p>
    <w:p>
      <w:pPr>
        <w:spacing w:line="223" w:lineRule="auto"/>
        <w:rPr>
          <w:rFonts w:ascii="仿宋" w:hAnsi="仿宋" w:eastAsia="仿宋" w:cs="仿宋"/>
          <w:color w:val="auto"/>
          <w:sz w:val="25"/>
          <w:szCs w:val="25"/>
          <w:highlight w:val="none"/>
        </w:rPr>
        <w:sectPr>
          <w:footerReference r:id="rId41" w:type="default"/>
          <w:pgSz w:w="11900" w:h="16830"/>
          <w:pgMar w:top="400" w:right="970" w:bottom="801" w:left="1050" w:header="0" w:footer="657" w:gutter="0"/>
          <w:cols w:space="720" w:num="1"/>
        </w:sectPr>
      </w:pPr>
    </w:p>
    <w:p>
      <w:pPr>
        <w:pStyle w:val="3"/>
        <w:spacing w:before="104" w:line="219" w:lineRule="auto"/>
        <w:ind w:left="75"/>
        <w:rPr>
          <w:color w:val="auto"/>
          <w:sz w:val="32"/>
          <w:szCs w:val="32"/>
          <w:highlight w:val="none"/>
        </w:rPr>
      </w:pPr>
      <w:r>
        <w:rPr>
          <w:color w:val="auto"/>
          <w:spacing w:val="-2"/>
          <w:sz w:val="32"/>
          <w:szCs w:val="32"/>
          <w:highlight w:val="none"/>
        </w:rPr>
        <w:t>二</w:t>
      </w:r>
      <w:r>
        <w:rPr>
          <w:color w:val="auto"/>
          <w:spacing w:val="-86"/>
          <w:sz w:val="32"/>
          <w:szCs w:val="32"/>
          <w:highlight w:val="none"/>
        </w:rPr>
        <w:t xml:space="preserve"> </w:t>
      </w:r>
      <w:r>
        <w:rPr>
          <w:color w:val="auto"/>
          <w:spacing w:val="-2"/>
          <w:sz w:val="32"/>
          <w:szCs w:val="32"/>
          <w:highlight w:val="none"/>
        </w:rPr>
        <w:t>、商务、技术性响应及其他证明材料</w:t>
      </w:r>
    </w:p>
    <w:p>
      <w:pPr>
        <w:pStyle w:val="3"/>
        <w:spacing w:before="29" w:line="221" w:lineRule="auto"/>
        <w:ind w:left="75"/>
        <w:rPr>
          <w:rFonts w:ascii="黑体" w:hAnsi="黑体" w:eastAsia="黑体" w:cs="黑体"/>
          <w:color w:val="auto"/>
          <w:sz w:val="32"/>
          <w:szCs w:val="32"/>
          <w:highlight w:val="none"/>
        </w:rPr>
      </w:pPr>
      <w:r>
        <w:rPr>
          <w:color w:val="auto"/>
          <w:spacing w:val="18"/>
          <w:sz w:val="32"/>
          <w:szCs w:val="32"/>
          <w:highlight w:val="none"/>
        </w:rPr>
        <w:t>1.</w:t>
      </w:r>
      <w:r>
        <w:rPr>
          <w:rFonts w:ascii="黑体" w:hAnsi="黑体" w:eastAsia="黑体" w:cs="黑体"/>
          <w:color w:val="auto"/>
          <w:spacing w:val="18"/>
          <w:sz w:val="32"/>
          <w:szCs w:val="32"/>
          <w:highlight w:val="none"/>
        </w:rPr>
        <w:t>投标报价表(必须提供)</w:t>
      </w:r>
    </w:p>
    <w:p>
      <w:pPr>
        <w:pStyle w:val="3"/>
        <w:spacing w:before="81" w:line="219" w:lineRule="auto"/>
        <w:ind w:left="78"/>
        <w:rPr>
          <w:color w:val="auto"/>
          <w:sz w:val="25"/>
          <w:szCs w:val="25"/>
          <w:highlight w:val="none"/>
        </w:rPr>
      </w:pPr>
      <w:r>
        <w:rPr>
          <w:b/>
          <w:bCs/>
          <w:color w:val="auto"/>
          <w:spacing w:val="-16"/>
          <w:sz w:val="25"/>
          <w:szCs w:val="25"/>
          <w:highlight w:val="none"/>
        </w:rPr>
        <w:t>附</w:t>
      </w:r>
      <w:r>
        <w:rPr>
          <w:color w:val="auto"/>
          <w:spacing w:val="-23"/>
          <w:sz w:val="25"/>
          <w:szCs w:val="25"/>
          <w:highlight w:val="none"/>
        </w:rPr>
        <w:t xml:space="preserve"> </w:t>
      </w:r>
      <w:r>
        <w:rPr>
          <w:b/>
          <w:bCs/>
          <w:color w:val="auto"/>
          <w:spacing w:val="-16"/>
          <w:sz w:val="25"/>
          <w:szCs w:val="25"/>
          <w:highlight w:val="none"/>
        </w:rPr>
        <w:t>件</w:t>
      </w:r>
      <w:r>
        <w:rPr>
          <w:color w:val="auto"/>
          <w:spacing w:val="-33"/>
          <w:sz w:val="25"/>
          <w:szCs w:val="25"/>
          <w:highlight w:val="none"/>
        </w:rPr>
        <w:t xml:space="preserve"> </w:t>
      </w:r>
      <w:r>
        <w:rPr>
          <w:b/>
          <w:bCs/>
          <w:color w:val="auto"/>
          <w:spacing w:val="-16"/>
          <w:sz w:val="25"/>
          <w:szCs w:val="25"/>
          <w:highlight w:val="none"/>
        </w:rPr>
        <w:t>：</w:t>
      </w:r>
    </w:p>
    <w:p>
      <w:pPr>
        <w:pStyle w:val="3"/>
        <w:spacing w:before="53" w:line="218" w:lineRule="auto"/>
        <w:ind w:left="3529"/>
        <w:rPr>
          <w:color w:val="auto"/>
          <w:sz w:val="32"/>
          <w:szCs w:val="32"/>
          <w:highlight w:val="none"/>
        </w:rPr>
      </w:pPr>
      <w:r>
        <w:rPr>
          <w:b/>
          <w:bCs/>
          <w:color w:val="auto"/>
          <w:spacing w:val="21"/>
          <w:sz w:val="32"/>
          <w:szCs w:val="32"/>
          <w:highlight w:val="none"/>
        </w:rPr>
        <w:t>投标报价表(格式)</w:t>
      </w:r>
    </w:p>
    <w:p>
      <w:pPr>
        <w:spacing w:line="202" w:lineRule="exact"/>
        <w:rPr>
          <w:color w:val="auto"/>
          <w:highlight w:val="none"/>
        </w:rPr>
      </w:pPr>
    </w:p>
    <w:tbl>
      <w:tblPr>
        <w:tblStyle w:val="8"/>
        <w:tblW w:w="91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2198"/>
        <w:gridCol w:w="1009"/>
        <w:gridCol w:w="739"/>
        <w:gridCol w:w="1588"/>
        <w:gridCol w:w="2297"/>
        <w:gridCol w:w="8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415" w:type="dxa"/>
            <w:textDirection w:val="tbRlV"/>
            <w:vAlign w:val="top"/>
          </w:tcPr>
          <w:p>
            <w:pPr>
              <w:pStyle w:val="9"/>
              <w:spacing w:before="113" w:line="195" w:lineRule="auto"/>
              <w:ind w:left="32"/>
              <w:rPr>
                <w:color w:val="auto"/>
                <w:highlight w:val="none"/>
              </w:rPr>
            </w:pPr>
            <w:r>
              <w:rPr>
                <w:color w:val="auto"/>
                <w:highlight w:val="none"/>
              </w:rPr>
              <w:t>项</w:t>
            </w:r>
            <w:r>
              <w:rPr>
                <w:color w:val="auto"/>
                <w:spacing w:val="-12"/>
                <w:highlight w:val="none"/>
              </w:rPr>
              <w:t xml:space="preserve"> </w:t>
            </w:r>
            <w:r>
              <w:rPr>
                <w:color w:val="auto"/>
                <w:highlight w:val="none"/>
              </w:rPr>
              <w:t>号</w:t>
            </w:r>
          </w:p>
        </w:tc>
        <w:tc>
          <w:tcPr>
            <w:tcW w:w="2198" w:type="dxa"/>
            <w:vAlign w:val="top"/>
          </w:tcPr>
          <w:p>
            <w:pPr>
              <w:pStyle w:val="9"/>
              <w:spacing w:before="204" w:line="219" w:lineRule="auto"/>
              <w:ind w:left="640"/>
              <w:rPr>
                <w:color w:val="auto"/>
                <w:highlight w:val="none"/>
              </w:rPr>
            </w:pPr>
            <w:r>
              <w:rPr>
                <w:color w:val="auto"/>
                <w:spacing w:val="-2"/>
                <w:highlight w:val="none"/>
              </w:rPr>
              <w:t>服务内容</w:t>
            </w:r>
          </w:p>
        </w:tc>
        <w:tc>
          <w:tcPr>
            <w:tcW w:w="1009" w:type="dxa"/>
            <w:vAlign w:val="top"/>
          </w:tcPr>
          <w:p>
            <w:pPr>
              <w:pStyle w:val="9"/>
              <w:spacing w:before="201" w:line="217" w:lineRule="auto"/>
              <w:ind w:left="172"/>
              <w:rPr>
                <w:color w:val="auto"/>
                <w:highlight w:val="none"/>
              </w:rPr>
            </w:pPr>
            <w:r>
              <w:rPr>
                <w:color w:val="auto"/>
                <w:spacing w:val="-3"/>
                <w:highlight w:val="none"/>
              </w:rPr>
              <w:t>数量①</w:t>
            </w:r>
          </w:p>
        </w:tc>
        <w:tc>
          <w:tcPr>
            <w:tcW w:w="739" w:type="dxa"/>
            <w:vAlign w:val="top"/>
          </w:tcPr>
          <w:p>
            <w:pPr>
              <w:pStyle w:val="9"/>
              <w:spacing w:before="204" w:line="220" w:lineRule="auto"/>
              <w:ind w:left="153"/>
              <w:rPr>
                <w:color w:val="auto"/>
                <w:highlight w:val="none"/>
              </w:rPr>
            </w:pPr>
            <w:r>
              <w:rPr>
                <w:color w:val="auto"/>
                <w:spacing w:val="-3"/>
                <w:highlight w:val="none"/>
              </w:rPr>
              <w:t>单位</w:t>
            </w:r>
          </w:p>
        </w:tc>
        <w:tc>
          <w:tcPr>
            <w:tcW w:w="1588" w:type="dxa"/>
            <w:vAlign w:val="top"/>
          </w:tcPr>
          <w:p>
            <w:pPr>
              <w:pStyle w:val="9"/>
              <w:spacing w:before="201" w:line="217" w:lineRule="auto"/>
              <w:ind w:left="133"/>
              <w:rPr>
                <w:color w:val="auto"/>
                <w:highlight w:val="none"/>
              </w:rPr>
            </w:pPr>
            <w:r>
              <w:rPr>
                <w:color w:val="auto"/>
                <w:spacing w:val="-2"/>
                <w:highlight w:val="none"/>
              </w:rPr>
              <w:t>单价(元)②</w:t>
            </w:r>
          </w:p>
        </w:tc>
        <w:tc>
          <w:tcPr>
            <w:tcW w:w="2297" w:type="dxa"/>
            <w:vAlign w:val="top"/>
          </w:tcPr>
          <w:p>
            <w:pPr>
              <w:pStyle w:val="9"/>
              <w:spacing w:before="42" w:line="218" w:lineRule="auto"/>
              <w:ind w:left="96"/>
              <w:rPr>
                <w:color w:val="auto"/>
                <w:highlight w:val="none"/>
              </w:rPr>
            </w:pPr>
            <w:r>
              <w:rPr>
                <w:color w:val="auto"/>
                <w:spacing w:val="-1"/>
                <w:highlight w:val="none"/>
              </w:rPr>
              <w:t>单项合计=数量×单价</w:t>
            </w:r>
          </w:p>
          <w:p>
            <w:pPr>
              <w:pStyle w:val="9"/>
              <w:spacing w:before="9" w:line="217" w:lineRule="auto"/>
              <w:ind w:left="426"/>
              <w:rPr>
                <w:color w:val="auto"/>
                <w:highlight w:val="none"/>
              </w:rPr>
            </w:pPr>
            <w:r>
              <w:rPr>
                <w:color w:val="auto"/>
                <w:spacing w:val="6"/>
                <w:highlight w:val="none"/>
              </w:rPr>
              <w:t>③=①×②(元)</w:t>
            </w:r>
          </w:p>
        </w:tc>
        <w:tc>
          <w:tcPr>
            <w:tcW w:w="864" w:type="dxa"/>
            <w:vAlign w:val="top"/>
          </w:tcPr>
          <w:p>
            <w:pPr>
              <w:pStyle w:val="9"/>
              <w:spacing w:before="205" w:line="221" w:lineRule="auto"/>
              <w:ind w:left="209"/>
              <w:rPr>
                <w:color w:val="auto"/>
                <w:highlight w:val="none"/>
              </w:rPr>
            </w:pPr>
            <w:r>
              <w:rPr>
                <w:color w:val="auto"/>
                <w:spacing w:val="5"/>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8" w:hRule="atLeast"/>
        </w:trPr>
        <w:tc>
          <w:tcPr>
            <w:tcW w:w="415" w:type="dxa"/>
            <w:vAlign w:val="top"/>
          </w:tcPr>
          <w:p>
            <w:pPr>
              <w:spacing w:line="339" w:lineRule="auto"/>
              <w:rPr>
                <w:rFonts w:ascii="Arial"/>
                <w:color w:val="auto"/>
                <w:sz w:val="21"/>
                <w:highlight w:val="none"/>
              </w:rPr>
            </w:pPr>
          </w:p>
          <w:p>
            <w:pPr>
              <w:pStyle w:val="9"/>
              <w:spacing w:before="71" w:line="241" w:lineRule="auto"/>
              <w:ind w:left="145"/>
              <w:rPr>
                <w:color w:val="auto"/>
                <w:highlight w:val="none"/>
              </w:rPr>
            </w:pPr>
            <w:r>
              <w:rPr>
                <w:color w:val="auto"/>
                <w:highlight w:val="none"/>
              </w:rPr>
              <w:t>1</w:t>
            </w:r>
          </w:p>
        </w:tc>
        <w:tc>
          <w:tcPr>
            <w:tcW w:w="2198" w:type="dxa"/>
            <w:vAlign w:val="top"/>
          </w:tcPr>
          <w:p>
            <w:pPr>
              <w:rPr>
                <w:rFonts w:ascii="Arial"/>
                <w:color w:val="auto"/>
                <w:sz w:val="21"/>
                <w:highlight w:val="none"/>
              </w:rPr>
            </w:pPr>
          </w:p>
        </w:tc>
        <w:tc>
          <w:tcPr>
            <w:tcW w:w="1009" w:type="dxa"/>
            <w:vAlign w:val="top"/>
          </w:tcPr>
          <w:p>
            <w:pPr>
              <w:rPr>
                <w:rFonts w:ascii="Arial"/>
                <w:color w:val="auto"/>
                <w:sz w:val="21"/>
                <w:highlight w:val="none"/>
              </w:rPr>
            </w:pPr>
          </w:p>
        </w:tc>
        <w:tc>
          <w:tcPr>
            <w:tcW w:w="739" w:type="dxa"/>
            <w:vAlign w:val="top"/>
          </w:tcPr>
          <w:p>
            <w:pPr>
              <w:rPr>
                <w:rFonts w:ascii="Arial"/>
                <w:color w:val="auto"/>
                <w:sz w:val="21"/>
                <w:highlight w:val="none"/>
              </w:rPr>
            </w:pPr>
          </w:p>
        </w:tc>
        <w:tc>
          <w:tcPr>
            <w:tcW w:w="158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864"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9110" w:type="dxa"/>
            <w:gridSpan w:val="7"/>
            <w:vAlign w:val="top"/>
          </w:tcPr>
          <w:p>
            <w:pPr>
              <w:pStyle w:val="9"/>
              <w:spacing w:before="175" w:line="200" w:lineRule="auto"/>
              <w:ind w:left="44"/>
              <w:rPr>
                <w:color w:val="auto"/>
                <w:highlight w:val="none"/>
              </w:rPr>
            </w:pPr>
            <w:r>
              <w:rPr>
                <w:color w:val="auto"/>
                <w:spacing w:val="-2"/>
                <w:highlight w:val="none"/>
              </w:rPr>
              <w:t>投标总报价(大写):人民币</w:t>
            </w:r>
            <w:r>
              <w:rPr>
                <w:rFonts w:hint="eastAsia"/>
                <w:color w:val="auto"/>
                <w:spacing w:val="-2"/>
                <w:highlight w:val="none"/>
                <w:u w:val="single"/>
                <w:lang w:val="en-US" w:eastAsia="zh-CN"/>
              </w:rPr>
              <w:t xml:space="preserve">            </w:t>
            </w:r>
            <w:r>
              <w:rPr>
                <w:color w:val="auto"/>
                <w:spacing w:val="21"/>
                <w:highlight w:val="none"/>
              </w:rPr>
              <w:t xml:space="preserve"> </w:t>
            </w:r>
            <w:r>
              <w:rPr>
                <w:color w:val="auto"/>
                <w:spacing w:val="-2"/>
                <w:highlight w:val="none"/>
              </w:rPr>
              <w:t>(¥</w:t>
            </w:r>
            <w:r>
              <w:rPr>
                <w:color w:val="auto"/>
                <w:spacing w:val="48"/>
                <w:highlight w:val="none"/>
              </w:rPr>
              <w:t xml:space="preserve"> </w:t>
            </w:r>
            <w:r>
              <w:rPr>
                <w:color w:val="auto"/>
                <w:spacing w:val="-2"/>
                <w:highlight w:val="none"/>
                <w:u w:val="none" w:color="auto"/>
              </w:rPr>
              <w:t xml:space="preserve">      </w:t>
            </w:r>
            <w:r>
              <w:rPr>
                <w:color w:val="auto"/>
                <w:spacing w:val="-2"/>
                <w:highlight w:val="none"/>
              </w:rPr>
              <w:t>)</w:t>
            </w:r>
          </w:p>
          <w:p>
            <w:pPr>
              <w:spacing w:line="10" w:lineRule="exact"/>
              <w:ind w:left="2775"/>
              <w:rPr>
                <w:color w:val="auto"/>
                <w:highlight w:val="none"/>
              </w:rPr>
            </w:pPr>
            <w:r>
              <w:rPr>
                <w:color w:val="auto"/>
                <w:highlight w:val="none"/>
              </w:rPr>
              <w:drawing>
                <wp:inline distT="0" distB="0" distL="0" distR="0">
                  <wp:extent cx="716915" cy="6350"/>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50"/>
                          <a:stretch>
                            <a:fillRect/>
                          </a:stretch>
                        </pic:blipFill>
                        <pic:spPr>
                          <a:xfrm>
                            <a:off x="0" y="0"/>
                            <a:ext cx="717490" cy="6984"/>
                          </a:xfrm>
                          <a:prstGeom prst="rect">
                            <a:avLst/>
                          </a:prstGeom>
                        </pic:spPr>
                      </pic:pic>
                    </a:graphicData>
                  </a:graphic>
                </wp:inline>
              </w:drawing>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9110" w:type="dxa"/>
            <w:gridSpan w:val="7"/>
            <w:vAlign w:val="top"/>
          </w:tcPr>
          <w:p>
            <w:pPr>
              <w:pStyle w:val="9"/>
              <w:spacing w:before="164" w:line="219" w:lineRule="auto"/>
              <w:ind w:left="44"/>
              <w:rPr>
                <w:color w:val="auto"/>
                <w:highlight w:val="none"/>
              </w:rPr>
            </w:pPr>
            <w:r>
              <w:rPr>
                <w:color w:val="auto"/>
                <w:highlight w:val="none"/>
              </w:rPr>
              <w:t>服务期限：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9110" w:type="dxa"/>
            <w:gridSpan w:val="7"/>
            <w:vAlign w:val="top"/>
          </w:tcPr>
          <w:p>
            <w:pPr>
              <w:pStyle w:val="9"/>
              <w:spacing w:before="155" w:line="220" w:lineRule="auto"/>
              <w:ind w:left="44"/>
              <w:rPr>
                <w:color w:val="auto"/>
                <w:highlight w:val="none"/>
              </w:rPr>
            </w:pPr>
            <w:r>
              <w:rPr>
                <w:color w:val="auto"/>
                <w:highlight w:val="none"/>
              </w:rPr>
              <w:t>投标有效期：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9110" w:type="dxa"/>
            <w:gridSpan w:val="7"/>
            <w:vAlign w:val="top"/>
          </w:tcPr>
          <w:p>
            <w:pPr>
              <w:pStyle w:val="9"/>
              <w:spacing w:before="152" w:line="271" w:lineRule="auto"/>
              <w:ind w:left="44" w:firstLine="20"/>
              <w:jc w:val="both"/>
              <w:rPr>
                <w:color w:val="auto"/>
                <w:highlight w:val="none"/>
              </w:rPr>
            </w:pPr>
            <w:r>
              <w:rPr>
                <w:color w:val="auto"/>
                <w:spacing w:val="-10"/>
                <w:highlight w:val="none"/>
              </w:rPr>
              <w:t>备注：供应商投标总报价包括为了实施和完成服务所需的服务团队的日常办公经费、工资薪酬、社</w:t>
            </w:r>
            <w:r>
              <w:rPr>
                <w:color w:val="auto"/>
                <w:spacing w:val="3"/>
                <w:highlight w:val="none"/>
              </w:rPr>
              <w:t xml:space="preserve"> </w:t>
            </w:r>
            <w:r>
              <w:rPr>
                <w:color w:val="auto"/>
                <w:spacing w:val="-5"/>
                <w:highlight w:val="none"/>
              </w:rPr>
              <w:t>会保险费用、劳保福利、服装费、保安器具器械费、奖金、管理费、体检费、税金、国家规定购</w:t>
            </w:r>
            <w:r>
              <w:rPr>
                <w:color w:val="auto"/>
                <w:spacing w:val="15"/>
                <w:highlight w:val="none"/>
              </w:rPr>
              <w:t xml:space="preserve"> </w:t>
            </w:r>
            <w:r>
              <w:rPr>
                <w:color w:val="auto"/>
                <w:highlight w:val="none"/>
              </w:rPr>
              <w:t>买的各项保险等一切相关费用。</w:t>
            </w:r>
          </w:p>
        </w:tc>
      </w:tr>
    </w:tbl>
    <w:p>
      <w:pPr>
        <w:spacing w:line="441" w:lineRule="auto"/>
        <w:rPr>
          <w:rFonts w:ascii="Arial"/>
          <w:color w:val="auto"/>
          <w:sz w:val="21"/>
          <w:highlight w:val="none"/>
        </w:rPr>
      </w:pPr>
    </w:p>
    <w:p>
      <w:pPr>
        <w:pStyle w:val="3"/>
        <w:spacing w:before="69" w:line="213" w:lineRule="auto"/>
        <w:ind w:left="495"/>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供应商公章</w:t>
      </w:r>
      <w:r>
        <w:rPr>
          <w:rFonts w:ascii="黑体" w:hAnsi="黑体" w:eastAsia="黑体" w:cs="黑体"/>
          <w:color w:val="auto"/>
          <w:spacing w:val="-21"/>
          <w:sz w:val="21"/>
          <w:szCs w:val="21"/>
          <w:highlight w:val="none"/>
        </w:rPr>
        <w:t xml:space="preserve"> </w:t>
      </w:r>
      <w:r>
        <w:rPr>
          <w:color w:val="auto"/>
          <w:spacing w:val="-3"/>
          <w:sz w:val="21"/>
          <w:szCs w:val="21"/>
          <w:highlight w:val="none"/>
        </w:rPr>
        <w:t xml:space="preserve">(CA </w:t>
      </w:r>
      <w:r>
        <w:rPr>
          <w:rFonts w:ascii="黑体" w:hAnsi="黑体" w:eastAsia="黑体" w:cs="黑体"/>
          <w:color w:val="auto"/>
          <w:spacing w:val="-3"/>
          <w:sz w:val="21"/>
          <w:szCs w:val="21"/>
          <w:highlight w:val="none"/>
        </w:rPr>
        <w:t>签章，自然人签字或个人</w:t>
      </w:r>
      <w:r>
        <w:rPr>
          <w:color w:val="auto"/>
          <w:spacing w:val="-3"/>
          <w:sz w:val="21"/>
          <w:szCs w:val="21"/>
          <w:highlight w:val="none"/>
        </w:rPr>
        <w:t>CA</w:t>
      </w:r>
      <w:r>
        <w:rPr>
          <w:color w:val="auto"/>
          <w:spacing w:val="-39"/>
          <w:sz w:val="21"/>
          <w:szCs w:val="21"/>
          <w:highlight w:val="none"/>
        </w:rPr>
        <w:t xml:space="preserve"> </w:t>
      </w:r>
      <w:r>
        <w:rPr>
          <w:rFonts w:ascii="黑体" w:hAnsi="黑体" w:eastAsia="黑体" w:cs="黑体"/>
          <w:color w:val="auto"/>
          <w:spacing w:val="-3"/>
          <w:sz w:val="21"/>
          <w:szCs w:val="21"/>
          <w:highlight w:val="none"/>
        </w:rPr>
        <w:t>签</w:t>
      </w:r>
      <w:r>
        <w:rPr>
          <w:rFonts w:ascii="黑体" w:hAnsi="黑体" w:eastAsia="黑体" w:cs="黑体"/>
          <w:color w:val="auto"/>
          <w:spacing w:val="-38"/>
          <w:sz w:val="21"/>
          <w:szCs w:val="21"/>
          <w:highlight w:val="none"/>
        </w:rPr>
        <w:t xml:space="preserve"> </w:t>
      </w:r>
      <w:r>
        <w:rPr>
          <w:rFonts w:ascii="黑体" w:hAnsi="黑体" w:eastAsia="黑体" w:cs="黑体"/>
          <w:color w:val="auto"/>
          <w:spacing w:val="-3"/>
          <w:sz w:val="21"/>
          <w:szCs w:val="21"/>
          <w:highlight w:val="none"/>
        </w:rPr>
        <w:t>章</w:t>
      </w:r>
      <w:r>
        <w:rPr>
          <w:rFonts w:ascii="黑体" w:hAnsi="黑体" w:eastAsia="黑体" w:cs="黑体"/>
          <w:color w:val="auto"/>
          <w:spacing w:val="-42"/>
          <w:sz w:val="21"/>
          <w:szCs w:val="21"/>
          <w:highlight w:val="none"/>
        </w:rPr>
        <w:t xml:space="preserve"> </w:t>
      </w:r>
      <w:r>
        <w:rPr>
          <w:rFonts w:ascii="黑体" w:hAnsi="黑体" w:eastAsia="黑体" w:cs="黑体"/>
          <w:color w:val="auto"/>
          <w:spacing w:val="-3"/>
          <w:sz w:val="21"/>
          <w:szCs w:val="21"/>
          <w:highlight w:val="none"/>
        </w:rPr>
        <w:t>) :</w:t>
      </w:r>
      <w:r>
        <w:rPr>
          <w:rFonts w:ascii="黑体" w:hAnsi="黑体" w:eastAsia="黑体" w:cs="黑体"/>
          <w:color w:val="auto"/>
          <w:spacing w:val="-40"/>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before="157" w:line="222" w:lineRule="auto"/>
        <w:ind w:left="495"/>
        <w:rPr>
          <w:rFonts w:ascii="黑体" w:hAnsi="黑体" w:eastAsia="黑体" w:cs="黑体"/>
          <w:color w:val="auto"/>
          <w:sz w:val="22"/>
          <w:szCs w:val="22"/>
          <w:highlight w:val="none"/>
        </w:rPr>
      </w:pPr>
      <w:r>
        <w:rPr>
          <w:rFonts w:ascii="黑体" w:hAnsi="黑体" w:eastAsia="黑体" w:cs="黑体"/>
          <w:color w:val="auto"/>
          <w:sz w:val="22"/>
          <w:szCs w:val="22"/>
          <w:highlight w:val="none"/>
        </w:rPr>
        <w:t>法定代表人或相应的委托代理人签字(或者电子签名):</w:t>
      </w:r>
      <w:r>
        <w:rPr>
          <w:rFonts w:ascii="黑体" w:hAnsi="黑体" w:eastAsia="黑体" w:cs="黑体"/>
          <w:color w:val="auto"/>
          <w:spacing w:val="-21"/>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before="118" w:line="224" w:lineRule="auto"/>
        <w:ind w:left="495"/>
        <w:rPr>
          <w:rFonts w:ascii="黑体" w:hAnsi="黑体" w:eastAsia="黑体" w:cs="黑体"/>
          <w:color w:val="auto"/>
          <w:sz w:val="21"/>
          <w:szCs w:val="21"/>
          <w:highlight w:val="none"/>
        </w:rPr>
      </w:pPr>
      <w:r>
        <w:rPr>
          <w:rFonts w:ascii="黑体" w:hAnsi="黑体" w:eastAsia="黑体" w:cs="黑体"/>
          <w:color w:val="auto"/>
          <w:spacing w:val="-31"/>
          <w:sz w:val="21"/>
          <w:szCs w:val="21"/>
          <w:highlight w:val="none"/>
        </w:rPr>
        <w:t>日</w:t>
      </w:r>
      <w:r>
        <w:rPr>
          <w:rFonts w:ascii="黑体" w:hAnsi="黑体" w:eastAsia="黑体" w:cs="黑体"/>
          <w:color w:val="auto"/>
          <w:spacing w:val="5"/>
          <w:sz w:val="21"/>
          <w:szCs w:val="21"/>
          <w:highlight w:val="none"/>
        </w:rPr>
        <w:t xml:space="preserve">     </w:t>
      </w:r>
      <w:r>
        <w:rPr>
          <w:rFonts w:ascii="黑体" w:hAnsi="黑体" w:eastAsia="黑体" w:cs="黑体"/>
          <w:color w:val="auto"/>
          <w:spacing w:val="-31"/>
          <w:sz w:val="21"/>
          <w:szCs w:val="21"/>
          <w:highlight w:val="none"/>
        </w:rPr>
        <w:t>期</w:t>
      </w:r>
      <w:r>
        <w:rPr>
          <w:rFonts w:ascii="黑体" w:hAnsi="黑体" w:eastAsia="黑体" w:cs="黑体"/>
          <w:color w:val="auto"/>
          <w:spacing w:val="-43"/>
          <w:sz w:val="21"/>
          <w:szCs w:val="21"/>
          <w:highlight w:val="none"/>
        </w:rPr>
        <w:t xml:space="preserve"> </w:t>
      </w:r>
      <w:r>
        <w:rPr>
          <w:rFonts w:ascii="黑体" w:hAnsi="黑体" w:eastAsia="黑体" w:cs="黑体"/>
          <w:color w:val="auto"/>
          <w:spacing w:val="-31"/>
          <w:sz w:val="21"/>
          <w:szCs w:val="21"/>
          <w:highlight w:val="none"/>
        </w:rPr>
        <w:t>：</w:t>
      </w:r>
      <w:r>
        <w:rPr>
          <w:rFonts w:ascii="黑体" w:hAnsi="黑体" w:eastAsia="黑体" w:cs="黑体"/>
          <w:color w:val="auto"/>
          <w:sz w:val="21"/>
          <w:szCs w:val="21"/>
          <w:highlight w:val="none"/>
          <w:u w:val="single" w:color="auto"/>
        </w:rPr>
        <w:t xml:space="preserve">                                                    </w:t>
      </w:r>
    </w:p>
    <w:p>
      <w:pPr>
        <w:spacing w:line="372" w:lineRule="auto"/>
        <w:rPr>
          <w:rFonts w:ascii="Arial"/>
          <w:color w:val="auto"/>
          <w:sz w:val="21"/>
          <w:highlight w:val="none"/>
        </w:rPr>
      </w:pPr>
    </w:p>
    <w:p>
      <w:pPr>
        <w:spacing w:before="69" w:line="318" w:lineRule="auto"/>
        <w:ind w:left="75" w:right="34"/>
        <w:rPr>
          <w:rFonts w:ascii="黑体" w:hAnsi="黑体" w:eastAsia="黑体" w:cs="黑体"/>
          <w:color w:val="auto"/>
          <w:sz w:val="21"/>
          <w:szCs w:val="21"/>
          <w:highlight w:val="none"/>
        </w:rPr>
      </w:pPr>
      <w:r>
        <w:rPr>
          <w:rFonts w:ascii="黑体" w:hAnsi="黑体" w:eastAsia="黑体" w:cs="黑体"/>
          <w:color w:val="auto"/>
          <w:spacing w:val="2"/>
          <w:sz w:val="21"/>
          <w:szCs w:val="21"/>
          <w:highlight w:val="none"/>
        </w:rPr>
        <w:t>注：1.各供应商必须就“采购需求”中所投的所有内容作完整唯一报价，否则，其投标将被拒绝。投</w:t>
      </w:r>
      <w:r>
        <w:rPr>
          <w:rFonts w:ascii="黑体" w:hAnsi="黑体" w:eastAsia="黑体" w:cs="黑体"/>
          <w:color w:val="auto"/>
          <w:sz w:val="21"/>
          <w:szCs w:val="21"/>
          <w:highlight w:val="none"/>
        </w:rPr>
        <w:t>标文件只允许有一个报价。</w:t>
      </w:r>
    </w:p>
    <w:p>
      <w:pPr>
        <w:pStyle w:val="3"/>
        <w:spacing w:before="6" w:line="222" w:lineRule="auto"/>
        <w:ind w:left="495"/>
        <w:rPr>
          <w:rFonts w:ascii="黑体" w:hAnsi="黑体" w:eastAsia="黑体" w:cs="黑体"/>
          <w:color w:val="auto"/>
          <w:sz w:val="21"/>
          <w:szCs w:val="21"/>
          <w:highlight w:val="none"/>
        </w:rPr>
      </w:pPr>
      <w:r>
        <w:rPr>
          <w:color w:val="auto"/>
          <w:sz w:val="21"/>
          <w:szCs w:val="21"/>
          <w:highlight w:val="none"/>
        </w:rPr>
        <w:t>2.</w:t>
      </w:r>
      <w:r>
        <w:rPr>
          <w:rFonts w:ascii="黑体" w:hAnsi="黑体" w:eastAsia="黑体" w:cs="黑体"/>
          <w:color w:val="auto"/>
          <w:sz w:val="21"/>
          <w:szCs w:val="21"/>
          <w:highlight w:val="none"/>
        </w:rPr>
        <w:t>供应商应根据所投项目如实填写投标报价表的各项内容。</w:t>
      </w:r>
    </w:p>
    <w:p>
      <w:pPr>
        <w:spacing w:before="17" w:line="231" w:lineRule="auto"/>
        <w:ind w:left="75" w:firstLine="419"/>
        <w:rPr>
          <w:rFonts w:ascii="黑体" w:hAnsi="黑体" w:eastAsia="黑体" w:cs="黑体"/>
          <w:color w:val="auto"/>
          <w:sz w:val="21"/>
          <w:szCs w:val="21"/>
          <w:highlight w:val="none"/>
        </w:rPr>
      </w:pPr>
      <w:r>
        <w:rPr>
          <w:rFonts w:ascii="Times New Roman" w:hAnsi="Times New Roman" w:eastAsia="Times New Roman" w:cs="Times New Roman"/>
          <w:color w:val="auto"/>
          <w:spacing w:val="3"/>
          <w:sz w:val="21"/>
          <w:szCs w:val="21"/>
          <w:highlight w:val="none"/>
        </w:rPr>
        <w:t>3.</w:t>
      </w:r>
      <w:r>
        <w:rPr>
          <w:rFonts w:ascii="Times New Roman" w:hAnsi="Times New Roman" w:eastAsia="Times New Roman" w:cs="Times New Roman"/>
          <w:color w:val="auto"/>
          <w:spacing w:val="5"/>
          <w:sz w:val="21"/>
          <w:szCs w:val="21"/>
          <w:highlight w:val="none"/>
        </w:rPr>
        <w:t xml:space="preserve"> </w:t>
      </w:r>
      <w:r>
        <w:rPr>
          <w:rFonts w:ascii="黑体" w:hAnsi="黑体" w:eastAsia="黑体" w:cs="黑体"/>
          <w:color w:val="auto"/>
          <w:spacing w:val="3"/>
          <w:sz w:val="21"/>
          <w:szCs w:val="21"/>
          <w:highlight w:val="none"/>
        </w:rPr>
        <w:t>投标报价表须由法定代表人负责人、自然人或相应的委托代理人签字或个人</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3"/>
          <w:sz w:val="21"/>
          <w:szCs w:val="21"/>
          <w:highlight w:val="none"/>
        </w:rPr>
        <w:t>签章(属自然人的应</w:t>
      </w:r>
      <w:r>
        <w:rPr>
          <w:rFonts w:ascii="黑体" w:hAnsi="黑体" w:eastAsia="黑体" w:cs="黑体"/>
          <w:color w:val="auto"/>
          <w:sz w:val="21"/>
          <w:szCs w:val="21"/>
          <w:highlight w:val="none"/>
        </w:rPr>
        <w:t xml:space="preserve"> </w:t>
      </w:r>
      <w:r>
        <w:rPr>
          <w:rFonts w:ascii="黑体" w:hAnsi="黑体" w:eastAsia="黑体" w:cs="黑体"/>
          <w:color w:val="auto"/>
          <w:spacing w:val="10"/>
          <w:sz w:val="21"/>
          <w:szCs w:val="21"/>
          <w:highlight w:val="none"/>
        </w:rPr>
        <w:t>在签名处加盖食指指印或个人</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10"/>
          <w:sz w:val="21"/>
          <w:szCs w:val="21"/>
          <w:highlight w:val="none"/>
        </w:rPr>
        <w:t>签章)并加盖供应商</w:t>
      </w:r>
      <w:r>
        <w:rPr>
          <w:rFonts w:ascii="黑体" w:hAnsi="黑体" w:eastAsia="黑体" w:cs="黑体"/>
          <w:color w:val="auto"/>
          <w:spacing w:val="-49"/>
          <w:sz w:val="21"/>
          <w:szCs w:val="21"/>
          <w:highlight w:val="none"/>
        </w:rPr>
        <w:t xml:space="preserve"> </w:t>
      </w:r>
      <w:r>
        <w:rPr>
          <w:rFonts w:ascii="Times New Roman" w:hAnsi="Times New Roman" w:eastAsia="Times New Roman" w:cs="Times New Roman"/>
          <w:color w:val="auto"/>
          <w:sz w:val="21"/>
          <w:szCs w:val="21"/>
          <w:highlight w:val="none"/>
        </w:rPr>
        <w:t>CA</w:t>
      </w:r>
      <w:r>
        <w:rPr>
          <w:rFonts w:ascii="黑体" w:hAnsi="黑体" w:eastAsia="黑体" w:cs="黑体"/>
          <w:color w:val="auto"/>
          <w:spacing w:val="10"/>
          <w:sz w:val="21"/>
          <w:szCs w:val="21"/>
          <w:highlight w:val="none"/>
        </w:rPr>
        <w:t>签章(自然人除外)。</w:t>
      </w:r>
      <w:r>
        <w:rPr>
          <w:rFonts w:ascii="黑体" w:hAnsi="黑体" w:eastAsia="黑体" w:cs="黑体"/>
          <w:b/>
          <w:bCs/>
          <w:color w:val="auto"/>
          <w:spacing w:val="10"/>
          <w:sz w:val="21"/>
          <w:szCs w:val="21"/>
          <w:highlight w:val="none"/>
        </w:rPr>
        <w:t>当</w:t>
      </w:r>
      <w:r>
        <w:rPr>
          <w:rFonts w:ascii="黑体" w:hAnsi="黑体" w:eastAsia="黑体" w:cs="黑体"/>
          <w:b/>
          <w:bCs/>
          <w:color w:val="auto"/>
          <w:spacing w:val="9"/>
          <w:sz w:val="21"/>
          <w:szCs w:val="21"/>
          <w:highlight w:val="none"/>
        </w:rPr>
        <w:t>本表由多页构成时，需</w:t>
      </w:r>
      <w:r>
        <w:rPr>
          <w:rFonts w:ascii="黑体" w:hAnsi="黑体" w:eastAsia="黑体" w:cs="黑体"/>
          <w:color w:val="auto"/>
          <w:sz w:val="21"/>
          <w:szCs w:val="21"/>
          <w:highlight w:val="none"/>
        </w:rPr>
        <w:t xml:space="preserve"> </w:t>
      </w:r>
      <w:r>
        <w:rPr>
          <w:rFonts w:ascii="黑体" w:hAnsi="黑体" w:eastAsia="黑体" w:cs="黑体"/>
          <w:b/>
          <w:bCs/>
          <w:color w:val="auto"/>
          <w:spacing w:val="14"/>
          <w:sz w:val="21"/>
          <w:szCs w:val="21"/>
          <w:highlight w:val="none"/>
        </w:rPr>
        <w:t>逐加盖供应商公章(属自然人的须逐页签字或个人</w:t>
      </w:r>
      <w:r>
        <w:rPr>
          <w:rFonts w:ascii="Times New Roman" w:hAnsi="Times New Roman" w:eastAsia="Times New Roman" w:cs="Times New Roman"/>
          <w:b/>
          <w:bCs/>
          <w:color w:val="auto"/>
          <w:sz w:val="21"/>
          <w:szCs w:val="21"/>
          <w:highlight w:val="none"/>
        </w:rPr>
        <w:t>CA</w:t>
      </w:r>
      <w:r>
        <w:rPr>
          <w:rFonts w:ascii="黑体" w:hAnsi="黑体" w:eastAsia="黑体" w:cs="黑体"/>
          <w:b/>
          <w:bCs/>
          <w:color w:val="auto"/>
          <w:spacing w:val="14"/>
          <w:sz w:val="21"/>
          <w:szCs w:val="21"/>
          <w:highlight w:val="none"/>
        </w:rPr>
        <w:t>签章)</w:t>
      </w:r>
    </w:p>
    <w:p>
      <w:pPr>
        <w:spacing w:line="231" w:lineRule="auto"/>
        <w:rPr>
          <w:rFonts w:ascii="黑体" w:hAnsi="黑体" w:eastAsia="黑体" w:cs="黑体"/>
          <w:color w:val="auto"/>
          <w:sz w:val="21"/>
          <w:szCs w:val="21"/>
          <w:highlight w:val="none"/>
        </w:rPr>
        <w:sectPr>
          <w:footerReference r:id="rId42" w:type="default"/>
          <w:pgSz w:w="11900" w:h="16830"/>
          <w:pgMar w:top="400" w:right="1049" w:bottom="801" w:left="974" w:header="0" w:footer="657" w:gutter="0"/>
          <w:cols w:space="720" w:num="1"/>
        </w:sect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pStyle w:val="3"/>
        <w:spacing w:before="107" w:line="221" w:lineRule="auto"/>
        <w:ind w:left="669"/>
        <w:rPr>
          <w:rFonts w:ascii="黑体" w:hAnsi="黑体" w:eastAsia="黑体" w:cs="黑体"/>
          <w:color w:val="auto"/>
          <w:sz w:val="33"/>
          <w:szCs w:val="33"/>
          <w:highlight w:val="none"/>
        </w:rPr>
      </w:pPr>
      <w:r>
        <w:rPr>
          <w:b/>
          <w:bCs/>
          <w:color w:val="auto"/>
          <w:spacing w:val="4"/>
          <w:sz w:val="33"/>
          <w:szCs w:val="33"/>
          <w:highlight w:val="none"/>
        </w:rPr>
        <w:t>2.</w:t>
      </w:r>
      <w:r>
        <w:rPr>
          <w:color w:val="auto"/>
          <w:spacing w:val="4"/>
          <w:sz w:val="33"/>
          <w:szCs w:val="33"/>
          <w:highlight w:val="none"/>
        </w:rPr>
        <w:t xml:space="preserve"> </w:t>
      </w:r>
      <w:r>
        <w:rPr>
          <w:rFonts w:ascii="黑体" w:hAnsi="黑体" w:eastAsia="黑体" w:cs="黑体"/>
          <w:b/>
          <w:bCs/>
          <w:color w:val="auto"/>
          <w:spacing w:val="4"/>
          <w:sz w:val="33"/>
          <w:szCs w:val="33"/>
          <w:highlight w:val="none"/>
        </w:rPr>
        <w:t>服务采购偏离表(必须提供)</w:t>
      </w:r>
    </w:p>
    <w:p>
      <w:pPr>
        <w:spacing w:line="429" w:lineRule="auto"/>
        <w:rPr>
          <w:rFonts w:ascii="Arial"/>
          <w:color w:val="auto"/>
          <w:sz w:val="21"/>
          <w:highlight w:val="none"/>
        </w:rPr>
      </w:pPr>
    </w:p>
    <w:p>
      <w:pPr>
        <w:spacing w:before="65" w:line="224" w:lineRule="auto"/>
        <w:ind w:left="507"/>
        <w:rPr>
          <w:rFonts w:ascii="黑体" w:hAnsi="黑体" w:eastAsia="黑体" w:cs="黑体"/>
          <w:color w:val="auto"/>
          <w:sz w:val="20"/>
          <w:szCs w:val="20"/>
          <w:highlight w:val="none"/>
        </w:rPr>
      </w:pPr>
      <w:r>
        <w:rPr>
          <w:rFonts w:ascii="黑体" w:hAnsi="黑体" w:eastAsia="黑体" w:cs="黑体"/>
          <w:b/>
          <w:bCs/>
          <w:color w:val="auto"/>
          <w:spacing w:val="-11"/>
          <w:sz w:val="20"/>
          <w:szCs w:val="20"/>
          <w:highlight w:val="none"/>
        </w:rPr>
        <w:t>附</w:t>
      </w:r>
      <w:r>
        <w:rPr>
          <w:rFonts w:ascii="黑体" w:hAnsi="黑体" w:eastAsia="黑体" w:cs="黑体"/>
          <w:color w:val="auto"/>
          <w:spacing w:val="-24"/>
          <w:sz w:val="20"/>
          <w:szCs w:val="20"/>
          <w:highlight w:val="none"/>
        </w:rPr>
        <w:t xml:space="preserve"> </w:t>
      </w:r>
      <w:r>
        <w:rPr>
          <w:rFonts w:ascii="黑体" w:hAnsi="黑体" w:eastAsia="黑体" w:cs="黑体"/>
          <w:b/>
          <w:bCs/>
          <w:color w:val="auto"/>
          <w:spacing w:val="-11"/>
          <w:sz w:val="20"/>
          <w:szCs w:val="20"/>
          <w:highlight w:val="none"/>
        </w:rPr>
        <w:t>件</w:t>
      </w:r>
      <w:r>
        <w:rPr>
          <w:rFonts w:ascii="黑体" w:hAnsi="黑体" w:eastAsia="黑体" w:cs="黑体"/>
          <w:color w:val="auto"/>
          <w:spacing w:val="-30"/>
          <w:sz w:val="20"/>
          <w:szCs w:val="20"/>
          <w:highlight w:val="none"/>
        </w:rPr>
        <w:t xml:space="preserve"> </w:t>
      </w:r>
      <w:r>
        <w:rPr>
          <w:rFonts w:ascii="黑体" w:hAnsi="黑体" w:eastAsia="黑体" w:cs="黑体"/>
          <w:b/>
          <w:bCs/>
          <w:color w:val="auto"/>
          <w:spacing w:val="-11"/>
          <w:sz w:val="20"/>
          <w:szCs w:val="20"/>
          <w:highlight w:val="none"/>
        </w:rPr>
        <w:t>：</w:t>
      </w:r>
    </w:p>
    <w:p>
      <w:pPr>
        <w:pStyle w:val="3"/>
        <w:spacing w:before="144" w:line="219" w:lineRule="auto"/>
        <w:ind w:left="3268"/>
        <w:rPr>
          <w:color w:val="auto"/>
          <w:sz w:val="26"/>
          <w:szCs w:val="26"/>
          <w:highlight w:val="none"/>
        </w:rPr>
      </w:pPr>
      <w:r>
        <w:rPr>
          <w:b/>
          <w:bCs/>
          <w:color w:val="auto"/>
          <w:spacing w:val="1"/>
          <w:sz w:val="26"/>
          <w:szCs w:val="26"/>
          <w:highlight w:val="none"/>
        </w:rPr>
        <w:t>服务采购偏离表(参考格式)</w:t>
      </w:r>
    </w:p>
    <w:tbl>
      <w:tblPr>
        <w:tblStyle w:val="8"/>
        <w:tblW w:w="97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24"/>
        <w:gridCol w:w="2108"/>
        <w:gridCol w:w="2297"/>
        <w:gridCol w:w="2537"/>
        <w:gridCol w:w="210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3" w:hRule="atLeast"/>
        </w:trPr>
        <w:tc>
          <w:tcPr>
            <w:tcW w:w="724" w:type="dxa"/>
            <w:shd w:val="clear" w:color="auto" w:fill="8DB3E2"/>
            <w:vAlign w:val="top"/>
          </w:tcPr>
          <w:p>
            <w:pPr>
              <w:spacing w:line="291" w:lineRule="auto"/>
              <w:rPr>
                <w:rFonts w:ascii="Arial"/>
                <w:color w:val="auto"/>
                <w:sz w:val="21"/>
                <w:highlight w:val="none"/>
              </w:rPr>
            </w:pPr>
          </w:p>
          <w:p>
            <w:pPr>
              <w:pStyle w:val="9"/>
              <w:spacing w:before="68" w:line="221" w:lineRule="auto"/>
              <w:ind w:left="147"/>
              <w:rPr>
                <w:color w:val="auto"/>
                <w:sz w:val="21"/>
                <w:szCs w:val="21"/>
                <w:highlight w:val="none"/>
              </w:rPr>
            </w:pPr>
            <w:r>
              <w:rPr>
                <w:b/>
                <w:bCs/>
                <w:color w:val="auto"/>
                <w:spacing w:val="-5"/>
                <w:sz w:val="21"/>
                <w:szCs w:val="21"/>
                <w:highlight w:val="none"/>
              </w:rPr>
              <w:t>序号</w:t>
            </w:r>
          </w:p>
        </w:tc>
        <w:tc>
          <w:tcPr>
            <w:tcW w:w="2108" w:type="dxa"/>
            <w:shd w:val="clear" w:color="auto" w:fill="8DB3E2"/>
            <w:vAlign w:val="top"/>
          </w:tcPr>
          <w:p>
            <w:pPr>
              <w:pStyle w:val="9"/>
              <w:spacing w:before="230" w:line="219" w:lineRule="auto"/>
              <w:ind w:left="613"/>
              <w:rPr>
                <w:color w:val="auto"/>
                <w:sz w:val="21"/>
                <w:szCs w:val="21"/>
                <w:highlight w:val="none"/>
              </w:rPr>
            </w:pPr>
            <w:r>
              <w:rPr>
                <w:b/>
                <w:bCs/>
                <w:color w:val="auto"/>
                <w:spacing w:val="-4"/>
                <w:sz w:val="21"/>
                <w:szCs w:val="21"/>
                <w:highlight w:val="none"/>
              </w:rPr>
              <w:t>服务名称</w:t>
            </w:r>
          </w:p>
        </w:tc>
        <w:tc>
          <w:tcPr>
            <w:tcW w:w="2297" w:type="dxa"/>
            <w:shd w:val="clear" w:color="auto" w:fill="8DB3E2"/>
            <w:vAlign w:val="top"/>
          </w:tcPr>
          <w:p>
            <w:pPr>
              <w:pStyle w:val="9"/>
              <w:spacing w:before="229" w:line="219" w:lineRule="auto"/>
              <w:ind w:left="515"/>
              <w:rPr>
                <w:color w:val="auto"/>
                <w:sz w:val="21"/>
                <w:szCs w:val="21"/>
                <w:highlight w:val="none"/>
              </w:rPr>
            </w:pPr>
            <w:r>
              <w:rPr>
                <w:b/>
                <w:bCs/>
                <w:color w:val="auto"/>
                <w:spacing w:val="-4"/>
                <w:sz w:val="21"/>
                <w:szCs w:val="21"/>
                <w:highlight w:val="none"/>
              </w:rPr>
              <w:t>服务采购需求</w:t>
            </w:r>
          </w:p>
        </w:tc>
        <w:tc>
          <w:tcPr>
            <w:tcW w:w="2537" w:type="dxa"/>
            <w:shd w:val="clear" w:color="auto" w:fill="8DB3E2"/>
            <w:vAlign w:val="top"/>
          </w:tcPr>
          <w:p>
            <w:pPr>
              <w:pStyle w:val="9"/>
              <w:spacing w:before="230" w:line="219" w:lineRule="auto"/>
              <w:ind w:left="328"/>
              <w:rPr>
                <w:color w:val="auto"/>
                <w:sz w:val="21"/>
                <w:szCs w:val="21"/>
                <w:highlight w:val="none"/>
              </w:rPr>
            </w:pPr>
            <w:r>
              <w:rPr>
                <w:b/>
                <w:bCs/>
                <w:color w:val="auto"/>
                <w:spacing w:val="-4"/>
                <w:sz w:val="21"/>
                <w:szCs w:val="21"/>
                <w:highlight w:val="none"/>
              </w:rPr>
              <w:t>投标文件的响应情况</w:t>
            </w:r>
          </w:p>
        </w:tc>
        <w:tc>
          <w:tcPr>
            <w:tcW w:w="2103" w:type="dxa"/>
            <w:shd w:val="clear" w:color="auto" w:fill="8DB3E2"/>
            <w:vAlign w:val="top"/>
          </w:tcPr>
          <w:p>
            <w:pPr>
              <w:pStyle w:val="9"/>
              <w:spacing w:before="230" w:line="219" w:lineRule="auto"/>
              <w:ind w:left="421"/>
              <w:rPr>
                <w:color w:val="auto"/>
                <w:sz w:val="21"/>
                <w:szCs w:val="21"/>
                <w:highlight w:val="none"/>
              </w:rPr>
            </w:pPr>
            <w:r>
              <w:rPr>
                <w:b/>
                <w:bCs/>
                <w:color w:val="auto"/>
                <w:sz w:val="21"/>
                <w:szCs w:val="21"/>
                <w:highlight w:val="none"/>
              </w:rPr>
              <w:t>偏离情况说明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4" w:type="dxa"/>
            <w:vAlign w:val="top"/>
          </w:tcPr>
          <w:p>
            <w:pPr>
              <w:spacing w:line="241" w:lineRule="auto"/>
              <w:rPr>
                <w:rFonts w:ascii="Arial"/>
                <w:color w:val="auto"/>
                <w:sz w:val="21"/>
                <w:highlight w:val="none"/>
              </w:rPr>
            </w:pPr>
          </w:p>
          <w:p>
            <w:pPr>
              <w:pStyle w:val="9"/>
              <w:spacing w:before="68" w:line="208" w:lineRule="auto"/>
              <w:ind w:left="294"/>
              <w:rPr>
                <w:color w:val="auto"/>
                <w:sz w:val="21"/>
                <w:szCs w:val="21"/>
                <w:highlight w:val="none"/>
              </w:rPr>
            </w:pPr>
            <w:r>
              <w:rPr>
                <w:color w:val="auto"/>
                <w:sz w:val="21"/>
                <w:szCs w:val="21"/>
                <w:highlight w:val="none"/>
              </w:rPr>
              <w:t>1</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 w:hRule="atLeast"/>
        </w:trPr>
        <w:tc>
          <w:tcPr>
            <w:tcW w:w="724" w:type="dxa"/>
            <w:vAlign w:val="top"/>
          </w:tcPr>
          <w:p>
            <w:pPr>
              <w:pStyle w:val="9"/>
              <w:spacing w:before="293" w:line="207" w:lineRule="auto"/>
              <w:ind w:left="294"/>
              <w:rPr>
                <w:color w:val="auto"/>
                <w:sz w:val="21"/>
                <w:szCs w:val="21"/>
                <w:highlight w:val="none"/>
              </w:rPr>
            </w:pPr>
            <w:r>
              <w:rPr>
                <w:color w:val="auto"/>
                <w:sz w:val="21"/>
                <w:szCs w:val="21"/>
                <w:highlight w:val="none"/>
              </w:rPr>
              <w:t>2</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724" w:type="dxa"/>
            <w:vAlign w:val="top"/>
          </w:tcPr>
          <w:p>
            <w:pPr>
              <w:spacing w:line="264" w:lineRule="auto"/>
              <w:rPr>
                <w:rFonts w:ascii="Arial"/>
                <w:color w:val="auto"/>
                <w:sz w:val="21"/>
                <w:highlight w:val="none"/>
              </w:rPr>
            </w:pPr>
          </w:p>
          <w:p>
            <w:pPr>
              <w:pStyle w:val="9"/>
              <w:spacing w:before="68" w:line="188" w:lineRule="auto"/>
              <w:ind w:left="294"/>
              <w:rPr>
                <w:color w:val="auto"/>
                <w:sz w:val="21"/>
                <w:szCs w:val="21"/>
                <w:highlight w:val="none"/>
              </w:rPr>
            </w:pPr>
            <w:r>
              <w:rPr>
                <w:color w:val="auto"/>
                <w:sz w:val="21"/>
                <w:szCs w:val="21"/>
                <w:highlight w:val="none"/>
              </w:rPr>
              <w:t>3</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4" w:type="dxa"/>
            <w:vAlign w:val="top"/>
          </w:tcPr>
          <w:p>
            <w:pPr>
              <w:spacing w:line="256" w:lineRule="auto"/>
              <w:rPr>
                <w:rFonts w:ascii="Arial"/>
                <w:color w:val="auto"/>
                <w:sz w:val="21"/>
                <w:highlight w:val="none"/>
              </w:rPr>
            </w:pPr>
          </w:p>
          <w:p>
            <w:pPr>
              <w:pStyle w:val="9"/>
              <w:spacing w:before="68" w:line="196" w:lineRule="auto"/>
              <w:ind w:left="294"/>
              <w:rPr>
                <w:color w:val="auto"/>
                <w:sz w:val="21"/>
                <w:szCs w:val="21"/>
                <w:highlight w:val="none"/>
              </w:rPr>
            </w:pPr>
            <w:r>
              <w:rPr>
                <w:color w:val="auto"/>
                <w:sz w:val="21"/>
                <w:szCs w:val="21"/>
                <w:highlight w:val="none"/>
              </w:rPr>
              <w:t>4</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24" w:type="dxa"/>
            <w:vAlign w:val="top"/>
          </w:tcPr>
          <w:p>
            <w:pPr>
              <w:spacing w:line="287" w:lineRule="auto"/>
              <w:rPr>
                <w:rFonts w:ascii="Arial"/>
                <w:color w:val="auto"/>
                <w:sz w:val="21"/>
                <w:highlight w:val="none"/>
              </w:rPr>
            </w:pPr>
          </w:p>
          <w:p>
            <w:pPr>
              <w:pStyle w:val="9"/>
              <w:spacing w:before="69" w:line="168" w:lineRule="auto"/>
              <w:ind w:left="144"/>
              <w:rPr>
                <w:color w:val="auto"/>
                <w:sz w:val="21"/>
                <w:szCs w:val="21"/>
                <w:highlight w:val="none"/>
              </w:rPr>
            </w:pPr>
            <w:r>
              <w:rPr>
                <w:color w:val="auto"/>
                <w:spacing w:val="-6"/>
                <w:sz w:val="21"/>
                <w:szCs w:val="21"/>
                <w:highlight w:val="none"/>
              </w:rPr>
              <w:t>……</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724" w:type="dxa"/>
            <w:vAlign w:val="top"/>
          </w:tcPr>
          <w:p>
            <w:pPr>
              <w:spacing w:line="322" w:lineRule="auto"/>
              <w:rPr>
                <w:rFonts w:ascii="Arial"/>
                <w:color w:val="auto"/>
                <w:sz w:val="21"/>
                <w:highlight w:val="none"/>
              </w:rPr>
            </w:pPr>
          </w:p>
          <w:p>
            <w:pPr>
              <w:pStyle w:val="9"/>
              <w:spacing w:before="69" w:line="170" w:lineRule="exact"/>
              <w:ind w:left="294"/>
              <w:rPr>
                <w:color w:val="auto"/>
                <w:sz w:val="21"/>
                <w:szCs w:val="21"/>
                <w:highlight w:val="none"/>
              </w:rPr>
            </w:pPr>
            <w:r>
              <w:rPr>
                <w:color w:val="auto"/>
                <w:position w:val="-2"/>
                <w:sz w:val="21"/>
                <w:szCs w:val="21"/>
                <w:highlight w:val="none"/>
              </w:rPr>
              <w:t>N</w:t>
            </w:r>
          </w:p>
        </w:tc>
        <w:tc>
          <w:tcPr>
            <w:tcW w:w="2108" w:type="dxa"/>
            <w:vAlign w:val="top"/>
          </w:tcPr>
          <w:p>
            <w:pPr>
              <w:rPr>
                <w:rFonts w:ascii="Arial"/>
                <w:color w:val="auto"/>
                <w:sz w:val="21"/>
                <w:highlight w:val="none"/>
              </w:rPr>
            </w:pPr>
          </w:p>
        </w:tc>
        <w:tc>
          <w:tcPr>
            <w:tcW w:w="2297" w:type="dxa"/>
            <w:vAlign w:val="top"/>
          </w:tcPr>
          <w:p>
            <w:pPr>
              <w:rPr>
                <w:rFonts w:ascii="Arial"/>
                <w:color w:val="auto"/>
                <w:sz w:val="21"/>
                <w:highlight w:val="none"/>
              </w:rPr>
            </w:pPr>
          </w:p>
        </w:tc>
        <w:tc>
          <w:tcPr>
            <w:tcW w:w="2537" w:type="dxa"/>
            <w:vAlign w:val="top"/>
          </w:tcPr>
          <w:p>
            <w:pPr>
              <w:rPr>
                <w:rFonts w:ascii="Arial"/>
                <w:color w:val="auto"/>
                <w:sz w:val="21"/>
                <w:highlight w:val="none"/>
              </w:rPr>
            </w:pPr>
          </w:p>
        </w:tc>
        <w:tc>
          <w:tcPr>
            <w:tcW w:w="2103" w:type="dxa"/>
            <w:vAlign w:val="top"/>
          </w:tcPr>
          <w:p>
            <w:pPr>
              <w:rPr>
                <w:rFonts w:ascii="Arial"/>
                <w:color w:val="auto"/>
                <w:sz w:val="21"/>
                <w:highlight w:val="none"/>
              </w:rPr>
            </w:pPr>
          </w:p>
        </w:tc>
      </w:tr>
    </w:tbl>
    <w:p>
      <w:pPr>
        <w:spacing w:line="452" w:lineRule="auto"/>
        <w:rPr>
          <w:rFonts w:ascii="Arial"/>
          <w:color w:val="auto"/>
          <w:sz w:val="21"/>
          <w:highlight w:val="none"/>
        </w:rPr>
      </w:pPr>
    </w:p>
    <w:p>
      <w:pPr>
        <w:spacing w:before="66" w:line="213" w:lineRule="auto"/>
        <w:ind w:right="19"/>
        <w:jc w:val="right"/>
        <w:rPr>
          <w:rFonts w:ascii="黑体" w:hAnsi="黑体" w:eastAsia="黑体" w:cs="黑体"/>
          <w:color w:val="auto"/>
          <w:sz w:val="20"/>
          <w:szCs w:val="20"/>
          <w:highlight w:val="none"/>
        </w:rPr>
      </w:pPr>
      <w:r>
        <w:rPr>
          <w:rFonts w:ascii="黑体" w:hAnsi="黑体" w:eastAsia="黑体" w:cs="黑体"/>
          <w:color w:val="auto"/>
          <w:spacing w:val="7"/>
          <w:sz w:val="20"/>
          <w:szCs w:val="20"/>
          <w:highlight w:val="none"/>
        </w:rPr>
        <w:t>注：供应商应对照招标文件中项目要求及技术需求的内容</w:t>
      </w:r>
      <w:r>
        <w:rPr>
          <w:rFonts w:ascii="黑体" w:hAnsi="黑体" w:eastAsia="黑体" w:cs="黑体"/>
          <w:b/>
          <w:bCs/>
          <w:color w:val="auto"/>
          <w:spacing w:val="7"/>
          <w:sz w:val="20"/>
          <w:szCs w:val="20"/>
          <w:highlight w:val="none"/>
        </w:rPr>
        <w:t>逐条响应，</w:t>
      </w:r>
      <w:r>
        <w:rPr>
          <w:rFonts w:ascii="黑体" w:hAnsi="黑体" w:eastAsia="黑体" w:cs="黑体"/>
          <w:color w:val="auto"/>
          <w:spacing w:val="7"/>
          <w:sz w:val="20"/>
          <w:szCs w:val="20"/>
          <w:highlight w:val="none"/>
        </w:rPr>
        <w:t>并在“偏离情况说明”栏注明“正</w:t>
      </w:r>
    </w:p>
    <w:p>
      <w:pPr>
        <w:spacing w:line="273" w:lineRule="auto"/>
        <w:rPr>
          <w:rFonts w:ascii="Arial"/>
          <w:color w:val="auto"/>
          <w:sz w:val="21"/>
          <w:highlight w:val="none"/>
        </w:rPr>
      </w:pPr>
    </w:p>
    <w:p>
      <w:pPr>
        <w:spacing w:before="65" w:line="221" w:lineRule="auto"/>
        <w:ind w:left="14"/>
        <w:rPr>
          <w:rFonts w:ascii="黑体" w:hAnsi="黑体" w:eastAsia="黑体" w:cs="黑体"/>
          <w:color w:val="auto"/>
          <w:sz w:val="20"/>
          <w:szCs w:val="20"/>
          <w:highlight w:val="none"/>
        </w:rPr>
      </w:pPr>
      <w:r>
        <w:rPr>
          <w:rFonts w:ascii="黑体" w:hAnsi="黑体" w:eastAsia="黑体" w:cs="黑体"/>
          <w:color w:val="auto"/>
          <w:spacing w:val="29"/>
          <w:sz w:val="20"/>
          <w:szCs w:val="20"/>
          <w:highlight w:val="none"/>
        </w:rPr>
        <w:t>偏离”、“负偏离”或“无偏离”。</w:t>
      </w: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spacing w:line="255" w:lineRule="auto"/>
        <w:rPr>
          <w:rFonts w:ascii="Arial"/>
          <w:color w:val="auto"/>
          <w:sz w:val="21"/>
          <w:highlight w:val="none"/>
        </w:rPr>
      </w:pPr>
    </w:p>
    <w:p>
      <w:pPr>
        <w:pStyle w:val="3"/>
        <w:spacing w:before="66" w:line="213" w:lineRule="auto"/>
        <w:ind w:left="2344"/>
        <w:rPr>
          <w:rFonts w:ascii="黑体" w:hAnsi="黑体" w:eastAsia="黑体" w:cs="黑体"/>
          <w:color w:val="auto"/>
          <w:sz w:val="20"/>
          <w:szCs w:val="20"/>
          <w:highlight w:val="none"/>
        </w:rPr>
      </w:pPr>
      <w:r>
        <w:rPr>
          <w:rFonts w:ascii="黑体" w:hAnsi="黑体" w:eastAsia="黑体" w:cs="黑体"/>
          <w:color w:val="auto"/>
          <w:spacing w:val="8"/>
          <w:sz w:val="20"/>
          <w:szCs w:val="20"/>
          <w:highlight w:val="none"/>
        </w:rPr>
        <w:t>供应商公章</w:t>
      </w:r>
      <w:r>
        <w:rPr>
          <w:rFonts w:ascii="黑体" w:hAnsi="黑体" w:eastAsia="黑体" w:cs="黑体"/>
          <w:color w:val="auto"/>
          <w:spacing w:val="-4"/>
          <w:sz w:val="20"/>
          <w:szCs w:val="20"/>
          <w:highlight w:val="none"/>
        </w:rPr>
        <w:t xml:space="preserve"> </w:t>
      </w:r>
      <w:r>
        <w:rPr>
          <w:color w:val="auto"/>
          <w:spacing w:val="8"/>
          <w:sz w:val="20"/>
          <w:szCs w:val="20"/>
          <w:highlight w:val="none"/>
        </w:rPr>
        <w:t>(</w:t>
      </w:r>
      <w:r>
        <w:rPr>
          <w:color w:val="auto"/>
          <w:sz w:val="20"/>
          <w:szCs w:val="20"/>
          <w:highlight w:val="none"/>
        </w:rPr>
        <w:t>CA</w:t>
      </w:r>
      <w:r>
        <w:rPr>
          <w:color w:val="auto"/>
          <w:spacing w:val="63"/>
          <w:sz w:val="20"/>
          <w:szCs w:val="20"/>
          <w:highlight w:val="none"/>
        </w:rPr>
        <w:t xml:space="preserve"> </w:t>
      </w:r>
      <w:r>
        <w:rPr>
          <w:rFonts w:ascii="黑体" w:hAnsi="黑体" w:eastAsia="黑体" w:cs="黑体"/>
          <w:color w:val="auto"/>
          <w:spacing w:val="8"/>
          <w:sz w:val="20"/>
          <w:szCs w:val="20"/>
          <w:highlight w:val="none"/>
        </w:rPr>
        <w:t>签章，自然人签字或个人</w:t>
      </w:r>
      <w:r>
        <w:rPr>
          <w:rFonts w:ascii="黑体" w:hAnsi="黑体" w:eastAsia="黑体" w:cs="黑体"/>
          <w:color w:val="auto"/>
          <w:spacing w:val="-60"/>
          <w:sz w:val="20"/>
          <w:szCs w:val="20"/>
          <w:highlight w:val="none"/>
        </w:rPr>
        <w:t xml:space="preserve"> </w:t>
      </w:r>
      <w:r>
        <w:rPr>
          <w:color w:val="auto"/>
          <w:sz w:val="20"/>
          <w:szCs w:val="20"/>
          <w:highlight w:val="none"/>
        </w:rPr>
        <w:t>CA</w:t>
      </w:r>
      <w:r>
        <w:rPr>
          <w:color w:val="auto"/>
          <w:spacing w:val="8"/>
          <w:sz w:val="20"/>
          <w:szCs w:val="20"/>
          <w:highlight w:val="none"/>
        </w:rPr>
        <w:t xml:space="preserve"> </w:t>
      </w:r>
      <w:r>
        <w:rPr>
          <w:rFonts w:ascii="黑体" w:hAnsi="黑体" w:eastAsia="黑体" w:cs="黑体"/>
          <w:color w:val="auto"/>
          <w:spacing w:val="8"/>
          <w:sz w:val="20"/>
          <w:szCs w:val="20"/>
          <w:highlight w:val="none"/>
        </w:rPr>
        <w:t>签</w:t>
      </w:r>
      <w:r>
        <w:rPr>
          <w:rFonts w:ascii="黑体" w:hAnsi="黑体" w:eastAsia="黑体" w:cs="黑体"/>
          <w:color w:val="auto"/>
          <w:spacing w:val="-24"/>
          <w:sz w:val="20"/>
          <w:szCs w:val="20"/>
          <w:highlight w:val="none"/>
        </w:rPr>
        <w:t xml:space="preserve"> </w:t>
      </w:r>
      <w:r>
        <w:rPr>
          <w:rFonts w:ascii="黑体" w:hAnsi="黑体" w:eastAsia="黑体" w:cs="黑体"/>
          <w:color w:val="auto"/>
          <w:spacing w:val="8"/>
          <w:sz w:val="20"/>
          <w:szCs w:val="20"/>
          <w:highlight w:val="none"/>
        </w:rPr>
        <w:t>章</w:t>
      </w:r>
      <w:r>
        <w:rPr>
          <w:rFonts w:ascii="黑体" w:hAnsi="黑体" w:eastAsia="黑体" w:cs="黑体"/>
          <w:color w:val="auto"/>
          <w:spacing w:val="-28"/>
          <w:sz w:val="20"/>
          <w:szCs w:val="20"/>
          <w:highlight w:val="none"/>
        </w:rPr>
        <w:t xml:space="preserve"> </w:t>
      </w:r>
      <w:r>
        <w:rPr>
          <w:rFonts w:ascii="黑体" w:hAnsi="黑体" w:eastAsia="黑体" w:cs="黑体"/>
          <w:color w:val="auto"/>
          <w:spacing w:val="8"/>
          <w:sz w:val="20"/>
          <w:szCs w:val="20"/>
          <w:highlight w:val="none"/>
        </w:rPr>
        <w:t>) :</w:t>
      </w:r>
    </w:p>
    <w:p>
      <w:pPr>
        <w:spacing w:before="118" w:line="221" w:lineRule="auto"/>
        <w:ind w:left="2344"/>
        <w:rPr>
          <w:rFonts w:ascii="黑体" w:hAnsi="黑体" w:eastAsia="黑体" w:cs="黑体"/>
          <w:color w:val="auto"/>
          <w:sz w:val="20"/>
          <w:szCs w:val="20"/>
          <w:highlight w:val="none"/>
        </w:rPr>
      </w:pPr>
      <w:r>
        <w:rPr>
          <w:rFonts w:ascii="黑体" w:hAnsi="黑体" w:eastAsia="黑体" w:cs="黑体"/>
          <w:color w:val="auto"/>
          <w:spacing w:val="22"/>
          <w:sz w:val="20"/>
          <w:szCs w:val="20"/>
          <w:highlight w:val="none"/>
        </w:rPr>
        <w:t>法定代表人(负责人)或相应的委托代理人签字(或个人</w:t>
      </w:r>
      <w:r>
        <w:rPr>
          <w:rFonts w:ascii="Times New Roman" w:hAnsi="Times New Roman" w:eastAsia="Times New Roman" w:cs="Times New Roman"/>
          <w:color w:val="auto"/>
          <w:sz w:val="20"/>
          <w:szCs w:val="20"/>
          <w:highlight w:val="none"/>
        </w:rPr>
        <w:t>CA</w:t>
      </w:r>
      <w:r>
        <w:rPr>
          <w:rFonts w:ascii="黑体" w:hAnsi="黑体" w:eastAsia="黑体" w:cs="黑体"/>
          <w:color w:val="auto"/>
          <w:spacing w:val="22"/>
          <w:sz w:val="20"/>
          <w:szCs w:val="20"/>
          <w:highlight w:val="none"/>
        </w:rPr>
        <w:t>认证证书签章):</w:t>
      </w:r>
    </w:p>
    <w:p>
      <w:pPr>
        <w:spacing w:line="432" w:lineRule="auto"/>
        <w:rPr>
          <w:rFonts w:ascii="Arial"/>
          <w:color w:val="auto"/>
          <w:sz w:val="21"/>
          <w:highlight w:val="none"/>
        </w:rPr>
      </w:pPr>
    </w:p>
    <w:p>
      <w:pPr>
        <w:spacing w:before="66" w:line="224" w:lineRule="auto"/>
        <w:ind w:left="2394"/>
        <w:rPr>
          <w:rFonts w:ascii="黑体" w:hAnsi="黑体" w:eastAsia="黑体" w:cs="黑体"/>
          <w:color w:val="auto"/>
          <w:sz w:val="20"/>
          <w:szCs w:val="20"/>
          <w:highlight w:val="none"/>
        </w:rPr>
      </w:pPr>
      <w:r>
        <w:rPr>
          <w:rFonts w:ascii="黑体" w:hAnsi="黑体" w:eastAsia="黑体" w:cs="黑体"/>
          <w:color w:val="auto"/>
          <w:spacing w:val="-22"/>
          <w:sz w:val="20"/>
          <w:szCs w:val="20"/>
          <w:highlight w:val="none"/>
        </w:rPr>
        <w:t>日</w:t>
      </w:r>
      <w:r>
        <w:rPr>
          <w:rFonts w:ascii="黑体" w:hAnsi="黑体" w:eastAsia="黑体" w:cs="黑体"/>
          <w:color w:val="auto"/>
          <w:spacing w:val="2"/>
          <w:sz w:val="20"/>
          <w:szCs w:val="20"/>
          <w:highlight w:val="none"/>
        </w:rPr>
        <w:t xml:space="preserve">           </w:t>
      </w:r>
      <w:r>
        <w:rPr>
          <w:rFonts w:ascii="黑体" w:hAnsi="黑体" w:eastAsia="黑体" w:cs="黑体"/>
          <w:b/>
          <w:bCs/>
          <w:color w:val="auto"/>
          <w:spacing w:val="-22"/>
          <w:sz w:val="20"/>
          <w:szCs w:val="20"/>
          <w:highlight w:val="none"/>
        </w:rPr>
        <w:t>期：</w:t>
      </w:r>
    </w:p>
    <w:p>
      <w:pPr>
        <w:spacing w:line="381" w:lineRule="auto"/>
        <w:rPr>
          <w:rFonts w:ascii="Arial"/>
          <w:color w:val="auto"/>
          <w:sz w:val="21"/>
          <w:highlight w:val="none"/>
        </w:rPr>
      </w:pPr>
    </w:p>
    <w:p>
      <w:pPr>
        <w:spacing w:before="82" w:line="221" w:lineRule="auto"/>
        <w:ind w:left="418"/>
        <w:rPr>
          <w:rFonts w:ascii="黑体" w:hAnsi="黑体" w:eastAsia="黑体" w:cs="黑体"/>
          <w:color w:val="auto"/>
          <w:sz w:val="25"/>
          <w:szCs w:val="25"/>
          <w:highlight w:val="none"/>
        </w:rPr>
      </w:pPr>
      <w:r>
        <w:rPr>
          <w:rFonts w:ascii="黑体" w:hAnsi="黑体" w:eastAsia="黑体" w:cs="黑体"/>
          <w:b/>
          <w:bCs/>
          <w:color w:val="auto"/>
          <w:spacing w:val="-10"/>
          <w:sz w:val="25"/>
          <w:szCs w:val="25"/>
          <w:highlight w:val="none"/>
        </w:rPr>
        <w:t>注</w:t>
      </w:r>
      <w:r>
        <w:rPr>
          <w:rFonts w:ascii="黑体" w:hAnsi="黑体" w:eastAsia="黑体" w:cs="黑体"/>
          <w:color w:val="auto"/>
          <w:spacing w:val="-28"/>
          <w:sz w:val="25"/>
          <w:szCs w:val="25"/>
          <w:highlight w:val="none"/>
        </w:rPr>
        <w:t xml:space="preserve"> </w:t>
      </w:r>
      <w:r>
        <w:rPr>
          <w:rFonts w:ascii="黑体" w:hAnsi="黑体" w:eastAsia="黑体" w:cs="黑体"/>
          <w:b/>
          <w:bCs/>
          <w:color w:val="auto"/>
          <w:spacing w:val="-10"/>
          <w:sz w:val="25"/>
          <w:szCs w:val="25"/>
          <w:highlight w:val="none"/>
        </w:rPr>
        <w:t>：</w:t>
      </w:r>
      <w:r>
        <w:rPr>
          <w:rFonts w:ascii="Times New Roman" w:hAnsi="Times New Roman" w:eastAsia="Times New Roman" w:cs="Times New Roman"/>
          <w:b/>
          <w:bCs/>
          <w:color w:val="auto"/>
          <w:spacing w:val="-10"/>
          <w:sz w:val="25"/>
          <w:szCs w:val="25"/>
          <w:highlight w:val="none"/>
        </w:rPr>
        <w:t>1.</w:t>
      </w:r>
      <w:r>
        <w:rPr>
          <w:rFonts w:ascii="Times New Roman" w:hAnsi="Times New Roman" w:eastAsia="Times New Roman" w:cs="Times New Roman"/>
          <w:b/>
          <w:bCs/>
          <w:color w:val="auto"/>
          <w:spacing w:val="-31"/>
          <w:sz w:val="25"/>
          <w:szCs w:val="25"/>
          <w:highlight w:val="none"/>
        </w:rPr>
        <w:t xml:space="preserve"> </w:t>
      </w:r>
      <w:r>
        <w:rPr>
          <w:rFonts w:ascii="黑体" w:hAnsi="黑体" w:eastAsia="黑体" w:cs="黑体"/>
          <w:b/>
          <w:bCs/>
          <w:color w:val="auto"/>
          <w:spacing w:val="-10"/>
          <w:sz w:val="25"/>
          <w:szCs w:val="25"/>
          <w:highlight w:val="none"/>
        </w:rPr>
        <w:t>“服务采购偏离表”各项内容必须如实填</w:t>
      </w:r>
      <w:r>
        <w:rPr>
          <w:rFonts w:ascii="黑体" w:hAnsi="黑体" w:eastAsia="黑体" w:cs="黑体"/>
          <w:b/>
          <w:bCs/>
          <w:color w:val="auto"/>
          <w:spacing w:val="-11"/>
          <w:sz w:val="25"/>
          <w:szCs w:val="25"/>
          <w:highlight w:val="none"/>
        </w:rPr>
        <w:t>写。</w:t>
      </w:r>
    </w:p>
    <w:p>
      <w:pPr>
        <w:spacing w:before="63" w:line="328" w:lineRule="auto"/>
        <w:ind w:left="828" w:right="30" w:firstLine="186"/>
        <w:rPr>
          <w:rFonts w:ascii="黑体" w:hAnsi="黑体" w:eastAsia="黑体" w:cs="黑体"/>
          <w:color w:val="auto"/>
          <w:sz w:val="25"/>
          <w:szCs w:val="25"/>
          <w:highlight w:val="none"/>
        </w:rPr>
      </w:pPr>
      <w:r>
        <w:rPr>
          <w:rFonts w:ascii="Times New Roman" w:hAnsi="Times New Roman" w:eastAsia="Times New Roman" w:cs="Times New Roman"/>
          <w:b/>
          <w:bCs/>
          <w:color w:val="auto"/>
          <w:spacing w:val="-3"/>
          <w:sz w:val="25"/>
          <w:szCs w:val="25"/>
          <w:highlight w:val="none"/>
        </w:rPr>
        <w:t xml:space="preserve">2. </w:t>
      </w:r>
      <w:r>
        <w:rPr>
          <w:rFonts w:ascii="黑体" w:hAnsi="黑体" w:eastAsia="黑体" w:cs="黑体"/>
          <w:b/>
          <w:bCs/>
          <w:color w:val="auto"/>
          <w:spacing w:val="-3"/>
          <w:sz w:val="25"/>
          <w:szCs w:val="25"/>
          <w:highlight w:val="none"/>
        </w:rPr>
        <w:t>当本表由多页构成时，需逐页加盖供应商公章</w:t>
      </w:r>
      <w:r>
        <w:rPr>
          <w:rFonts w:ascii="黑体" w:hAnsi="黑体" w:eastAsia="黑体" w:cs="黑体"/>
          <w:color w:val="auto"/>
          <w:spacing w:val="-56"/>
          <w:sz w:val="25"/>
          <w:szCs w:val="25"/>
          <w:highlight w:val="none"/>
        </w:rPr>
        <w:t xml:space="preserve"> </w:t>
      </w:r>
      <w:r>
        <w:rPr>
          <w:rFonts w:ascii="Times New Roman" w:hAnsi="Times New Roman" w:eastAsia="Times New Roman" w:cs="Times New Roman"/>
          <w:b/>
          <w:bCs/>
          <w:color w:val="auto"/>
          <w:spacing w:val="-3"/>
          <w:sz w:val="25"/>
          <w:szCs w:val="25"/>
          <w:highlight w:val="none"/>
        </w:rPr>
        <w:t>(CA</w:t>
      </w:r>
      <w:r>
        <w:rPr>
          <w:rFonts w:ascii="黑体" w:hAnsi="黑体" w:eastAsia="黑体" w:cs="黑体"/>
          <w:b/>
          <w:bCs/>
          <w:color w:val="auto"/>
          <w:spacing w:val="-3"/>
          <w:sz w:val="25"/>
          <w:szCs w:val="25"/>
          <w:highlight w:val="none"/>
        </w:rPr>
        <w:t>签章)(属自然人的须逐页签</w:t>
      </w:r>
      <w:r>
        <w:rPr>
          <w:rFonts w:ascii="黑体" w:hAnsi="黑体" w:eastAsia="黑体" w:cs="黑体"/>
          <w:color w:val="auto"/>
          <w:sz w:val="25"/>
          <w:szCs w:val="25"/>
          <w:highlight w:val="none"/>
        </w:rPr>
        <w:t xml:space="preserve"> </w:t>
      </w:r>
      <w:r>
        <w:rPr>
          <w:rFonts w:ascii="黑体" w:hAnsi="黑体" w:eastAsia="黑体" w:cs="黑体"/>
          <w:b/>
          <w:bCs/>
          <w:color w:val="auto"/>
          <w:spacing w:val="2"/>
          <w:sz w:val="25"/>
          <w:szCs w:val="25"/>
          <w:highlight w:val="none"/>
        </w:rPr>
        <w:t>字或个人</w:t>
      </w:r>
      <w:r>
        <w:rPr>
          <w:rFonts w:ascii="Times New Roman" w:hAnsi="Times New Roman" w:eastAsia="Times New Roman" w:cs="Times New Roman"/>
          <w:b/>
          <w:bCs/>
          <w:color w:val="auto"/>
          <w:sz w:val="25"/>
          <w:szCs w:val="25"/>
          <w:highlight w:val="none"/>
        </w:rPr>
        <w:t>CA</w:t>
      </w:r>
      <w:r>
        <w:rPr>
          <w:rFonts w:ascii="黑体" w:hAnsi="黑体" w:eastAsia="黑体" w:cs="黑体"/>
          <w:b/>
          <w:bCs/>
          <w:color w:val="auto"/>
          <w:spacing w:val="2"/>
          <w:sz w:val="25"/>
          <w:szCs w:val="25"/>
          <w:highlight w:val="none"/>
        </w:rPr>
        <w:t>签章)。</w:t>
      </w:r>
    </w:p>
    <w:p>
      <w:pPr>
        <w:spacing w:line="328" w:lineRule="auto"/>
        <w:rPr>
          <w:rFonts w:ascii="黑体" w:hAnsi="黑体" w:eastAsia="黑体" w:cs="黑体"/>
          <w:color w:val="auto"/>
          <w:sz w:val="25"/>
          <w:szCs w:val="25"/>
          <w:highlight w:val="none"/>
        </w:rPr>
        <w:sectPr>
          <w:footerReference r:id="rId43" w:type="default"/>
          <w:pgSz w:w="11900" w:h="16830"/>
          <w:pgMar w:top="400" w:right="1045" w:bottom="801" w:left="1075" w:header="0" w:footer="657" w:gutter="0"/>
          <w:cols w:space="720" w:num="1"/>
        </w:sectPr>
      </w:pPr>
    </w:p>
    <w:p>
      <w:pPr>
        <w:spacing w:line="284" w:lineRule="auto"/>
        <w:rPr>
          <w:rFonts w:ascii="Arial"/>
          <w:color w:val="auto"/>
          <w:sz w:val="21"/>
          <w:highlight w:val="none"/>
        </w:rPr>
      </w:pPr>
    </w:p>
    <w:p>
      <w:pPr>
        <w:spacing w:line="285" w:lineRule="auto"/>
        <w:rPr>
          <w:rFonts w:ascii="Arial"/>
          <w:color w:val="auto"/>
          <w:sz w:val="21"/>
          <w:highlight w:val="none"/>
        </w:rPr>
      </w:pPr>
    </w:p>
    <w:p>
      <w:pPr>
        <w:pStyle w:val="3"/>
        <w:spacing w:before="104" w:line="219" w:lineRule="auto"/>
        <w:rPr>
          <w:color w:val="auto"/>
          <w:sz w:val="32"/>
          <w:szCs w:val="32"/>
          <w:highlight w:val="none"/>
        </w:rPr>
      </w:pPr>
      <w:r>
        <w:rPr>
          <w:b/>
          <w:bCs/>
          <w:color w:val="auto"/>
          <w:spacing w:val="16"/>
          <w:sz w:val="32"/>
          <w:szCs w:val="32"/>
          <w:highlight w:val="none"/>
        </w:rPr>
        <w:t>3.服务承诺【自行编制)】(</w:t>
      </w:r>
      <w:r>
        <w:rPr>
          <w:rFonts w:hint="eastAsia" w:ascii="宋体" w:hAnsi="宋体" w:eastAsia="宋体" w:cs="宋体"/>
          <w:b/>
          <w:bCs/>
          <w:color w:val="auto"/>
          <w:spacing w:val="16"/>
          <w:sz w:val="32"/>
          <w:szCs w:val="32"/>
          <w:highlight w:val="none"/>
          <w:lang w:val="en-US" w:eastAsia="zh-CN"/>
        </w:rPr>
        <w:t>如有，请提供</w:t>
      </w:r>
      <w:r>
        <w:rPr>
          <w:rFonts w:ascii="宋体" w:hAnsi="宋体" w:eastAsia="宋体" w:cs="宋体"/>
          <w:b/>
          <w:bCs/>
          <w:color w:val="auto"/>
          <w:spacing w:val="16"/>
          <w:sz w:val="32"/>
          <w:szCs w:val="32"/>
          <w:highlight w:val="none"/>
        </w:rPr>
        <w:t>)</w:t>
      </w:r>
    </w:p>
    <w:p>
      <w:pPr>
        <w:spacing w:line="287" w:lineRule="auto"/>
        <w:rPr>
          <w:rFonts w:ascii="Arial"/>
          <w:color w:val="auto"/>
          <w:sz w:val="21"/>
          <w:highlight w:val="none"/>
        </w:rPr>
      </w:pPr>
    </w:p>
    <w:p>
      <w:pPr>
        <w:spacing w:line="287" w:lineRule="auto"/>
        <w:rPr>
          <w:rFonts w:ascii="Arial"/>
          <w:color w:val="auto"/>
          <w:sz w:val="21"/>
          <w:highlight w:val="none"/>
        </w:rPr>
      </w:pPr>
    </w:p>
    <w:p>
      <w:pPr>
        <w:spacing w:line="287" w:lineRule="auto"/>
        <w:rPr>
          <w:rFonts w:ascii="Arial"/>
          <w:color w:val="auto"/>
          <w:sz w:val="21"/>
          <w:highlight w:val="none"/>
        </w:rPr>
      </w:pPr>
    </w:p>
    <w:p>
      <w:pPr>
        <w:spacing w:line="288" w:lineRule="auto"/>
        <w:rPr>
          <w:rFonts w:ascii="Arial"/>
          <w:color w:val="auto"/>
          <w:sz w:val="21"/>
          <w:highlight w:val="none"/>
        </w:rPr>
      </w:pPr>
    </w:p>
    <w:p>
      <w:pPr>
        <w:pStyle w:val="3"/>
        <w:spacing w:before="104" w:line="219" w:lineRule="auto"/>
        <w:ind w:left="3999"/>
        <w:rPr>
          <w:color w:val="auto"/>
          <w:sz w:val="32"/>
          <w:szCs w:val="32"/>
          <w:highlight w:val="none"/>
        </w:rPr>
      </w:pPr>
      <w:r>
        <w:rPr>
          <w:b/>
          <w:bCs/>
          <w:color w:val="auto"/>
          <w:spacing w:val="3"/>
          <w:sz w:val="32"/>
          <w:szCs w:val="32"/>
          <w:highlight w:val="none"/>
        </w:rPr>
        <w:t>(格式自拟)</w:t>
      </w:r>
    </w:p>
    <w:p>
      <w:pPr>
        <w:spacing w:line="256" w:lineRule="auto"/>
        <w:rPr>
          <w:rFonts w:ascii="Arial"/>
          <w:color w:val="auto"/>
          <w:sz w:val="21"/>
          <w:highlight w:val="none"/>
        </w:rPr>
      </w:pPr>
    </w:p>
    <w:p>
      <w:pPr>
        <w:spacing w:line="256" w:lineRule="auto"/>
        <w:rPr>
          <w:rFonts w:ascii="Arial"/>
          <w:color w:val="auto"/>
          <w:sz w:val="21"/>
          <w:highlight w:val="none"/>
        </w:rPr>
      </w:pPr>
    </w:p>
    <w:p>
      <w:pPr>
        <w:spacing w:line="257" w:lineRule="auto"/>
        <w:rPr>
          <w:rFonts w:ascii="Arial"/>
          <w:color w:val="auto"/>
          <w:sz w:val="21"/>
          <w:highlight w:val="none"/>
        </w:rPr>
      </w:pPr>
    </w:p>
    <w:p>
      <w:pPr>
        <w:spacing w:line="257" w:lineRule="auto"/>
        <w:rPr>
          <w:rFonts w:ascii="Arial"/>
          <w:color w:val="auto"/>
          <w:sz w:val="21"/>
          <w:highlight w:val="none"/>
        </w:rPr>
      </w:pPr>
    </w:p>
    <w:p>
      <w:pPr>
        <w:pStyle w:val="3"/>
        <w:spacing w:before="69" w:line="213" w:lineRule="auto"/>
        <w:ind w:left="1235"/>
        <w:rPr>
          <w:rFonts w:ascii="黑体" w:hAnsi="黑体" w:eastAsia="黑体" w:cs="黑体"/>
          <w:color w:val="auto"/>
          <w:sz w:val="21"/>
          <w:szCs w:val="21"/>
          <w:highlight w:val="none"/>
        </w:rPr>
      </w:pPr>
      <w:r>
        <w:rPr>
          <w:rFonts w:ascii="黑体" w:hAnsi="黑体" w:eastAsia="黑体" w:cs="黑体"/>
          <w:color w:val="auto"/>
          <w:spacing w:val="-3"/>
          <w:sz w:val="21"/>
          <w:szCs w:val="21"/>
          <w:highlight w:val="none"/>
        </w:rPr>
        <w:t>供应商公章</w:t>
      </w:r>
      <w:r>
        <w:rPr>
          <w:rFonts w:ascii="黑体" w:hAnsi="黑体" w:eastAsia="黑体" w:cs="黑体"/>
          <w:color w:val="auto"/>
          <w:spacing w:val="-31"/>
          <w:sz w:val="21"/>
          <w:szCs w:val="21"/>
          <w:highlight w:val="none"/>
        </w:rPr>
        <w:t xml:space="preserve"> </w:t>
      </w:r>
      <w:r>
        <w:rPr>
          <w:color w:val="auto"/>
          <w:spacing w:val="-3"/>
          <w:sz w:val="21"/>
          <w:szCs w:val="21"/>
          <w:highlight w:val="none"/>
        </w:rPr>
        <w:t xml:space="preserve">(CA </w:t>
      </w:r>
      <w:r>
        <w:rPr>
          <w:rFonts w:ascii="黑体" w:hAnsi="黑体" w:eastAsia="黑体" w:cs="黑体"/>
          <w:color w:val="auto"/>
          <w:spacing w:val="-3"/>
          <w:sz w:val="21"/>
          <w:szCs w:val="21"/>
          <w:highlight w:val="none"/>
        </w:rPr>
        <w:t>签章，自然人签字或个人</w:t>
      </w:r>
      <w:r>
        <w:rPr>
          <w:color w:val="auto"/>
          <w:spacing w:val="-3"/>
          <w:sz w:val="21"/>
          <w:szCs w:val="21"/>
          <w:highlight w:val="none"/>
        </w:rPr>
        <w:t>CA</w:t>
      </w:r>
      <w:r>
        <w:rPr>
          <w:color w:val="auto"/>
          <w:spacing w:val="-39"/>
          <w:sz w:val="21"/>
          <w:szCs w:val="21"/>
          <w:highlight w:val="none"/>
        </w:rPr>
        <w:t xml:space="preserve"> </w:t>
      </w:r>
      <w:r>
        <w:rPr>
          <w:rFonts w:ascii="黑体" w:hAnsi="黑体" w:eastAsia="黑体" w:cs="黑体"/>
          <w:color w:val="auto"/>
          <w:spacing w:val="-3"/>
          <w:sz w:val="21"/>
          <w:szCs w:val="21"/>
          <w:highlight w:val="none"/>
        </w:rPr>
        <w:t>签</w:t>
      </w:r>
      <w:r>
        <w:rPr>
          <w:rFonts w:ascii="黑体" w:hAnsi="黑体" w:eastAsia="黑体" w:cs="黑体"/>
          <w:color w:val="auto"/>
          <w:spacing w:val="-38"/>
          <w:sz w:val="21"/>
          <w:szCs w:val="21"/>
          <w:highlight w:val="none"/>
        </w:rPr>
        <w:t xml:space="preserve"> </w:t>
      </w:r>
      <w:r>
        <w:rPr>
          <w:rFonts w:ascii="黑体" w:hAnsi="黑体" w:eastAsia="黑体" w:cs="黑体"/>
          <w:color w:val="auto"/>
          <w:spacing w:val="-3"/>
          <w:sz w:val="21"/>
          <w:szCs w:val="21"/>
          <w:highlight w:val="none"/>
        </w:rPr>
        <w:t>章</w:t>
      </w:r>
      <w:r>
        <w:rPr>
          <w:rFonts w:ascii="黑体" w:hAnsi="黑体" w:eastAsia="黑体" w:cs="黑体"/>
          <w:color w:val="auto"/>
          <w:spacing w:val="-42"/>
          <w:sz w:val="21"/>
          <w:szCs w:val="21"/>
          <w:highlight w:val="none"/>
        </w:rPr>
        <w:t xml:space="preserve"> </w:t>
      </w:r>
      <w:r>
        <w:rPr>
          <w:rFonts w:ascii="黑体" w:hAnsi="黑体" w:eastAsia="黑体" w:cs="黑体"/>
          <w:color w:val="auto"/>
          <w:spacing w:val="-3"/>
          <w:sz w:val="21"/>
          <w:szCs w:val="21"/>
          <w:highlight w:val="none"/>
        </w:rPr>
        <w:t>) :</w:t>
      </w:r>
      <w:r>
        <w:rPr>
          <w:rFonts w:ascii="黑体" w:hAnsi="黑体" w:eastAsia="黑体" w:cs="黑体"/>
          <w:color w:val="auto"/>
          <w:spacing w:val="-40"/>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line="297" w:lineRule="auto"/>
        <w:rPr>
          <w:rFonts w:ascii="Arial"/>
          <w:color w:val="auto"/>
          <w:sz w:val="21"/>
          <w:highlight w:val="none"/>
        </w:rPr>
      </w:pPr>
    </w:p>
    <w:p>
      <w:pPr>
        <w:spacing w:before="68" w:line="222" w:lineRule="auto"/>
        <w:ind w:left="1235"/>
        <w:rPr>
          <w:rFonts w:ascii="黑体" w:hAnsi="黑体" w:eastAsia="黑体" w:cs="黑体"/>
          <w:color w:val="auto"/>
          <w:sz w:val="21"/>
          <w:szCs w:val="21"/>
          <w:highlight w:val="none"/>
        </w:rPr>
      </w:pPr>
      <w:r>
        <w:rPr>
          <w:rFonts w:ascii="黑体" w:hAnsi="黑体" w:eastAsia="黑体" w:cs="黑体"/>
          <w:color w:val="auto"/>
          <w:spacing w:val="10"/>
          <w:sz w:val="21"/>
          <w:szCs w:val="21"/>
          <w:highlight w:val="none"/>
        </w:rPr>
        <w:t>法定代表人或相应的委托代理人签字(或者电子签名):</w:t>
      </w:r>
      <w:r>
        <w:rPr>
          <w:rFonts w:ascii="黑体" w:hAnsi="黑体" w:eastAsia="黑体" w:cs="黑体"/>
          <w:color w:val="auto"/>
          <w:spacing w:val="-41"/>
          <w:sz w:val="21"/>
          <w:szCs w:val="21"/>
          <w:highlight w:val="none"/>
        </w:rPr>
        <w:t xml:space="preserve"> </w:t>
      </w:r>
      <w:r>
        <w:rPr>
          <w:rFonts w:ascii="黑体" w:hAnsi="黑体" w:eastAsia="黑体" w:cs="黑体"/>
          <w:color w:val="auto"/>
          <w:sz w:val="21"/>
          <w:szCs w:val="21"/>
          <w:highlight w:val="none"/>
          <w:u w:val="single" w:color="auto"/>
        </w:rPr>
        <w:t xml:space="preserve">                              </w:t>
      </w:r>
    </w:p>
    <w:p>
      <w:pPr>
        <w:spacing w:line="270" w:lineRule="auto"/>
        <w:rPr>
          <w:rFonts w:ascii="Arial"/>
          <w:color w:val="auto"/>
          <w:sz w:val="21"/>
          <w:highlight w:val="none"/>
        </w:rPr>
      </w:pPr>
    </w:p>
    <w:p>
      <w:pPr>
        <w:spacing w:before="68" w:line="224" w:lineRule="auto"/>
        <w:ind w:left="1235"/>
        <w:rPr>
          <w:rFonts w:ascii="黑体" w:hAnsi="黑体" w:eastAsia="黑体" w:cs="黑体"/>
          <w:color w:val="auto"/>
          <w:sz w:val="21"/>
          <w:szCs w:val="21"/>
          <w:highlight w:val="none"/>
        </w:rPr>
      </w:pPr>
      <w:r>
        <w:rPr>
          <w:rFonts w:ascii="黑体" w:hAnsi="黑体" w:eastAsia="黑体" w:cs="黑体"/>
          <w:color w:val="auto"/>
          <w:spacing w:val="-17"/>
          <w:sz w:val="21"/>
          <w:szCs w:val="21"/>
          <w:highlight w:val="none"/>
        </w:rPr>
        <w:t>日</w:t>
      </w:r>
      <w:r>
        <w:rPr>
          <w:rFonts w:ascii="黑体" w:hAnsi="黑体" w:eastAsia="黑体" w:cs="黑体"/>
          <w:color w:val="auto"/>
          <w:spacing w:val="9"/>
          <w:sz w:val="21"/>
          <w:szCs w:val="21"/>
          <w:highlight w:val="none"/>
        </w:rPr>
        <w:t xml:space="preserve">     </w:t>
      </w:r>
      <w:r>
        <w:rPr>
          <w:rFonts w:ascii="黑体" w:hAnsi="黑体" w:eastAsia="黑体" w:cs="黑体"/>
          <w:color w:val="auto"/>
          <w:spacing w:val="-17"/>
          <w:sz w:val="21"/>
          <w:szCs w:val="21"/>
          <w:highlight w:val="none"/>
        </w:rPr>
        <w:t>期：</w:t>
      </w:r>
      <w:r>
        <w:rPr>
          <w:rFonts w:ascii="黑体" w:hAnsi="黑体" w:eastAsia="黑体" w:cs="黑体"/>
          <w:color w:val="auto"/>
          <w:sz w:val="21"/>
          <w:szCs w:val="21"/>
          <w:highlight w:val="none"/>
          <w:u w:val="single" w:color="auto"/>
        </w:rPr>
        <w:t xml:space="preserve">                                                    </w:t>
      </w:r>
    </w:p>
    <w:p>
      <w:pPr>
        <w:spacing w:line="224" w:lineRule="auto"/>
        <w:rPr>
          <w:rFonts w:ascii="黑体" w:hAnsi="黑体" w:eastAsia="黑体" w:cs="黑体"/>
          <w:color w:val="auto"/>
          <w:sz w:val="21"/>
          <w:szCs w:val="21"/>
          <w:highlight w:val="none"/>
        </w:rPr>
        <w:sectPr>
          <w:footerReference r:id="rId44" w:type="default"/>
          <w:pgSz w:w="11900" w:h="16830"/>
          <w:pgMar w:top="400" w:right="1130" w:bottom="400" w:left="1154" w:header="0" w:footer="0" w:gutter="0"/>
          <w:cols w:space="720" w:num="1"/>
        </w:sectPr>
      </w:pPr>
    </w:p>
    <w:p>
      <w:pPr>
        <w:spacing w:line="300" w:lineRule="auto"/>
        <w:rPr>
          <w:rFonts w:ascii="Arial"/>
          <w:color w:val="auto"/>
          <w:sz w:val="21"/>
          <w:highlight w:val="none"/>
        </w:rPr>
      </w:pPr>
    </w:p>
    <w:p>
      <w:pPr>
        <w:spacing w:line="301" w:lineRule="auto"/>
        <w:rPr>
          <w:rFonts w:ascii="Arial"/>
          <w:color w:val="auto"/>
          <w:sz w:val="21"/>
          <w:highlight w:val="none"/>
        </w:rPr>
      </w:pPr>
    </w:p>
    <w:p>
      <w:pPr>
        <w:pStyle w:val="3"/>
        <w:spacing w:before="104" w:line="220" w:lineRule="auto"/>
        <w:ind w:right="19"/>
        <w:rPr>
          <w:color w:val="auto"/>
          <w:sz w:val="32"/>
          <w:szCs w:val="32"/>
          <w:highlight w:val="none"/>
        </w:rPr>
      </w:pPr>
      <w:r>
        <w:rPr>
          <w:b/>
          <w:bCs/>
          <w:color w:val="auto"/>
          <w:spacing w:val="13"/>
          <w:sz w:val="32"/>
          <w:szCs w:val="32"/>
          <w:highlight w:val="none"/>
        </w:rPr>
        <w:t>4.服务实施方案(根据服务需求和评标办法自行编制内容)(</w:t>
      </w:r>
      <w:r>
        <w:rPr>
          <w:rFonts w:hint="eastAsia"/>
          <w:b/>
          <w:bCs/>
          <w:color w:val="auto"/>
          <w:spacing w:val="13"/>
          <w:sz w:val="32"/>
          <w:szCs w:val="32"/>
          <w:highlight w:val="none"/>
          <w:lang w:val="en-US" w:eastAsia="zh-CN"/>
        </w:rPr>
        <w:t>如有，请提供</w:t>
      </w:r>
      <w:r>
        <w:rPr>
          <w:b/>
          <w:bCs/>
          <w:color w:val="auto"/>
          <w:spacing w:val="-10"/>
          <w:sz w:val="32"/>
          <w:szCs w:val="32"/>
          <w:highlight w:val="none"/>
        </w:rPr>
        <w:t>)</w:t>
      </w:r>
    </w:p>
    <w:p>
      <w:pPr>
        <w:spacing w:line="303" w:lineRule="auto"/>
        <w:rPr>
          <w:rFonts w:ascii="Arial"/>
          <w:color w:val="auto"/>
          <w:sz w:val="21"/>
          <w:highlight w:val="none"/>
        </w:rPr>
      </w:pPr>
    </w:p>
    <w:p>
      <w:pPr>
        <w:spacing w:line="304" w:lineRule="auto"/>
        <w:rPr>
          <w:rFonts w:ascii="Arial"/>
          <w:color w:val="auto"/>
          <w:sz w:val="21"/>
          <w:highlight w:val="none"/>
        </w:rPr>
      </w:pPr>
    </w:p>
    <w:p>
      <w:pPr>
        <w:spacing w:line="304" w:lineRule="auto"/>
        <w:rPr>
          <w:rFonts w:ascii="Arial"/>
          <w:color w:val="auto"/>
          <w:sz w:val="21"/>
          <w:highlight w:val="none"/>
        </w:rPr>
      </w:pPr>
    </w:p>
    <w:p>
      <w:pPr>
        <w:pStyle w:val="3"/>
        <w:spacing w:before="68" w:line="213" w:lineRule="auto"/>
        <w:ind w:left="1255"/>
        <w:rPr>
          <w:rFonts w:ascii="黑体" w:hAnsi="黑体" w:eastAsia="黑体" w:cs="黑体"/>
          <w:color w:val="auto"/>
          <w:sz w:val="21"/>
          <w:szCs w:val="21"/>
          <w:highlight w:val="none"/>
        </w:rPr>
      </w:pPr>
      <w:r>
        <w:rPr>
          <w:rFonts w:ascii="黑体" w:hAnsi="黑体" w:eastAsia="黑体" w:cs="黑体"/>
          <w:color w:val="auto"/>
          <w:spacing w:val="-1"/>
          <w:sz w:val="21"/>
          <w:szCs w:val="21"/>
          <w:highlight w:val="none"/>
        </w:rPr>
        <w:t>供应商公章</w:t>
      </w:r>
      <w:r>
        <w:rPr>
          <w:color w:val="auto"/>
          <w:spacing w:val="-1"/>
          <w:sz w:val="21"/>
          <w:szCs w:val="21"/>
          <w:highlight w:val="none"/>
        </w:rPr>
        <w:t xml:space="preserve">(CA </w:t>
      </w:r>
      <w:r>
        <w:rPr>
          <w:rFonts w:ascii="黑体" w:hAnsi="黑体" w:eastAsia="黑体" w:cs="黑体"/>
          <w:color w:val="auto"/>
          <w:spacing w:val="-1"/>
          <w:sz w:val="21"/>
          <w:szCs w:val="21"/>
          <w:highlight w:val="none"/>
        </w:rPr>
        <w:t>签章，自然人签字或个人</w:t>
      </w:r>
      <w:r>
        <w:rPr>
          <w:color w:val="auto"/>
          <w:spacing w:val="-1"/>
          <w:sz w:val="21"/>
          <w:szCs w:val="21"/>
          <w:highlight w:val="none"/>
        </w:rPr>
        <w:t>CA</w:t>
      </w:r>
      <w:r>
        <w:rPr>
          <w:color w:val="auto"/>
          <w:spacing w:val="-39"/>
          <w:sz w:val="21"/>
          <w:szCs w:val="21"/>
          <w:highlight w:val="none"/>
        </w:rPr>
        <w:t xml:space="preserve"> </w:t>
      </w:r>
      <w:r>
        <w:rPr>
          <w:rFonts w:ascii="黑体" w:hAnsi="黑体" w:eastAsia="黑体" w:cs="黑体"/>
          <w:color w:val="auto"/>
          <w:spacing w:val="-2"/>
          <w:sz w:val="21"/>
          <w:szCs w:val="21"/>
          <w:highlight w:val="none"/>
        </w:rPr>
        <w:t>签</w:t>
      </w:r>
      <w:r>
        <w:rPr>
          <w:rFonts w:ascii="黑体" w:hAnsi="黑体" w:eastAsia="黑体" w:cs="黑体"/>
          <w:color w:val="auto"/>
          <w:spacing w:val="-44"/>
          <w:sz w:val="21"/>
          <w:szCs w:val="21"/>
          <w:highlight w:val="none"/>
        </w:rPr>
        <w:t xml:space="preserve"> </w:t>
      </w:r>
      <w:r>
        <w:rPr>
          <w:rFonts w:ascii="黑体" w:hAnsi="黑体" w:eastAsia="黑体" w:cs="黑体"/>
          <w:color w:val="auto"/>
          <w:spacing w:val="-2"/>
          <w:sz w:val="21"/>
          <w:szCs w:val="21"/>
          <w:highlight w:val="none"/>
        </w:rPr>
        <w:t>章</w:t>
      </w:r>
      <w:r>
        <w:rPr>
          <w:rFonts w:ascii="黑体" w:hAnsi="黑体" w:eastAsia="黑体" w:cs="黑体"/>
          <w:color w:val="auto"/>
          <w:spacing w:val="-49"/>
          <w:sz w:val="21"/>
          <w:szCs w:val="21"/>
          <w:highlight w:val="none"/>
        </w:rPr>
        <w:t xml:space="preserve"> </w:t>
      </w:r>
      <w:r>
        <w:rPr>
          <w:rFonts w:ascii="黑体" w:hAnsi="黑体" w:eastAsia="黑体" w:cs="黑体"/>
          <w:color w:val="auto"/>
          <w:spacing w:val="-2"/>
          <w:sz w:val="21"/>
          <w:szCs w:val="21"/>
          <w:highlight w:val="none"/>
        </w:rPr>
        <w:t xml:space="preserve">) : </w:t>
      </w:r>
      <w:r>
        <w:rPr>
          <w:rFonts w:ascii="黑体" w:hAnsi="黑体" w:eastAsia="黑体" w:cs="黑体"/>
          <w:color w:val="auto"/>
          <w:sz w:val="21"/>
          <w:szCs w:val="21"/>
          <w:highlight w:val="none"/>
          <w:u w:val="single" w:color="auto"/>
        </w:rPr>
        <w:t xml:space="preserve">                                 </w:t>
      </w:r>
    </w:p>
    <w:p>
      <w:pPr>
        <w:spacing w:line="284" w:lineRule="auto"/>
        <w:rPr>
          <w:rFonts w:ascii="Arial"/>
          <w:color w:val="auto"/>
          <w:sz w:val="21"/>
          <w:highlight w:val="none"/>
        </w:rPr>
      </w:pPr>
    </w:p>
    <w:p>
      <w:pPr>
        <w:spacing w:before="71" w:line="222" w:lineRule="auto"/>
        <w:ind w:left="1255"/>
        <w:rPr>
          <w:rFonts w:ascii="黑体" w:hAnsi="黑体" w:eastAsia="黑体" w:cs="黑体"/>
          <w:color w:val="auto"/>
          <w:sz w:val="22"/>
          <w:szCs w:val="22"/>
          <w:highlight w:val="none"/>
        </w:rPr>
      </w:pPr>
      <w:r>
        <w:rPr>
          <w:rFonts w:ascii="黑体" w:hAnsi="黑体" w:eastAsia="黑体" w:cs="黑体"/>
          <w:color w:val="auto"/>
          <w:spacing w:val="-1"/>
          <w:sz w:val="22"/>
          <w:szCs w:val="22"/>
          <w:highlight w:val="none"/>
        </w:rPr>
        <w:t>法定代表人或相应的委托代理人签字(或者电子签名):</w:t>
      </w:r>
      <w:r>
        <w:rPr>
          <w:rFonts w:ascii="黑体" w:hAnsi="黑体" w:eastAsia="黑体" w:cs="黑体"/>
          <w:color w:val="auto"/>
          <w:spacing w:val="-6"/>
          <w:sz w:val="22"/>
          <w:szCs w:val="22"/>
          <w:highlight w:val="none"/>
        </w:rPr>
        <w:t xml:space="preserve"> </w:t>
      </w:r>
      <w:r>
        <w:rPr>
          <w:rFonts w:ascii="黑体" w:hAnsi="黑体" w:eastAsia="黑体" w:cs="黑体"/>
          <w:color w:val="auto"/>
          <w:sz w:val="22"/>
          <w:szCs w:val="22"/>
          <w:highlight w:val="none"/>
          <w:u w:val="single" w:color="auto"/>
        </w:rPr>
        <w:t xml:space="preserve">                             </w:t>
      </w:r>
    </w:p>
    <w:p>
      <w:pPr>
        <w:spacing w:line="287" w:lineRule="auto"/>
        <w:rPr>
          <w:rFonts w:ascii="Arial"/>
          <w:color w:val="auto"/>
          <w:sz w:val="21"/>
          <w:highlight w:val="none"/>
        </w:rPr>
      </w:pPr>
    </w:p>
    <w:p>
      <w:pPr>
        <w:spacing w:before="69" w:line="224" w:lineRule="auto"/>
        <w:ind w:left="1255"/>
        <w:rPr>
          <w:rFonts w:ascii="黑体" w:hAnsi="黑体" w:eastAsia="黑体" w:cs="黑体"/>
          <w:color w:val="auto"/>
          <w:sz w:val="21"/>
          <w:szCs w:val="21"/>
          <w:highlight w:val="none"/>
        </w:rPr>
      </w:pPr>
      <w:r>
        <w:rPr>
          <w:rFonts w:ascii="黑体" w:hAnsi="黑体" w:eastAsia="黑体" w:cs="黑体"/>
          <w:color w:val="auto"/>
          <w:spacing w:val="-31"/>
          <w:sz w:val="21"/>
          <w:szCs w:val="21"/>
          <w:highlight w:val="none"/>
        </w:rPr>
        <w:t>日</w:t>
      </w:r>
      <w:r>
        <w:rPr>
          <w:rFonts w:ascii="黑体" w:hAnsi="黑体" w:eastAsia="黑体" w:cs="黑体"/>
          <w:color w:val="auto"/>
          <w:spacing w:val="5"/>
          <w:sz w:val="21"/>
          <w:szCs w:val="21"/>
          <w:highlight w:val="none"/>
        </w:rPr>
        <w:t xml:space="preserve">     </w:t>
      </w:r>
      <w:r>
        <w:rPr>
          <w:rFonts w:ascii="黑体" w:hAnsi="黑体" w:eastAsia="黑体" w:cs="黑体"/>
          <w:color w:val="auto"/>
          <w:spacing w:val="-31"/>
          <w:sz w:val="21"/>
          <w:szCs w:val="21"/>
          <w:highlight w:val="none"/>
        </w:rPr>
        <w:t>期</w:t>
      </w:r>
      <w:r>
        <w:rPr>
          <w:rFonts w:ascii="黑体" w:hAnsi="黑体" w:eastAsia="黑体" w:cs="黑体"/>
          <w:color w:val="auto"/>
          <w:spacing w:val="-53"/>
          <w:sz w:val="21"/>
          <w:szCs w:val="21"/>
          <w:highlight w:val="none"/>
        </w:rPr>
        <w:t xml:space="preserve"> </w:t>
      </w:r>
      <w:r>
        <w:rPr>
          <w:rFonts w:ascii="黑体" w:hAnsi="黑体" w:eastAsia="黑体" w:cs="黑体"/>
          <w:color w:val="auto"/>
          <w:spacing w:val="-31"/>
          <w:sz w:val="21"/>
          <w:szCs w:val="21"/>
          <w:highlight w:val="none"/>
        </w:rPr>
        <w:t>：</w:t>
      </w:r>
      <w:r>
        <w:rPr>
          <w:rFonts w:ascii="黑体" w:hAnsi="黑体" w:eastAsia="黑体" w:cs="黑体"/>
          <w:color w:val="auto"/>
          <w:sz w:val="21"/>
          <w:szCs w:val="21"/>
          <w:highlight w:val="none"/>
          <w:u w:val="single" w:color="auto"/>
        </w:rPr>
        <w:t xml:space="preserve">                                                    </w:t>
      </w: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8" w:lineRule="auto"/>
        <w:rPr>
          <w:rFonts w:ascii="Arial"/>
          <w:color w:val="auto"/>
          <w:sz w:val="21"/>
          <w:highlight w:val="none"/>
        </w:rPr>
      </w:pPr>
    </w:p>
    <w:p>
      <w:pPr>
        <w:spacing w:line="269" w:lineRule="auto"/>
        <w:rPr>
          <w:rFonts w:ascii="Arial"/>
          <w:color w:val="auto"/>
          <w:sz w:val="21"/>
          <w:highlight w:val="none"/>
        </w:rPr>
      </w:pPr>
    </w:p>
    <w:p>
      <w:pPr>
        <w:spacing w:line="269" w:lineRule="auto"/>
        <w:rPr>
          <w:rFonts w:ascii="Arial"/>
          <w:color w:val="auto"/>
          <w:sz w:val="21"/>
          <w:highlight w:val="none"/>
        </w:rPr>
      </w:pPr>
    </w:p>
    <w:p>
      <w:pPr>
        <w:pStyle w:val="3"/>
        <w:spacing w:before="104" w:line="238" w:lineRule="auto"/>
        <w:rPr>
          <w:color w:val="auto"/>
          <w:sz w:val="32"/>
          <w:szCs w:val="32"/>
          <w:highlight w:val="none"/>
        </w:rPr>
      </w:pPr>
      <w:r>
        <w:rPr>
          <w:b/>
          <w:bCs/>
          <w:color w:val="auto"/>
          <w:spacing w:val="9"/>
          <w:sz w:val="32"/>
          <w:szCs w:val="32"/>
          <w:highlight w:val="none"/>
        </w:rPr>
        <w:t>5.</w:t>
      </w:r>
      <w:r>
        <w:rPr>
          <w:color w:val="auto"/>
          <w:spacing w:val="9"/>
          <w:sz w:val="32"/>
          <w:szCs w:val="32"/>
          <w:highlight w:val="none"/>
        </w:rPr>
        <w:t xml:space="preserve"> “服务采购需求”中要求提供的有效证明文件 (</w:t>
      </w:r>
      <w:r>
        <w:rPr>
          <w:rFonts w:hint="eastAsia"/>
          <w:color w:val="auto"/>
          <w:spacing w:val="9"/>
          <w:sz w:val="32"/>
          <w:szCs w:val="32"/>
          <w:highlight w:val="none"/>
          <w:lang w:val="en-US" w:eastAsia="zh-CN"/>
        </w:rPr>
        <w:t>按其要求提供</w:t>
      </w:r>
      <w:r>
        <w:rPr>
          <w:color w:val="auto"/>
          <w:spacing w:val="9"/>
          <w:sz w:val="32"/>
          <w:szCs w:val="32"/>
          <w:highlight w:val="none"/>
        </w:rPr>
        <w:t>)</w:t>
      </w:r>
    </w:p>
    <w:p>
      <w:pPr>
        <w:spacing w:line="304" w:lineRule="auto"/>
        <w:rPr>
          <w:rFonts w:ascii="Arial"/>
          <w:color w:val="auto"/>
          <w:sz w:val="21"/>
          <w:highlight w:val="none"/>
        </w:rPr>
      </w:pPr>
    </w:p>
    <w:p>
      <w:pPr>
        <w:spacing w:line="304" w:lineRule="auto"/>
        <w:rPr>
          <w:rFonts w:ascii="Arial"/>
          <w:color w:val="auto"/>
          <w:sz w:val="21"/>
          <w:highlight w:val="none"/>
        </w:rPr>
      </w:pPr>
    </w:p>
    <w:p>
      <w:pPr>
        <w:spacing w:line="305" w:lineRule="auto"/>
        <w:rPr>
          <w:rFonts w:ascii="Arial"/>
          <w:color w:val="auto"/>
          <w:sz w:val="21"/>
          <w:highlight w:val="none"/>
        </w:rPr>
      </w:pPr>
    </w:p>
    <w:p>
      <w:pPr>
        <w:pStyle w:val="3"/>
        <w:spacing w:before="105" w:line="219" w:lineRule="auto"/>
        <w:rPr>
          <w:color w:val="auto"/>
          <w:sz w:val="32"/>
          <w:szCs w:val="32"/>
          <w:highlight w:val="none"/>
        </w:rPr>
      </w:pPr>
      <w:r>
        <w:rPr>
          <w:b/>
          <w:bCs/>
          <w:color w:val="auto"/>
          <w:spacing w:val="7"/>
          <w:sz w:val="32"/>
          <w:szCs w:val="32"/>
          <w:highlight w:val="none"/>
        </w:rPr>
        <w:t>6.项目实施人员一览表(格式自拟，</w:t>
      </w:r>
      <w:r>
        <w:rPr>
          <w:rFonts w:hint="eastAsia"/>
          <w:b/>
          <w:bCs/>
          <w:color w:val="auto"/>
          <w:spacing w:val="7"/>
          <w:sz w:val="32"/>
          <w:szCs w:val="32"/>
          <w:highlight w:val="none"/>
          <w:lang w:val="en-US" w:eastAsia="zh-CN"/>
        </w:rPr>
        <w:t>必须</w:t>
      </w:r>
      <w:r>
        <w:rPr>
          <w:b/>
          <w:bCs/>
          <w:color w:val="auto"/>
          <w:spacing w:val="7"/>
          <w:sz w:val="32"/>
          <w:szCs w:val="32"/>
          <w:highlight w:val="none"/>
        </w:rPr>
        <w:t>提供)</w:t>
      </w: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3" w:lineRule="auto"/>
        <w:rPr>
          <w:rFonts w:ascii="Arial"/>
          <w:color w:val="auto"/>
          <w:sz w:val="21"/>
          <w:highlight w:val="none"/>
        </w:rPr>
      </w:pPr>
    </w:p>
    <w:p>
      <w:pPr>
        <w:spacing w:line="244" w:lineRule="auto"/>
        <w:rPr>
          <w:rFonts w:ascii="Arial"/>
          <w:color w:val="auto"/>
          <w:sz w:val="21"/>
          <w:highlight w:val="none"/>
        </w:rPr>
      </w:pPr>
    </w:p>
    <w:p>
      <w:pPr>
        <w:pStyle w:val="3"/>
        <w:spacing w:before="105" w:line="232" w:lineRule="auto"/>
        <w:ind w:right="18"/>
        <w:jc w:val="both"/>
        <w:rPr>
          <w:color w:val="auto"/>
          <w:sz w:val="32"/>
          <w:szCs w:val="32"/>
          <w:highlight w:val="none"/>
        </w:rPr>
      </w:pPr>
      <w:r>
        <w:rPr>
          <w:b/>
          <w:bCs/>
          <w:color w:val="auto"/>
          <w:spacing w:val="14"/>
          <w:sz w:val="32"/>
          <w:szCs w:val="32"/>
          <w:highlight w:val="none"/>
        </w:rPr>
        <w:t>7.</w:t>
      </w:r>
      <w:r>
        <w:rPr>
          <w:color w:val="auto"/>
          <w:spacing w:val="-41"/>
          <w:sz w:val="32"/>
          <w:szCs w:val="32"/>
          <w:highlight w:val="none"/>
        </w:rPr>
        <w:t xml:space="preserve"> </w:t>
      </w:r>
      <w:r>
        <w:rPr>
          <w:b/>
          <w:bCs/>
          <w:color w:val="auto"/>
          <w:spacing w:val="7"/>
          <w:sz w:val="32"/>
          <w:szCs w:val="32"/>
          <w:highlight w:val="none"/>
          <w:lang w:eastAsia="zh-CN"/>
        </w:rPr>
        <w:t>供应商2022年以来具有同类项目业绩</w:t>
      </w:r>
      <w:r>
        <w:rPr>
          <w:rFonts w:hint="eastAsia"/>
          <w:b/>
          <w:bCs/>
          <w:color w:val="auto"/>
          <w:spacing w:val="7"/>
          <w:sz w:val="32"/>
          <w:szCs w:val="32"/>
          <w:highlight w:val="none"/>
          <w:lang w:eastAsia="zh-CN"/>
        </w:rPr>
        <w:t>(服务内容中包含</w:t>
      </w:r>
      <w:r>
        <w:rPr>
          <w:b/>
          <w:bCs/>
          <w:color w:val="auto"/>
          <w:spacing w:val="7"/>
          <w:sz w:val="32"/>
          <w:szCs w:val="32"/>
          <w:highlight w:val="none"/>
          <w:lang w:eastAsia="zh-CN"/>
        </w:rPr>
        <w:t>保安</w:t>
      </w:r>
      <w:r>
        <w:rPr>
          <w:rFonts w:hint="eastAsia"/>
          <w:b/>
          <w:bCs/>
          <w:color w:val="auto"/>
          <w:spacing w:val="7"/>
          <w:sz w:val="32"/>
          <w:szCs w:val="32"/>
          <w:highlight w:val="none"/>
          <w:lang w:eastAsia="zh-CN"/>
        </w:rPr>
        <w:t>/安保服务或物业服务相关内容)</w:t>
      </w:r>
      <w:r>
        <w:rPr>
          <w:b/>
          <w:bCs/>
          <w:color w:val="auto"/>
          <w:spacing w:val="7"/>
          <w:sz w:val="32"/>
          <w:szCs w:val="32"/>
          <w:highlight w:val="none"/>
          <w:lang w:eastAsia="zh-CN"/>
        </w:rPr>
        <w:t xml:space="preserve"> [以中标(成交)通知 书或合同复印件为准(能清晰反映投标项目名称、种类，金额否则将不予评审。同一个编号的 项目有两个或两个以上的分标中标的只算一次)]</w:t>
      </w:r>
      <w:r>
        <w:rPr>
          <w:b/>
          <w:bCs/>
          <w:color w:val="auto"/>
          <w:spacing w:val="22"/>
          <w:sz w:val="32"/>
          <w:szCs w:val="32"/>
          <w:highlight w:val="none"/>
        </w:rPr>
        <w:t>(如有，请提供)</w:t>
      </w:r>
    </w:p>
    <w:p>
      <w:pPr>
        <w:spacing w:line="279" w:lineRule="auto"/>
        <w:rPr>
          <w:rFonts w:ascii="Arial"/>
          <w:color w:val="auto"/>
          <w:sz w:val="21"/>
          <w:highlight w:val="none"/>
        </w:rPr>
      </w:pPr>
    </w:p>
    <w:p>
      <w:pPr>
        <w:spacing w:line="279"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spacing w:line="280" w:lineRule="auto"/>
        <w:rPr>
          <w:rFonts w:ascii="Arial"/>
          <w:color w:val="auto"/>
          <w:sz w:val="21"/>
          <w:highlight w:val="none"/>
        </w:rPr>
      </w:pPr>
    </w:p>
    <w:p>
      <w:pPr>
        <w:pStyle w:val="3"/>
        <w:spacing w:before="104" w:line="233" w:lineRule="auto"/>
        <w:ind w:right="42"/>
        <w:rPr>
          <w:color w:val="auto"/>
          <w:sz w:val="32"/>
          <w:szCs w:val="32"/>
          <w:highlight w:val="none"/>
        </w:rPr>
      </w:pPr>
      <w:r>
        <w:rPr>
          <w:b/>
          <w:bCs/>
          <w:color w:val="auto"/>
          <w:spacing w:val="8"/>
          <w:sz w:val="32"/>
          <w:szCs w:val="32"/>
          <w:highlight w:val="none"/>
        </w:rPr>
        <w:t>8.供应商可结合本项目的评标办法视自身情</w:t>
      </w:r>
      <w:r>
        <w:rPr>
          <w:b/>
          <w:bCs/>
          <w:color w:val="auto"/>
          <w:spacing w:val="7"/>
          <w:sz w:val="32"/>
          <w:szCs w:val="32"/>
          <w:highlight w:val="none"/>
        </w:rPr>
        <w:t>况自行提交相关证明材</w:t>
      </w:r>
      <w:r>
        <w:rPr>
          <w:color w:val="auto"/>
          <w:sz w:val="32"/>
          <w:szCs w:val="32"/>
          <w:highlight w:val="none"/>
        </w:rPr>
        <w:t xml:space="preserve"> </w:t>
      </w:r>
      <w:r>
        <w:rPr>
          <w:b/>
          <w:bCs/>
          <w:color w:val="auto"/>
          <w:spacing w:val="18"/>
          <w:sz w:val="32"/>
          <w:szCs w:val="32"/>
          <w:highlight w:val="none"/>
        </w:rPr>
        <w:t>料(如有，请提供)</w:t>
      </w:r>
    </w:p>
    <w:sectPr>
      <w:footerReference r:id="rId45" w:type="default"/>
      <w:pgSz w:w="11900" w:h="16830"/>
      <w:pgMar w:top="400" w:right="1110" w:bottom="1129" w:left="1134" w:header="0" w:footer="9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4102"/>
      <w:rPr>
        <w:rFonts w:ascii="Times New Roman" w:hAnsi="Times New Roman" w:eastAsia="Times New Roman" w:cs="Times New Roman"/>
        <w:sz w:val="17"/>
        <w:szCs w:val="17"/>
      </w:rPr>
    </w:pPr>
    <w:r>
      <w:rPr>
        <w:rFonts w:ascii="Times New Roman" w:hAnsi="Times New Roman" w:eastAsia="Times New Roman" w:cs="Times New Roman"/>
        <w:color w:val="604040"/>
        <w:sz w:val="17"/>
        <w:szCs w:val="17"/>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5135"/>
      <w:rPr>
        <w:rFonts w:ascii="Times New Roman" w:hAnsi="Times New Roman" w:eastAsia="Times New Roman" w:cs="Times New Roman"/>
        <w:sz w:val="15"/>
        <w:szCs w:val="15"/>
      </w:rPr>
    </w:pPr>
    <w:r>
      <w:rPr>
        <w:rFonts w:ascii="Times New Roman" w:hAnsi="Times New Roman" w:eastAsia="Times New Roman" w:cs="Times New Roman"/>
        <w:color w:val="604020"/>
        <w:spacing w:val="7"/>
        <w:sz w:val="15"/>
        <w:szCs w:val="15"/>
      </w:rPr>
      <w:t>1</w:t>
    </w:r>
    <w:r>
      <w:rPr>
        <w:rFonts w:ascii="Times New Roman" w:hAnsi="Times New Roman" w:eastAsia="Times New Roman" w:cs="Times New Roman"/>
        <w:color w:val="403040"/>
        <w:spacing w:val="7"/>
        <w:sz w:val="15"/>
        <w:szCs w:val="15"/>
      </w:rPr>
      <w:t>1</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10"/>
      <w:rPr>
        <w:rFonts w:ascii="Times New Roman" w:hAnsi="Times New Roman" w:eastAsia="Times New Roman" w:cs="Times New Roman"/>
        <w:sz w:val="16"/>
        <w:szCs w:val="16"/>
      </w:rPr>
    </w:pPr>
    <w:r>
      <w:rPr>
        <w:rFonts w:ascii="Times New Roman" w:hAnsi="Times New Roman" w:eastAsia="Times New Roman" w:cs="Times New Roman"/>
        <w:color w:val="504040"/>
        <w:spacing w:val="-5"/>
        <w:sz w:val="16"/>
        <w:szCs w:val="16"/>
      </w:rPr>
      <w:t>13</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809"/>
      <w:rPr>
        <w:rFonts w:ascii="Times New Roman" w:hAnsi="Times New Roman" w:eastAsia="Times New Roman" w:cs="Times New Roman"/>
        <w:sz w:val="15"/>
        <w:szCs w:val="15"/>
      </w:rPr>
    </w:pPr>
    <w:r>
      <w:rPr>
        <w:rFonts w:ascii="Times New Roman" w:hAnsi="Times New Roman" w:eastAsia="Times New Roman" w:cs="Times New Roman"/>
        <w:color w:val="606060"/>
        <w:spacing w:val="-5"/>
        <w:sz w:val="15"/>
        <w:szCs w:val="15"/>
      </w:rPr>
      <w:t>14</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9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15</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09"/>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16</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3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20"/>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18</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230" w:lineRule="auto"/>
      <w:ind w:left="4825"/>
      <w:rPr>
        <w:sz w:val="21"/>
        <w:szCs w:val="21"/>
      </w:rPr>
    </w:pPr>
    <w:r>
      <w:rPr>
        <w:spacing w:val="-6"/>
        <w:sz w:val="21"/>
        <w:szCs w:val="21"/>
      </w:rPr>
      <w:t>19</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00"/>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20</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color w:val="302040"/>
        <w:spacing w:val="-2"/>
        <w:sz w:val="16"/>
        <w:szCs w:val="16"/>
      </w:rPr>
      <w:t>2</w:t>
    </w:r>
    <w:r>
      <w:rPr>
        <w:rFonts w:ascii="Times New Roman" w:hAnsi="Times New Roman" w:eastAsia="Times New Roman" w:cs="Times New Roman"/>
        <w:color w:val="302040"/>
        <w:spacing w:val="3"/>
        <w:sz w:val="16"/>
        <w:szCs w:val="16"/>
      </w:rPr>
      <w:t xml:space="preserve"> </w:t>
    </w:r>
    <w:r>
      <w:rPr>
        <w:rFonts w:ascii="Times New Roman" w:hAnsi="Times New Roman" w:eastAsia="Times New Roman" w:cs="Times New Roman"/>
        <w:color w:val="403040"/>
        <w:spacing w:val="-2"/>
        <w:sz w:val="16"/>
        <w:szCs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9" w:lineRule="auto"/>
      <w:ind w:left="4095"/>
      <w:rPr>
        <w:rFonts w:ascii="Times New Roman" w:hAnsi="Times New Roman" w:eastAsia="Times New Roman" w:cs="Times New Roman"/>
        <w:sz w:val="23"/>
        <w:szCs w:val="23"/>
      </w:rPr>
    </w:pPr>
    <w:r>
      <w:rPr>
        <w:rFonts w:ascii="Times New Roman" w:hAnsi="Times New Roman" w:eastAsia="Times New Roman" w:cs="Times New Roman"/>
        <w:color w:val="705030"/>
        <w:sz w:val="23"/>
        <w:szCs w:val="23"/>
      </w:rPr>
      <w:t>3</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color w:val="404080"/>
        <w:spacing w:val="-1"/>
        <w:sz w:val="16"/>
        <w:szCs w:val="16"/>
      </w:rPr>
      <w:t>22</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color w:val="303050"/>
        <w:spacing w:val="-1"/>
        <w:sz w:val="16"/>
        <w:szCs w:val="16"/>
      </w:rPr>
      <w:t>23</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6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25</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26</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787"/>
      <w:rPr>
        <w:rFonts w:ascii="Times New Roman" w:hAnsi="Times New Roman" w:eastAsia="Times New Roman" w:cs="Times New Roman"/>
        <w:sz w:val="20"/>
        <w:szCs w:val="20"/>
      </w:rPr>
    </w:pPr>
    <w:r>
      <w:rPr>
        <w:rFonts w:ascii="Times New Roman" w:hAnsi="Times New Roman" w:eastAsia="Times New Roman" w:cs="Times New Roman"/>
        <w:spacing w:val="-2"/>
        <w:sz w:val="20"/>
        <w:szCs w:val="20"/>
      </w:rPr>
      <w:t>27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4766"/>
      <w:rPr>
        <w:rFonts w:ascii="Times New Roman" w:hAnsi="Times New Roman" w:eastAsia="Times New Roman" w:cs="Times New Roman"/>
        <w:sz w:val="20"/>
        <w:szCs w:val="20"/>
      </w:rPr>
    </w:pPr>
    <w:r>
      <w:rPr>
        <w:rFonts w:ascii="Times New Roman" w:hAnsi="Times New Roman" w:eastAsia="Times New Roman" w:cs="Times New Roman"/>
        <w:color w:val="303040"/>
        <w:spacing w:val="-2"/>
        <w:sz w:val="20"/>
        <w:szCs w:val="20"/>
      </w:rPr>
      <w:t>28</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7"/>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29</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30</w: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04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31</w: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89"/>
      <w:rPr>
        <w:rFonts w:ascii="Times New Roman" w:hAnsi="Times New Roman" w:eastAsia="Times New Roman" w:cs="Times New Roman"/>
        <w:sz w:val="15"/>
        <w:szCs w:val="15"/>
      </w:rPr>
    </w:pPr>
    <w:r>
      <w:rPr>
        <w:rFonts w:ascii="Times New Roman" w:hAnsi="Times New Roman" w:eastAsia="Times New Roman" w:cs="Times New Roman"/>
        <w:color w:val="705080"/>
        <w:spacing w:val="-1"/>
        <w:sz w:val="15"/>
        <w:szCs w:val="15"/>
      </w:rPr>
      <w:t xml:space="preserve">4 </w:t>
    </w:r>
    <w:r>
      <w:rPr>
        <w:rFonts w:ascii="Times New Roman" w:hAnsi="Times New Roman" w:eastAsia="Times New Roman" w:cs="Times New Roman"/>
        <w:spacing w:val="-1"/>
        <w:sz w:val="15"/>
        <w:szCs w:val="15"/>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915"/>
      <w:rPr>
        <w:rFonts w:ascii="Times New Roman" w:hAnsi="Times New Roman" w:eastAsia="Times New Roman" w:cs="Times New Roman"/>
        <w:sz w:val="13"/>
        <w:szCs w:val="13"/>
      </w:rPr>
    </w:pPr>
    <w:r>
      <w:rPr>
        <w:rFonts w:ascii="Times New Roman" w:hAnsi="Times New Roman" w:eastAsia="Times New Roman" w:cs="Times New Roman"/>
        <w:color w:val="906060"/>
        <w:sz w:val="13"/>
        <w:szCs w:val="13"/>
      </w:rPr>
      <w:t>4</w: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69"/>
      <w:rPr>
        <w:rFonts w:ascii="Times New Roman" w:hAnsi="Times New Roman" w:eastAsia="Times New Roman" w:cs="Times New Roman"/>
        <w:sz w:val="13"/>
        <w:szCs w:val="13"/>
      </w:rPr>
    </w:pPr>
    <w:r>
      <w:rPr>
        <w:rFonts w:ascii="Times New Roman" w:hAnsi="Times New Roman" w:eastAsia="Times New Roman" w:cs="Times New Roman"/>
        <w:color w:val="705090"/>
        <w:spacing w:val="-1"/>
        <w:sz w:val="13"/>
        <w:szCs w:val="13"/>
      </w:rPr>
      <w:t>44</w: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69"/>
      <w:rPr>
        <w:rFonts w:ascii="Times New Roman" w:hAnsi="Times New Roman" w:eastAsia="Times New Roman" w:cs="Times New Roman"/>
        <w:sz w:val="16"/>
        <w:szCs w:val="16"/>
      </w:rPr>
    </w:pPr>
    <w:r>
      <w:rPr>
        <w:rFonts w:ascii="Times New Roman" w:hAnsi="Times New Roman" w:eastAsia="Times New Roman" w:cs="Times New Roman"/>
        <w:color w:val="505070"/>
        <w:spacing w:val="-1"/>
        <w:sz w:val="16"/>
        <w:szCs w:val="16"/>
      </w:rPr>
      <w:t>45</w: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spacing w:val="-1"/>
        <w:sz w:val="16"/>
        <w:szCs w:val="16"/>
      </w:rPr>
      <w:t>46</w: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789"/>
      <w:rPr>
        <w:rFonts w:ascii="Times New Roman" w:hAnsi="Times New Roman" w:eastAsia="Times New Roman" w:cs="Times New Roman"/>
        <w:sz w:val="15"/>
        <w:szCs w:val="15"/>
      </w:rPr>
    </w:pPr>
    <w:r>
      <w:rPr>
        <w:rFonts w:ascii="Times New Roman" w:hAnsi="Times New Roman" w:eastAsia="Times New Roman" w:cs="Times New Roman"/>
        <w:color w:val="404050"/>
        <w:spacing w:val="-1"/>
        <w:sz w:val="15"/>
        <w:szCs w:val="15"/>
      </w:rPr>
      <w:t>47</w: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89"/>
      <w:rPr>
        <w:rFonts w:ascii="Times New Roman" w:hAnsi="Times New Roman" w:eastAsia="Times New Roman" w:cs="Times New Roman"/>
        <w:sz w:val="16"/>
        <w:szCs w:val="16"/>
      </w:rPr>
    </w:pPr>
    <w:r>
      <w:rPr>
        <w:rFonts w:ascii="Times New Roman" w:hAnsi="Times New Roman" w:eastAsia="Times New Roman" w:cs="Times New Roman"/>
        <w:color w:val="505060"/>
        <w:spacing w:val="-1"/>
        <w:sz w:val="16"/>
        <w:szCs w:val="16"/>
      </w:rPr>
      <w:t>48</w: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50</w: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99"/>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51</w: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65"/>
      <w:rPr>
        <w:rFonts w:ascii="Times New Roman" w:hAnsi="Times New Roman" w:eastAsia="Times New Roman" w:cs="Times New Roman"/>
        <w:sz w:val="16"/>
        <w:szCs w:val="16"/>
      </w:rPr>
    </w:pPr>
    <w:r>
      <w:rPr>
        <w:rFonts w:ascii="Times New Roman" w:hAnsi="Times New Roman" w:eastAsia="Times New Roman" w:cs="Times New Roman"/>
        <w:color w:val="304060"/>
        <w:spacing w:val="-2"/>
        <w:sz w:val="16"/>
        <w:szCs w:val="16"/>
      </w:rPr>
      <w:t>52</w: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774"/>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53</w: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839"/>
      <w:rPr>
        <w:rFonts w:ascii="Times New Roman" w:hAnsi="Times New Roman" w:eastAsia="Times New Roman" w:cs="Times New Roman"/>
        <w:sz w:val="16"/>
        <w:szCs w:val="16"/>
      </w:rPr>
    </w:pPr>
    <w:r>
      <w:rPr>
        <w:rFonts w:ascii="Times New Roman" w:hAnsi="Times New Roman" w:eastAsia="Times New Roman" w:cs="Times New Roman"/>
        <w:sz w:val="16"/>
        <w:szCs w:val="16"/>
      </w:rPr>
      <w:t>5</w: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715"/>
      <w:rPr>
        <w:rFonts w:ascii="Times New Roman" w:hAnsi="Times New Roman" w:eastAsia="Times New Roman" w:cs="Times New Roman"/>
        <w:sz w:val="16"/>
        <w:szCs w:val="16"/>
      </w:rPr>
    </w:pPr>
    <w:r>
      <w:rPr>
        <w:rFonts w:ascii="Times New Roman" w:hAnsi="Times New Roman" w:eastAsia="Times New Roman" w:cs="Times New Roman"/>
        <w:spacing w:val="-2"/>
        <w:sz w:val="16"/>
        <w:szCs w:val="16"/>
      </w:rPr>
      <w:t>55</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829"/>
      <w:rPr>
        <w:rFonts w:ascii="Times New Roman" w:hAnsi="Times New Roman" w:eastAsia="Times New Roman" w:cs="Times New Roman"/>
        <w:sz w:val="16"/>
        <w:szCs w:val="16"/>
      </w:rPr>
    </w:pPr>
    <w:r>
      <w:rPr>
        <w:rFonts w:ascii="Times New Roman" w:hAnsi="Times New Roman" w:eastAsia="Times New Roman" w:cs="Times New Roman"/>
        <w:sz w:val="16"/>
        <w:szCs w:val="16"/>
      </w:rPr>
      <w:t>6</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7" w:lineRule="auto"/>
      <w:ind w:left="5185"/>
      <w:rPr>
        <w:rFonts w:ascii="Times New Roman" w:hAnsi="Times New Roman" w:eastAsia="Times New Roman" w:cs="Times New Roman"/>
        <w:sz w:val="12"/>
        <w:szCs w:val="12"/>
      </w:rPr>
    </w:pPr>
    <w:r>
      <w:rPr>
        <w:rFonts w:ascii="Times New Roman" w:hAnsi="Times New Roman" w:eastAsia="Times New Roman" w:cs="Times New Roman"/>
        <w:sz w:val="12"/>
        <w:szCs w:val="12"/>
      </w:rPr>
      <w:t>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175"/>
      <w:rPr>
        <w:rFonts w:ascii="Times New Roman" w:hAnsi="Times New Roman" w:eastAsia="Times New Roman" w:cs="Times New Roman"/>
        <w:sz w:val="16"/>
        <w:szCs w:val="16"/>
      </w:rPr>
    </w:pPr>
    <w:r>
      <w:rPr>
        <w:rFonts w:ascii="Times New Roman" w:hAnsi="Times New Roman" w:eastAsia="Times New Roman" w:cs="Times New Roman"/>
        <w:sz w:val="16"/>
        <w:szCs w:val="16"/>
      </w:rPr>
      <w:t>8</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165"/>
      <w:rPr>
        <w:rFonts w:ascii="Times New Roman" w:hAnsi="Times New Roman" w:eastAsia="Times New Roman" w:cs="Times New Roman"/>
        <w:sz w:val="16"/>
        <w:szCs w:val="16"/>
      </w:rPr>
    </w:pPr>
    <w:r>
      <w:rPr>
        <w:rFonts w:ascii="Times New Roman" w:hAnsi="Times New Roman" w:eastAsia="Times New Roman" w:cs="Times New Roman"/>
        <w:sz w:val="16"/>
        <w:szCs w:val="16"/>
      </w:rPr>
      <w:t>9</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5155"/>
      <w:rPr>
        <w:rFonts w:ascii="Times New Roman" w:hAnsi="Times New Roman" w:eastAsia="Times New Roman" w:cs="Times New Roman"/>
        <w:sz w:val="16"/>
        <w:szCs w:val="16"/>
      </w:rPr>
    </w:pPr>
    <w:r>
      <w:rPr>
        <w:rFonts w:ascii="Times New Roman" w:hAnsi="Times New Roman" w:eastAsia="Times New Roman" w:cs="Times New Roman"/>
        <w:spacing w:val="-5"/>
        <w:sz w:val="16"/>
        <w:szCs w:val="16"/>
      </w:rPr>
      <w:t>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5D9497"/>
    <w:multiLevelType w:val="singleLevel"/>
    <w:tmpl w:val="FD5D94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rsids>
    <w:rsidRoot w:val="00000000"/>
    <w:rsid w:val="00471250"/>
    <w:rsid w:val="01477590"/>
    <w:rsid w:val="045C721C"/>
    <w:rsid w:val="054632A2"/>
    <w:rsid w:val="085F1943"/>
    <w:rsid w:val="093B131A"/>
    <w:rsid w:val="09B6640F"/>
    <w:rsid w:val="09FE29B2"/>
    <w:rsid w:val="0A8026A8"/>
    <w:rsid w:val="0CAE0F5E"/>
    <w:rsid w:val="0CEF2A86"/>
    <w:rsid w:val="0E384399"/>
    <w:rsid w:val="0FE27F2C"/>
    <w:rsid w:val="105F3DEA"/>
    <w:rsid w:val="106B18F0"/>
    <w:rsid w:val="10BA5714"/>
    <w:rsid w:val="118922C6"/>
    <w:rsid w:val="125A482F"/>
    <w:rsid w:val="136662E0"/>
    <w:rsid w:val="14350AD3"/>
    <w:rsid w:val="16F119F4"/>
    <w:rsid w:val="18386326"/>
    <w:rsid w:val="1854768C"/>
    <w:rsid w:val="186E5616"/>
    <w:rsid w:val="19C15B92"/>
    <w:rsid w:val="1A5731A3"/>
    <w:rsid w:val="1B494662"/>
    <w:rsid w:val="1BBE209C"/>
    <w:rsid w:val="1C8E47F0"/>
    <w:rsid w:val="1EC51899"/>
    <w:rsid w:val="20D22795"/>
    <w:rsid w:val="21C260D3"/>
    <w:rsid w:val="24E76A0D"/>
    <w:rsid w:val="25432ADA"/>
    <w:rsid w:val="262A1DEF"/>
    <w:rsid w:val="26800074"/>
    <w:rsid w:val="27E86D24"/>
    <w:rsid w:val="28D87B05"/>
    <w:rsid w:val="295D00EB"/>
    <w:rsid w:val="29AE3EF0"/>
    <w:rsid w:val="2B305A68"/>
    <w:rsid w:val="2DBA35D2"/>
    <w:rsid w:val="2DEA2980"/>
    <w:rsid w:val="2E303E57"/>
    <w:rsid w:val="2F3F11F4"/>
    <w:rsid w:val="307B2717"/>
    <w:rsid w:val="332A0C75"/>
    <w:rsid w:val="33704CF3"/>
    <w:rsid w:val="33E63A81"/>
    <w:rsid w:val="352E3D4F"/>
    <w:rsid w:val="35B4214B"/>
    <w:rsid w:val="360A6BB5"/>
    <w:rsid w:val="370D4780"/>
    <w:rsid w:val="3769639C"/>
    <w:rsid w:val="38037FF5"/>
    <w:rsid w:val="384C1244"/>
    <w:rsid w:val="388F1E5E"/>
    <w:rsid w:val="397A021B"/>
    <w:rsid w:val="3A602272"/>
    <w:rsid w:val="3CD964B6"/>
    <w:rsid w:val="3D5933C6"/>
    <w:rsid w:val="3F1925D1"/>
    <w:rsid w:val="3F8A5D66"/>
    <w:rsid w:val="403B1563"/>
    <w:rsid w:val="42F779C3"/>
    <w:rsid w:val="42FF2D1C"/>
    <w:rsid w:val="44DB6A40"/>
    <w:rsid w:val="44F77233"/>
    <w:rsid w:val="45A0094D"/>
    <w:rsid w:val="48B60321"/>
    <w:rsid w:val="4A192915"/>
    <w:rsid w:val="4A755CBE"/>
    <w:rsid w:val="4B2C15B3"/>
    <w:rsid w:val="4C0F2D73"/>
    <w:rsid w:val="4C7B108A"/>
    <w:rsid w:val="4DBD7A5B"/>
    <w:rsid w:val="4E940D28"/>
    <w:rsid w:val="4F7232EA"/>
    <w:rsid w:val="50B4759C"/>
    <w:rsid w:val="50EF331B"/>
    <w:rsid w:val="51B353FD"/>
    <w:rsid w:val="52F7312C"/>
    <w:rsid w:val="541C784D"/>
    <w:rsid w:val="549079CA"/>
    <w:rsid w:val="55190166"/>
    <w:rsid w:val="552B5234"/>
    <w:rsid w:val="59A014D3"/>
    <w:rsid w:val="59D91B86"/>
    <w:rsid w:val="5A5D1937"/>
    <w:rsid w:val="5D954BBE"/>
    <w:rsid w:val="5E1C667C"/>
    <w:rsid w:val="5E4069DA"/>
    <w:rsid w:val="5E5346F8"/>
    <w:rsid w:val="5E866F34"/>
    <w:rsid w:val="60E63B87"/>
    <w:rsid w:val="619117A1"/>
    <w:rsid w:val="6239194F"/>
    <w:rsid w:val="62C51434"/>
    <w:rsid w:val="62F45D0F"/>
    <w:rsid w:val="64BB17A9"/>
    <w:rsid w:val="658F0449"/>
    <w:rsid w:val="664B32DE"/>
    <w:rsid w:val="66A9017B"/>
    <w:rsid w:val="67664702"/>
    <w:rsid w:val="67B6759E"/>
    <w:rsid w:val="67F22715"/>
    <w:rsid w:val="67FC4329"/>
    <w:rsid w:val="67FD1E64"/>
    <w:rsid w:val="69F23F01"/>
    <w:rsid w:val="6A356856"/>
    <w:rsid w:val="6AE61061"/>
    <w:rsid w:val="6AE847A5"/>
    <w:rsid w:val="6C517773"/>
    <w:rsid w:val="75E01633"/>
    <w:rsid w:val="765827EE"/>
    <w:rsid w:val="78EF290F"/>
    <w:rsid w:val="7E980C92"/>
    <w:rsid w:val="7F4A08A0"/>
    <w:rsid w:val="7FCB647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Tahoma" w:hAnsi="Tahoma"/>
      <w:sz w:val="18"/>
      <w:szCs w:val="18"/>
    </w:rPr>
  </w:style>
  <w:style w:type="paragraph" w:styleId="3">
    <w:name w:val="Body Text"/>
    <w:basedOn w:val="1"/>
    <w:next w:val="1"/>
    <w:semiHidden/>
    <w:qFormat/>
    <w:uiPriority w:val="0"/>
    <w:rPr>
      <w:rFonts w:ascii="宋体" w:hAnsi="宋体" w:eastAsia="宋体" w:cs="宋体"/>
      <w:sz w:val="56"/>
      <w:szCs w:val="56"/>
      <w:lang w:val="en-US" w:eastAsia="en-US" w:bidi="ar-SA"/>
    </w:rPr>
  </w:style>
  <w:style w:type="paragraph" w:styleId="4">
    <w:name w:val="Body Text Indent"/>
    <w:basedOn w:val="1"/>
    <w:qFormat/>
    <w:uiPriority w:val="0"/>
    <w:pPr>
      <w:ind w:firstLine="630"/>
    </w:pPr>
    <w:rPr>
      <w:rFonts w:eastAsia="仿宋_GB2312"/>
      <w:sz w:val="32"/>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宋体" w:hAnsi="宋体" w:eastAsia="宋体" w:cs="宋体"/>
      <w:sz w:val="22"/>
      <w:szCs w:val="22"/>
      <w:lang w:val="en-US" w:eastAsia="en-US" w:bidi="ar-SA"/>
    </w:rPr>
  </w:style>
  <w:style w:type="paragraph" w:customStyle="1" w:styleId="10">
    <w:name w:val="No Spacing1"/>
    <w:qFormat/>
    <w:uiPriority w:val="99"/>
    <w:pPr>
      <w:widowControl w:val="0"/>
      <w:jc w:val="both"/>
    </w:pPr>
    <w:rPr>
      <w:rFonts w:ascii="Calibri" w:hAnsi="Calibri" w:eastAsia="宋体" w:cs="Calibri"/>
      <w:kern w:val="2"/>
      <w:sz w:val="21"/>
      <w:szCs w:val="21"/>
      <w:lang w:val="en-US" w:eastAsia="zh-CN" w:bidi="ar-SA"/>
    </w:rPr>
  </w:style>
  <w:style w:type="paragraph" w:styleId="11">
    <w:name w:val="List Paragraph"/>
    <w:basedOn w:val="1"/>
    <w:qFormat/>
    <w:uiPriority w:val="1"/>
    <w:pPr>
      <w:ind w:left="669" w:firstLine="420"/>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1.xml"/><Relationship Id="rId53" Type="http://schemas.openxmlformats.org/officeDocument/2006/relationships/fontTable" Target="fontTable.xml"/><Relationship Id="rId52" Type="http://schemas.openxmlformats.org/officeDocument/2006/relationships/numbering" Target="numbering.xml"/><Relationship Id="rId51" Type="http://schemas.openxmlformats.org/officeDocument/2006/relationships/customXml" Target="../customXml/item1.xml"/><Relationship Id="rId50" Type="http://schemas.openxmlformats.org/officeDocument/2006/relationships/image" Target="media/image4.png"/><Relationship Id="rId5" Type="http://schemas.openxmlformats.org/officeDocument/2006/relationships/footer" Target="footer1.xml"/><Relationship Id="rId49" Type="http://schemas.openxmlformats.org/officeDocument/2006/relationships/image" Target="media/image3.png"/><Relationship Id="rId48" Type="http://schemas.openxmlformats.org/officeDocument/2006/relationships/image" Target="media/image2.png"/><Relationship Id="rId47" Type="http://schemas.openxmlformats.org/officeDocument/2006/relationships/image" Target="media/image1.png"/><Relationship Id="rId46" Type="http://schemas.openxmlformats.org/officeDocument/2006/relationships/theme" Target="theme/theme1.xml"/><Relationship Id="rId45" Type="http://schemas.openxmlformats.org/officeDocument/2006/relationships/footer" Target="footer40.xml"/><Relationship Id="rId44" Type="http://schemas.openxmlformats.org/officeDocument/2006/relationships/footer" Target="footer39.xml"/><Relationship Id="rId43" Type="http://schemas.openxmlformats.org/officeDocument/2006/relationships/footer" Target="footer38.xml"/><Relationship Id="rId42" Type="http://schemas.openxmlformats.org/officeDocument/2006/relationships/footer" Target="footer37.xml"/><Relationship Id="rId41" Type="http://schemas.openxmlformats.org/officeDocument/2006/relationships/footer" Target="footer36.xml"/><Relationship Id="rId40" Type="http://schemas.openxmlformats.org/officeDocument/2006/relationships/footer" Target="footer35.xml"/><Relationship Id="rId4" Type="http://schemas.openxmlformats.org/officeDocument/2006/relationships/endnotes" Target="endnotes.xml"/><Relationship Id="rId39" Type="http://schemas.openxmlformats.org/officeDocument/2006/relationships/footer" Target="footer34.xml"/><Relationship Id="rId38" Type="http://schemas.openxmlformats.org/officeDocument/2006/relationships/footer" Target="footer33.xml"/><Relationship Id="rId37" Type="http://schemas.openxmlformats.org/officeDocument/2006/relationships/footer" Target="footer32.xml"/><Relationship Id="rId36" Type="http://schemas.openxmlformats.org/officeDocument/2006/relationships/footer" Target="footer31.xml"/><Relationship Id="rId35" Type="http://schemas.openxmlformats.org/officeDocument/2006/relationships/footer" Target="footer30.xml"/><Relationship Id="rId34" Type="http://schemas.openxmlformats.org/officeDocument/2006/relationships/footer" Target="footer29.xml"/><Relationship Id="rId33" Type="http://schemas.openxmlformats.org/officeDocument/2006/relationships/footer" Target="footer28.xml"/><Relationship Id="rId32" Type="http://schemas.openxmlformats.org/officeDocument/2006/relationships/footer" Target="footer27.xml"/><Relationship Id="rId31" Type="http://schemas.openxmlformats.org/officeDocument/2006/relationships/footer" Target="footer26.xml"/><Relationship Id="rId30" Type="http://schemas.openxmlformats.org/officeDocument/2006/relationships/footer" Target="footer25.xml"/><Relationship Id="rId3" Type="http://schemas.openxmlformats.org/officeDocument/2006/relationships/footnotes" Target="footnotes.xml"/><Relationship Id="rId29" Type="http://schemas.openxmlformats.org/officeDocument/2006/relationships/footer" Target="footer24.xml"/><Relationship Id="rId28" Type="http://schemas.openxmlformats.org/officeDocument/2006/relationships/footer" Target="footer23.xml"/><Relationship Id="rId27" Type="http://schemas.openxmlformats.org/officeDocument/2006/relationships/footer" Target="footer22.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2919</Words>
  <Characters>3394</Characters>
  <TotalTime>55</TotalTime>
  <ScaleCrop>false</ScaleCrop>
  <LinksUpToDate>false</LinksUpToDate>
  <CharactersWithSpaces>3537</CharactersWithSpaces>
  <Application>WPS Office_11.1.0.10938_F1E327BC-269C-435d-A152-05C5408002CA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2025-10-22T10:29:00Z</dcterms:created>
  <dc:creator>Administrator</dc:creator>
  <cp:lastModifiedBy>M先生</cp:lastModifiedBy>
  <dcterms:modified xsi:type="dcterms:W3CDTF">2025-12-10T08:20:38Z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2025-10-22T10:29:26Z</vt:filetime>
  </property>
  <property fmtid="{D5CDD505-2E9C-101B-9397-08002B2CF9AE}" pid="4" name="UsrData">
    <vt:lpwstr>68f8417b5f2ab6001f73720dwl</vt:lpwstr>
  </property>
  <property fmtid="{D5CDD505-2E9C-101B-9397-08002B2CF9AE}" pid="5" name="KSOTemplateDocerSaveRecord">
    <vt:lpwstr>eyJoZGlkIjoiYjdmMDg2NDRkYWRhYmJmYThiYzBhNTdhZTNiNDVkY2UiLCJ1c2VySWQiOiI0NTI3MjU2MzEifQ==</vt:lpwstr>
  </property>
  <property fmtid="{D5CDD505-2E9C-101B-9397-08002B2CF9AE}" pid="6" name="KSOProductBuildVer">
    <vt:lpwstr>2052-11.1.0.10938</vt:lpwstr>
  </property>
  <property fmtid="{D5CDD505-2E9C-101B-9397-08002B2CF9AE}" pid="7" name="ICV">
    <vt:lpwstr>9CB99FD7DA914BDAACA5D5B076F80B37_13</vt:lpwstr>
  </property>
</Properties>
</file>