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5F3AD">
      <w:pPr>
        <w:pStyle w:val="4"/>
        <w:spacing w:before="0" w:after="0" w:line="360" w:lineRule="auto"/>
        <w:jc w:val="center"/>
        <w:rPr>
          <w:rFonts w:hint="eastAsia" w:ascii="宋体" w:hAnsi="宋体" w:cs="宋体"/>
          <w:b w:val="0"/>
          <w:color w:val="auto"/>
          <w:sz w:val="32"/>
          <w:szCs w:val="32"/>
          <w:highlight w:val="none"/>
        </w:rPr>
      </w:pPr>
      <w:bookmarkStart w:id="0" w:name="_Toc6859"/>
      <w:bookmarkStart w:id="1" w:name="_Toc29237"/>
      <w:bookmarkStart w:id="2" w:name="_Toc2840"/>
      <w:bookmarkStart w:id="3" w:name="_Toc24922"/>
      <w:bookmarkStart w:id="4" w:name="_Toc22969"/>
      <w:bookmarkStart w:id="5" w:name="_Toc30216"/>
      <w:bookmarkStart w:id="6" w:name="_Toc6028"/>
      <w:bookmarkStart w:id="7" w:name="_Toc28163"/>
      <w:bookmarkStart w:id="8" w:name="_Toc28064"/>
      <w:bookmarkStart w:id="9" w:name="_Toc17813"/>
      <w:bookmarkStart w:id="10" w:name="_Toc8120"/>
      <w:bookmarkStart w:id="11" w:name="_Toc6747"/>
      <w:bookmarkStart w:id="12" w:name="_Toc23418"/>
      <w:bookmarkStart w:id="13" w:name="_Toc4570"/>
      <w:bookmarkStart w:id="14" w:name="_Toc14313"/>
      <w:bookmarkStart w:id="15" w:name="_Toc29398"/>
      <w:r>
        <w:rPr>
          <w:rFonts w:hint="eastAsia" w:ascii="宋体" w:hAnsi="宋体" w:cs="宋体"/>
          <w:b w:val="0"/>
          <w:color w:val="auto"/>
          <w:sz w:val="32"/>
          <w:szCs w:val="32"/>
          <w:highlight w:val="none"/>
        </w:rPr>
        <w:t>第三章</w:t>
      </w:r>
      <w:r>
        <w:rPr>
          <w:rFonts w:hint="eastAsia" w:ascii="宋体" w:hAnsi="宋体" w:cs="宋体"/>
          <w:b w:val="0"/>
          <w:color w:val="auto"/>
          <w:sz w:val="32"/>
          <w:szCs w:val="32"/>
          <w:highlight w:val="none"/>
          <w:lang w:eastAsia="zh-CN"/>
        </w:rPr>
        <w:t>、</w:t>
      </w:r>
      <w:r>
        <w:rPr>
          <w:rFonts w:hint="eastAsia" w:ascii="宋体" w:hAnsi="宋体" w:cs="宋体"/>
          <w:b w:val="0"/>
          <w:color w:val="auto"/>
          <w:sz w:val="32"/>
          <w:szCs w:val="32"/>
          <w:highlight w:val="none"/>
        </w:rPr>
        <w:t>项目采购需求</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579A6E1">
      <w:pPr>
        <w:tabs>
          <w:tab w:val="left" w:pos="180"/>
          <w:tab w:val="left" w:pos="162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说明：</w:t>
      </w:r>
    </w:p>
    <w:p w14:paraId="1E3434A8">
      <w:pPr>
        <w:adjustRightInd w:val="0"/>
        <w:spacing w:line="360" w:lineRule="auto"/>
        <w:ind w:firstLine="422" w:firstLineChars="200"/>
        <w:rPr>
          <w:rFonts w:hint="eastAsia" w:ascii="宋体" w:hAnsi="宋体" w:cs="宋体"/>
          <w:szCs w:val="21"/>
          <w:highlight w:val="none"/>
        </w:rPr>
      </w:pPr>
      <w:r>
        <w:rPr>
          <w:rFonts w:hint="eastAsia" w:ascii="宋体" w:hAnsi="宋体" w:cs="宋体"/>
          <w:b/>
          <w:bCs/>
          <w:color w:val="auto"/>
          <w:szCs w:val="21"/>
          <w:highlight w:val="none"/>
        </w:rPr>
        <w:t>1.所称中小企业必须符合《政府采购促进中小企业发展管理办法》（财库〔2020〕46号）、《广西壮族自治区财政厅关于贯彻落实政府采购支持中小企业发展政策的通知》（桂财采〔2022〕3</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号）的规定。</w:t>
      </w:r>
    </w:p>
    <w:p w14:paraId="6CAB99B2">
      <w:pPr>
        <w:adjustRightInd w:val="0"/>
        <w:spacing w:line="360" w:lineRule="auto"/>
        <w:ind w:firstLine="422" w:firstLineChars="200"/>
        <w:rPr>
          <w:rFonts w:hint="eastAsia" w:ascii="宋体" w:hAnsi="宋体" w:eastAsia="宋体" w:cs="宋体"/>
          <w:b/>
          <w:color w:val="auto"/>
          <w:kern w:val="0"/>
          <w:szCs w:val="21"/>
          <w:highlight w:val="none"/>
        </w:rPr>
      </w:pPr>
      <w:r>
        <w:rPr>
          <w:rFonts w:hint="eastAsia" w:ascii="宋体" w:hAnsi="宋体" w:cs="宋体"/>
          <w:b/>
          <w:bCs w:val="0"/>
          <w:color w:val="auto"/>
          <w:kern w:val="0"/>
          <w:szCs w:val="21"/>
          <w:highlight w:val="none"/>
          <w:lang w:val="en-US" w:eastAsia="zh-CN"/>
        </w:rPr>
        <w:t>2</w:t>
      </w:r>
      <w:r>
        <w:rPr>
          <w:rFonts w:hint="eastAsia" w:ascii="宋体" w:hAnsi="宋体" w:cs="宋体"/>
          <w:b/>
          <w:bCs w:val="0"/>
          <w:color w:val="auto"/>
          <w:kern w:val="0"/>
          <w:szCs w:val="21"/>
          <w:highlight w:val="none"/>
        </w:rPr>
        <w:t>.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w:t>
      </w:r>
      <w:r>
        <w:rPr>
          <w:rFonts w:hint="eastAsia" w:ascii="宋体" w:hAnsi="宋体" w:cs="宋体"/>
          <w:b/>
          <w:color w:val="auto"/>
          <w:kern w:val="0"/>
          <w:szCs w:val="21"/>
          <w:highlight w:val="none"/>
        </w:rPr>
        <w:t>竞标产品</w:t>
      </w:r>
      <w:r>
        <w:rPr>
          <w:rFonts w:hint="eastAsia" w:ascii="宋体" w:hAnsi="宋体" w:eastAsia="宋体" w:cs="宋体"/>
          <w:b/>
          <w:color w:val="auto"/>
          <w:kern w:val="0"/>
          <w:szCs w:val="21"/>
          <w:highlight w:val="none"/>
        </w:rPr>
        <w:t>属于品目清单范围内的强制性采购的，必须使用品目清单内的产品，并提供国家确定的认证机构出具的、处于有效期之内的节能产品认证证书。否则，响应文件无效。</w:t>
      </w:r>
    </w:p>
    <w:p w14:paraId="4F82F739">
      <w:pPr>
        <w:adjustRightInd w:val="0"/>
        <w:spacing w:line="360" w:lineRule="auto"/>
        <w:ind w:firstLine="422" w:firstLineChars="200"/>
        <w:rPr>
          <w:rFonts w:hint="eastAsia" w:ascii="宋体" w:hAnsi="宋体" w:eastAsia="宋体" w:cs="宋体"/>
          <w:b/>
          <w:color w:val="auto"/>
          <w:kern w:val="0"/>
          <w:szCs w:val="21"/>
          <w:highlight w:val="none"/>
          <w:lang w:val="en-US" w:eastAsia="zh-CN"/>
        </w:rPr>
      </w:pPr>
      <w:r>
        <w:rPr>
          <w:rFonts w:hint="eastAsia" w:ascii="宋体" w:hAnsi="宋体" w:cs="宋体"/>
          <w:b/>
          <w:color w:val="auto"/>
          <w:szCs w:val="21"/>
          <w:highlight w:val="none"/>
          <w:lang w:val="en-US" w:eastAsia="zh-CN"/>
        </w:rPr>
        <w:t>3.根据《关于调整网络安全专用产品安全管理有关事项的公告》（国家互联网信息办公室工业和信息化部公安部财政部国家认证认可监督管理委员会公告2023年第1号)的规定，采购标的中包含列入《网络关键设备和网络安全专用产品目录》的网络安全专用产品，供应商应当按照《信息安全技术网络安全专用产品安全技术要求》等相关国家标准的强制性要求，提供由具备资格的机构安全认证合格或者安全检测符合要求证明材料（加盖供应商公章（或电子签章）），否则竞标无效</w:t>
      </w:r>
      <w:r>
        <w:rPr>
          <w:rFonts w:hint="eastAsia" w:ascii="宋体" w:hAnsi="宋体" w:cs="宋体"/>
          <w:b/>
          <w:color w:val="auto"/>
          <w:szCs w:val="21"/>
          <w:highlight w:val="none"/>
        </w:rPr>
        <w:t>。</w:t>
      </w:r>
    </w:p>
    <w:p w14:paraId="0B269695">
      <w:pPr>
        <w:adjustRightInd w:val="0"/>
        <w:spacing w:line="360" w:lineRule="auto"/>
        <w:ind w:firstLine="422" w:firstLineChars="200"/>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4</w:t>
      </w:r>
      <w:r>
        <w:rPr>
          <w:rFonts w:hint="eastAsia" w:ascii="宋体" w:hAnsi="宋体" w:eastAsia="宋体" w:cs="宋体"/>
          <w:b/>
          <w:color w:val="auto"/>
          <w:kern w:val="0"/>
          <w:szCs w:val="21"/>
          <w:highlight w:val="none"/>
          <w:lang w:val="en-US" w:eastAsia="zh-CN"/>
        </w:rPr>
        <w:t>.采购需求中出现的品牌、型号或者生产厂家仅起参考作用，不属于指定品牌、型号或者生产厂家的情形。供应商可参照或者选用其他相当的品牌、型号或者生产厂家替代，但选用的竞标产品参数性能必须满足实质性要求。</w:t>
      </w:r>
    </w:p>
    <w:p w14:paraId="7A623EBF">
      <w:pPr>
        <w:adjustRightInd w:val="0"/>
        <w:spacing w:line="360" w:lineRule="auto"/>
        <w:ind w:firstLine="422" w:firstLineChars="200"/>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5</w:t>
      </w:r>
      <w:r>
        <w:rPr>
          <w:rFonts w:hint="eastAsia" w:ascii="宋体" w:hAnsi="宋体" w:eastAsia="宋体" w:cs="宋体"/>
          <w:b/>
          <w:color w:val="auto"/>
          <w:kern w:val="0"/>
          <w:szCs w:val="21"/>
          <w:highlight w:val="none"/>
          <w:lang w:val="en-US" w:eastAsia="zh-CN"/>
        </w:rPr>
        <w:t>.本项目采购标的对应的中小企业划分标准所属行业：工业。</w:t>
      </w:r>
    </w:p>
    <w:p w14:paraId="2E926E43">
      <w:pPr>
        <w:tabs>
          <w:tab w:val="left" w:pos="180"/>
          <w:tab w:val="left" w:pos="1620"/>
        </w:tabs>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.“项目要求及技术需求”中所有条款均为实质性要求，若有任意一项负偏离，响应文件作无效处理。</w:t>
      </w:r>
    </w:p>
    <w:p w14:paraId="3AF16F2A">
      <w:pPr>
        <w:spacing w:line="440" w:lineRule="exact"/>
        <w:ind w:firstLine="420" w:firstLineChars="200"/>
        <w:jc w:val="left"/>
        <w:rPr>
          <w:rFonts w:hint="eastAsia" w:ascii="宋体" w:hAnsi="宋体" w:cs="宋体"/>
          <w:b/>
          <w:bCs/>
          <w:color w:val="auto"/>
          <w:highlight w:val="none"/>
        </w:rPr>
      </w:pPr>
      <w:r>
        <w:rPr>
          <w:rFonts w:hint="eastAsia"/>
          <w:color w:val="auto"/>
          <w:highlight w:val="none"/>
        </w:rPr>
        <w:br w:type="page"/>
      </w:r>
      <w:r>
        <w:rPr>
          <w:rFonts w:hint="eastAsia" w:ascii="宋体" w:hAnsi="宋体" w:cs="宋体"/>
          <w:b/>
          <w:bCs/>
          <w:color w:val="auto"/>
          <w:highlight w:val="none"/>
        </w:rPr>
        <w:t>附表1：节能产品政府采购品目清单</w:t>
      </w:r>
    </w:p>
    <w:p w14:paraId="63AEB87E">
      <w:pPr>
        <w:pStyle w:val="9"/>
        <w:rPr>
          <w:rFonts w:ascii="宋体" w:hAnsi="宋体" w:cs="宋体"/>
          <w:b/>
          <w:bCs/>
          <w:color w:val="auto"/>
          <w:highlight w:val="none"/>
        </w:rPr>
      </w:pPr>
      <w:r>
        <w:rPr>
          <w:rFonts w:ascii="宋体" w:hAnsi="宋体" w:cs="宋体"/>
          <w:b/>
          <w:bCs/>
          <w:color w:val="auto"/>
          <w:highlight w:val="none"/>
        </w:rPr>
        <w:drawing>
          <wp:inline distT="0" distB="0" distL="114300" distR="114300">
            <wp:extent cx="5982970" cy="8461375"/>
            <wp:effectExtent l="0" t="0" r="17780" b="15875"/>
            <wp:docPr id="3"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节能产品政府采购品目清单_00"/>
                    <pic:cNvPicPr>
                      <a:picLocks noChangeAspect="1"/>
                    </pic:cNvPicPr>
                  </pic:nvPicPr>
                  <pic:blipFill>
                    <a:blip r:embed="rId4"/>
                    <a:stretch>
                      <a:fillRect/>
                    </a:stretch>
                  </pic:blipFill>
                  <pic:spPr>
                    <a:xfrm>
                      <a:off x="0" y="0"/>
                      <a:ext cx="5982970" cy="8461375"/>
                    </a:xfrm>
                    <a:prstGeom prst="rect">
                      <a:avLst/>
                    </a:prstGeom>
                    <a:noFill/>
                    <a:ln>
                      <a:noFill/>
                    </a:ln>
                  </pic:spPr>
                </pic:pic>
              </a:graphicData>
            </a:graphic>
          </wp:inline>
        </w:drawing>
      </w:r>
    </w:p>
    <w:p w14:paraId="0E2040BF">
      <w:pPr>
        <w:pStyle w:val="9"/>
        <w:rPr>
          <w:rFonts w:ascii="宋体" w:hAnsi="宋体" w:cs="宋体"/>
          <w:b/>
          <w:bCs/>
          <w:color w:val="auto"/>
          <w:highlight w:val="none"/>
        </w:rPr>
      </w:pPr>
      <w:r>
        <w:rPr>
          <w:rFonts w:ascii="宋体" w:hAnsi="宋体" w:cs="宋体"/>
          <w:b/>
          <w:bCs/>
          <w:color w:val="auto"/>
          <w:highlight w:val="none"/>
        </w:rPr>
        <w:drawing>
          <wp:inline distT="0" distB="0" distL="114300" distR="114300">
            <wp:extent cx="6117590" cy="8651240"/>
            <wp:effectExtent l="0" t="0" r="16510" b="16510"/>
            <wp:docPr id="4"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节能产品政府采购品目清单_01"/>
                    <pic:cNvPicPr>
                      <a:picLocks noChangeAspect="1"/>
                    </pic:cNvPicPr>
                  </pic:nvPicPr>
                  <pic:blipFill>
                    <a:blip r:embed="rId5"/>
                    <a:stretch>
                      <a:fillRect/>
                    </a:stretch>
                  </pic:blipFill>
                  <pic:spPr>
                    <a:xfrm>
                      <a:off x="0" y="0"/>
                      <a:ext cx="6117590" cy="8651240"/>
                    </a:xfrm>
                    <a:prstGeom prst="rect">
                      <a:avLst/>
                    </a:prstGeom>
                    <a:noFill/>
                    <a:ln>
                      <a:noFill/>
                    </a:ln>
                  </pic:spPr>
                </pic:pic>
              </a:graphicData>
            </a:graphic>
          </wp:inline>
        </w:drawing>
      </w:r>
    </w:p>
    <w:p w14:paraId="46980F52">
      <w:pPr>
        <w:pStyle w:val="9"/>
        <w:rPr>
          <w:rFonts w:ascii="宋体" w:hAnsi="宋体" w:cs="宋体"/>
          <w:b/>
          <w:bCs/>
          <w:color w:val="auto"/>
          <w:highlight w:val="none"/>
        </w:rPr>
      </w:pPr>
      <w:r>
        <w:rPr>
          <w:rFonts w:ascii="宋体" w:hAnsi="宋体" w:cs="宋体"/>
          <w:b/>
          <w:bCs/>
          <w:color w:val="auto"/>
          <w:highlight w:val="none"/>
        </w:rPr>
        <w:drawing>
          <wp:inline distT="0" distB="0" distL="114300" distR="114300">
            <wp:extent cx="6117590" cy="8651240"/>
            <wp:effectExtent l="0" t="0" r="16510" b="16510"/>
            <wp:docPr id="1"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_02"/>
                    <pic:cNvPicPr>
                      <a:picLocks noChangeAspect="1"/>
                    </pic:cNvPicPr>
                  </pic:nvPicPr>
                  <pic:blipFill>
                    <a:blip r:embed="rId6"/>
                    <a:stretch>
                      <a:fillRect/>
                    </a:stretch>
                  </pic:blipFill>
                  <pic:spPr>
                    <a:xfrm>
                      <a:off x="0" y="0"/>
                      <a:ext cx="6117590" cy="8651240"/>
                    </a:xfrm>
                    <a:prstGeom prst="rect">
                      <a:avLst/>
                    </a:prstGeom>
                    <a:noFill/>
                    <a:ln>
                      <a:noFill/>
                    </a:ln>
                  </pic:spPr>
                </pic:pic>
              </a:graphicData>
            </a:graphic>
          </wp:inline>
        </w:drawing>
      </w:r>
    </w:p>
    <w:p w14:paraId="6BFE1272">
      <w:pPr>
        <w:pStyle w:val="2"/>
        <w:rPr>
          <w:rFonts w:hint="eastAsia" w:ascii="宋体" w:hAnsi="宋体" w:cs="宋体"/>
          <w:color w:val="auto"/>
          <w:kern w:val="0"/>
          <w:sz w:val="24"/>
          <w:szCs w:val="24"/>
          <w:highlight w:val="none"/>
        </w:rPr>
      </w:pPr>
      <w:r>
        <w:rPr>
          <w:rFonts w:hint="eastAsia" w:ascii="宋体" w:hAnsi="宋体" w:cs="宋体"/>
          <w:b/>
          <w:bCs/>
          <w:color w:val="auto"/>
          <w:highlight w:val="none"/>
        </w:rPr>
        <w:drawing>
          <wp:inline distT="0" distB="0" distL="114300" distR="114300">
            <wp:extent cx="6117590" cy="8651240"/>
            <wp:effectExtent l="0" t="0" r="16510" b="16510"/>
            <wp:docPr id="2" name="图片 4"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_03"/>
                    <pic:cNvPicPr>
                      <a:picLocks noChangeAspect="1"/>
                    </pic:cNvPicPr>
                  </pic:nvPicPr>
                  <pic:blipFill>
                    <a:blip r:embed="rId7"/>
                    <a:stretch>
                      <a:fillRect/>
                    </a:stretch>
                  </pic:blipFill>
                  <pic:spPr>
                    <a:xfrm>
                      <a:off x="0" y="0"/>
                      <a:ext cx="6117590" cy="8651240"/>
                    </a:xfrm>
                    <a:prstGeom prst="rect">
                      <a:avLst/>
                    </a:prstGeom>
                    <a:noFill/>
                    <a:ln>
                      <a:noFill/>
                    </a:ln>
                  </pic:spPr>
                </pic:pic>
              </a:graphicData>
            </a:graphic>
          </wp:inline>
        </w:drawing>
      </w:r>
      <w:r>
        <w:rPr>
          <w:rFonts w:hint="eastAsia" w:ascii="宋体" w:hAnsi="宋体" w:cs="宋体"/>
          <w:color w:val="auto"/>
          <w:highlight w:val="none"/>
        </w:rPr>
        <w:br w:type="page"/>
      </w:r>
      <w:r>
        <w:rPr>
          <w:rFonts w:hint="eastAsia" w:ascii="宋体" w:hAnsi="宋体" w:cs="宋体"/>
          <w:color w:val="auto"/>
          <w:kern w:val="0"/>
          <w:sz w:val="24"/>
          <w:szCs w:val="24"/>
          <w:highlight w:val="none"/>
        </w:rPr>
        <w:t>附表2</w:t>
      </w:r>
    </w:p>
    <w:p w14:paraId="6F73AFD0">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统计上大中小微型企业划分标准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701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14:paraId="400D242D">
            <w:pPr>
              <w:widowControl/>
              <w:spacing w:line="24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noWrap w:val="0"/>
            <w:vAlign w:val="center"/>
          </w:tcPr>
          <w:p w14:paraId="5355E1F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noWrap w:val="0"/>
            <w:vAlign w:val="center"/>
          </w:tcPr>
          <w:p w14:paraId="041C505D">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199C888C">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noWrap w:val="0"/>
            <w:vAlign w:val="center"/>
          </w:tcPr>
          <w:p w14:paraId="00D5997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noWrap w:val="0"/>
            <w:vAlign w:val="center"/>
          </w:tcPr>
          <w:p w14:paraId="1EB46D19">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noWrap w:val="0"/>
            <w:vAlign w:val="center"/>
          </w:tcPr>
          <w:p w14:paraId="6007F286">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noWrap w:val="0"/>
            <w:vAlign w:val="center"/>
          </w:tcPr>
          <w:p w14:paraId="09801463">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526C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6ED42A2E">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noWrap w:val="0"/>
            <w:vAlign w:val="center"/>
          </w:tcPr>
          <w:p w14:paraId="0017E7D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1BE747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F56FD5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447888F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noWrap w:val="0"/>
            <w:vAlign w:val="center"/>
          </w:tcPr>
          <w:p w14:paraId="5F2490F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50≤Y＜500</w:t>
            </w:r>
          </w:p>
        </w:tc>
        <w:tc>
          <w:tcPr>
            <w:tcW w:w="992" w:type="dxa"/>
            <w:noWrap w:val="0"/>
            <w:vAlign w:val="center"/>
          </w:tcPr>
          <w:p w14:paraId="388A769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929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25BC8FD">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noWrap w:val="0"/>
            <w:vAlign w:val="center"/>
          </w:tcPr>
          <w:p w14:paraId="4B03367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BADBDB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3372BA9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6552006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337C07D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14:paraId="7B792C4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A15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BF2CC44">
            <w:pPr>
              <w:widowControl/>
              <w:jc w:val="left"/>
              <w:rPr>
                <w:rFonts w:hint="eastAsia" w:ascii="宋体" w:hAnsi="宋体" w:cs="宋体"/>
                <w:color w:val="auto"/>
                <w:kern w:val="0"/>
                <w:sz w:val="18"/>
                <w:szCs w:val="18"/>
                <w:highlight w:val="none"/>
              </w:rPr>
            </w:pPr>
          </w:p>
        </w:tc>
        <w:tc>
          <w:tcPr>
            <w:tcW w:w="1369" w:type="dxa"/>
            <w:noWrap w:val="0"/>
            <w:vAlign w:val="center"/>
          </w:tcPr>
          <w:p w14:paraId="063B2C28">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81ABE4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1080CD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4010A30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noWrap w:val="0"/>
            <w:vAlign w:val="center"/>
          </w:tcPr>
          <w:p w14:paraId="4BE3A06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300≤Y＜2000</w:t>
            </w:r>
          </w:p>
        </w:tc>
        <w:tc>
          <w:tcPr>
            <w:tcW w:w="992" w:type="dxa"/>
            <w:noWrap w:val="0"/>
            <w:vAlign w:val="center"/>
          </w:tcPr>
          <w:p w14:paraId="3B98F43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766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C7CC8B1">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noWrap w:val="0"/>
            <w:vAlign w:val="center"/>
          </w:tcPr>
          <w:p w14:paraId="4BD246E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C963BB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60455B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noWrap w:val="0"/>
            <w:vAlign w:val="center"/>
          </w:tcPr>
          <w:p w14:paraId="4615DEE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noWrap w:val="0"/>
            <w:vAlign w:val="center"/>
          </w:tcPr>
          <w:p w14:paraId="6F4BEB0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300≤Y＜6000</w:t>
            </w:r>
          </w:p>
        </w:tc>
        <w:tc>
          <w:tcPr>
            <w:tcW w:w="992" w:type="dxa"/>
            <w:noWrap w:val="0"/>
            <w:vAlign w:val="center"/>
          </w:tcPr>
          <w:p w14:paraId="6BC2E9A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4AF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3AD0439">
            <w:pPr>
              <w:widowControl/>
              <w:jc w:val="left"/>
              <w:rPr>
                <w:rFonts w:hint="eastAsia" w:ascii="宋体" w:hAnsi="宋体" w:cs="宋体"/>
                <w:color w:val="auto"/>
                <w:kern w:val="0"/>
                <w:sz w:val="18"/>
                <w:szCs w:val="18"/>
                <w:highlight w:val="none"/>
              </w:rPr>
            </w:pPr>
          </w:p>
        </w:tc>
        <w:tc>
          <w:tcPr>
            <w:tcW w:w="1369" w:type="dxa"/>
            <w:noWrap w:val="0"/>
            <w:vAlign w:val="center"/>
          </w:tcPr>
          <w:p w14:paraId="6E99AE2B">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75BCF9D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B60A72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noWrap w:val="0"/>
            <w:vAlign w:val="center"/>
          </w:tcPr>
          <w:p w14:paraId="23739A3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noWrap w:val="0"/>
            <w:vAlign w:val="center"/>
          </w:tcPr>
          <w:p w14:paraId="025B342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300≤Z＜5000</w:t>
            </w:r>
          </w:p>
        </w:tc>
        <w:tc>
          <w:tcPr>
            <w:tcW w:w="992" w:type="dxa"/>
            <w:noWrap w:val="0"/>
            <w:vAlign w:val="center"/>
          </w:tcPr>
          <w:p w14:paraId="0B87145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0884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012C8DD">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noWrap w:val="0"/>
            <w:vAlign w:val="center"/>
          </w:tcPr>
          <w:p w14:paraId="0398A33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67063E9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39E7718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196E5AD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noWrap w:val="0"/>
            <w:vAlign w:val="center"/>
          </w:tcPr>
          <w:p w14:paraId="7B95F74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5≤X＜20</w:t>
            </w:r>
          </w:p>
        </w:tc>
        <w:tc>
          <w:tcPr>
            <w:tcW w:w="992" w:type="dxa"/>
            <w:noWrap w:val="0"/>
            <w:vAlign w:val="center"/>
          </w:tcPr>
          <w:p w14:paraId="4087B49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3F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F5881D2">
            <w:pPr>
              <w:widowControl/>
              <w:jc w:val="left"/>
              <w:rPr>
                <w:rFonts w:hint="eastAsia" w:ascii="宋体" w:hAnsi="宋体" w:cs="宋体"/>
                <w:color w:val="auto"/>
                <w:kern w:val="0"/>
                <w:sz w:val="18"/>
                <w:szCs w:val="18"/>
                <w:highlight w:val="none"/>
              </w:rPr>
            </w:pPr>
          </w:p>
        </w:tc>
        <w:tc>
          <w:tcPr>
            <w:tcW w:w="1369" w:type="dxa"/>
            <w:noWrap w:val="0"/>
            <w:vAlign w:val="center"/>
          </w:tcPr>
          <w:p w14:paraId="375D41C1">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271242D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8E71C7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1EEEEE4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noWrap w:val="0"/>
            <w:vAlign w:val="center"/>
          </w:tcPr>
          <w:p w14:paraId="52ED76D1">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noWrap w:val="0"/>
            <w:vAlign w:val="center"/>
          </w:tcPr>
          <w:p w14:paraId="3B3FBE2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2642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D1EBA37">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noWrap w:val="0"/>
            <w:vAlign w:val="center"/>
          </w:tcPr>
          <w:p w14:paraId="3C502A0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C88EF1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2980C5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52E133E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noWrap w:val="0"/>
            <w:vAlign w:val="center"/>
          </w:tcPr>
          <w:p w14:paraId="58BA9B7A">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noWrap w:val="0"/>
            <w:vAlign w:val="center"/>
          </w:tcPr>
          <w:p w14:paraId="366A63B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9FE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16A9451">
            <w:pPr>
              <w:widowControl/>
              <w:jc w:val="left"/>
              <w:rPr>
                <w:rFonts w:hint="eastAsia" w:ascii="宋体" w:hAnsi="宋体" w:cs="宋体"/>
                <w:color w:val="auto"/>
                <w:kern w:val="0"/>
                <w:sz w:val="18"/>
                <w:szCs w:val="18"/>
                <w:highlight w:val="none"/>
              </w:rPr>
            </w:pPr>
          </w:p>
        </w:tc>
        <w:tc>
          <w:tcPr>
            <w:tcW w:w="1369" w:type="dxa"/>
            <w:noWrap w:val="0"/>
            <w:vAlign w:val="center"/>
          </w:tcPr>
          <w:p w14:paraId="31F21544">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D2ECEC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C8C77E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53587AE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noWrap w:val="0"/>
            <w:vAlign w:val="center"/>
          </w:tcPr>
          <w:p w14:paraId="5B7D63E6">
            <w:pPr>
              <w:widowControl/>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100≤Y＜500 </w:t>
            </w:r>
          </w:p>
        </w:tc>
        <w:tc>
          <w:tcPr>
            <w:tcW w:w="992" w:type="dxa"/>
            <w:noWrap w:val="0"/>
            <w:vAlign w:val="center"/>
          </w:tcPr>
          <w:p w14:paraId="7DFF8D6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963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EEF04A4">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noWrap w:val="0"/>
            <w:vAlign w:val="center"/>
          </w:tcPr>
          <w:p w14:paraId="1C876E8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5DDA3AB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305479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7BFC2BF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0633D1B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14:paraId="660DC1C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FB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CD6034E">
            <w:pPr>
              <w:widowControl/>
              <w:jc w:val="left"/>
              <w:rPr>
                <w:rFonts w:hint="eastAsia" w:ascii="宋体" w:hAnsi="宋体" w:cs="宋体"/>
                <w:color w:val="auto"/>
                <w:kern w:val="0"/>
                <w:sz w:val="18"/>
                <w:szCs w:val="18"/>
                <w:highlight w:val="none"/>
              </w:rPr>
            </w:pPr>
          </w:p>
        </w:tc>
        <w:tc>
          <w:tcPr>
            <w:tcW w:w="1369" w:type="dxa"/>
            <w:noWrap w:val="0"/>
            <w:vAlign w:val="center"/>
          </w:tcPr>
          <w:p w14:paraId="7CE384A6">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2904C3E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ECA0D2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3F2B9EB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noWrap w:val="0"/>
            <w:vAlign w:val="center"/>
          </w:tcPr>
          <w:p w14:paraId="063BBA4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200≤Y＜3000</w:t>
            </w:r>
          </w:p>
        </w:tc>
        <w:tc>
          <w:tcPr>
            <w:tcW w:w="992" w:type="dxa"/>
            <w:noWrap w:val="0"/>
            <w:vAlign w:val="center"/>
          </w:tcPr>
          <w:p w14:paraId="7504329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154D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3ED7B44">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noWrap w:val="0"/>
            <w:vAlign w:val="center"/>
          </w:tcPr>
          <w:p w14:paraId="39B6350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424C394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33CED64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1887155B">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noWrap w:val="0"/>
            <w:vAlign w:val="center"/>
          </w:tcPr>
          <w:p w14:paraId="34B48B9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20≤X＜100</w:t>
            </w:r>
          </w:p>
        </w:tc>
        <w:tc>
          <w:tcPr>
            <w:tcW w:w="992" w:type="dxa"/>
            <w:noWrap w:val="0"/>
            <w:vAlign w:val="center"/>
          </w:tcPr>
          <w:p w14:paraId="0EC6BD8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EB4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AC79CA">
            <w:pPr>
              <w:widowControl/>
              <w:jc w:val="left"/>
              <w:rPr>
                <w:rFonts w:hint="eastAsia" w:ascii="宋体" w:hAnsi="宋体" w:cs="宋体"/>
                <w:color w:val="auto"/>
                <w:kern w:val="0"/>
                <w:sz w:val="18"/>
                <w:szCs w:val="18"/>
                <w:highlight w:val="none"/>
              </w:rPr>
            </w:pPr>
          </w:p>
        </w:tc>
        <w:tc>
          <w:tcPr>
            <w:tcW w:w="1369" w:type="dxa"/>
            <w:noWrap w:val="0"/>
            <w:vAlign w:val="center"/>
          </w:tcPr>
          <w:p w14:paraId="6502C6E8">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5C3318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4C4DB6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1D3E16E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noWrap w:val="0"/>
            <w:vAlign w:val="center"/>
          </w:tcPr>
          <w:p w14:paraId="1F174AE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14:paraId="2036877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25F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C8CDE2E">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noWrap w:val="0"/>
            <w:vAlign w:val="center"/>
          </w:tcPr>
          <w:p w14:paraId="0EB647B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85191A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0BD6EBF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5811212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176DF33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14:paraId="63AC2BA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1F7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EF395BC">
            <w:pPr>
              <w:widowControl/>
              <w:jc w:val="left"/>
              <w:rPr>
                <w:rFonts w:hint="eastAsia" w:ascii="宋体" w:hAnsi="宋体" w:cs="宋体"/>
                <w:color w:val="auto"/>
                <w:kern w:val="0"/>
                <w:sz w:val="18"/>
                <w:szCs w:val="18"/>
                <w:highlight w:val="none"/>
              </w:rPr>
            </w:pPr>
          </w:p>
        </w:tc>
        <w:tc>
          <w:tcPr>
            <w:tcW w:w="1369" w:type="dxa"/>
            <w:noWrap w:val="0"/>
            <w:vAlign w:val="center"/>
          </w:tcPr>
          <w:p w14:paraId="061971AE">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4A1FD6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0C51E9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36A497A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noWrap w:val="0"/>
            <w:vAlign w:val="center"/>
          </w:tcPr>
          <w:p w14:paraId="7C4CEC5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14:paraId="0F60EF9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1F2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789595B">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noWrap w:val="0"/>
            <w:vAlign w:val="center"/>
          </w:tcPr>
          <w:p w14:paraId="7820115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3634967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0382D3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7ACB6E4E">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4F2DDE6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6F42722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64A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14657AD">
            <w:pPr>
              <w:widowControl/>
              <w:jc w:val="left"/>
              <w:rPr>
                <w:rFonts w:hint="eastAsia" w:ascii="宋体" w:hAnsi="宋体" w:cs="宋体"/>
                <w:color w:val="auto"/>
                <w:kern w:val="0"/>
                <w:sz w:val="18"/>
                <w:szCs w:val="18"/>
                <w:highlight w:val="none"/>
              </w:rPr>
            </w:pPr>
          </w:p>
        </w:tc>
        <w:tc>
          <w:tcPr>
            <w:tcW w:w="1369" w:type="dxa"/>
            <w:noWrap w:val="0"/>
            <w:vAlign w:val="center"/>
          </w:tcPr>
          <w:p w14:paraId="24024151">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0AE26E5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786B4F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368F1CD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5EDC944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14:paraId="3DE556F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A0A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4B24F3E">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noWrap w:val="0"/>
            <w:vAlign w:val="center"/>
          </w:tcPr>
          <w:p w14:paraId="41CD4D8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EE553D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9A3597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45D82BD6">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73AEC72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6FADF97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6E5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B67BA52">
            <w:pPr>
              <w:widowControl/>
              <w:jc w:val="left"/>
              <w:rPr>
                <w:rFonts w:hint="eastAsia" w:ascii="宋体" w:hAnsi="宋体" w:cs="宋体"/>
                <w:color w:val="auto"/>
                <w:kern w:val="0"/>
                <w:sz w:val="18"/>
                <w:szCs w:val="18"/>
                <w:highlight w:val="none"/>
              </w:rPr>
            </w:pPr>
          </w:p>
        </w:tc>
        <w:tc>
          <w:tcPr>
            <w:tcW w:w="1369" w:type="dxa"/>
            <w:noWrap w:val="0"/>
            <w:vAlign w:val="center"/>
          </w:tcPr>
          <w:p w14:paraId="08E507B3">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9421B30">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1E21B1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616005A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1D2E1EB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14:paraId="1CCFDBE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A28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D1E4A58">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noWrap w:val="0"/>
            <w:vAlign w:val="center"/>
          </w:tcPr>
          <w:p w14:paraId="1CD6C19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3E41F7E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4B767CF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noWrap w:val="0"/>
            <w:vAlign w:val="center"/>
          </w:tcPr>
          <w:p w14:paraId="04DF842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noWrap w:val="0"/>
            <w:vAlign w:val="center"/>
          </w:tcPr>
          <w:p w14:paraId="3C492AF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1D3F6BA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3B2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943D4A1">
            <w:pPr>
              <w:widowControl/>
              <w:jc w:val="left"/>
              <w:rPr>
                <w:rFonts w:hint="eastAsia" w:ascii="宋体" w:hAnsi="宋体" w:cs="宋体"/>
                <w:color w:val="auto"/>
                <w:kern w:val="0"/>
                <w:sz w:val="18"/>
                <w:szCs w:val="18"/>
                <w:highlight w:val="none"/>
              </w:rPr>
            </w:pPr>
          </w:p>
        </w:tc>
        <w:tc>
          <w:tcPr>
            <w:tcW w:w="1369" w:type="dxa"/>
            <w:noWrap w:val="0"/>
            <w:vAlign w:val="center"/>
          </w:tcPr>
          <w:p w14:paraId="5DE95A3B">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A1B1D0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D3D692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noWrap w:val="0"/>
            <w:vAlign w:val="center"/>
          </w:tcPr>
          <w:p w14:paraId="350BDDD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1000≤Y＜100000</w:t>
            </w:r>
          </w:p>
        </w:tc>
        <w:tc>
          <w:tcPr>
            <w:tcW w:w="1426" w:type="dxa"/>
            <w:noWrap w:val="0"/>
            <w:vAlign w:val="center"/>
          </w:tcPr>
          <w:p w14:paraId="107FFFB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14:paraId="3C13A67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972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53705EAF">
            <w:pPr>
              <w:widowControl/>
              <w:spacing w:line="24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noWrap w:val="0"/>
            <w:vAlign w:val="center"/>
          </w:tcPr>
          <w:p w14:paraId="0E6716D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1CBA22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178EC32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7FA0EB7B">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2734464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783A35E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FD5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3009883">
            <w:pPr>
              <w:widowControl/>
              <w:jc w:val="left"/>
              <w:rPr>
                <w:rFonts w:hint="eastAsia" w:ascii="宋体" w:hAnsi="宋体" w:cs="宋体"/>
                <w:color w:val="auto"/>
                <w:spacing w:val="-12"/>
                <w:kern w:val="0"/>
                <w:sz w:val="18"/>
                <w:szCs w:val="18"/>
                <w:highlight w:val="none"/>
              </w:rPr>
            </w:pPr>
          </w:p>
        </w:tc>
        <w:tc>
          <w:tcPr>
            <w:tcW w:w="1369" w:type="dxa"/>
            <w:noWrap w:val="0"/>
            <w:vAlign w:val="center"/>
          </w:tcPr>
          <w:p w14:paraId="4BB79F5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2A9390E1">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DA5002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2D96707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noWrap w:val="0"/>
            <w:vAlign w:val="center"/>
          </w:tcPr>
          <w:p w14:paraId="612D6FA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50≤Y＜1000</w:t>
            </w:r>
          </w:p>
        </w:tc>
        <w:tc>
          <w:tcPr>
            <w:tcW w:w="992" w:type="dxa"/>
            <w:noWrap w:val="0"/>
            <w:vAlign w:val="center"/>
          </w:tcPr>
          <w:p w14:paraId="6728059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8E4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58BEA24">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noWrap w:val="0"/>
            <w:vAlign w:val="center"/>
          </w:tcPr>
          <w:p w14:paraId="045C5EC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5DBB1C6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FA6DCC6">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noWrap w:val="0"/>
            <w:vAlign w:val="center"/>
          </w:tcPr>
          <w:p w14:paraId="7E2384A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1000≤Y＜200000</w:t>
            </w:r>
          </w:p>
        </w:tc>
        <w:tc>
          <w:tcPr>
            <w:tcW w:w="1426" w:type="dxa"/>
            <w:noWrap w:val="0"/>
            <w:vAlign w:val="center"/>
          </w:tcPr>
          <w:p w14:paraId="5A49EF6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14:paraId="15682DF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88B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659A4452">
            <w:pPr>
              <w:widowControl/>
              <w:jc w:val="left"/>
              <w:rPr>
                <w:rFonts w:hint="eastAsia" w:ascii="宋体" w:hAnsi="宋体" w:cs="宋体"/>
                <w:color w:val="auto"/>
                <w:kern w:val="0"/>
                <w:sz w:val="18"/>
                <w:szCs w:val="18"/>
                <w:highlight w:val="none"/>
              </w:rPr>
            </w:pPr>
          </w:p>
        </w:tc>
        <w:tc>
          <w:tcPr>
            <w:tcW w:w="1369" w:type="dxa"/>
            <w:noWrap w:val="0"/>
            <w:vAlign w:val="center"/>
          </w:tcPr>
          <w:p w14:paraId="03316932">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0657B6D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6DCD98D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noWrap w:val="0"/>
            <w:vAlign w:val="center"/>
          </w:tcPr>
          <w:p w14:paraId="019D7E2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noWrap w:val="0"/>
            <w:vAlign w:val="center"/>
          </w:tcPr>
          <w:p w14:paraId="4BA2E2C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2000≤Z＜5000   </w:t>
            </w:r>
          </w:p>
        </w:tc>
        <w:tc>
          <w:tcPr>
            <w:tcW w:w="992" w:type="dxa"/>
            <w:noWrap w:val="0"/>
            <w:vAlign w:val="center"/>
          </w:tcPr>
          <w:p w14:paraId="187235E2">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4E93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5C2B541">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noWrap w:val="0"/>
            <w:vAlign w:val="center"/>
          </w:tcPr>
          <w:p w14:paraId="6E27F57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0434C01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5A3C6F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4525D9D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41925D47">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992" w:type="dxa"/>
            <w:noWrap w:val="0"/>
            <w:vAlign w:val="center"/>
          </w:tcPr>
          <w:p w14:paraId="157C1328">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8A9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4449B619">
            <w:pPr>
              <w:widowControl/>
              <w:jc w:val="left"/>
              <w:rPr>
                <w:rFonts w:hint="eastAsia" w:ascii="宋体" w:hAnsi="宋体" w:cs="宋体"/>
                <w:color w:val="auto"/>
                <w:kern w:val="0"/>
                <w:sz w:val="18"/>
                <w:szCs w:val="18"/>
                <w:highlight w:val="none"/>
              </w:rPr>
            </w:pPr>
          </w:p>
        </w:tc>
        <w:tc>
          <w:tcPr>
            <w:tcW w:w="1369" w:type="dxa"/>
            <w:noWrap w:val="0"/>
            <w:vAlign w:val="center"/>
          </w:tcPr>
          <w:p w14:paraId="021BF7EB">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F376A2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8E07CB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noWrap w:val="0"/>
            <w:vAlign w:val="center"/>
          </w:tcPr>
          <w:p w14:paraId="3C900776">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1000≤Y＜5000 </w:t>
            </w:r>
          </w:p>
        </w:tc>
        <w:tc>
          <w:tcPr>
            <w:tcW w:w="1426" w:type="dxa"/>
            <w:noWrap w:val="0"/>
            <w:vAlign w:val="center"/>
          </w:tcPr>
          <w:p w14:paraId="4A87EFC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500≤Y＜1000</w:t>
            </w:r>
          </w:p>
        </w:tc>
        <w:tc>
          <w:tcPr>
            <w:tcW w:w="992" w:type="dxa"/>
            <w:noWrap w:val="0"/>
            <w:vAlign w:val="center"/>
          </w:tcPr>
          <w:p w14:paraId="5EF6E3CC">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6A1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1C39439">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noWrap w:val="0"/>
            <w:vAlign w:val="center"/>
          </w:tcPr>
          <w:p w14:paraId="6081E47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054E622A">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64BF69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3EF2E174">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32C11BC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161FC413">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15E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198DEE5">
            <w:pPr>
              <w:widowControl/>
              <w:jc w:val="left"/>
              <w:rPr>
                <w:rFonts w:hint="eastAsia" w:ascii="宋体" w:hAnsi="宋体" w:cs="宋体"/>
                <w:color w:val="auto"/>
                <w:kern w:val="0"/>
                <w:sz w:val="18"/>
                <w:szCs w:val="18"/>
                <w:highlight w:val="none"/>
              </w:rPr>
            </w:pPr>
          </w:p>
        </w:tc>
        <w:tc>
          <w:tcPr>
            <w:tcW w:w="1369" w:type="dxa"/>
            <w:noWrap w:val="0"/>
            <w:vAlign w:val="center"/>
          </w:tcPr>
          <w:p w14:paraId="63B9317E">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18AC418E">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67C16459">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noWrap w:val="0"/>
            <w:vAlign w:val="center"/>
          </w:tcPr>
          <w:p w14:paraId="66BE8CE5">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8000≤Z＜120000</w:t>
            </w:r>
          </w:p>
        </w:tc>
        <w:tc>
          <w:tcPr>
            <w:tcW w:w="1426" w:type="dxa"/>
            <w:noWrap w:val="0"/>
            <w:vAlign w:val="center"/>
          </w:tcPr>
          <w:p w14:paraId="4956562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100≤Z＜8000</w:t>
            </w:r>
          </w:p>
        </w:tc>
        <w:tc>
          <w:tcPr>
            <w:tcW w:w="992" w:type="dxa"/>
            <w:noWrap w:val="0"/>
            <w:vAlign w:val="center"/>
          </w:tcPr>
          <w:p w14:paraId="35D8368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2407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75B64931">
            <w:pPr>
              <w:widowControl/>
              <w:spacing w:line="24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noWrap w:val="0"/>
            <w:vAlign w:val="center"/>
          </w:tcPr>
          <w:p w14:paraId="33AB902F">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EB68674">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5EA70BF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0DDB782F">
            <w:pPr>
              <w:widowControl/>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28DC094B">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14:paraId="62C0256D">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62E53373">
      <w:pPr>
        <w:widowControl/>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1CD7CD01">
      <w:pPr>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　　1.大型、中型和小型企业须同时满足所列指标的下限，否则下划一档；微型企业只须满足所列指标中的一项即可。</w:t>
      </w:r>
    </w:p>
    <w:p w14:paraId="0386A8AA">
      <w:pPr>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FA5C930">
      <w:pPr>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9AA47CD">
      <w:pPr>
        <w:spacing w:line="540" w:lineRule="exact"/>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br w:type="page"/>
      </w:r>
    </w:p>
    <w:tbl>
      <w:tblPr>
        <w:tblStyle w:val="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634"/>
        <w:gridCol w:w="5433"/>
        <w:gridCol w:w="831"/>
        <w:gridCol w:w="758"/>
      </w:tblGrid>
      <w:tr w14:paraId="75BA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5"/>
            <w:noWrap w:val="0"/>
            <w:vAlign w:val="top"/>
          </w:tcPr>
          <w:p w14:paraId="289E425F">
            <w:pPr>
              <w:tabs>
                <w:tab w:val="left" w:pos="180"/>
                <w:tab w:val="left" w:pos="1620"/>
              </w:tabs>
              <w:spacing w:line="360" w:lineRule="auto"/>
              <w:rPr>
                <w:rFonts w:hint="eastAsia" w:ascii="宋体" w:hAnsi="宋体" w:eastAsia="宋体" w:cs="宋体"/>
                <w:b/>
                <w:szCs w:val="21"/>
                <w:highlight w:val="none"/>
              </w:rPr>
            </w:pPr>
            <w:bookmarkStart w:id="16" w:name="_GoBack"/>
            <w:r>
              <w:rPr>
                <w:rFonts w:hint="eastAsia" w:ascii="宋体" w:hAnsi="宋体" w:eastAsia="宋体" w:cs="宋体"/>
                <w:b/>
                <w:bCs/>
                <w:szCs w:val="21"/>
                <w:highlight w:val="none"/>
              </w:rPr>
              <w:br w:type="page"/>
            </w:r>
            <w:r>
              <w:rPr>
                <w:rFonts w:hint="eastAsia" w:ascii="宋体" w:hAnsi="宋体" w:eastAsia="宋体" w:cs="宋体"/>
                <w:szCs w:val="21"/>
                <w:highlight w:val="none"/>
              </w:rPr>
              <w:br w:type="page"/>
            </w:r>
            <w:r>
              <w:rPr>
                <w:rFonts w:hint="eastAsia" w:ascii="宋体" w:hAnsi="宋体" w:eastAsia="宋体" w:cs="宋体"/>
                <w:b/>
                <w:szCs w:val="21"/>
                <w:highlight w:val="none"/>
              </w:rPr>
              <w:br w:type="page"/>
            </w:r>
            <w:r>
              <w:rPr>
                <w:rFonts w:hint="eastAsia" w:ascii="宋体" w:hAnsi="宋体" w:eastAsia="宋体" w:cs="宋体"/>
                <w:b/>
                <w:szCs w:val="21"/>
                <w:highlight w:val="none"/>
              </w:rPr>
              <w:t>一、采购项目需求一览表</w:t>
            </w:r>
          </w:p>
        </w:tc>
      </w:tr>
      <w:tr w14:paraId="3CD8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3267F5A">
            <w:pPr>
              <w:widowControl/>
              <w:spacing w:line="360" w:lineRule="auto"/>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项号</w:t>
            </w:r>
          </w:p>
        </w:tc>
        <w:tc>
          <w:tcPr>
            <w:tcW w:w="1634" w:type="dxa"/>
            <w:noWrap w:val="0"/>
            <w:vAlign w:val="center"/>
          </w:tcPr>
          <w:p w14:paraId="78EA6E38">
            <w:pPr>
              <w:widowControl/>
              <w:spacing w:line="360" w:lineRule="auto"/>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标的的名称</w:t>
            </w:r>
          </w:p>
        </w:tc>
        <w:tc>
          <w:tcPr>
            <w:tcW w:w="5433" w:type="dxa"/>
            <w:tcBorders>
              <w:right w:val="single" w:color="auto" w:sz="4" w:space="0"/>
            </w:tcBorders>
            <w:noWrap w:val="0"/>
            <w:vAlign w:val="center"/>
          </w:tcPr>
          <w:p w14:paraId="2EC9F637">
            <w:pPr>
              <w:widowControl/>
              <w:spacing w:line="360" w:lineRule="auto"/>
              <w:jc w:val="center"/>
              <w:rPr>
                <w:rFonts w:hint="eastAsia" w:ascii="宋体" w:hAnsi="宋体" w:eastAsia="宋体" w:cs="宋体"/>
                <w:b/>
                <w:szCs w:val="21"/>
                <w:highlight w:val="none"/>
              </w:rPr>
            </w:pPr>
            <w:r>
              <w:rPr>
                <w:rFonts w:hint="eastAsia" w:ascii="宋体" w:hAnsi="宋体" w:eastAsia="宋体" w:cs="宋体"/>
                <w:b/>
                <w:szCs w:val="21"/>
                <w:highlight w:val="none"/>
              </w:rPr>
              <w:t>项目要求及技术需求</w:t>
            </w:r>
          </w:p>
        </w:tc>
        <w:tc>
          <w:tcPr>
            <w:tcW w:w="831" w:type="dxa"/>
            <w:tcBorders>
              <w:left w:val="single" w:color="auto" w:sz="4" w:space="0"/>
            </w:tcBorders>
            <w:noWrap w:val="0"/>
            <w:vAlign w:val="center"/>
          </w:tcPr>
          <w:p w14:paraId="427E8D11">
            <w:pPr>
              <w:widowControl/>
              <w:spacing w:line="360" w:lineRule="auto"/>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数量</w:t>
            </w:r>
          </w:p>
        </w:tc>
        <w:tc>
          <w:tcPr>
            <w:tcW w:w="758" w:type="dxa"/>
            <w:noWrap w:val="0"/>
            <w:vAlign w:val="center"/>
          </w:tcPr>
          <w:p w14:paraId="5D54477A">
            <w:pPr>
              <w:widowControl/>
              <w:spacing w:line="360" w:lineRule="auto"/>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单位</w:t>
            </w:r>
          </w:p>
        </w:tc>
      </w:tr>
      <w:tr w14:paraId="13F2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634349C7">
            <w:pPr>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1634" w:type="dxa"/>
            <w:noWrap w:val="0"/>
            <w:vAlign w:val="center"/>
          </w:tcPr>
          <w:p w14:paraId="196BBE6F">
            <w:pPr>
              <w:spacing w:line="360" w:lineRule="auto"/>
              <w:jc w:val="center"/>
              <w:rPr>
                <w:rFonts w:hint="eastAsia" w:ascii="宋体" w:hAnsi="宋体" w:eastAsia="宋体" w:cs="宋体"/>
                <w:color w:val="000000"/>
                <w:spacing w:val="-2"/>
                <w:szCs w:val="21"/>
                <w:highlight w:val="none"/>
              </w:rPr>
            </w:pPr>
            <w:r>
              <w:rPr>
                <w:rFonts w:hint="eastAsia" w:ascii="宋体" w:hAnsi="宋体"/>
                <w:highlight w:val="none"/>
              </w:rPr>
              <w:t>空气源热泵热水机组-1</w:t>
            </w:r>
          </w:p>
        </w:tc>
        <w:tc>
          <w:tcPr>
            <w:tcW w:w="5433" w:type="dxa"/>
            <w:tcBorders>
              <w:right w:val="single" w:color="auto" w:sz="4" w:space="0"/>
            </w:tcBorders>
            <w:noWrap w:val="0"/>
            <w:vAlign w:val="center"/>
          </w:tcPr>
          <w:p w14:paraId="41B8564E">
            <w:pPr>
              <w:widowControl/>
              <w:numPr>
                <w:ilvl w:val="0"/>
                <w:numId w:val="0"/>
              </w:numPr>
              <w:spacing w:line="360" w:lineRule="auto"/>
              <w:jc w:val="left"/>
              <w:textAlignment w:val="center"/>
              <w:rPr>
                <w:rFonts w:hint="eastAsia" w:ascii="宋体" w:hAnsi="宋体" w:eastAsia="宋体" w:cs="宋体"/>
                <w:bCs/>
                <w:szCs w:val="21"/>
                <w:highlight w:val="none"/>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名义工况1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（热源侧：干球温度20℃±0.2，湿球温度15℃±0.2；使用侧：初始水温15℃±0.2，终止水温55℃±0.2）数据范围：</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（1）制热量≥55.0KW；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（2）制热消耗功率≤11.9KW；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（3）性能系数≥4.66。</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b/>
                <w:bCs/>
                <w:color w:val="000000"/>
                <w:kern w:val="0"/>
                <w:sz w:val="21"/>
                <w:szCs w:val="21"/>
                <w:highlight w:val="none"/>
                <w:lang w:bidi="ar"/>
              </w:rPr>
              <w:t>注：</w:t>
            </w:r>
            <w:r>
              <w:rPr>
                <w:rFonts w:hint="eastAsia" w:ascii="宋体" w:hAnsi="宋体" w:eastAsia="宋体" w:cs="宋体"/>
                <w:b/>
                <w:kern w:val="0"/>
                <w:szCs w:val="24"/>
                <w:highlight w:val="none"/>
                <w:lang w:val="en-US" w:eastAsia="zh-CN"/>
              </w:rPr>
              <w:t>竞</w:t>
            </w:r>
            <w:r>
              <w:rPr>
                <w:rFonts w:hint="eastAsia" w:ascii="宋体" w:hAnsi="宋体" w:eastAsia="宋体" w:cs="宋体"/>
                <w:b/>
                <w:kern w:val="0"/>
                <w:szCs w:val="24"/>
                <w:highlight w:val="none"/>
              </w:rPr>
              <w:t>标时须在</w:t>
            </w:r>
            <w:r>
              <w:rPr>
                <w:rFonts w:hint="eastAsia" w:ascii="宋体" w:hAnsi="宋体" w:eastAsia="宋体" w:cs="宋体"/>
                <w:b/>
                <w:bCs/>
                <w:color w:val="000000"/>
                <w:kern w:val="0"/>
                <w:sz w:val="21"/>
                <w:szCs w:val="21"/>
                <w:highlight w:val="none"/>
                <w:lang w:val="en-US" w:eastAsia="zh-CN" w:bidi="ar"/>
              </w:rPr>
              <w:t>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color w:val="000000"/>
                <w:kern w:val="0"/>
                <w:sz w:val="21"/>
                <w:szCs w:val="21"/>
                <w:highlight w:val="none"/>
                <w:lang w:val="en-US" w:eastAsia="zh-CN" w:bidi="ar"/>
              </w:rPr>
              <w:t>国家认可的</w:t>
            </w:r>
            <w:r>
              <w:rPr>
                <w:rFonts w:hint="eastAsia" w:ascii="宋体" w:hAnsi="宋体" w:eastAsia="宋体" w:cs="宋体"/>
                <w:b/>
                <w:bCs/>
                <w:color w:val="000000"/>
                <w:kern w:val="0"/>
                <w:sz w:val="21"/>
                <w:szCs w:val="21"/>
                <w:highlight w:val="none"/>
                <w:lang w:bidi="ar"/>
              </w:rPr>
              <w:t>第三方检验检测机构出具的（1）、（2）、（3）项</w:t>
            </w:r>
            <w:r>
              <w:rPr>
                <w:rFonts w:hint="eastAsia" w:ascii="宋体" w:hAnsi="宋体" w:eastAsia="宋体" w:cs="宋体"/>
                <w:b/>
                <w:bCs/>
                <w:color w:val="000000"/>
                <w:kern w:val="0"/>
                <w:sz w:val="21"/>
                <w:szCs w:val="21"/>
                <w:highlight w:val="none"/>
                <w:lang w:val="en-US" w:eastAsia="zh-CN" w:bidi="ar"/>
              </w:rPr>
              <w:t>功能的</w:t>
            </w:r>
            <w:r>
              <w:rPr>
                <w:rFonts w:hint="eastAsia" w:ascii="宋体" w:hAnsi="宋体" w:eastAsia="宋体" w:cs="宋体"/>
                <w:b/>
                <w:bCs/>
                <w:color w:val="000000"/>
                <w:kern w:val="0"/>
                <w:sz w:val="21"/>
                <w:szCs w:val="21"/>
                <w:highlight w:val="none"/>
                <w:lang w:bidi="ar"/>
              </w:rPr>
              <w:t>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bidi="ar"/>
              </w:rPr>
              <w:t>名义工况2：（热源侧：干球温度7℃±0.2，湿球温度6℃±0.2；使用侧：初始水温9℃±0.2，终止水温55℃±0.2）数据范围：</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（1）制热量≥45.3KW；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（2）制热消耗功率≤11.7KW；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（3）性能系数≥3.9</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b/>
                <w:bCs/>
                <w:color w:val="000000"/>
                <w:kern w:val="0"/>
                <w:sz w:val="21"/>
                <w:szCs w:val="21"/>
                <w:highlight w:val="none"/>
                <w:lang w:bidi="ar"/>
              </w:rPr>
              <w:t>注：</w:t>
            </w:r>
            <w:r>
              <w:rPr>
                <w:rFonts w:hint="eastAsia" w:ascii="宋体" w:hAnsi="宋体" w:eastAsia="宋体" w:cs="宋体"/>
                <w:b/>
                <w:kern w:val="0"/>
                <w:szCs w:val="24"/>
                <w:highlight w:val="none"/>
                <w:lang w:val="en-US" w:eastAsia="zh-CN"/>
              </w:rPr>
              <w:t>竞</w:t>
            </w:r>
            <w:r>
              <w:rPr>
                <w:rFonts w:hint="eastAsia" w:ascii="宋体" w:hAnsi="宋体" w:eastAsia="宋体" w:cs="宋体"/>
                <w:b/>
                <w:kern w:val="0"/>
                <w:szCs w:val="24"/>
                <w:highlight w:val="none"/>
              </w:rPr>
              <w:t>标时须在</w:t>
            </w:r>
            <w:r>
              <w:rPr>
                <w:rFonts w:hint="eastAsia" w:ascii="宋体" w:hAnsi="宋体" w:eastAsia="宋体" w:cs="宋体"/>
                <w:b/>
                <w:bCs/>
                <w:color w:val="000000"/>
                <w:kern w:val="0"/>
                <w:sz w:val="21"/>
                <w:szCs w:val="21"/>
                <w:highlight w:val="none"/>
                <w:lang w:val="en-US" w:eastAsia="zh-CN" w:bidi="ar"/>
              </w:rPr>
              <w:t>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color w:val="000000"/>
                <w:kern w:val="0"/>
                <w:sz w:val="21"/>
                <w:szCs w:val="21"/>
                <w:highlight w:val="none"/>
                <w:lang w:val="en-US" w:eastAsia="zh-CN" w:bidi="ar"/>
              </w:rPr>
              <w:t>国家认可的</w:t>
            </w:r>
            <w:r>
              <w:rPr>
                <w:rFonts w:hint="eastAsia" w:ascii="宋体" w:hAnsi="宋体" w:eastAsia="宋体" w:cs="宋体"/>
                <w:b/>
                <w:bCs/>
                <w:color w:val="000000"/>
                <w:kern w:val="0"/>
                <w:sz w:val="21"/>
                <w:szCs w:val="21"/>
                <w:highlight w:val="none"/>
                <w:lang w:bidi="ar"/>
              </w:rPr>
              <w:t>第三方检验检测机构出具的（1）、（2）、（3）项</w:t>
            </w:r>
            <w:r>
              <w:rPr>
                <w:rFonts w:hint="eastAsia" w:ascii="宋体" w:hAnsi="宋体" w:eastAsia="宋体" w:cs="宋体"/>
                <w:b/>
                <w:bCs/>
                <w:color w:val="000000"/>
                <w:kern w:val="0"/>
                <w:sz w:val="21"/>
                <w:szCs w:val="21"/>
                <w:highlight w:val="none"/>
                <w:lang w:val="en-US" w:eastAsia="zh-CN" w:bidi="ar"/>
              </w:rPr>
              <w:t>功能的</w:t>
            </w:r>
            <w:r>
              <w:rPr>
                <w:rFonts w:hint="eastAsia" w:ascii="宋体" w:hAnsi="宋体" w:eastAsia="宋体" w:cs="宋体"/>
                <w:b/>
                <w:bCs/>
                <w:color w:val="000000"/>
                <w:kern w:val="0"/>
                <w:sz w:val="21"/>
                <w:szCs w:val="21"/>
                <w:highlight w:val="none"/>
                <w:lang w:bidi="ar"/>
              </w:rPr>
              <w:t>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最高出水温度：60℃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循环水流量：≥9.5 m³/h</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名义工况1产热水量：≥1182L/h</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噪声：≤65dB(A)</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防护等级：≥IPX4</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制冷剂型号：R410A</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9</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具有空气能热水远程监控管理平台软件，</w:t>
            </w:r>
            <w:r>
              <w:rPr>
                <w:rFonts w:hint="eastAsia" w:ascii="宋体" w:hAnsi="宋体" w:eastAsia="宋体" w:cs="宋体"/>
                <w:b/>
                <w:bCs/>
                <w:color w:val="000000"/>
                <w:kern w:val="0"/>
                <w:sz w:val="21"/>
                <w:szCs w:val="21"/>
                <w:highlight w:val="none"/>
                <w:lang w:val="en-US" w:eastAsia="zh-CN" w:bidi="ar"/>
              </w:rPr>
              <w:t>竞标时</w:t>
            </w:r>
            <w:r>
              <w:rPr>
                <w:rFonts w:hint="eastAsia" w:ascii="宋体" w:hAnsi="宋体" w:eastAsia="宋体" w:cs="宋体"/>
                <w:b/>
                <w:bCs/>
                <w:kern w:val="0"/>
                <w:szCs w:val="24"/>
                <w:highlight w:val="none"/>
              </w:rPr>
              <w:t>须在响应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kern w:val="0"/>
                <w:szCs w:val="24"/>
                <w:highlight w:val="none"/>
              </w:rPr>
              <w:t>该功能的</w:t>
            </w:r>
            <w:r>
              <w:rPr>
                <w:rFonts w:hint="eastAsia" w:ascii="宋体" w:hAnsi="宋体" w:eastAsia="宋体" w:cs="宋体"/>
                <w:b/>
                <w:bCs/>
                <w:color w:val="000000"/>
                <w:kern w:val="0"/>
                <w:sz w:val="21"/>
                <w:szCs w:val="21"/>
                <w:highlight w:val="none"/>
                <w:lang w:bidi="ar"/>
              </w:rPr>
              <w:t>远程监控相关证书或</w:t>
            </w:r>
            <w:r>
              <w:rPr>
                <w:rFonts w:hint="eastAsia" w:ascii="宋体" w:hAnsi="宋体" w:eastAsia="宋体" w:cs="宋体"/>
                <w:b/>
                <w:bCs/>
                <w:kern w:val="0"/>
                <w:szCs w:val="24"/>
                <w:highlight w:val="none"/>
              </w:rPr>
              <w:t>国家认可的第三方检验检测机构出具的该功能的检测检验报告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w:t>
            </w:r>
            <w:r>
              <w:rPr>
                <w:rFonts w:hint="eastAsia" w:ascii="宋体" w:hAnsi="宋体" w:eastAsia="宋体" w:cs="宋体"/>
                <w:color w:val="000000"/>
                <w:kern w:val="0"/>
                <w:sz w:val="21"/>
                <w:szCs w:val="21"/>
                <w:highlight w:val="none"/>
                <w:lang w:val="en-US" w:eastAsia="zh-CN" w:bidi="ar"/>
              </w:rPr>
              <w:t>0.</w:t>
            </w:r>
            <w:r>
              <w:rPr>
                <w:rFonts w:hint="eastAsia" w:ascii="宋体" w:hAnsi="宋体" w:eastAsia="宋体" w:cs="宋体"/>
                <w:color w:val="000000"/>
                <w:kern w:val="0"/>
                <w:sz w:val="21"/>
                <w:szCs w:val="21"/>
                <w:highlight w:val="none"/>
                <w:lang w:bidi="ar"/>
              </w:rPr>
              <w:t>含操作面板</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0B1D06B5">
            <w:pPr>
              <w:spacing w:line="360" w:lineRule="auto"/>
              <w:jc w:val="center"/>
              <w:rPr>
                <w:rFonts w:hint="eastAsia" w:ascii="宋体" w:hAnsi="宋体" w:eastAsia="宋体" w:cs="宋体"/>
                <w:bCs/>
                <w:szCs w:val="21"/>
                <w:highlight w:val="none"/>
              </w:rPr>
            </w:pPr>
            <w:r>
              <w:rPr>
                <w:rFonts w:hint="eastAsia" w:ascii="宋体" w:hAnsi="宋体"/>
                <w:highlight w:val="none"/>
              </w:rPr>
              <w:t>3</w:t>
            </w:r>
          </w:p>
        </w:tc>
        <w:tc>
          <w:tcPr>
            <w:tcW w:w="758" w:type="dxa"/>
            <w:noWrap w:val="0"/>
            <w:vAlign w:val="center"/>
          </w:tcPr>
          <w:p w14:paraId="24B3E231">
            <w:pPr>
              <w:spacing w:line="360" w:lineRule="auto"/>
              <w:jc w:val="center"/>
              <w:rPr>
                <w:rFonts w:hint="eastAsia" w:ascii="宋体" w:hAnsi="宋体" w:eastAsia="宋体" w:cs="宋体"/>
                <w:kern w:val="0"/>
                <w:szCs w:val="21"/>
                <w:highlight w:val="none"/>
              </w:rPr>
            </w:pPr>
            <w:r>
              <w:rPr>
                <w:rFonts w:hint="eastAsia" w:ascii="宋体" w:hAnsi="宋体" w:eastAsia="宋体" w:cs="宋体"/>
                <w:color w:val="000000"/>
                <w:kern w:val="0"/>
                <w:sz w:val="21"/>
                <w:szCs w:val="21"/>
                <w:highlight w:val="none"/>
                <w:lang w:bidi="ar"/>
              </w:rPr>
              <w:t>台</w:t>
            </w:r>
          </w:p>
        </w:tc>
      </w:tr>
      <w:tr w14:paraId="01B9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0071B06A">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p>
        </w:tc>
        <w:tc>
          <w:tcPr>
            <w:tcW w:w="1634" w:type="dxa"/>
            <w:noWrap w:val="0"/>
            <w:vAlign w:val="center"/>
          </w:tcPr>
          <w:p w14:paraId="20812EB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空气源热泵热水机组-2</w:t>
            </w:r>
          </w:p>
        </w:tc>
        <w:tc>
          <w:tcPr>
            <w:tcW w:w="5433" w:type="dxa"/>
            <w:tcBorders>
              <w:right w:val="single" w:color="auto" w:sz="4" w:space="0"/>
            </w:tcBorders>
            <w:noWrap w:val="0"/>
            <w:vAlign w:val="center"/>
          </w:tcPr>
          <w:p w14:paraId="36577C02">
            <w:pPr>
              <w:widowControl/>
              <w:numPr>
                <w:ilvl w:val="0"/>
                <w:numId w:val="0"/>
              </w:numPr>
              <w:spacing w:line="360" w:lineRule="auto"/>
              <w:jc w:val="left"/>
              <w:textAlignment w:val="center"/>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常温工况（热源侧：干球温度20℃±0.2，湿球温度15℃±0.2；使用侧：初始水温15℃±0.2，终止水温55℃±0.2）数据范围：</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（1）制热量≥82.0KW；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（2）制热消耗功率≤17.8KW；</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（3）性能系数≥4.63。</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b/>
                <w:bCs/>
                <w:color w:val="000000"/>
                <w:kern w:val="0"/>
                <w:sz w:val="21"/>
                <w:szCs w:val="21"/>
                <w:highlight w:val="none"/>
                <w:lang w:bidi="ar"/>
              </w:rPr>
              <w:t>注：</w:t>
            </w:r>
            <w:r>
              <w:rPr>
                <w:rFonts w:hint="eastAsia" w:ascii="宋体" w:hAnsi="宋体" w:eastAsia="宋体" w:cs="宋体"/>
                <w:b/>
                <w:kern w:val="0"/>
                <w:szCs w:val="24"/>
                <w:highlight w:val="none"/>
                <w:lang w:val="en-US" w:eastAsia="zh-CN"/>
              </w:rPr>
              <w:t>竞</w:t>
            </w:r>
            <w:r>
              <w:rPr>
                <w:rFonts w:hint="eastAsia" w:ascii="宋体" w:hAnsi="宋体" w:eastAsia="宋体" w:cs="宋体"/>
                <w:b/>
                <w:kern w:val="0"/>
                <w:szCs w:val="24"/>
                <w:highlight w:val="none"/>
              </w:rPr>
              <w:t>标时须在</w:t>
            </w:r>
            <w:r>
              <w:rPr>
                <w:rFonts w:hint="eastAsia" w:ascii="宋体" w:hAnsi="宋体" w:eastAsia="宋体" w:cs="宋体"/>
                <w:b/>
                <w:bCs/>
                <w:color w:val="000000"/>
                <w:kern w:val="0"/>
                <w:sz w:val="21"/>
                <w:szCs w:val="21"/>
                <w:highlight w:val="none"/>
                <w:lang w:val="en-US" w:eastAsia="zh-CN" w:bidi="ar"/>
              </w:rPr>
              <w:t>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color w:val="000000"/>
                <w:kern w:val="0"/>
                <w:sz w:val="21"/>
                <w:szCs w:val="21"/>
                <w:highlight w:val="none"/>
                <w:lang w:val="en-US" w:eastAsia="zh-CN" w:bidi="ar"/>
              </w:rPr>
              <w:t>国家认可的</w:t>
            </w:r>
            <w:r>
              <w:rPr>
                <w:rFonts w:hint="eastAsia" w:ascii="宋体" w:hAnsi="宋体" w:eastAsia="宋体" w:cs="宋体"/>
                <w:b/>
                <w:bCs/>
                <w:color w:val="000000"/>
                <w:kern w:val="0"/>
                <w:sz w:val="21"/>
                <w:szCs w:val="21"/>
                <w:highlight w:val="none"/>
                <w:lang w:bidi="ar"/>
              </w:rPr>
              <w:t>第三方检验检测机构出具的（1）、（2）、（3）项</w:t>
            </w:r>
            <w:r>
              <w:rPr>
                <w:rFonts w:hint="eastAsia" w:ascii="宋体" w:hAnsi="宋体" w:eastAsia="宋体" w:cs="宋体"/>
                <w:b/>
                <w:bCs/>
                <w:color w:val="000000"/>
                <w:kern w:val="0"/>
                <w:sz w:val="21"/>
                <w:szCs w:val="21"/>
                <w:highlight w:val="none"/>
                <w:lang w:val="en-US" w:eastAsia="zh-CN" w:bidi="ar"/>
              </w:rPr>
              <w:t>功能的</w:t>
            </w:r>
            <w:r>
              <w:rPr>
                <w:rFonts w:hint="eastAsia" w:ascii="宋体" w:hAnsi="宋体" w:eastAsia="宋体" w:cs="宋体"/>
                <w:b/>
                <w:bCs/>
                <w:color w:val="000000"/>
                <w:kern w:val="0"/>
                <w:sz w:val="21"/>
                <w:szCs w:val="21"/>
                <w:highlight w:val="none"/>
                <w:lang w:bidi="ar"/>
              </w:rPr>
              <w:t>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名义工况：（热源侧：干球温度7℃±0.2，湿球温度6℃±0.2；使用侧：初始水温9℃±0.2，终止水温55℃±0.2）数据范围</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（1）制热量≥62.5KW</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（2）制热消耗功率≤15.9KW</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（3）性能系数≥3.94</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b/>
                <w:bCs/>
                <w:color w:val="000000"/>
                <w:kern w:val="0"/>
                <w:sz w:val="21"/>
                <w:szCs w:val="21"/>
                <w:highlight w:val="none"/>
                <w:lang w:bidi="ar"/>
              </w:rPr>
              <w:t>注：</w:t>
            </w:r>
            <w:r>
              <w:rPr>
                <w:rFonts w:hint="eastAsia" w:ascii="宋体" w:hAnsi="宋体" w:eastAsia="宋体" w:cs="宋体"/>
                <w:b/>
                <w:bCs/>
                <w:kern w:val="0"/>
                <w:szCs w:val="24"/>
                <w:highlight w:val="none"/>
                <w:lang w:val="en-US" w:eastAsia="zh-CN"/>
              </w:rPr>
              <w:t>竞</w:t>
            </w:r>
            <w:r>
              <w:rPr>
                <w:rFonts w:hint="eastAsia" w:ascii="宋体" w:hAnsi="宋体" w:eastAsia="宋体" w:cs="宋体"/>
                <w:b/>
                <w:kern w:val="0"/>
                <w:szCs w:val="24"/>
                <w:highlight w:val="none"/>
              </w:rPr>
              <w:t>标时须在</w:t>
            </w:r>
            <w:r>
              <w:rPr>
                <w:rFonts w:hint="eastAsia" w:ascii="宋体" w:hAnsi="宋体" w:eastAsia="宋体" w:cs="宋体"/>
                <w:b/>
                <w:bCs/>
                <w:color w:val="000000"/>
                <w:kern w:val="0"/>
                <w:sz w:val="21"/>
                <w:szCs w:val="21"/>
                <w:highlight w:val="none"/>
                <w:lang w:val="en-US" w:eastAsia="zh-CN" w:bidi="ar"/>
              </w:rPr>
              <w:t>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color w:val="000000"/>
                <w:kern w:val="0"/>
                <w:sz w:val="21"/>
                <w:szCs w:val="21"/>
                <w:highlight w:val="none"/>
                <w:lang w:val="en-US" w:eastAsia="zh-CN" w:bidi="ar"/>
              </w:rPr>
              <w:t>国家认可的</w:t>
            </w:r>
            <w:r>
              <w:rPr>
                <w:rFonts w:hint="eastAsia" w:ascii="宋体" w:hAnsi="宋体" w:eastAsia="宋体" w:cs="宋体"/>
                <w:b/>
                <w:bCs/>
                <w:color w:val="000000"/>
                <w:kern w:val="0"/>
                <w:sz w:val="21"/>
                <w:szCs w:val="21"/>
                <w:highlight w:val="none"/>
                <w:lang w:bidi="ar"/>
              </w:rPr>
              <w:t>第三方检验检测机构出具的（1）、（2）、（3）项</w:t>
            </w:r>
            <w:r>
              <w:rPr>
                <w:rFonts w:hint="eastAsia" w:ascii="宋体" w:hAnsi="宋体" w:eastAsia="宋体" w:cs="宋体"/>
                <w:b/>
                <w:bCs/>
                <w:color w:val="000000"/>
                <w:kern w:val="0"/>
                <w:sz w:val="21"/>
                <w:szCs w:val="21"/>
                <w:highlight w:val="none"/>
                <w:lang w:val="en-US" w:eastAsia="zh-CN" w:bidi="ar"/>
              </w:rPr>
              <w:t>功能的</w:t>
            </w:r>
            <w:r>
              <w:rPr>
                <w:rFonts w:hint="eastAsia" w:ascii="宋体" w:hAnsi="宋体" w:eastAsia="宋体" w:cs="宋体"/>
                <w:b/>
                <w:bCs/>
                <w:color w:val="000000"/>
                <w:kern w:val="0"/>
                <w:sz w:val="21"/>
                <w:szCs w:val="21"/>
                <w:highlight w:val="none"/>
                <w:lang w:bidi="ar"/>
              </w:rPr>
              <w:t>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b/>
                <w:bCs/>
                <w:color w:val="000000"/>
                <w:kern w:val="0"/>
                <w:sz w:val="21"/>
                <w:szCs w:val="21"/>
                <w:highlight w:val="none"/>
                <w:lang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最高出水温度：60℃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循环水流量：≥14.0 m³/h</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名义工况产热水量：≥1159L/h</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噪声：≤67dB(A)</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防护等级：≥IPX4</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制冷剂型号：R410A</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9</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具有空气能热水远程监控管理平台软件，</w:t>
            </w:r>
            <w:r>
              <w:rPr>
                <w:rFonts w:hint="eastAsia" w:ascii="宋体" w:hAnsi="宋体" w:eastAsia="宋体" w:cs="宋体"/>
                <w:b/>
                <w:bCs/>
                <w:color w:val="000000"/>
                <w:kern w:val="0"/>
                <w:sz w:val="21"/>
                <w:szCs w:val="21"/>
                <w:highlight w:val="none"/>
                <w:lang w:val="en-US" w:eastAsia="zh-CN" w:bidi="ar"/>
              </w:rPr>
              <w:t>竞标时</w:t>
            </w:r>
            <w:r>
              <w:rPr>
                <w:rFonts w:hint="eastAsia" w:ascii="宋体" w:hAnsi="宋体" w:eastAsia="宋体" w:cs="宋体"/>
                <w:b/>
                <w:bCs/>
                <w:kern w:val="0"/>
                <w:szCs w:val="24"/>
                <w:highlight w:val="none"/>
              </w:rPr>
              <w:t>须在响应</w:t>
            </w:r>
            <w:r>
              <w:rPr>
                <w:rFonts w:hint="eastAsia" w:ascii="宋体" w:hAnsi="宋体" w:eastAsia="宋体" w:cs="宋体"/>
                <w:b/>
                <w:bCs/>
                <w:color w:val="000000"/>
                <w:kern w:val="0"/>
                <w:sz w:val="21"/>
                <w:szCs w:val="21"/>
                <w:highlight w:val="none"/>
                <w:lang w:bidi="ar"/>
              </w:rPr>
              <w:t>文件中提供</w:t>
            </w:r>
            <w:r>
              <w:rPr>
                <w:rFonts w:hint="eastAsia" w:ascii="宋体" w:hAnsi="宋体" w:eastAsia="宋体" w:cs="宋体"/>
                <w:b/>
                <w:bCs/>
                <w:kern w:val="0"/>
                <w:szCs w:val="24"/>
                <w:highlight w:val="none"/>
              </w:rPr>
              <w:t>该功能的</w:t>
            </w:r>
            <w:r>
              <w:rPr>
                <w:rFonts w:hint="eastAsia" w:ascii="宋体" w:hAnsi="宋体" w:eastAsia="宋体" w:cs="宋体"/>
                <w:b/>
                <w:bCs/>
                <w:color w:val="000000"/>
                <w:kern w:val="0"/>
                <w:sz w:val="21"/>
                <w:szCs w:val="21"/>
                <w:highlight w:val="none"/>
                <w:lang w:bidi="ar"/>
              </w:rPr>
              <w:t>远程监控相关证书或</w:t>
            </w:r>
            <w:r>
              <w:rPr>
                <w:rFonts w:hint="eastAsia" w:ascii="宋体" w:hAnsi="宋体" w:eastAsia="宋体" w:cs="宋体"/>
                <w:b/>
                <w:bCs/>
                <w:kern w:val="0"/>
                <w:szCs w:val="24"/>
                <w:highlight w:val="none"/>
              </w:rPr>
              <w:t>国家认可的第三方检验检测机构出具的该功能的检测检验报告</w:t>
            </w:r>
            <w:r>
              <w:rPr>
                <w:rFonts w:hint="eastAsia" w:ascii="宋体" w:hAnsi="宋体" w:eastAsia="宋体" w:cs="宋体"/>
                <w:b/>
                <w:bCs/>
                <w:color w:val="000000"/>
                <w:kern w:val="0"/>
                <w:sz w:val="21"/>
                <w:szCs w:val="21"/>
                <w:highlight w:val="none"/>
                <w:lang w:val="en-US" w:eastAsia="zh-CN" w:bidi="ar"/>
              </w:rPr>
              <w:t>并加盖供应商CA签章</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val="en-US" w:eastAsia="zh-CN" w:bidi="ar"/>
              </w:rPr>
              <w:t>10.</w:t>
            </w:r>
            <w:r>
              <w:rPr>
                <w:rFonts w:hint="eastAsia" w:ascii="宋体" w:hAnsi="宋体" w:eastAsia="宋体" w:cs="宋体"/>
                <w:color w:val="000000"/>
                <w:kern w:val="0"/>
                <w:sz w:val="21"/>
                <w:szCs w:val="21"/>
                <w:highlight w:val="none"/>
                <w:lang w:bidi="ar"/>
              </w:rPr>
              <w:t>含操作面板</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7997C4A4">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3</w:t>
            </w:r>
          </w:p>
        </w:tc>
        <w:tc>
          <w:tcPr>
            <w:tcW w:w="758" w:type="dxa"/>
            <w:noWrap w:val="0"/>
            <w:vAlign w:val="center"/>
          </w:tcPr>
          <w:p w14:paraId="6720833E">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台</w:t>
            </w:r>
          </w:p>
        </w:tc>
      </w:tr>
      <w:tr w14:paraId="7E0B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629D3D92">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1634" w:type="dxa"/>
            <w:noWrap w:val="0"/>
            <w:vAlign w:val="center"/>
          </w:tcPr>
          <w:p w14:paraId="03B0FA31">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不锈钢保温水箱（方形）-1</w:t>
            </w:r>
          </w:p>
        </w:tc>
        <w:tc>
          <w:tcPr>
            <w:tcW w:w="5433" w:type="dxa"/>
            <w:tcBorders>
              <w:right w:val="single" w:color="auto" w:sz="4" w:space="0"/>
            </w:tcBorders>
            <w:noWrap w:val="0"/>
            <w:vAlign w:val="center"/>
          </w:tcPr>
          <w:p w14:paraId="628CAD25">
            <w:pPr>
              <w:numPr>
                <w:ilvl w:val="0"/>
                <w:numId w:val="0"/>
              </w:numPr>
              <w:tabs>
                <w:tab w:val="left" w:pos="1511"/>
              </w:tabs>
              <w:wordWrap w:val="0"/>
              <w:spacing w:line="360" w:lineRule="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容量 30m</w:t>
            </w:r>
            <w:r>
              <w:rPr>
                <w:rFonts w:hint="eastAsia" w:ascii="宋体" w:hAnsi="宋体" w:eastAsia="宋体" w:cs="宋体"/>
                <w:color w:val="000000"/>
                <w:kern w:val="0"/>
                <w:sz w:val="21"/>
                <w:szCs w:val="21"/>
                <w:highlight w:val="none"/>
                <w:vertAlign w:val="superscript"/>
                <w:lang w:val="en-US" w:eastAsia="zh-CN" w:bidi="ar"/>
              </w:rPr>
              <w:t>3</w:t>
            </w:r>
            <w:r>
              <w:rPr>
                <w:rFonts w:hint="eastAsia" w:ascii="宋体" w:hAnsi="宋体" w:eastAsia="宋体" w:cs="宋体"/>
                <w:color w:val="000000"/>
                <w:kern w:val="0"/>
                <w:sz w:val="21"/>
                <w:szCs w:val="21"/>
                <w:highlight w:val="none"/>
                <w:lang w:bidi="ar"/>
              </w:rPr>
              <w:t>，尺寸(约):4m(长)×3m(宽)×2.5m(高)。</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2.内胆</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采用 304不锈钢板，厚度为:底部为2.0mm、侧下为 2.0mm、侧中为 1.5mm、侧上为1.5m、顶板为 1.2mm。</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3.保温层</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采用聚氨脂材料保温,厚度为 50mm</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4.保温效果</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24 小时温降小于 5℃。</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5.外胆</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采用 201不锈钢板，厚度为 0.8mm</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6.配爬梯及水位计。</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7.长宽双向1000mm(士10mm)间距采用 12#国标镀锌槽钢，500mm(士5mm)间距采用5#国标镀锌角铁。</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8.其他要求</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每个水箱有检修口、排污口、通气口、溢流口、水位观察器。</w:t>
            </w:r>
          </w:p>
          <w:p w14:paraId="58B51917">
            <w:pPr>
              <w:numPr>
                <w:ilvl w:val="0"/>
                <w:numId w:val="0"/>
              </w:numPr>
              <w:tabs>
                <w:tab w:val="left" w:pos="1511"/>
              </w:tabs>
              <w:wordWrap w:val="0"/>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9.带水箱进水管防止倒流器。水箱带防雷保护，做防雷接地网。</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10.配置臭氧自洁消毒器</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04D037F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2EAB750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个</w:t>
            </w:r>
          </w:p>
        </w:tc>
      </w:tr>
      <w:tr w14:paraId="3977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988D298">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4</w:t>
            </w:r>
          </w:p>
        </w:tc>
        <w:tc>
          <w:tcPr>
            <w:tcW w:w="1634" w:type="dxa"/>
            <w:noWrap w:val="0"/>
            <w:vAlign w:val="center"/>
          </w:tcPr>
          <w:p w14:paraId="669CFD20">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不锈钢保温水箱（方形）-2</w:t>
            </w:r>
          </w:p>
        </w:tc>
        <w:tc>
          <w:tcPr>
            <w:tcW w:w="5433" w:type="dxa"/>
            <w:tcBorders>
              <w:right w:val="single" w:color="auto" w:sz="4" w:space="0"/>
            </w:tcBorders>
            <w:noWrap w:val="0"/>
            <w:vAlign w:val="center"/>
          </w:tcPr>
          <w:p w14:paraId="18CD248D">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1.容量40m³，尺寸（约）：4m（长）×4m（宽）×2.5m（高）。</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2.内胆：采用304不锈钢板，厚度为：底部=2.0mm、侧下=2.0mm、侧中=1.5mm、侧上=1.5mm、顶板=1.2mm。</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3.保温层：采用聚氨脂材料保温，厚度为=50mm。</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4.保温效果：24小时温降≤5℃。</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5.外胆：采用201不锈钢板，厚度为=0.8mm，配爬梯及水位计。</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6.长宽双向1000mm（±10mm）间距采用12#国标镀锌槽钢，500mm（±5mm）间距采用5#国标镀锌角铁。</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7.配爬梯及水位计。</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8.其他要求：每个水箱有检修口、排污口、通气口、溢流口、水位观察器。</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9.带水箱进水管防止倒流器。水箱带防雷保护，做防雷接地网。</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10.配置臭氧自洁消毒器</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7B3FF7C3">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2392388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个</w:t>
            </w:r>
          </w:p>
        </w:tc>
      </w:tr>
      <w:tr w14:paraId="1D23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320BF2B">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5</w:t>
            </w:r>
          </w:p>
        </w:tc>
        <w:tc>
          <w:tcPr>
            <w:tcW w:w="1634" w:type="dxa"/>
            <w:noWrap w:val="0"/>
            <w:vAlign w:val="center"/>
          </w:tcPr>
          <w:p w14:paraId="76F9F334">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空气能循环水泵</w:t>
            </w:r>
          </w:p>
        </w:tc>
        <w:tc>
          <w:tcPr>
            <w:tcW w:w="5433" w:type="dxa"/>
            <w:tcBorders>
              <w:right w:val="single" w:color="auto" w:sz="4" w:space="0"/>
            </w:tcBorders>
            <w:noWrap w:val="0"/>
            <w:vAlign w:val="center"/>
          </w:tcPr>
          <w:p w14:paraId="1DA179EB">
            <w:pPr>
              <w:numPr>
                <w:ilvl w:val="0"/>
                <w:numId w:val="0"/>
              </w:numPr>
              <w:spacing w:line="360" w:lineRule="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流量≥42立方/小时，扬程≥21 米，功率≤4KW，口径DN80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w:t>
            </w:r>
            <w:r>
              <w:rPr>
                <w:rFonts w:hint="eastAsia" w:ascii="宋体" w:hAnsi="宋体" w:eastAsia="宋体" w:cs="宋体"/>
                <w:color w:val="000000"/>
                <w:kern w:val="0"/>
                <w:sz w:val="21"/>
                <w:szCs w:val="21"/>
                <w:highlight w:val="none"/>
                <w:lang w:val="en-US" w:eastAsia="zh-CN" w:bidi="ar"/>
              </w:rPr>
              <w:t>304</w:t>
            </w:r>
            <w:r>
              <w:rPr>
                <w:rFonts w:hint="eastAsia" w:ascii="宋体" w:hAnsi="宋体" w:eastAsia="宋体" w:cs="宋体"/>
                <w:color w:val="000000"/>
                <w:kern w:val="0"/>
                <w:sz w:val="21"/>
                <w:szCs w:val="21"/>
                <w:highlight w:val="none"/>
                <w:lang w:bidi="ar"/>
              </w:rPr>
              <w:t>不锈钢泵体</w:t>
            </w:r>
            <w:r>
              <w:rPr>
                <w:rFonts w:hint="eastAsia" w:ascii="宋体" w:hAnsi="宋体" w:eastAsia="宋体" w:cs="宋体"/>
                <w:color w:val="000000"/>
                <w:kern w:val="0"/>
                <w:sz w:val="21"/>
                <w:szCs w:val="21"/>
                <w:highlight w:val="none"/>
                <w:lang w:eastAsia="zh-CN" w:bidi="ar"/>
              </w:rPr>
              <w:t>。</w:t>
            </w:r>
          </w:p>
          <w:p w14:paraId="67C9B945">
            <w:pPr>
              <w:numPr>
                <w:ilvl w:val="0"/>
                <w:numId w:val="0"/>
              </w:num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3.一用一备</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29232EB5">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4</w:t>
            </w:r>
          </w:p>
        </w:tc>
        <w:tc>
          <w:tcPr>
            <w:tcW w:w="758" w:type="dxa"/>
            <w:noWrap w:val="0"/>
            <w:vAlign w:val="center"/>
          </w:tcPr>
          <w:p w14:paraId="4DC7DCD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台</w:t>
            </w:r>
          </w:p>
        </w:tc>
      </w:tr>
      <w:tr w14:paraId="675D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334E729F">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1634" w:type="dxa"/>
            <w:noWrap w:val="0"/>
            <w:vAlign w:val="center"/>
          </w:tcPr>
          <w:p w14:paraId="74A06ED1">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热水供水泵-1</w:t>
            </w:r>
          </w:p>
        </w:tc>
        <w:tc>
          <w:tcPr>
            <w:tcW w:w="5433" w:type="dxa"/>
            <w:tcBorders>
              <w:right w:val="single" w:color="auto" w:sz="4" w:space="0"/>
            </w:tcBorders>
            <w:noWrap w:val="0"/>
            <w:vAlign w:val="center"/>
          </w:tcPr>
          <w:p w14:paraId="7A6BAA7C">
            <w:pPr>
              <w:numPr>
                <w:ilvl w:val="0"/>
                <w:numId w:val="0"/>
              </w:numPr>
              <w:spacing w:line="360" w:lineRule="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扬程≥23m，流量≥28m³/h，功率≤3KW，口径DN50</w:t>
            </w:r>
            <w:r>
              <w:rPr>
                <w:rFonts w:hint="eastAsia" w:ascii="宋体" w:hAnsi="宋体" w:eastAsia="宋体" w:cs="宋体"/>
                <w:color w:val="000000"/>
                <w:kern w:val="0"/>
                <w:sz w:val="21"/>
                <w:szCs w:val="21"/>
                <w:highlight w:val="none"/>
                <w:lang w:eastAsia="zh-CN" w:bidi="ar"/>
              </w:rPr>
              <w:t>。</w:t>
            </w:r>
          </w:p>
          <w:p w14:paraId="08A04383">
            <w:pPr>
              <w:numPr>
                <w:ilvl w:val="0"/>
                <w:numId w:val="0"/>
              </w:numPr>
              <w:spacing w:line="360" w:lineRule="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w:t>
            </w:r>
            <w:r>
              <w:rPr>
                <w:rFonts w:hint="eastAsia" w:ascii="宋体" w:hAnsi="宋体" w:eastAsia="宋体" w:cs="宋体"/>
                <w:color w:val="000000"/>
                <w:kern w:val="0"/>
                <w:sz w:val="21"/>
                <w:szCs w:val="21"/>
                <w:highlight w:val="none"/>
                <w:lang w:val="en-US" w:eastAsia="zh-CN" w:bidi="ar"/>
              </w:rPr>
              <w:t>304</w:t>
            </w:r>
            <w:r>
              <w:rPr>
                <w:rFonts w:hint="eastAsia" w:ascii="宋体" w:hAnsi="宋体" w:eastAsia="宋体" w:cs="宋体"/>
                <w:color w:val="000000"/>
                <w:kern w:val="0"/>
                <w:sz w:val="21"/>
                <w:szCs w:val="21"/>
                <w:highlight w:val="none"/>
                <w:lang w:bidi="ar"/>
              </w:rPr>
              <w:t>不锈钢泵体</w:t>
            </w:r>
            <w:r>
              <w:rPr>
                <w:rFonts w:hint="eastAsia" w:ascii="宋体" w:hAnsi="宋体" w:eastAsia="宋体" w:cs="宋体"/>
                <w:color w:val="000000"/>
                <w:kern w:val="0"/>
                <w:sz w:val="21"/>
                <w:szCs w:val="21"/>
                <w:highlight w:val="none"/>
                <w:lang w:eastAsia="zh-CN" w:bidi="ar"/>
              </w:rPr>
              <w:t>。</w:t>
            </w:r>
          </w:p>
          <w:p w14:paraId="7EB5309C">
            <w:pPr>
              <w:numPr>
                <w:ilvl w:val="0"/>
                <w:numId w:val="0"/>
              </w:num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3.一用一备</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6788BA90">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2</w:t>
            </w:r>
          </w:p>
        </w:tc>
        <w:tc>
          <w:tcPr>
            <w:tcW w:w="758" w:type="dxa"/>
            <w:noWrap w:val="0"/>
            <w:vAlign w:val="center"/>
          </w:tcPr>
          <w:p w14:paraId="4BCA0E4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台</w:t>
            </w:r>
          </w:p>
        </w:tc>
      </w:tr>
      <w:tr w14:paraId="2F4F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2CAF5D5D">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7</w:t>
            </w:r>
          </w:p>
        </w:tc>
        <w:tc>
          <w:tcPr>
            <w:tcW w:w="1634" w:type="dxa"/>
            <w:noWrap w:val="0"/>
            <w:vAlign w:val="center"/>
          </w:tcPr>
          <w:p w14:paraId="1982295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热水供水泵-2</w:t>
            </w:r>
          </w:p>
        </w:tc>
        <w:tc>
          <w:tcPr>
            <w:tcW w:w="5433" w:type="dxa"/>
            <w:tcBorders>
              <w:right w:val="single" w:color="auto" w:sz="4" w:space="0"/>
            </w:tcBorders>
            <w:noWrap w:val="0"/>
            <w:vAlign w:val="center"/>
          </w:tcPr>
          <w:p w14:paraId="29ED167F">
            <w:pPr>
              <w:numPr>
                <w:ilvl w:val="0"/>
                <w:numId w:val="1"/>
              </w:numPr>
              <w:spacing w:line="360" w:lineRule="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扬程≥40m，流量≥90立方/小时，功率≤15KW</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w:t>
            </w:r>
            <w:r>
              <w:rPr>
                <w:rFonts w:hint="eastAsia" w:ascii="宋体" w:hAnsi="宋体" w:eastAsia="宋体" w:cs="宋体"/>
                <w:color w:val="000000"/>
                <w:kern w:val="0"/>
                <w:sz w:val="21"/>
                <w:szCs w:val="21"/>
                <w:highlight w:val="none"/>
                <w:lang w:val="en-US" w:eastAsia="zh-CN" w:bidi="ar"/>
              </w:rPr>
              <w:t>304</w:t>
            </w:r>
            <w:r>
              <w:rPr>
                <w:rFonts w:hint="eastAsia" w:ascii="宋体" w:hAnsi="宋体" w:eastAsia="宋体" w:cs="宋体"/>
                <w:color w:val="000000"/>
                <w:kern w:val="0"/>
                <w:sz w:val="21"/>
                <w:szCs w:val="21"/>
                <w:highlight w:val="none"/>
                <w:lang w:bidi="ar"/>
              </w:rPr>
              <w:t>不锈钢泵体</w:t>
            </w:r>
            <w:r>
              <w:rPr>
                <w:rFonts w:hint="eastAsia" w:ascii="宋体" w:hAnsi="宋体" w:eastAsia="宋体" w:cs="宋体"/>
                <w:color w:val="000000"/>
                <w:kern w:val="0"/>
                <w:sz w:val="21"/>
                <w:szCs w:val="21"/>
                <w:highlight w:val="none"/>
                <w:lang w:eastAsia="zh-CN" w:bidi="ar"/>
              </w:rPr>
              <w:t>。</w:t>
            </w:r>
          </w:p>
          <w:p w14:paraId="68D01CF0">
            <w:pPr>
              <w:numPr>
                <w:ilvl w:val="0"/>
                <w:numId w:val="0"/>
              </w:num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3.一用一备</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57440E7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2</w:t>
            </w:r>
          </w:p>
        </w:tc>
        <w:tc>
          <w:tcPr>
            <w:tcW w:w="758" w:type="dxa"/>
            <w:noWrap w:val="0"/>
            <w:vAlign w:val="center"/>
          </w:tcPr>
          <w:p w14:paraId="0E671051">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套</w:t>
            </w:r>
          </w:p>
        </w:tc>
      </w:tr>
      <w:tr w14:paraId="60C8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358D098D">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8</w:t>
            </w:r>
          </w:p>
        </w:tc>
        <w:tc>
          <w:tcPr>
            <w:tcW w:w="1634" w:type="dxa"/>
            <w:noWrap w:val="0"/>
            <w:vAlign w:val="center"/>
          </w:tcPr>
          <w:p w14:paraId="6D408B79">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紫外线消毒仪-1</w:t>
            </w:r>
          </w:p>
        </w:tc>
        <w:tc>
          <w:tcPr>
            <w:tcW w:w="5433" w:type="dxa"/>
            <w:tcBorders>
              <w:right w:val="single" w:color="auto" w:sz="4" w:space="0"/>
            </w:tcBorders>
            <w:noWrap w:val="0"/>
            <w:vAlign w:val="center"/>
          </w:tcPr>
          <w:p w14:paraId="7F1DAC0B">
            <w:pPr>
              <w:numPr>
                <w:ilvl w:val="0"/>
                <w:numId w:val="0"/>
              </w:numPr>
              <w:spacing w:line="360" w:lineRule="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DN100</w:t>
            </w:r>
            <w:r>
              <w:rPr>
                <w:rFonts w:hint="eastAsia" w:ascii="宋体" w:hAnsi="宋体" w:cs="宋体"/>
                <w:color w:val="000000"/>
                <w:kern w:val="0"/>
                <w:sz w:val="21"/>
                <w:szCs w:val="21"/>
                <w:highlight w:val="none"/>
                <w:lang w:val="en-US" w:eastAsia="zh-CN" w:bidi="ar"/>
              </w:rPr>
              <w:t>；</w:t>
            </w:r>
          </w:p>
          <w:p w14:paraId="4E1DF82D">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2.304不锈钢材质；</w:t>
            </w:r>
          </w:p>
          <w:p w14:paraId="3B49C97A">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3.灯管4支，每只80W；</w:t>
            </w:r>
          </w:p>
          <w:p w14:paraId="60C7951C">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4.长度≥900mm；</w:t>
            </w:r>
          </w:p>
          <w:p w14:paraId="48555308">
            <w:pPr>
              <w:pStyle w:val="2"/>
              <w:numPr>
                <w:ilvl w:val="0"/>
                <w:numId w:val="0"/>
              </w:numPr>
              <w:rPr>
                <w:rFonts w:hint="eastAsia"/>
                <w:highlight w:val="none"/>
              </w:rPr>
            </w:pPr>
            <w:r>
              <w:rPr>
                <w:rFonts w:hint="eastAsia" w:ascii="宋体" w:hAnsi="宋体" w:eastAsia="宋体" w:cs="宋体"/>
                <w:b w:val="0"/>
                <w:bCs w:val="0"/>
                <w:highlight w:val="none"/>
                <w:lang w:val="en-US" w:eastAsia="zh-CN"/>
              </w:rPr>
              <w:t>5.管径133mm。</w:t>
            </w:r>
          </w:p>
        </w:tc>
        <w:tc>
          <w:tcPr>
            <w:tcW w:w="831" w:type="dxa"/>
            <w:tcBorders>
              <w:left w:val="single" w:color="auto" w:sz="4" w:space="0"/>
            </w:tcBorders>
            <w:noWrap w:val="0"/>
            <w:vAlign w:val="center"/>
          </w:tcPr>
          <w:p w14:paraId="15888784">
            <w:pPr>
              <w:widowControl/>
              <w:jc w:val="center"/>
              <w:textAlignment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460684D9">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套</w:t>
            </w:r>
          </w:p>
        </w:tc>
      </w:tr>
      <w:tr w14:paraId="548A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6922B6D5">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9</w:t>
            </w:r>
          </w:p>
        </w:tc>
        <w:tc>
          <w:tcPr>
            <w:tcW w:w="1634" w:type="dxa"/>
            <w:noWrap w:val="0"/>
            <w:vAlign w:val="center"/>
          </w:tcPr>
          <w:p w14:paraId="615D9013">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紫外线消毒仪-2</w:t>
            </w:r>
          </w:p>
        </w:tc>
        <w:tc>
          <w:tcPr>
            <w:tcW w:w="5433" w:type="dxa"/>
            <w:tcBorders>
              <w:right w:val="single" w:color="auto" w:sz="4" w:space="0"/>
            </w:tcBorders>
            <w:noWrap w:val="0"/>
            <w:vAlign w:val="center"/>
          </w:tcPr>
          <w:p w14:paraId="730BEBAC">
            <w:pPr>
              <w:numPr>
                <w:ilvl w:val="0"/>
                <w:numId w:val="0"/>
              </w:numPr>
              <w:spacing w:line="360" w:lineRule="auto"/>
              <w:rPr>
                <w:rFonts w:hint="eastAsia" w:ascii="宋体" w:hAnsi="宋体" w:cs="宋体"/>
                <w:color w:val="000000"/>
                <w:kern w:val="0"/>
                <w:sz w:val="21"/>
                <w:szCs w:val="21"/>
                <w:highlight w:val="none"/>
                <w:lang w:eastAsia="zh-CN" w:bidi="ar"/>
              </w:rPr>
            </w:pPr>
            <w:r>
              <w:rPr>
                <w:rFonts w:hint="eastAsia" w:ascii="宋体" w:hAnsi="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DN150</w:t>
            </w:r>
            <w:r>
              <w:rPr>
                <w:rFonts w:hint="eastAsia" w:ascii="宋体" w:hAnsi="宋体" w:cs="宋体"/>
                <w:color w:val="000000"/>
                <w:kern w:val="0"/>
                <w:sz w:val="21"/>
                <w:szCs w:val="21"/>
                <w:highlight w:val="none"/>
                <w:lang w:eastAsia="zh-CN" w:bidi="ar"/>
              </w:rPr>
              <w:t>；</w:t>
            </w:r>
          </w:p>
          <w:p w14:paraId="22671417">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2.304不锈钢材质；</w:t>
            </w:r>
          </w:p>
          <w:p w14:paraId="0E03D686">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3.灯管4支，每只80W；</w:t>
            </w:r>
          </w:p>
          <w:p w14:paraId="2B9B9D9B">
            <w:pPr>
              <w:pStyle w:val="2"/>
              <w:numPr>
                <w:ilvl w:val="0"/>
                <w:numId w:val="0"/>
              </w:numPr>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4.长度≥900mm；</w:t>
            </w:r>
          </w:p>
          <w:p w14:paraId="4C62C143">
            <w:pPr>
              <w:pStyle w:val="2"/>
              <w:numPr>
                <w:ilvl w:val="0"/>
                <w:numId w:val="0"/>
              </w:numPr>
              <w:rPr>
                <w:rFonts w:hint="eastAsia"/>
                <w:highlight w:val="none"/>
                <w:lang w:eastAsia="zh-CN"/>
              </w:rPr>
            </w:pPr>
            <w:r>
              <w:rPr>
                <w:rFonts w:hint="eastAsia" w:ascii="宋体" w:hAnsi="宋体" w:eastAsia="宋体" w:cs="宋体"/>
                <w:b w:val="0"/>
                <w:bCs w:val="0"/>
                <w:highlight w:val="none"/>
                <w:lang w:val="en-US" w:eastAsia="zh-CN"/>
              </w:rPr>
              <w:t>5.管径219mm。</w:t>
            </w:r>
          </w:p>
        </w:tc>
        <w:tc>
          <w:tcPr>
            <w:tcW w:w="831" w:type="dxa"/>
            <w:tcBorders>
              <w:left w:val="single" w:color="auto" w:sz="4" w:space="0"/>
            </w:tcBorders>
            <w:noWrap w:val="0"/>
            <w:vAlign w:val="center"/>
          </w:tcPr>
          <w:p w14:paraId="4EE7DB63">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5E02B0F9">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套</w:t>
            </w:r>
          </w:p>
        </w:tc>
      </w:tr>
      <w:tr w14:paraId="3261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320F0ED2">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1634" w:type="dxa"/>
            <w:noWrap w:val="0"/>
            <w:vAlign w:val="center"/>
          </w:tcPr>
          <w:p w14:paraId="52F0D34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联网型智能水控机（包安装，包辅材）</w:t>
            </w:r>
          </w:p>
        </w:tc>
        <w:tc>
          <w:tcPr>
            <w:tcW w:w="5433" w:type="dxa"/>
            <w:tcBorders>
              <w:right w:val="single" w:color="auto" w:sz="4" w:space="0"/>
            </w:tcBorders>
            <w:noWrap w:val="0"/>
            <w:vAlign w:val="center"/>
          </w:tcPr>
          <w:p w14:paraId="5A4858B4">
            <w:pPr>
              <w:widowControl/>
              <w:spacing w:line="360" w:lineRule="auto"/>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一</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智能水控机</w:t>
            </w:r>
          </w:p>
          <w:p w14:paraId="7378B4D6">
            <w:pPr>
              <w:widowControl/>
              <w:spacing w:line="360" w:lineRule="auto"/>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1.工作电压：220VAC转12VDC</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2.额定功率：≦12W</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3.待机功率：≦3W</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4.防水等级：IP68</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5.工作温度：0-90℃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6.温控功能：可设置达到指定温度后再计费</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7.安装接口：国标（DN15、DN20等，具体视现场安装环境而定，提供活接和防拆易拉锁）</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8.计量方式：计量/计时</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9.计费精度：0.001元</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10.显示屏幕：LCD液晶屏</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11.是否支持脱机：支持</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12.脱机存储数据：≧10万条</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13.水压等级：≤1.6Mpa</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14.防盗方式：遇到磁铁偷水关阀报警，可以对不用水的宿舍进行预警</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15.通讯方式：4G+蓝牙</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16.使用方式：使用云闪付扫水控机二维码支付</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17.供电方式：12VDC供电，独立供电。</w:t>
            </w:r>
          </w:p>
          <w:p w14:paraId="26A2B74D">
            <w:pPr>
              <w:widowControl/>
              <w:spacing w:line="360" w:lineRule="auto"/>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二</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水控智能化管理系统</w:t>
            </w:r>
          </w:p>
          <w:p w14:paraId="2F858A20">
            <w:pPr>
              <w:widowControl/>
              <w:numPr>
                <w:ilvl w:val="0"/>
                <w:numId w:val="0"/>
              </w:numPr>
              <w:spacing w:line="360" w:lineRule="auto"/>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bidi="ar"/>
              </w:rPr>
              <w:t>系统架构：B/S架构设计，可以随时随地通过WEB浏览器和微信小程序进行查看信息</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2.部署方式：私有化部署</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3.数据上传方式：4G+蓝牙实时上传</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4.对接方式：银联云闪付</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5.功能模块：首页、运营管理、财务管理、订单管理、用户管理、设备管理、系统管理等功能模块。（具体如下：1、具备电脑端和手机小程序端，可按权限管理2、运营管理（含充值赠送、VIP规则、优惠券规则、自助申请退款、发布公告、故障报修）；3、财务管理（含运营汇总、日结明细、商户结算明细、分账明细查询、分账统计查询、区域结算明细、申请退款日志）；4、订单管理（含订单消费汇总、订单消费明细、充值明细查询、卡片消费明细、操作员消费）；5、用户管理（含账户管理、个人对账）</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6、设备管理（含设备管理、设备消费类型、联网设备查询、设备类型主图）；7、系统管理（含操作员管理、区域管理、运营配置、区域管理员、故障主题））</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6.平台安全性：通过网络安全等级保护定级备案</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7.支付方式：云闪付扫码支付，所有消费实时进行</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8.移动端功能：系统运行情况数据统计，设备状态显示（异常报警），故障报修，财务报表，工作日志，水控机设置管理等</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9.API接口：免费提供消费数据API接口。根据用户需要免费提供其他的API接口。</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10.部署文档、数据库字典：可提供部署文档，数据库字典</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11.系统升级：协议期内免费升级。</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12.“系统管理”模块的“区域管理”采用分组团-楼栋-楼层的树形结构。</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13.系统内涉及查询的部分增加可选查询条件（用户名称、订单号、宿舍区域等等），同时增加模糊查询</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14.用户实名认证：与校园一卡通系统对接。</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15.系统不允许弱密码，必须支持强密码模式，密码规则可以自定；管理员登录支持双因子登录。</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16.系统需与银行结算日结时间同步，便于对账。</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17.系统不允许出现任何形式的广告。</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18.各管理员可自定义保存自己账户下的选项</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19.系统需具有区域日结、月结、年结报表；具有银行结算日、月、年结算明细报表；具有对账清单报表（包含银行结算笔数、银行结算金额、用户消费笔数、消费金额等信息）；具有增加对账异常清单报表，清单可显示未付款或重复付款用户的姓名、手机号、银行账号等相关信息，通过后台处理；订单明细中新增云闪付中对应银行流水号。</w:t>
            </w:r>
          </w:p>
          <w:p w14:paraId="63478048">
            <w:pPr>
              <w:widowControl/>
              <w:numPr>
                <w:ilvl w:val="0"/>
                <w:numId w:val="0"/>
              </w:numPr>
              <w:spacing w:line="360" w:lineRule="auto"/>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三、</w:t>
            </w:r>
            <w:r>
              <w:rPr>
                <w:rFonts w:hint="eastAsia" w:ascii="宋体" w:hAnsi="宋体" w:eastAsia="宋体" w:cs="宋体"/>
                <w:color w:val="000000"/>
                <w:kern w:val="0"/>
                <w:sz w:val="21"/>
                <w:szCs w:val="21"/>
                <w:highlight w:val="none"/>
                <w:lang w:bidi="ar"/>
              </w:rPr>
              <w:t>云闪付APP小程序功能</w:t>
            </w:r>
          </w:p>
          <w:p w14:paraId="11F501BE">
            <w:pPr>
              <w:spacing w:line="360" w:lineRule="auto"/>
              <w:rPr>
                <w:rFonts w:hint="eastAsia" w:ascii="宋体" w:hAnsi="宋体" w:cs="宋体"/>
                <w:b/>
                <w:bCs w:val="0"/>
                <w:szCs w:val="21"/>
                <w:highlight w:val="none"/>
              </w:rPr>
            </w:pPr>
            <w:r>
              <w:rPr>
                <w:rFonts w:hint="eastAsia" w:ascii="宋体" w:hAnsi="宋体" w:eastAsia="宋体" w:cs="宋体"/>
                <w:color w:val="000000"/>
                <w:kern w:val="0"/>
                <w:sz w:val="21"/>
                <w:szCs w:val="21"/>
                <w:highlight w:val="none"/>
                <w:lang w:bidi="ar"/>
              </w:rPr>
              <w:t>1.附近设备：可查询附近的水控机。</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2.充值中心：可选择或输入相关金额进行预付费充值。</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3.故障报修：用户可选择相应的故障类型或自定义描述故障内容进行相关报修。</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4.个人中心：查看个人消费记录、已提交故障、个人信息、消息中心等相关信息。</w:t>
            </w:r>
          </w:p>
        </w:tc>
        <w:tc>
          <w:tcPr>
            <w:tcW w:w="831" w:type="dxa"/>
            <w:tcBorders>
              <w:left w:val="single" w:color="auto" w:sz="4" w:space="0"/>
            </w:tcBorders>
            <w:noWrap w:val="0"/>
            <w:vAlign w:val="center"/>
          </w:tcPr>
          <w:p w14:paraId="6BAE66C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 xml:space="preserve">307 </w:t>
            </w:r>
          </w:p>
        </w:tc>
        <w:tc>
          <w:tcPr>
            <w:tcW w:w="758" w:type="dxa"/>
            <w:noWrap w:val="0"/>
            <w:vAlign w:val="center"/>
          </w:tcPr>
          <w:p w14:paraId="5F3509D1">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台</w:t>
            </w:r>
          </w:p>
        </w:tc>
      </w:tr>
      <w:tr w14:paraId="34C7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790ED14">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11</w:t>
            </w:r>
          </w:p>
        </w:tc>
        <w:tc>
          <w:tcPr>
            <w:tcW w:w="1634" w:type="dxa"/>
            <w:noWrap w:val="0"/>
            <w:vAlign w:val="center"/>
          </w:tcPr>
          <w:p w14:paraId="48491F00">
            <w:pPr>
              <w:tabs>
                <w:tab w:val="left" w:pos="491"/>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智能表</w:t>
            </w:r>
          </w:p>
        </w:tc>
        <w:tc>
          <w:tcPr>
            <w:tcW w:w="5433" w:type="dxa"/>
            <w:tcBorders>
              <w:right w:val="single" w:color="auto" w:sz="4" w:space="0"/>
            </w:tcBorders>
            <w:noWrap w:val="0"/>
            <w:vAlign w:val="center"/>
          </w:tcPr>
          <w:p w14:paraId="0CA42F22">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电源及插座（5孔明装）</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2E87317E">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307</w:t>
            </w:r>
          </w:p>
        </w:tc>
        <w:tc>
          <w:tcPr>
            <w:tcW w:w="758" w:type="dxa"/>
            <w:noWrap w:val="0"/>
            <w:vAlign w:val="center"/>
          </w:tcPr>
          <w:p w14:paraId="5C181C15">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个</w:t>
            </w:r>
          </w:p>
        </w:tc>
      </w:tr>
      <w:tr w14:paraId="47D5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AF48F31">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12</w:t>
            </w:r>
          </w:p>
        </w:tc>
        <w:tc>
          <w:tcPr>
            <w:tcW w:w="1634" w:type="dxa"/>
            <w:noWrap w:val="0"/>
            <w:vAlign w:val="center"/>
          </w:tcPr>
          <w:p w14:paraId="1916878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空气能循环管</w:t>
            </w:r>
          </w:p>
        </w:tc>
        <w:tc>
          <w:tcPr>
            <w:tcW w:w="5433" w:type="dxa"/>
            <w:tcBorders>
              <w:right w:val="single" w:color="auto" w:sz="4" w:space="0"/>
            </w:tcBorders>
            <w:noWrap w:val="0"/>
            <w:vAlign w:val="center"/>
          </w:tcPr>
          <w:p w14:paraId="5EB42967">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复合管、内管PPR40外管PVC75</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2F3C4E1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118</w:t>
            </w:r>
          </w:p>
        </w:tc>
        <w:tc>
          <w:tcPr>
            <w:tcW w:w="758" w:type="dxa"/>
            <w:noWrap w:val="0"/>
            <w:vAlign w:val="center"/>
          </w:tcPr>
          <w:p w14:paraId="2693D20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544D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25A18011">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13</w:t>
            </w:r>
          </w:p>
        </w:tc>
        <w:tc>
          <w:tcPr>
            <w:tcW w:w="1634" w:type="dxa"/>
            <w:noWrap w:val="0"/>
            <w:vAlign w:val="center"/>
          </w:tcPr>
          <w:p w14:paraId="3FBBD530">
            <w:pPr>
              <w:tabs>
                <w:tab w:val="left" w:pos="551"/>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热水供水主管-1</w:t>
            </w:r>
          </w:p>
        </w:tc>
        <w:tc>
          <w:tcPr>
            <w:tcW w:w="5433" w:type="dxa"/>
            <w:tcBorders>
              <w:right w:val="single" w:color="auto" w:sz="4" w:space="0"/>
            </w:tcBorders>
            <w:noWrap w:val="0"/>
            <w:vAlign w:val="center"/>
          </w:tcPr>
          <w:p w14:paraId="4FA2A173">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复合管、内管PPR110外管PVC160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49CF028E">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112</w:t>
            </w:r>
          </w:p>
        </w:tc>
        <w:tc>
          <w:tcPr>
            <w:tcW w:w="758" w:type="dxa"/>
            <w:noWrap w:val="0"/>
            <w:vAlign w:val="center"/>
          </w:tcPr>
          <w:p w14:paraId="7BE6080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12B6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348CD687">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14</w:t>
            </w:r>
          </w:p>
        </w:tc>
        <w:tc>
          <w:tcPr>
            <w:tcW w:w="1634" w:type="dxa"/>
            <w:noWrap w:val="0"/>
            <w:vAlign w:val="center"/>
          </w:tcPr>
          <w:p w14:paraId="2B71AD3A">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热水供水主管-2</w:t>
            </w:r>
          </w:p>
        </w:tc>
        <w:tc>
          <w:tcPr>
            <w:tcW w:w="5433" w:type="dxa"/>
            <w:tcBorders>
              <w:right w:val="single" w:color="auto" w:sz="4" w:space="0"/>
            </w:tcBorders>
            <w:noWrap w:val="0"/>
            <w:vAlign w:val="center"/>
          </w:tcPr>
          <w:p w14:paraId="67771404">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复合管、内管PPR75外管PVC110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42D0086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162</w:t>
            </w:r>
          </w:p>
        </w:tc>
        <w:tc>
          <w:tcPr>
            <w:tcW w:w="758" w:type="dxa"/>
            <w:noWrap w:val="0"/>
            <w:vAlign w:val="center"/>
          </w:tcPr>
          <w:p w14:paraId="31D7A6B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1E2E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235B8337">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15</w:t>
            </w:r>
          </w:p>
        </w:tc>
        <w:tc>
          <w:tcPr>
            <w:tcW w:w="1634" w:type="dxa"/>
            <w:noWrap w:val="0"/>
            <w:vAlign w:val="center"/>
          </w:tcPr>
          <w:p w14:paraId="377F067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热水供水主管-3</w:t>
            </w:r>
          </w:p>
        </w:tc>
        <w:tc>
          <w:tcPr>
            <w:tcW w:w="5433" w:type="dxa"/>
            <w:tcBorders>
              <w:right w:val="single" w:color="auto" w:sz="4" w:space="0"/>
            </w:tcBorders>
            <w:noWrap w:val="0"/>
            <w:vAlign w:val="center"/>
          </w:tcPr>
          <w:p w14:paraId="4D2B13E8">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复合管、内管PPR40外管PVC75</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09492345">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668</w:t>
            </w:r>
          </w:p>
        </w:tc>
        <w:tc>
          <w:tcPr>
            <w:tcW w:w="758" w:type="dxa"/>
            <w:noWrap w:val="0"/>
            <w:vAlign w:val="center"/>
          </w:tcPr>
          <w:p w14:paraId="587D963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703B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0F57C0FB">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16</w:t>
            </w:r>
          </w:p>
        </w:tc>
        <w:tc>
          <w:tcPr>
            <w:tcW w:w="1634" w:type="dxa"/>
            <w:noWrap w:val="0"/>
            <w:vAlign w:val="center"/>
          </w:tcPr>
          <w:p w14:paraId="74F6AD24">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楼层走廊热水供水主管</w:t>
            </w:r>
          </w:p>
        </w:tc>
        <w:tc>
          <w:tcPr>
            <w:tcW w:w="5433" w:type="dxa"/>
            <w:tcBorders>
              <w:right w:val="single" w:color="auto" w:sz="4" w:space="0"/>
            </w:tcBorders>
            <w:noWrap w:val="0"/>
            <w:vAlign w:val="center"/>
          </w:tcPr>
          <w:p w14:paraId="7C1C9A0B">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复合管、内管PPR50外管PVC75</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5B2E2877">
            <w:pPr>
              <w:tabs>
                <w:tab w:val="left" w:pos="234"/>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660</w:t>
            </w:r>
          </w:p>
        </w:tc>
        <w:tc>
          <w:tcPr>
            <w:tcW w:w="758" w:type="dxa"/>
            <w:noWrap w:val="0"/>
            <w:vAlign w:val="center"/>
          </w:tcPr>
          <w:p w14:paraId="22DBD1D5">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66D8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068A07E6">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17</w:t>
            </w:r>
          </w:p>
        </w:tc>
        <w:tc>
          <w:tcPr>
            <w:tcW w:w="1634" w:type="dxa"/>
            <w:noWrap w:val="0"/>
            <w:vAlign w:val="center"/>
          </w:tcPr>
          <w:p w14:paraId="5E93453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热水回水支管-1</w:t>
            </w:r>
          </w:p>
        </w:tc>
        <w:tc>
          <w:tcPr>
            <w:tcW w:w="5433" w:type="dxa"/>
            <w:tcBorders>
              <w:right w:val="single" w:color="auto" w:sz="4" w:space="0"/>
            </w:tcBorders>
            <w:noWrap w:val="0"/>
            <w:vAlign w:val="center"/>
          </w:tcPr>
          <w:p w14:paraId="6DA66F75">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复合管、内管PPR25外管PVC50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4C188156">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44</w:t>
            </w:r>
          </w:p>
        </w:tc>
        <w:tc>
          <w:tcPr>
            <w:tcW w:w="758" w:type="dxa"/>
            <w:noWrap w:val="0"/>
            <w:vAlign w:val="center"/>
          </w:tcPr>
          <w:p w14:paraId="4D9A15E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1EC2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13473E76">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18</w:t>
            </w:r>
          </w:p>
        </w:tc>
        <w:tc>
          <w:tcPr>
            <w:tcW w:w="1634" w:type="dxa"/>
            <w:noWrap w:val="0"/>
            <w:vAlign w:val="center"/>
          </w:tcPr>
          <w:p w14:paraId="3F38E830">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热水回水支管-2</w:t>
            </w:r>
          </w:p>
        </w:tc>
        <w:tc>
          <w:tcPr>
            <w:tcW w:w="5433" w:type="dxa"/>
            <w:tcBorders>
              <w:right w:val="single" w:color="auto" w:sz="4" w:space="0"/>
            </w:tcBorders>
            <w:noWrap w:val="0"/>
            <w:vAlign w:val="center"/>
          </w:tcPr>
          <w:p w14:paraId="29BD6222">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复合管、内管PPR20外管PVC50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666DC27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84</w:t>
            </w:r>
          </w:p>
        </w:tc>
        <w:tc>
          <w:tcPr>
            <w:tcW w:w="758" w:type="dxa"/>
            <w:noWrap w:val="0"/>
            <w:vAlign w:val="center"/>
          </w:tcPr>
          <w:p w14:paraId="4668409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3B8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E9A2EF3">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19</w:t>
            </w:r>
          </w:p>
        </w:tc>
        <w:tc>
          <w:tcPr>
            <w:tcW w:w="1634" w:type="dxa"/>
            <w:noWrap w:val="0"/>
            <w:vAlign w:val="center"/>
          </w:tcPr>
          <w:p w14:paraId="5FDB18D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热水回水主管-3</w:t>
            </w:r>
          </w:p>
        </w:tc>
        <w:tc>
          <w:tcPr>
            <w:tcW w:w="5433" w:type="dxa"/>
            <w:tcBorders>
              <w:right w:val="single" w:color="auto" w:sz="4" w:space="0"/>
            </w:tcBorders>
            <w:noWrap w:val="0"/>
            <w:vAlign w:val="center"/>
          </w:tcPr>
          <w:p w14:paraId="20F3A6F7">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复合管、内管PPR40外管PVC75</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16A971C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77</w:t>
            </w:r>
          </w:p>
        </w:tc>
        <w:tc>
          <w:tcPr>
            <w:tcW w:w="758" w:type="dxa"/>
            <w:noWrap w:val="0"/>
            <w:vAlign w:val="center"/>
          </w:tcPr>
          <w:p w14:paraId="2C358E5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0C36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A530198">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20</w:t>
            </w:r>
          </w:p>
        </w:tc>
        <w:tc>
          <w:tcPr>
            <w:tcW w:w="1634" w:type="dxa"/>
            <w:noWrap w:val="0"/>
            <w:vAlign w:val="center"/>
          </w:tcPr>
          <w:p w14:paraId="0336549E">
            <w:pPr>
              <w:tabs>
                <w:tab w:val="left" w:pos="566"/>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热水回水主管-4</w:t>
            </w:r>
          </w:p>
        </w:tc>
        <w:tc>
          <w:tcPr>
            <w:tcW w:w="5433" w:type="dxa"/>
            <w:tcBorders>
              <w:right w:val="single" w:color="auto" w:sz="4" w:space="0"/>
            </w:tcBorders>
            <w:noWrap w:val="0"/>
            <w:vAlign w:val="center"/>
          </w:tcPr>
          <w:p w14:paraId="34EA8224">
            <w:pPr>
              <w:spacing w:line="360" w:lineRule="auto"/>
              <w:ind w:firstLine="0"/>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复合管、内管PPR32外管PVC63</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2D8AADE6">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300</w:t>
            </w:r>
          </w:p>
        </w:tc>
        <w:tc>
          <w:tcPr>
            <w:tcW w:w="758" w:type="dxa"/>
            <w:noWrap w:val="0"/>
            <w:vAlign w:val="center"/>
          </w:tcPr>
          <w:p w14:paraId="354BE0A6">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7F1B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1537025">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21</w:t>
            </w:r>
          </w:p>
        </w:tc>
        <w:tc>
          <w:tcPr>
            <w:tcW w:w="1634" w:type="dxa"/>
            <w:noWrap w:val="0"/>
            <w:vAlign w:val="center"/>
          </w:tcPr>
          <w:p w14:paraId="754857EC">
            <w:pPr>
              <w:widowControl/>
              <w:jc w:val="center"/>
              <w:textAlignment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热水箱补水管-5</w:t>
            </w:r>
          </w:p>
        </w:tc>
        <w:tc>
          <w:tcPr>
            <w:tcW w:w="5433" w:type="dxa"/>
            <w:tcBorders>
              <w:right w:val="single" w:color="auto" w:sz="4" w:space="0"/>
            </w:tcBorders>
            <w:noWrap w:val="0"/>
            <w:vAlign w:val="center"/>
          </w:tcPr>
          <w:p w14:paraId="0F0301D0">
            <w:pPr>
              <w:widowControl/>
              <w:jc w:val="left"/>
              <w:textAlignment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复合管、内管PPR40外管PVC75</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6F6D2A7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75</w:t>
            </w:r>
          </w:p>
        </w:tc>
        <w:tc>
          <w:tcPr>
            <w:tcW w:w="758" w:type="dxa"/>
            <w:noWrap w:val="0"/>
            <w:vAlign w:val="center"/>
          </w:tcPr>
          <w:p w14:paraId="7C2CF16A">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434C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0D8B10CC">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22</w:t>
            </w:r>
          </w:p>
        </w:tc>
        <w:tc>
          <w:tcPr>
            <w:tcW w:w="1634" w:type="dxa"/>
            <w:noWrap w:val="0"/>
            <w:vAlign w:val="center"/>
          </w:tcPr>
          <w:p w14:paraId="0FC86753">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冷水供水管</w:t>
            </w:r>
          </w:p>
        </w:tc>
        <w:tc>
          <w:tcPr>
            <w:tcW w:w="5433" w:type="dxa"/>
            <w:tcBorders>
              <w:right w:val="single" w:color="auto" w:sz="4" w:space="0"/>
            </w:tcBorders>
            <w:noWrap w:val="0"/>
            <w:vAlign w:val="center"/>
          </w:tcPr>
          <w:p w14:paraId="6679B511">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PPR40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7EEFE070">
            <w:pPr>
              <w:tabs>
                <w:tab w:val="left" w:pos="429"/>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40</w:t>
            </w:r>
          </w:p>
        </w:tc>
        <w:tc>
          <w:tcPr>
            <w:tcW w:w="758" w:type="dxa"/>
            <w:noWrap w:val="0"/>
            <w:vAlign w:val="center"/>
          </w:tcPr>
          <w:p w14:paraId="27D5E33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5E2C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45E3B5A4">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23</w:t>
            </w:r>
          </w:p>
        </w:tc>
        <w:tc>
          <w:tcPr>
            <w:tcW w:w="1634" w:type="dxa"/>
            <w:noWrap w:val="0"/>
            <w:vAlign w:val="center"/>
          </w:tcPr>
          <w:p w14:paraId="3BAC78AD">
            <w:pPr>
              <w:widowControl/>
              <w:jc w:val="center"/>
              <w:textAlignment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室内热水供水管</w:t>
            </w:r>
          </w:p>
        </w:tc>
        <w:tc>
          <w:tcPr>
            <w:tcW w:w="5433" w:type="dxa"/>
            <w:tcBorders>
              <w:right w:val="single" w:color="auto" w:sz="4" w:space="0"/>
            </w:tcBorders>
            <w:noWrap w:val="0"/>
            <w:vAlign w:val="center"/>
          </w:tcPr>
          <w:p w14:paraId="79C35DB8">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PPR20</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7D6C07F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1410</w:t>
            </w:r>
          </w:p>
        </w:tc>
        <w:tc>
          <w:tcPr>
            <w:tcW w:w="758" w:type="dxa"/>
            <w:noWrap w:val="0"/>
            <w:vAlign w:val="center"/>
          </w:tcPr>
          <w:p w14:paraId="3A54C38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1696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2D2CA45D">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24</w:t>
            </w:r>
          </w:p>
        </w:tc>
        <w:tc>
          <w:tcPr>
            <w:tcW w:w="1634" w:type="dxa"/>
            <w:noWrap w:val="0"/>
            <w:vAlign w:val="center"/>
          </w:tcPr>
          <w:p w14:paraId="5319865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镀锌角钢</w:t>
            </w:r>
          </w:p>
        </w:tc>
        <w:tc>
          <w:tcPr>
            <w:tcW w:w="5433" w:type="dxa"/>
            <w:tcBorders>
              <w:right w:val="single" w:color="auto" w:sz="4" w:space="0"/>
            </w:tcBorders>
            <w:noWrap w:val="0"/>
            <w:vAlign w:val="center"/>
          </w:tcPr>
          <w:p w14:paraId="7B65DFCB">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∠40镀锌角钢，国标</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513709DA">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1170</w:t>
            </w:r>
          </w:p>
        </w:tc>
        <w:tc>
          <w:tcPr>
            <w:tcW w:w="758" w:type="dxa"/>
            <w:noWrap w:val="0"/>
            <w:vAlign w:val="center"/>
          </w:tcPr>
          <w:p w14:paraId="69214EB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米</w:t>
            </w:r>
          </w:p>
        </w:tc>
      </w:tr>
      <w:tr w14:paraId="246E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1E9288BB">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25</w:t>
            </w:r>
          </w:p>
        </w:tc>
        <w:tc>
          <w:tcPr>
            <w:tcW w:w="1634" w:type="dxa"/>
            <w:noWrap w:val="0"/>
            <w:vAlign w:val="center"/>
          </w:tcPr>
          <w:p w14:paraId="20C7499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阀门配件（国标）</w:t>
            </w:r>
          </w:p>
        </w:tc>
        <w:tc>
          <w:tcPr>
            <w:tcW w:w="5433" w:type="dxa"/>
            <w:tcBorders>
              <w:right w:val="single" w:color="auto" w:sz="4" w:space="0"/>
            </w:tcBorders>
            <w:noWrap w:val="0"/>
            <w:vAlign w:val="center"/>
          </w:tcPr>
          <w:p w14:paraId="40168DBF">
            <w:pPr>
              <w:spacing w:line="360" w:lineRule="auto"/>
              <w:rPr>
                <w:rFonts w:hint="eastAsia" w:ascii="宋体" w:hAnsi="宋体" w:cs="宋体"/>
                <w:b/>
                <w:bCs w:val="0"/>
                <w:szCs w:val="21"/>
                <w:highlight w:val="none"/>
              </w:rPr>
            </w:pPr>
            <w:r>
              <w:rPr>
                <w:rFonts w:hint="eastAsia" w:ascii="宋体" w:hAnsi="宋体" w:eastAsia="宋体" w:cs="宋体"/>
                <w:color w:val="000000"/>
                <w:kern w:val="0"/>
                <w:sz w:val="21"/>
                <w:szCs w:val="21"/>
                <w:highlight w:val="none"/>
                <w:lang w:bidi="ar"/>
              </w:rPr>
              <w:t>包含完成本项目的安装、调试等所需的所有各类：电动阀、电磁阀、法兰蝶阀、铜闸阀、Y 型过滤器、止回阀、PPR 截止阀、橡胶软接、压力表、法兰片，温度计等。</w:t>
            </w:r>
          </w:p>
        </w:tc>
        <w:tc>
          <w:tcPr>
            <w:tcW w:w="831" w:type="dxa"/>
            <w:tcBorders>
              <w:left w:val="single" w:color="auto" w:sz="4" w:space="0"/>
            </w:tcBorders>
            <w:noWrap w:val="0"/>
            <w:vAlign w:val="center"/>
          </w:tcPr>
          <w:p w14:paraId="03975498">
            <w:pPr>
              <w:tabs>
                <w:tab w:val="left" w:pos="294"/>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32DBC21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0D4C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1AE6C5E4">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26</w:t>
            </w:r>
          </w:p>
        </w:tc>
        <w:tc>
          <w:tcPr>
            <w:tcW w:w="1634" w:type="dxa"/>
            <w:noWrap w:val="0"/>
            <w:vAlign w:val="center"/>
          </w:tcPr>
          <w:p w14:paraId="0DF342F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PPR管配件</w:t>
            </w:r>
          </w:p>
        </w:tc>
        <w:tc>
          <w:tcPr>
            <w:tcW w:w="5433" w:type="dxa"/>
            <w:tcBorders>
              <w:right w:val="single" w:color="auto" w:sz="4" w:space="0"/>
            </w:tcBorders>
            <w:noWrap w:val="0"/>
            <w:vAlign w:val="center"/>
          </w:tcPr>
          <w:p w14:paraId="68152116">
            <w:pPr>
              <w:spacing w:line="360" w:lineRule="auto"/>
              <w:rPr>
                <w:rFonts w:hint="eastAsia" w:ascii="宋体" w:hAnsi="宋体" w:cs="宋体"/>
                <w:b/>
                <w:bCs w:val="0"/>
                <w:szCs w:val="21"/>
                <w:highlight w:val="none"/>
              </w:rPr>
            </w:pPr>
            <w:r>
              <w:rPr>
                <w:rFonts w:hint="eastAsia" w:ascii="宋体" w:hAnsi="宋体" w:eastAsia="宋体" w:cs="宋体"/>
                <w:color w:val="000000"/>
                <w:kern w:val="0"/>
                <w:sz w:val="21"/>
                <w:szCs w:val="21"/>
                <w:highlight w:val="none"/>
                <w:lang w:bidi="ar"/>
              </w:rPr>
              <w:t>1.要求为国标件。</w:t>
            </w:r>
            <w:r>
              <w:rPr>
                <w:rFonts w:hint="eastAsia" w:ascii="宋体" w:hAnsi="宋体" w:eastAsia="宋体" w:cs="宋体"/>
                <w:color w:val="000000"/>
                <w:kern w:val="0"/>
                <w:sz w:val="21"/>
                <w:szCs w:val="21"/>
                <w:highlight w:val="none"/>
                <w:lang w:bidi="ar"/>
              </w:rPr>
              <w:br w:type="textWrapping"/>
            </w:r>
            <w:r>
              <w:rPr>
                <w:rFonts w:hint="eastAsia" w:ascii="宋体" w:hAnsi="宋体" w:eastAsia="宋体" w:cs="宋体"/>
                <w:color w:val="000000"/>
                <w:kern w:val="0"/>
                <w:sz w:val="21"/>
                <w:szCs w:val="21"/>
                <w:highlight w:val="none"/>
                <w:lang w:bidi="ar"/>
              </w:rPr>
              <w:t>2.包含完成本项目的安装、调试等所需的所有弯头、三通、直接、大小头、法兰片等。</w:t>
            </w:r>
          </w:p>
        </w:tc>
        <w:tc>
          <w:tcPr>
            <w:tcW w:w="831" w:type="dxa"/>
            <w:tcBorders>
              <w:left w:val="single" w:color="auto" w:sz="4" w:space="0"/>
            </w:tcBorders>
            <w:noWrap w:val="0"/>
            <w:vAlign w:val="center"/>
          </w:tcPr>
          <w:p w14:paraId="02E1DA94">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678C5B0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6168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A888300">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27</w:t>
            </w:r>
          </w:p>
        </w:tc>
        <w:tc>
          <w:tcPr>
            <w:tcW w:w="1634" w:type="dxa"/>
            <w:noWrap w:val="0"/>
            <w:vAlign w:val="center"/>
          </w:tcPr>
          <w:p w14:paraId="3E91811B">
            <w:pPr>
              <w:tabs>
                <w:tab w:val="left" w:pos="371"/>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电控系统</w:t>
            </w:r>
          </w:p>
        </w:tc>
        <w:tc>
          <w:tcPr>
            <w:tcW w:w="5433" w:type="dxa"/>
            <w:tcBorders>
              <w:right w:val="single" w:color="auto" w:sz="4" w:space="0"/>
            </w:tcBorders>
            <w:noWrap w:val="0"/>
            <w:vAlign w:val="center"/>
          </w:tcPr>
          <w:p w14:paraId="41BE182F">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2套设备总控制箱，2套空气能、水泵、补水控制箱（含柜体、变频器、恒压罐、空开、继电器、交流接触器、液位控制恒温回水控制等，具有自动手动控制水泵运行功能及缺水、过载、过流等保护功能，具有远程控制功能）、设备防火桥架、线管、主电源线3*35+2*16、主机电源线、水泵电源线、智能表电源线、控制信号线</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08372005">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7656B814">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42C6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1F8BB085">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28</w:t>
            </w:r>
          </w:p>
        </w:tc>
        <w:tc>
          <w:tcPr>
            <w:tcW w:w="1634" w:type="dxa"/>
            <w:noWrap w:val="0"/>
            <w:vAlign w:val="center"/>
          </w:tcPr>
          <w:p w14:paraId="770399A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设备棚、围栏</w:t>
            </w:r>
          </w:p>
        </w:tc>
        <w:tc>
          <w:tcPr>
            <w:tcW w:w="5433" w:type="dxa"/>
            <w:tcBorders>
              <w:right w:val="single" w:color="auto" w:sz="4" w:space="0"/>
            </w:tcBorders>
            <w:noWrap w:val="0"/>
            <w:vAlign w:val="center"/>
          </w:tcPr>
          <w:p w14:paraId="5F92A623">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棚：长14米，宽5，高3.5米，围栏高度：2.5米</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60D5698F">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4CEC277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60E9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C96A03D">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29</w:t>
            </w:r>
          </w:p>
        </w:tc>
        <w:tc>
          <w:tcPr>
            <w:tcW w:w="1634" w:type="dxa"/>
            <w:noWrap w:val="0"/>
            <w:vAlign w:val="center"/>
          </w:tcPr>
          <w:p w14:paraId="65BD2A13">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设备机组钢结构底座</w:t>
            </w:r>
          </w:p>
        </w:tc>
        <w:tc>
          <w:tcPr>
            <w:tcW w:w="5433" w:type="dxa"/>
            <w:tcBorders>
              <w:right w:val="single" w:color="auto" w:sz="4" w:space="0"/>
            </w:tcBorders>
            <w:noWrap w:val="0"/>
            <w:vAlign w:val="center"/>
          </w:tcPr>
          <w:p w14:paraId="67BAF238">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12#镀锌槽钢+5#镀锌角钢</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599AD4A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136D9F16">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6624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519B40CE">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30</w:t>
            </w:r>
          </w:p>
        </w:tc>
        <w:tc>
          <w:tcPr>
            <w:tcW w:w="1634" w:type="dxa"/>
            <w:noWrap w:val="0"/>
            <w:vAlign w:val="center"/>
          </w:tcPr>
          <w:p w14:paraId="015A6B42">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混凝土设备基础</w:t>
            </w:r>
          </w:p>
        </w:tc>
        <w:tc>
          <w:tcPr>
            <w:tcW w:w="5433" w:type="dxa"/>
            <w:tcBorders>
              <w:right w:val="single" w:color="auto" w:sz="4" w:space="0"/>
            </w:tcBorders>
            <w:noWrap w:val="0"/>
            <w:vAlign w:val="center"/>
          </w:tcPr>
          <w:p w14:paraId="528B2039">
            <w:pPr>
              <w:spacing w:line="360" w:lineRule="auto"/>
              <w:rPr>
                <w:rFonts w:hint="eastAsia" w:ascii="宋体" w:hAnsi="宋体" w:eastAsia="宋体" w:cs="宋体"/>
                <w:b/>
                <w:bCs w:val="0"/>
                <w:szCs w:val="21"/>
                <w:highlight w:val="none"/>
                <w:lang w:eastAsia="zh-CN"/>
              </w:rPr>
            </w:pPr>
            <w:r>
              <w:rPr>
                <w:rFonts w:hint="eastAsia" w:ascii="宋体" w:hAnsi="宋体" w:eastAsia="宋体" w:cs="宋体"/>
                <w:color w:val="000000"/>
                <w:kern w:val="0"/>
                <w:sz w:val="21"/>
                <w:szCs w:val="21"/>
                <w:highlight w:val="none"/>
                <w:lang w:bidi="ar"/>
              </w:rPr>
              <w:t>长12米，宽4，高0.2米，开挖、回填、混泥土修补</w:t>
            </w:r>
            <w:r>
              <w:rPr>
                <w:rFonts w:hint="eastAsia" w:ascii="宋体" w:hAnsi="宋体" w:eastAsia="宋体" w:cs="宋体"/>
                <w:color w:val="000000"/>
                <w:kern w:val="0"/>
                <w:sz w:val="21"/>
                <w:szCs w:val="21"/>
                <w:highlight w:val="none"/>
                <w:lang w:eastAsia="zh-CN" w:bidi="ar"/>
              </w:rPr>
              <w:t>。</w:t>
            </w:r>
          </w:p>
        </w:tc>
        <w:tc>
          <w:tcPr>
            <w:tcW w:w="831" w:type="dxa"/>
            <w:tcBorders>
              <w:left w:val="single" w:color="auto" w:sz="4" w:space="0"/>
            </w:tcBorders>
            <w:noWrap w:val="0"/>
            <w:vAlign w:val="center"/>
          </w:tcPr>
          <w:p w14:paraId="5F5C1AD9">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652F57D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7323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703FF729">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31</w:t>
            </w:r>
          </w:p>
        </w:tc>
        <w:tc>
          <w:tcPr>
            <w:tcW w:w="1634" w:type="dxa"/>
            <w:noWrap w:val="0"/>
            <w:vAlign w:val="center"/>
          </w:tcPr>
          <w:p w14:paraId="7154EBE3">
            <w:pPr>
              <w:tabs>
                <w:tab w:val="left" w:pos="311"/>
              </w:tabs>
              <w:spacing w:line="360" w:lineRule="auto"/>
              <w:jc w:val="center"/>
              <w:rPr>
                <w:rFonts w:hint="eastAsia" w:ascii="宋体" w:hAnsi="宋体" w:eastAsia="宋体"/>
                <w:highlight w:val="none"/>
                <w:lang w:eastAsia="zh-CN"/>
              </w:rPr>
            </w:pPr>
            <w:r>
              <w:rPr>
                <w:rFonts w:hint="eastAsia" w:ascii="宋体" w:hAnsi="宋体" w:eastAsia="宋体" w:cs="宋体"/>
                <w:color w:val="000000"/>
                <w:kern w:val="0"/>
                <w:sz w:val="21"/>
                <w:szCs w:val="21"/>
                <w:highlight w:val="none"/>
                <w:lang w:bidi="ar"/>
              </w:rPr>
              <w:t>空气能安装</w:t>
            </w:r>
          </w:p>
        </w:tc>
        <w:tc>
          <w:tcPr>
            <w:tcW w:w="5433" w:type="dxa"/>
            <w:tcBorders>
              <w:right w:val="single" w:color="auto" w:sz="4" w:space="0"/>
            </w:tcBorders>
            <w:noWrap w:val="0"/>
            <w:vAlign w:val="center"/>
          </w:tcPr>
          <w:p w14:paraId="3575BBCF">
            <w:pPr>
              <w:spacing w:line="360" w:lineRule="auto"/>
              <w:rPr>
                <w:rFonts w:hint="eastAsia" w:ascii="宋体" w:hAnsi="宋体" w:cs="宋体"/>
                <w:b/>
                <w:bCs w:val="0"/>
                <w:szCs w:val="21"/>
                <w:highlight w:val="none"/>
              </w:rPr>
            </w:pPr>
            <w:r>
              <w:rPr>
                <w:rFonts w:hint="eastAsia" w:ascii="宋体" w:hAnsi="宋体" w:eastAsia="宋体" w:cs="宋体"/>
                <w:color w:val="000000"/>
                <w:kern w:val="0"/>
                <w:sz w:val="21"/>
                <w:szCs w:val="21"/>
                <w:highlight w:val="none"/>
                <w:lang w:bidi="ar"/>
              </w:rPr>
              <w:t>包含水箱、水泵、智能表及阀门调试正常运行、所有热水管道安装、电控系统安装。</w:t>
            </w:r>
          </w:p>
        </w:tc>
        <w:tc>
          <w:tcPr>
            <w:tcW w:w="831" w:type="dxa"/>
            <w:tcBorders>
              <w:left w:val="single" w:color="auto" w:sz="4" w:space="0"/>
            </w:tcBorders>
            <w:noWrap w:val="0"/>
            <w:vAlign w:val="center"/>
          </w:tcPr>
          <w:p w14:paraId="0887EA99">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0C7FB02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1BD0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1A513E57">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32</w:t>
            </w:r>
          </w:p>
        </w:tc>
        <w:tc>
          <w:tcPr>
            <w:tcW w:w="1634" w:type="dxa"/>
            <w:noWrap w:val="0"/>
            <w:vAlign w:val="center"/>
          </w:tcPr>
          <w:p w14:paraId="37F25838">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辅材</w:t>
            </w:r>
          </w:p>
        </w:tc>
        <w:tc>
          <w:tcPr>
            <w:tcW w:w="5433" w:type="dxa"/>
            <w:tcBorders>
              <w:right w:val="single" w:color="auto" w:sz="4" w:space="0"/>
            </w:tcBorders>
            <w:noWrap w:val="0"/>
            <w:vAlign w:val="center"/>
          </w:tcPr>
          <w:p w14:paraId="5CC9150A">
            <w:pPr>
              <w:spacing w:line="360" w:lineRule="auto"/>
              <w:rPr>
                <w:rFonts w:hint="eastAsia" w:ascii="宋体" w:hAnsi="宋体" w:eastAsia="宋体" w:cs="宋体"/>
                <w:b/>
                <w:bCs w:val="0"/>
                <w:szCs w:val="21"/>
                <w:highlight w:val="none"/>
                <w:lang w:eastAsia="zh-CN"/>
              </w:rPr>
            </w:pPr>
            <w:r>
              <w:rPr>
                <w:rFonts w:hint="eastAsia" w:ascii="宋体" w:hAnsi="宋体"/>
                <w:sz w:val="21"/>
                <w:szCs w:val="21"/>
                <w:highlight w:val="none"/>
              </w:rPr>
              <w:t>管卡、支架、线管、穿墙打洞，压力表、排气阀，水表，电表温度计</w:t>
            </w:r>
            <w:r>
              <w:rPr>
                <w:rFonts w:hint="eastAsia" w:ascii="宋体" w:hAnsi="宋体"/>
                <w:sz w:val="21"/>
                <w:szCs w:val="21"/>
                <w:highlight w:val="none"/>
                <w:lang w:eastAsia="zh-CN"/>
              </w:rPr>
              <w:t>。</w:t>
            </w:r>
          </w:p>
        </w:tc>
        <w:tc>
          <w:tcPr>
            <w:tcW w:w="831" w:type="dxa"/>
            <w:tcBorders>
              <w:left w:val="single" w:color="auto" w:sz="4" w:space="0"/>
            </w:tcBorders>
            <w:noWrap w:val="0"/>
            <w:vAlign w:val="center"/>
          </w:tcPr>
          <w:p w14:paraId="217D705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1F953C8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5E3C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14:paraId="07A6C2BB">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33</w:t>
            </w:r>
          </w:p>
        </w:tc>
        <w:tc>
          <w:tcPr>
            <w:tcW w:w="1634" w:type="dxa"/>
            <w:noWrap w:val="0"/>
            <w:vAlign w:val="center"/>
          </w:tcPr>
          <w:p w14:paraId="37A467FD">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吊装、运输、搬运费</w:t>
            </w:r>
          </w:p>
        </w:tc>
        <w:tc>
          <w:tcPr>
            <w:tcW w:w="5433" w:type="dxa"/>
            <w:tcBorders>
              <w:right w:val="single" w:color="auto" w:sz="4" w:space="0"/>
            </w:tcBorders>
            <w:noWrap w:val="0"/>
            <w:vAlign w:val="center"/>
          </w:tcPr>
          <w:p w14:paraId="0F51381B">
            <w:pPr>
              <w:spacing w:line="360" w:lineRule="auto"/>
              <w:rPr>
                <w:rFonts w:hint="eastAsia" w:ascii="宋体" w:hAnsi="宋体" w:cs="宋体"/>
                <w:b/>
                <w:bCs w:val="0"/>
                <w:szCs w:val="21"/>
                <w:highlight w:val="none"/>
              </w:rPr>
            </w:pPr>
            <w:r>
              <w:rPr>
                <w:rFonts w:hint="eastAsia" w:ascii="宋体" w:hAnsi="宋体" w:eastAsia="宋体" w:cs="宋体"/>
                <w:color w:val="000000"/>
                <w:sz w:val="21"/>
                <w:szCs w:val="21"/>
                <w:highlight w:val="none"/>
              </w:rPr>
              <w:t>包括长、短途运输，地面人工装卸，吊车吊运上楼顶，高空作业、设施、设备安装以及相关材料的人工就位搬运等。</w:t>
            </w:r>
          </w:p>
        </w:tc>
        <w:tc>
          <w:tcPr>
            <w:tcW w:w="831" w:type="dxa"/>
            <w:tcBorders>
              <w:left w:val="single" w:color="auto" w:sz="4" w:space="0"/>
            </w:tcBorders>
            <w:noWrap w:val="0"/>
            <w:vAlign w:val="center"/>
          </w:tcPr>
          <w:p w14:paraId="4155A07C">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1</w:t>
            </w:r>
          </w:p>
        </w:tc>
        <w:tc>
          <w:tcPr>
            <w:tcW w:w="758" w:type="dxa"/>
            <w:noWrap w:val="0"/>
            <w:vAlign w:val="center"/>
          </w:tcPr>
          <w:p w14:paraId="48C4868B">
            <w:pPr>
              <w:spacing w:line="360" w:lineRule="auto"/>
              <w:jc w:val="center"/>
              <w:rPr>
                <w:rFonts w:hint="eastAsia" w:ascii="宋体" w:hAnsi="宋体"/>
                <w:highlight w:val="none"/>
              </w:rPr>
            </w:pPr>
            <w:r>
              <w:rPr>
                <w:rFonts w:hint="eastAsia" w:ascii="宋体" w:hAnsi="宋体" w:eastAsia="宋体" w:cs="宋体"/>
                <w:color w:val="000000"/>
                <w:kern w:val="0"/>
                <w:sz w:val="21"/>
                <w:szCs w:val="21"/>
                <w:highlight w:val="none"/>
                <w:lang w:bidi="ar"/>
              </w:rPr>
              <w:t>项</w:t>
            </w:r>
          </w:p>
        </w:tc>
      </w:tr>
      <w:tr w14:paraId="01DC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5"/>
            <w:noWrap w:val="0"/>
            <w:vAlign w:val="top"/>
          </w:tcPr>
          <w:p w14:paraId="20E81FB7">
            <w:pPr>
              <w:spacing w:line="360" w:lineRule="auto"/>
              <w:rPr>
                <w:rFonts w:hint="eastAsia" w:ascii="宋体" w:hAnsi="宋体" w:cs="宋体"/>
                <w:szCs w:val="21"/>
                <w:highlight w:val="none"/>
              </w:rPr>
            </w:pPr>
            <w:r>
              <w:rPr>
                <w:rFonts w:hint="eastAsia" w:ascii="宋体" w:hAnsi="宋体" w:cs="宋体"/>
                <w:b/>
                <w:bCs/>
                <w:szCs w:val="21"/>
                <w:highlight w:val="none"/>
              </w:rPr>
              <w:t>二、商务要求</w:t>
            </w:r>
          </w:p>
        </w:tc>
      </w:tr>
      <w:tr w14:paraId="06BC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6D2290C1">
            <w:pPr>
              <w:snapToGrid w:val="0"/>
              <w:spacing w:line="360" w:lineRule="exact"/>
              <w:jc w:val="center"/>
              <w:rPr>
                <w:rFonts w:hint="eastAsia" w:ascii="宋体" w:hAnsi="宋体" w:cs="宋体"/>
                <w:szCs w:val="21"/>
                <w:highlight w:val="none"/>
              </w:rPr>
            </w:pPr>
            <w:r>
              <w:rPr>
                <w:rFonts w:ascii="Times New Roman" w:hAnsi="Times New Roman" w:cs="Times New Roman"/>
                <w:bCs/>
                <w:szCs w:val="21"/>
                <w:highlight w:val="none"/>
              </w:rPr>
              <w:t>（一）免费保修期</w:t>
            </w:r>
          </w:p>
        </w:tc>
        <w:tc>
          <w:tcPr>
            <w:tcW w:w="7022" w:type="dxa"/>
            <w:gridSpan w:val="3"/>
            <w:noWrap w:val="0"/>
            <w:vAlign w:val="top"/>
          </w:tcPr>
          <w:p w14:paraId="0DCE39C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免费保修期：</w:t>
            </w:r>
            <w:r>
              <w:rPr>
                <w:rFonts w:hint="eastAsia" w:ascii="宋体" w:hAnsi="宋体" w:cs="宋体"/>
                <w:bCs/>
                <w:color w:val="auto"/>
                <w:szCs w:val="21"/>
                <w:highlight w:val="none"/>
              </w:rPr>
              <w:t>按国家有关产品“三包”规定执行“三包”，免费保修期最短不得少于</w:t>
            </w:r>
            <w:r>
              <w:rPr>
                <w:rFonts w:hint="eastAsia" w:ascii="宋体" w:hAnsi="宋体" w:cs="宋体"/>
                <w:b/>
                <w:color w:val="auto"/>
                <w:szCs w:val="21"/>
                <w:highlight w:val="none"/>
                <w:u w:val="single"/>
              </w:rPr>
              <w:t>2年</w:t>
            </w:r>
            <w:r>
              <w:rPr>
                <w:rFonts w:hint="eastAsia" w:ascii="宋体" w:hAnsi="宋体" w:cs="宋体"/>
                <w:bCs/>
                <w:color w:val="auto"/>
                <w:szCs w:val="21"/>
                <w:highlight w:val="none"/>
              </w:rPr>
              <w:t>（免费保修期从设备验收合格之日起计算，项目要求及技术需求中规定的，按规定执行）。</w:t>
            </w:r>
            <w:r>
              <w:rPr>
                <w:rFonts w:hint="eastAsia" w:ascii="宋体" w:hAnsi="宋体" w:cs="宋体"/>
                <w:color w:val="auto"/>
                <w:highlight w:val="none"/>
              </w:rPr>
              <w:t>免费保修期内免费上门维修（免收维修费和元器件费）、免费更换零部件，并提供终身维修服务。</w:t>
            </w:r>
          </w:p>
        </w:tc>
      </w:tr>
      <w:tr w14:paraId="084B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13471C69">
            <w:pPr>
              <w:snapToGrid w:val="0"/>
              <w:spacing w:line="360" w:lineRule="exact"/>
              <w:jc w:val="center"/>
              <w:rPr>
                <w:rFonts w:hint="eastAsia" w:ascii="宋体" w:hAnsi="宋体" w:cs="宋体"/>
                <w:bCs/>
                <w:szCs w:val="21"/>
                <w:highlight w:val="none"/>
              </w:rPr>
            </w:pPr>
            <w:r>
              <w:rPr>
                <w:rFonts w:ascii="Times New Roman" w:hAnsi="Times New Roman" w:cs="Times New Roman"/>
                <w:szCs w:val="21"/>
                <w:highlight w:val="none"/>
              </w:rPr>
              <w:t>（二）售后服务要求</w:t>
            </w:r>
          </w:p>
        </w:tc>
        <w:tc>
          <w:tcPr>
            <w:tcW w:w="7022" w:type="dxa"/>
            <w:gridSpan w:val="3"/>
            <w:noWrap w:val="0"/>
            <w:vAlign w:val="top"/>
          </w:tcPr>
          <w:p w14:paraId="236464F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1．免费送货上门，免费按采购人要求安装调试，免费技术培训，直至操作人员熟练操作产品的各项功能。</w:t>
            </w:r>
          </w:p>
          <w:p w14:paraId="78954B2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售后服务要求：①免费保修期内接到报障电话在承诺时间内派工程技术人员上门维修解决问题，如果需要更换配件的，要求更换的配件应跟被更换的品牌、类型相一致或者是同类同档次的替代品，后者需征得用户方管理人员同意；②若产品自带软件的，则须提供免费保修期内免费升级服务。③其余按厂家承诺执行。</w:t>
            </w:r>
          </w:p>
        </w:tc>
      </w:tr>
      <w:tr w14:paraId="17E3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448A3C86">
            <w:pPr>
              <w:snapToGrid w:val="0"/>
              <w:spacing w:line="360" w:lineRule="exact"/>
              <w:jc w:val="center"/>
              <w:rPr>
                <w:rFonts w:hint="eastAsia" w:ascii="宋体" w:hAnsi="宋体" w:cs="宋体"/>
                <w:bCs/>
                <w:szCs w:val="21"/>
                <w:highlight w:val="none"/>
              </w:rPr>
            </w:pPr>
            <w:r>
              <w:rPr>
                <w:rFonts w:ascii="Times New Roman" w:hAnsi="Times New Roman" w:cs="Times New Roman"/>
                <w:szCs w:val="21"/>
                <w:highlight w:val="none"/>
              </w:rPr>
              <w:t>（三）合同签订时间</w:t>
            </w:r>
          </w:p>
        </w:tc>
        <w:tc>
          <w:tcPr>
            <w:tcW w:w="7022" w:type="dxa"/>
            <w:gridSpan w:val="3"/>
            <w:noWrap w:val="0"/>
            <w:vAlign w:val="top"/>
          </w:tcPr>
          <w:p w14:paraId="1846020F">
            <w:pPr>
              <w:spacing w:line="360" w:lineRule="auto"/>
              <w:rPr>
                <w:rFonts w:hint="eastAsia" w:ascii="宋体" w:hAnsi="宋体" w:cs="宋体"/>
                <w:color w:val="auto"/>
                <w:szCs w:val="21"/>
                <w:highlight w:val="none"/>
              </w:rPr>
            </w:pPr>
            <w:r>
              <w:rPr>
                <w:rFonts w:ascii="Times New Roman" w:hAnsi="Times New Roman" w:cs="Times New Roman"/>
                <w:color w:val="auto"/>
                <w:highlight w:val="none"/>
              </w:rPr>
              <w:t>自</w:t>
            </w:r>
            <w:r>
              <w:rPr>
                <w:rFonts w:hint="eastAsia" w:ascii="Times New Roman" w:hAnsi="Times New Roman" w:cs="Times New Roman"/>
                <w:color w:val="auto"/>
                <w:highlight w:val="none"/>
                <w:lang w:val="en-US" w:eastAsia="zh-CN"/>
              </w:rPr>
              <w:t>成交</w:t>
            </w:r>
            <w:r>
              <w:rPr>
                <w:rFonts w:ascii="Times New Roman" w:hAnsi="Times New Roman" w:cs="Times New Roman"/>
                <w:color w:val="auto"/>
                <w:highlight w:val="none"/>
              </w:rPr>
              <w:t>通知书发出之日起</w:t>
            </w:r>
            <w:r>
              <w:rPr>
                <w:rFonts w:ascii="Times New Roman" w:hAnsi="Times New Roman" w:cs="Times New Roman"/>
                <w:b w:val="0"/>
                <w:bCs/>
                <w:color w:val="auto"/>
                <w:szCs w:val="21"/>
                <w:highlight w:val="none"/>
                <w:u w:val="single"/>
              </w:rPr>
              <w:t xml:space="preserve"> </w:t>
            </w:r>
            <w:r>
              <w:rPr>
                <w:rFonts w:hint="eastAsia" w:ascii="宋体" w:hAnsi="宋体" w:eastAsia="宋体" w:cs="宋体"/>
                <w:b w:val="0"/>
                <w:bCs/>
                <w:color w:val="auto"/>
                <w:szCs w:val="21"/>
                <w:highlight w:val="none"/>
                <w:u w:val="single"/>
              </w:rPr>
              <w:t xml:space="preserve"> </w:t>
            </w:r>
            <w:r>
              <w:rPr>
                <w:rFonts w:hint="eastAsia" w:ascii="宋体" w:hAnsi="宋体" w:eastAsia="宋体" w:cs="宋体"/>
                <w:b w:val="0"/>
                <w:bCs/>
                <w:color w:val="auto"/>
                <w:szCs w:val="21"/>
                <w:highlight w:val="none"/>
                <w:u w:val="single"/>
                <w:lang w:val="en-US" w:eastAsia="zh-CN"/>
              </w:rPr>
              <w:t>25</w:t>
            </w:r>
            <w:r>
              <w:rPr>
                <w:rFonts w:ascii="Times New Roman" w:hAnsi="Times New Roman" w:cs="Times New Roman"/>
                <w:b w:val="0"/>
                <w:bCs/>
                <w:color w:val="auto"/>
                <w:szCs w:val="21"/>
                <w:highlight w:val="none"/>
                <w:u w:val="single"/>
              </w:rPr>
              <w:t xml:space="preserve"> 日</w:t>
            </w:r>
            <w:r>
              <w:rPr>
                <w:rFonts w:ascii="Times New Roman" w:hAnsi="Times New Roman" w:cs="Times New Roman"/>
                <w:color w:val="auto"/>
                <w:highlight w:val="none"/>
              </w:rPr>
              <w:t>内签订采购合同。</w:t>
            </w:r>
          </w:p>
        </w:tc>
      </w:tr>
      <w:tr w14:paraId="4D20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2FC6DAE6">
            <w:pPr>
              <w:spacing w:line="360" w:lineRule="exact"/>
              <w:jc w:val="center"/>
              <w:rPr>
                <w:rFonts w:hint="eastAsia" w:ascii="宋体" w:hAnsi="宋体" w:cs="宋体"/>
                <w:szCs w:val="21"/>
                <w:highlight w:val="none"/>
              </w:rPr>
            </w:pPr>
            <w:r>
              <w:rPr>
                <w:rFonts w:ascii="Times New Roman" w:hAnsi="Times New Roman" w:cs="Times New Roman"/>
                <w:szCs w:val="21"/>
                <w:highlight w:val="none"/>
              </w:rPr>
              <w:t>（四）交货期及地点</w:t>
            </w:r>
          </w:p>
        </w:tc>
        <w:tc>
          <w:tcPr>
            <w:tcW w:w="7022" w:type="dxa"/>
            <w:gridSpan w:val="3"/>
            <w:noWrap w:val="0"/>
            <w:vAlign w:val="center"/>
          </w:tcPr>
          <w:p w14:paraId="5E3FCF8F">
            <w:pPr>
              <w:spacing w:line="360" w:lineRule="auto"/>
              <w:rPr>
                <w:rFonts w:hint="eastAsia" w:ascii="Times New Roman" w:hAnsi="Times New Roman" w:eastAsia="宋体" w:cs="Times New Roman"/>
                <w:bCs/>
                <w:color w:val="auto"/>
                <w:szCs w:val="21"/>
                <w:highlight w:val="none"/>
                <w:lang w:eastAsia="zh-CN"/>
              </w:rPr>
            </w:pPr>
            <w:r>
              <w:rPr>
                <w:rFonts w:ascii="Times New Roman" w:hAnsi="Times New Roman" w:cs="Times New Roman"/>
                <w:color w:val="auto"/>
                <w:szCs w:val="21"/>
                <w:highlight w:val="none"/>
              </w:rPr>
              <w:t>1．</w:t>
            </w:r>
            <w:r>
              <w:rPr>
                <w:rFonts w:ascii="Times New Roman" w:hAnsi="Times New Roman" w:cs="Times New Roman"/>
                <w:bCs/>
                <w:color w:val="auto"/>
                <w:szCs w:val="21"/>
                <w:highlight w:val="none"/>
              </w:rPr>
              <w:t>交货期：</w:t>
            </w:r>
            <w:r>
              <w:rPr>
                <w:rFonts w:hint="eastAsia" w:ascii="宋体" w:hAnsi="宋体" w:eastAsia="宋体" w:cs="宋体"/>
                <w:color w:val="auto"/>
                <w:szCs w:val="21"/>
                <w:highlight w:val="none"/>
              </w:rPr>
              <w:t>自签订合同并接到采购人通知后的2</w:t>
            </w:r>
            <w:r>
              <w:rPr>
                <w:rFonts w:ascii="宋体" w:hAnsi="宋体" w:eastAsia="宋体" w:cs="宋体"/>
                <w:color w:val="auto"/>
                <w:szCs w:val="21"/>
                <w:highlight w:val="none"/>
              </w:rPr>
              <w:t>0</w:t>
            </w:r>
            <w:r>
              <w:rPr>
                <w:rFonts w:hint="eastAsia" w:ascii="宋体" w:hAnsi="宋体" w:eastAsia="宋体" w:cs="宋体"/>
                <w:color w:val="auto"/>
                <w:szCs w:val="21"/>
                <w:highlight w:val="none"/>
              </w:rPr>
              <w:t>个日历日内到货并全部安装调试合格完毕</w:t>
            </w:r>
            <w:r>
              <w:rPr>
                <w:rFonts w:hint="eastAsia" w:ascii="Times New Roman" w:hAnsi="Times New Roman" w:cs="Times New Roman"/>
                <w:color w:val="auto"/>
                <w:szCs w:val="21"/>
                <w:highlight w:val="none"/>
                <w:lang w:eastAsia="zh-CN"/>
              </w:rPr>
              <w:t>；</w:t>
            </w:r>
          </w:p>
          <w:p w14:paraId="64525A5E">
            <w:pPr>
              <w:spacing w:line="360" w:lineRule="auto"/>
              <w:rPr>
                <w:rFonts w:hint="eastAsia" w:ascii="宋体" w:hAnsi="宋体" w:cs="宋体"/>
                <w:color w:val="auto"/>
                <w:szCs w:val="21"/>
                <w:highlight w:val="none"/>
              </w:rPr>
            </w:pPr>
            <w:r>
              <w:rPr>
                <w:rFonts w:ascii="Times New Roman" w:hAnsi="Times New Roman" w:cs="Times New Roman"/>
                <w:color w:val="auto"/>
                <w:szCs w:val="21"/>
                <w:highlight w:val="none"/>
              </w:rPr>
              <w:t>2．交货地点：</w:t>
            </w:r>
            <w:r>
              <w:rPr>
                <w:rFonts w:ascii="宋体" w:hAnsi="宋体"/>
                <w:color w:val="auto"/>
                <w:szCs w:val="21"/>
                <w:highlight w:val="none"/>
              </w:rPr>
              <w:t>广西桂林市采购人指定地点</w:t>
            </w:r>
            <w:r>
              <w:rPr>
                <w:rFonts w:ascii="Times New Roman" w:hAnsi="Times New Roman" w:cs="Times New Roman"/>
                <w:color w:val="auto"/>
                <w:szCs w:val="21"/>
                <w:highlight w:val="none"/>
              </w:rPr>
              <w:t>。</w:t>
            </w:r>
          </w:p>
        </w:tc>
      </w:tr>
      <w:tr w14:paraId="581E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5CC1B017">
            <w:pPr>
              <w:spacing w:line="360" w:lineRule="auto"/>
              <w:jc w:val="center"/>
              <w:rPr>
                <w:rFonts w:hint="eastAsia" w:ascii="宋体" w:hAnsi="宋体" w:cs="宋体"/>
                <w:szCs w:val="21"/>
                <w:highlight w:val="none"/>
              </w:rPr>
            </w:pPr>
            <w:r>
              <w:rPr>
                <w:rFonts w:hint="eastAsia" w:ascii="宋体" w:hAnsi="宋体" w:cs="宋体"/>
                <w:szCs w:val="21"/>
                <w:highlight w:val="none"/>
              </w:rPr>
              <w:t>（五）付款方式</w:t>
            </w:r>
          </w:p>
        </w:tc>
        <w:tc>
          <w:tcPr>
            <w:tcW w:w="7022" w:type="dxa"/>
            <w:gridSpan w:val="3"/>
            <w:noWrap w:val="0"/>
            <w:vAlign w:val="top"/>
          </w:tcPr>
          <w:p w14:paraId="5C976867">
            <w:pPr>
              <w:spacing w:line="360" w:lineRule="auto"/>
              <w:rPr>
                <w:rFonts w:hint="eastAsia" w:ascii="宋体" w:hAnsi="宋体" w:cs="宋体"/>
                <w:bCs/>
                <w:szCs w:val="21"/>
                <w:highlight w:val="none"/>
              </w:rPr>
            </w:pPr>
            <w:r>
              <w:rPr>
                <w:rFonts w:hint="eastAsia" w:ascii="宋体" w:hAnsi="宋体" w:cs="宋体"/>
                <w:szCs w:val="21"/>
                <w:highlight w:val="none"/>
              </w:rPr>
              <w:t>付款方式：</w:t>
            </w:r>
            <w:r>
              <w:rPr>
                <w:rFonts w:hint="eastAsia" w:ascii="宋体" w:hAnsi="宋体" w:eastAsia="宋体" w:cs="宋体"/>
                <w:color w:val="auto"/>
                <w:highlight w:val="none"/>
              </w:rPr>
              <w:t>本项目通过最终验收后，成交供应商开具全额发票（国产设备必须开具增值税专用发票）给采购人，采购人收到发票后10个工作日内一次性付清100%的合同价款（无息）。</w:t>
            </w:r>
          </w:p>
        </w:tc>
      </w:tr>
      <w:tr w14:paraId="217F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12279E0E">
            <w:pPr>
              <w:adjustRightInd w:val="0"/>
              <w:snapToGrid w:val="0"/>
              <w:spacing w:line="360" w:lineRule="exact"/>
              <w:jc w:val="center"/>
              <w:rPr>
                <w:rFonts w:hint="eastAsia" w:ascii="宋体" w:hAnsi="宋体" w:cs="宋体"/>
                <w:szCs w:val="21"/>
                <w:highlight w:val="none"/>
              </w:rPr>
            </w:pPr>
            <w:r>
              <w:rPr>
                <w:rFonts w:ascii="Times New Roman" w:hAnsi="Times New Roman" w:cs="Times New Roman"/>
                <w:szCs w:val="21"/>
                <w:highlight w:val="none"/>
              </w:rPr>
              <w:t>（六）包装和运输</w:t>
            </w:r>
          </w:p>
        </w:tc>
        <w:tc>
          <w:tcPr>
            <w:tcW w:w="7022" w:type="dxa"/>
            <w:gridSpan w:val="3"/>
            <w:noWrap w:val="0"/>
            <w:vAlign w:val="center"/>
          </w:tcPr>
          <w:p w14:paraId="2A9C124E">
            <w:pPr>
              <w:adjustRightInd w:val="0"/>
              <w:snapToGrid w:val="0"/>
              <w:spacing w:line="360" w:lineRule="auto"/>
              <w:rPr>
                <w:rFonts w:hint="eastAsia" w:ascii="宋体" w:hAnsi="宋体" w:cs="宋体"/>
                <w:szCs w:val="21"/>
                <w:highlight w:val="none"/>
              </w:rPr>
            </w:pPr>
            <w:r>
              <w:rPr>
                <w:rFonts w:hint="eastAsia" w:ascii="宋体" w:hAnsi="宋体" w:cs="宋体"/>
                <w:szCs w:val="21"/>
                <w:highlight w:val="none"/>
              </w:rPr>
              <w:t>1.原厂原包装，包装完好、完整无破损、未开封。</w:t>
            </w:r>
          </w:p>
          <w:p w14:paraId="472674A8">
            <w:pPr>
              <w:adjustRightInd w:val="0"/>
              <w:snapToGrid w:val="0"/>
              <w:spacing w:line="360" w:lineRule="auto"/>
              <w:rPr>
                <w:rFonts w:hint="eastAsia" w:ascii="宋体" w:hAnsi="宋体" w:cs="宋体"/>
                <w:szCs w:val="21"/>
                <w:highlight w:val="none"/>
              </w:rPr>
            </w:pPr>
            <w:r>
              <w:rPr>
                <w:rFonts w:hint="eastAsia" w:ascii="宋体" w:hAnsi="宋体" w:cs="宋体"/>
                <w:szCs w:val="21"/>
                <w:highlight w:val="none"/>
              </w:rPr>
              <w:t>2.包装及运输方式应综合考虑运输距离、防潮、防震、防锈和防破损装卸等要求。</w:t>
            </w:r>
          </w:p>
          <w:p w14:paraId="5427D2F6">
            <w:pPr>
              <w:adjustRightInd w:val="0"/>
              <w:snapToGrid w:val="0"/>
              <w:spacing w:line="360" w:lineRule="auto"/>
              <w:rPr>
                <w:rFonts w:hint="eastAsia" w:ascii="宋体" w:hAnsi="宋体" w:cs="宋体"/>
                <w:szCs w:val="21"/>
                <w:highlight w:val="none"/>
              </w:rPr>
            </w:pPr>
            <w:r>
              <w:rPr>
                <w:rFonts w:hint="eastAsia" w:ascii="宋体" w:hAnsi="宋体" w:cs="宋体"/>
                <w:szCs w:val="21"/>
                <w:highlight w:val="none"/>
              </w:rPr>
              <w:t>3.国家对包装及运输有相关强制性标准或要求的，</w:t>
            </w:r>
            <w:r>
              <w:rPr>
                <w:rFonts w:hint="eastAsia" w:ascii="宋体" w:hAnsi="宋体" w:eastAsia="宋体" w:cs="宋体"/>
                <w:color w:val="auto"/>
                <w:highlight w:val="none"/>
              </w:rPr>
              <w:t>成交供应商</w:t>
            </w:r>
            <w:r>
              <w:rPr>
                <w:rFonts w:hint="eastAsia" w:ascii="宋体" w:hAnsi="宋体" w:cs="宋体"/>
                <w:szCs w:val="21"/>
                <w:highlight w:val="none"/>
              </w:rPr>
              <w:t>应当执行。</w:t>
            </w:r>
          </w:p>
          <w:p w14:paraId="096C64C2">
            <w:pPr>
              <w:adjustRightInd w:val="0"/>
              <w:snapToGrid w:val="0"/>
              <w:spacing w:line="360" w:lineRule="auto"/>
              <w:rPr>
                <w:rFonts w:hint="eastAsia" w:ascii="宋体" w:hAnsi="宋体" w:cs="宋体"/>
                <w:szCs w:val="21"/>
                <w:highlight w:val="none"/>
              </w:rPr>
            </w:pPr>
            <w:r>
              <w:rPr>
                <w:rFonts w:hint="eastAsia" w:ascii="宋体" w:hAnsi="宋体" w:cs="宋体"/>
                <w:szCs w:val="21"/>
                <w:highlight w:val="none"/>
              </w:rPr>
              <w:t>4.产品（含包装）运抵采购人指定交付地点前发生损坏的，相关损失</w:t>
            </w:r>
            <w:r>
              <w:rPr>
                <w:rFonts w:hint="eastAsia" w:ascii="宋体" w:hAnsi="宋体" w:cs="宋体"/>
                <w:color w:val="auto"/>
                <w:szCs w:val="21"/>
                <w:highlight w:val="none"/>
              </w:rPr>
              <w:t>由</w:t>
            </w:r>
            <w:r>
              <w:rPr>
                <w:rFonts w:hint="eastAsia"/>
                <w:color w:val="auto"/>
                <w:highlight w:val="none"/>
              </w:rPr>
              <w:t>成交供应商</w:t>
            </w:r>
            <w:r>
              <w:rPr>
                <w:rFonts w:hint="eastAsia" w:ascii="宋体" w:hAnsi="宋体" w:cs="宋体"/>
                <w:color w:val="auto"/>
                <w:szCs w:val="21"/>
                <w:highlight w:val="none"/>
              </w:rPr>
              <w:t>自行承担。</w:t>
            </w:r>
          </w:p>
        </w:tc>
      </w:tr>
      <w:tr w14:paraId="61E8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4A4A5E1E">
            <w:pPr>
              <w:adjustRightInd w:val="0"/>
              <w:snapToGrid w:val="0"/>
              <w:spacing w:line="360" w:lineRule="exact"/>
              <w:jc w:val="center"/>
              <w:rPr>
                <w:rFonts w:hint="eastAsia" w:ascii="宋体" w:hAnsi="宋体" w:cs="宋体"/>
                <w:szCs w:val="21"/>
                <w:highlight w:val="none"/>
              </w:rPr>
            </w:pPr>
            <w:r>
              <w:rPr>
                <w:rFonts w:ascii="Times New Roman" w:hAnsi="Times New Roman" w:cs="Times New Roman"/>
                <w:szCs w:val="21"/>
                <w:highlight w:val="none"/>
              </w:rPr>
              <w:t>（七）保险</w:t>
            </w:r>
          </w:p>
        </w:tc>
        <w:tc>
          <w:tcPr>
            <w:tcW w:w="7022" w:type="dxa"/>
            <w:gridSpan w:val="3"/>
            <w:noWrap w:val="0"/>
            <w:vAlign w:val="center"/>
          </w:tcPr>
          <w:p w14:paraId="42728F84">
            <w:pPr>
              <w:adjustRightInd w:val="0"/>
              <w:snapToGrid w:val="0"/>
              <w:spacing w:line="360" w:lineRule="auto"/>
              <w:rPr>
                <w:rFonts w:hint="eastAsia" w:ascii="宋体" w:hAnsi="宋体" w:cs="宋体"/>
                <w:szCs w:val="21"/>
                <w:highlight w:val="none"/>
              </w:rPr>
            </w:pPr>
            <w:r>
              <w:rPr>
                <w:rFonts w:ascii="Times New Roman" w:hAnsi="Times New Roman" w:cs="Times New Roman"/>
                <w:bCs/>
                <w:kern w:val="0"/>
                <w:szCs w:val="21"/>
                <w:highlight w:val="none"/>
              </w:rPr>
              <w:t>若</w:t>
            </w:r>
            <w:r>
              <w:rPr>
                <w:rFonts w:hint="eastAsia" w:ascii="Times New Roman" w:hAnsi="Times New Roman" w:cs="Times New Roman"/>
                <w:bCs/>
                <w:kern w:val="0"/>
                <w:szCs w:val="21"/>
                <w:highlight w:val="none"/>
                <w:lang w:val="en-US" w:eastAsia="zh-CN"/>
              </w:rPr>
              <w:t>供应商</w:t>
            </w:r>
            <w:r>
              <w:rPr>
                <w:rFonts w:ascii="Times New Roman" w:hAnsi="Times New Roman" w:cs="Times New Roman"/>
                <w:bCs/>
                <w:kern w:val="0"/>
                <w:szCs w:val="21"/>
                <w:highlight w:val="none"/>
              </w:rPr>
              <w:t>为本项目标的及标的涉及的相关材料、设备、人员、运输等购买保险的，相关费用由</w:t>
            </w:r>
            <w:r>
              <w:rPr>
                <w:rFonts w:hint="eastAsia" w:ascii="Times New Roman" w:hAnsi="Times New Roman" w:cs="Times New Roman"/>
                <w:bCs/>
                <w:kern w:val="0"/>
                <w:szCs w:val="21"/>
                <w:highlight w:val="none"/>
                <w:lang w:val="en-US" w:eastAsia="zh-CN"/>
              </w:rPr>
              <w:t>供应商</w:t>
            </w:r>
            <w:r>
              <w:rPr>
                <w:rFonts w:ascii="Times New Roman" w:hAnsi="Times New Roman" w:cs="Times New Roman"/>
                <w:bCs/>
                <w:kern w:val="0"/>
                <w:szCs w:val="21"/>
                <w:highlight w:val="none"/>
              </w:rPr>
              <w:t>自行承担。</w:t>
            </w:r>
          </w:p>
        </w:tc>
      </w:tr>
      <w:tr w14:paraId="6B56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2D554CA9">
            <w:pPr>
              <w:widowControl/>
              <w:spacing w:line="360" w:lineRule="auto"/>
              <w:jc w:val="center"/>
              <w:rPr>
                <w:rFonts w:hint="eastAsia" w:ascii="宋体" w:hAnsi="宋体" w:cs="宋体"/>
                <w:szCs w:val="21"/>
                <w:highlight w:val="none"/>
              </w:rPr>
            </w:pPr>
            <w:r>
              <w:rPr>
                <w:rFonts w:hint="eastAsia" w:ascii="宋体" w:hAnsi="宋体" w:cs="宋体"/>
                <w:bCs/>
                <w:kern w:val="0"/>
                <w:szCs w:val="21"/>
                <w:highlight w:val="none"/>
              </w:rPr>
              <w:t>（八）验收标准</w:t>
            </w:r>
          </w:p>
        </w:tc>
        <w:tc>
          <w:tcPr>
            <w:tcW w:w="7022" w:type="dxa"/>
            <w:gridSpan w:val="3"/>
            <w:noWrap w:val="0"/>
            <w:vAlign w:val="top"/>
          </w:tcPr>
          <w:p w14:paraId="4826B11C">
            <w:pPr>
              <w:spacing w:line="360" w:lineRule="auto"/>
              <w:rPr>
                <w:rFonts w:hint="eastAsia" w:ascii="宋体" w:hAnsi="宋体" w:cs="宋体"/>
                <w:szCs w:val="21"/>
                <w:highlight w:val="none"/>
              </w:rPr>
            </w:pPr>
            <w:r>
              <w:rPr>
                <w:rFonts w:hint="eastAsia" w:ascii="宋体" w:hAnsi="宋体" w:cs="宋体"/>
                <w:szCs w:val="21"/>
                <w:highlight w:val="none"/>
              </w:rPr>
              <w:t>（1）质量标准：</w:t>
            </w:r>
            <w:r>
              <w:rPr>
                <w:rFonts w:hint="eastAsia" w:ascii="宋体" w:hAnsi="宋体" w:cs="宋体"/>
                <w:szCs w:val="21"/>
                <w:highlight w:val="none"/>
              </w:rPr>
              <w:t>本项目执行国家相关标准、行业标准、地方标准或者其他标准、规范。如具体采购需求与标准、规范不一致的，高于标准、规范的按具体采购需求执行；低于标准、规范的按标准、规范执行。</w:t>
            </w:r>
            <w:r>
              <w:rPr>
                <w:rFonts w:hint="eastAsia" w:ascii="宋体" w:hAnsi="宋体" w:cs="宋体"/>
                <w:szCs w:val="21"/>
                <w:highlight w:val="none"/>
                <w:lang w:val="en-US" w:eastAsia="zh-CN"/>
              </w:rPr>
              <w:t>供应商</w:t>
            </w:r>
            <w:r>
              <w:rPr>
                <w:rFonts w:hint="eastAsia" w:ascii="宋体" w:hAnsi="宋体" w:cs="宋体"/>
                <w:szCs w:val="21"/>
                <w:highlight w:val="none"/>
              </w:rPr>
              <w:t>所提供的产品必须是全新、完好、无破损、未经使用的原装产品，产品符合制造厂家合格产品的出厂质量标准，且在正常安装、使用和保养条件下，其使用寿命期内各项指标均达到质量要求。</w:t>
            </w:r>
          </w:p>
          <w:p w14:paraId="74B6FA66">
            <w:pPr>
              <w:spacing w:line="360" w:lineRule="auto"/>
              <w:rPr>
                <w:rFonts w:hint="eastAsia" w:ascii="宋体" w:hAnsi="宋体" w:cs="宋体"/>
                <w:szCs w:val="21"/>
                <w:highlight w:val="none"/>
              </w:rPr>
            </w:pPr>
            <w:r>
              <w:rPr>
                <w:rFonts w:hint="eastAsia" w:ascii="宋体" w:hAnsi="宋体" w:cs="宋体"/>
                <w:szCs w:val="21"/>
                <w:highlight w:val="none"/>
              </w:rPr>
              <w:t>（2）产品到货后，采购人现场根据</w:t>
            </w:r>
            <w:r>
              <w:rPr>
                <w:rFonts w:hint="eastAsia" w:ascii="宋体" w:hAnsi="宋体" w:cs="宋体"/>
                <w:szCs w:val="21"/>
                <w:highlight w:val="none"/>
                <w:lang w:val="en-US" w:eastAsia="zh-CN"/>
              </w:rPr>
              <w:t>采购</w:t>
            </w:r>
            <w:r>
              <w:rPr>
                <w:rFonts w:hint="eastAsia" w:ascii="宋体" w:hAnsi="宋体" w:cs="宋体"/>
                <w:szCs w:val="21"/>
                <w:highlight w:val="none"/>
              </w:rPr>
              <w:t>文件要求及</w:t>
            </w:r>
            <w:r>
              <w:rPr>
                <w:rFonts w:hint="eastAsia" w:ascii="宋体" w:hAnsi="宋体" w:cs="宋体"/>
                <w:szCs w:val="21"/>
                <w:highlight w:val="none"/>
                <w:lang w:val="en-US" w:eastAsia="zh-CN"/>
              </w:rPr>
              <w:t>响应</w:t>
            </w:r>
            <w:r>
              <w:rPr>
                <w:rFonts w:hint="eastAsia" w:ascii="宋体" w:hAnsi="宋体" w:cs="宋体"/>
                <w:szCs w:val="21"/>
                <w:highlight w:val="none"/>
              </w:rPr>
              <w:t>文件承诺逐条对应进行核验（含测试或试运行），核验不合格的，采购人有权不予验收，同时报相关监督管理部门，由此造成采购人经济损失的由</w:t>
            </w:r>
            <w:r>
              <w:rPr>
                <w:rFonts w:hint="eastAsia" w:ascii="宋体" w:hAnsi="宋体" w:cs="宋体"/>
                <w:szCs w:val="21"/>
                <w:highlight w:val="none"/>
                <w:lang w:val="en-US" w:eastAsia="zh-CN"/>
              </w:rPr>
              <w:t>成交供应商</w:t>
            </w:r>
            <w:r>
              <w:rPr>
                <w:rFonts w:hint="eastAsia" w:ascii="宋体" w:hAnsi="宋体" w:cs="宋体"/>
                <w:szCs w:val="21"/>
                <w:highlight w:val="none"/>
              </w:rPr>
              <w:t>负责承担全部赔偿责任。</w:t>
            </w:r>
          </w:p>
          <w:p w14:paraId="19331B94">
            <w:pPr>
              <w:spacing w:line="360" w:lineRule="auto"/>
              <w:rPr>
                <w:rFonts w:hint="eastAsia" w:ascii="宋体" w:hAnsi="宋体" w:cs="宋体"/>
                <w:szCs w:val="21"/>
                <w:highlight w:val="none"/>
              </w:rPr>
            </w:pPr>
            <w:r>
              <w:rPr>
                <w:rFonts w:hint="eastAsia" w:ascii="宋体" w:hAnsi="宋体" w:cs="宋体"/>
                <w:szCs w:val="21"/>
                <w:highlight w:val="none"/>
              </w:rPr>
              <w:t>（3）设备开机试运行，测试设备的技术性能指标，确认各项功能正常运行，同时检查随机文件应齐整。</w:t>
            </w:r>
          </w:p>
          <w:p w14:paraId="14FAEEC6">
            <w:pPr>
              <w:spacing w:line="360" w:lineRule="auto"/>
              <w:rPr>
                <w:rFonts w:hint="eastAsia" w:ascii="宋体" w:hAnsi="宋体" w:cs="宋体"/>
                <w:szCs w:val="21"/>
                <w:highlight w:val="none"/>
              </w:rPr>
            </w:pPr>
            <w:r>
              <w:rPr>
                <w:rFonts w:hint="eastAsia" w:ascii="宋体" w:hAnsi="宋体" w:cs="宋体"/>
                <w:szCs w:val="21"/>
                <w:highlight w:val="none"/>
              </w:rPr>
              <w:t>（4）验收时，采购人有权邀请国家认可的第三方检测计量单位到现场进行校准，并出具校准报告，所涉及的相关费用由</w:t>
            </w:r>
            <w:r>
              <w:rPr>
                <w:rFonts w:hint="eastAsia" w:ascii="宋体" w:hAnsi="宋体" w:cs="宋体"/>
                <w:szCs w:val="21"/>
                <w:highlight w:val="none"/>
                <w:lang w:val="en-US" w:eastAsia="zh-CN"/>
              </w:rPr>
              <w:t>成交供应商</w:t>
            </w:r>
            <w:r>
              <w:rPr>
                <w:rFonts w:hint="eastAsia" w:ascii="宋体" w:hAnsi="宋体" w:cs="宋体"/>
                <w:szCs w:val="21"/>
                <w:highlight w:val="none"/>
              </w:rPr>
              <w:t>承担（</w:t>
            </w:r>
            <w:r>
              <w:rPr>
                <w:rFonts w:hint="eastAsia" w:ascii="宋体" w:hAnsi="宋体" w:cs="宋体"/>
                <w:szCs w:val="21"/>
                <w:highlight w:val="none"/>
                <w:lang w:eastAsia="zh-CN"/>
              </w:rPr>
              <w:t>供应商</w:t>
            </w:r>
            <w:r>
              <w:rPr>
                <w:rFonts w:hint="eastAsia" w:ascii="宋体" w:hAnsi="宋体" w:cs="宋体"/>
                <w:szCs w:val="21"/>
                <w:highlight w:val="none"/>
              </w:rPr>
              <w:t>自行将费用综合考虑进入</w:t>
            </w:r>
            <w:r>
              <w:rPr>
                <w:rFonts w:hint="eastAsia" w:ascii="宋体" w:hAnsi="宋体" w:cs="宋体"/>
                <w:szCs w:val="21"/>
                <w:highlight w:val="none"/>
                <w:lang w:val="en-US" w:eastAsia="zh-CN"/>
              </w:rPr>
              <w:t>竞</w:t>
            </w:r>
            <w:r>
              <w:rPr>
                <w:rFonts w:hint="eastAsia" w:ascii="宋体" w:hAnsi="宋体" w:cs="宋体"/>
                <w:szCs w:val="21"/>
                <w:highlight w:val="none"/>
              </w:rPr>
              <w:t>标报价中），采购人不再另行支付。校准不合格的，采购人不予验收。</w:t>
            </w:r>
          </w:p>
          <w:p w14:paraId="78AD27F8">
            <w:pPr>
              <w:spacing w:line="360" w:lineRule="auto"/>
              <w:rPr>
                <w:rFonts w:hint="eastAsia" w:ascii="宋体" w:hAnsi="宋体" w:cs="宋体"/>
                <w:szCs w:val="21"/>
                <w:highlight w:val="none"/>
              </w:rPr>
            </w:pPr>
            <w:r>
              <w:rPr>
                <w:rFonts w:hint="eastAsia" w:ascii="宋体" w:hAnsi="宋体" w:cs="宋体"/>
                <w:szCs w:val="21"/>
                <w:highlight w:val="none"/>
              </w:rPr>
              <w:t>（5）因产品质量问题发生争议的，应邀请国家认可的质量检测机构对产品质量进行鉴定。产品符合标准的，鉴定费由采购人承担；产品不符合标准的，鉴定费由</w:t>
            </w:r>
            <w:r>
              <w:rPr>
                <w:rFonts w:hint="eastAsia" w:ascii="宋体" w:hAnsi="宋体" w:cs="宋体"/>
                <w:szCs w:val="21"/>
                <w:highlight w:val="none"/>
                <w:lang w:val="en-US" w:eastAsia="zh-CN"/>
              </w:rPr>
              <w:t>成交供应商</w:t>
            </w:r>
            <w:r>
              <w:rPr>
                <w:rFonts w:hint="eastAsia" w:ascii="宋体" w:hAnsi="宋体" w:cs="宋体"/>
                <w:szCs w:val="21"/>
                <w:highlight w:val="none"/>
              </w:rPr>
              <w:t>承担。</w:t>
            </w:r>
          </w:p>
        </w:tc>
      </w:tr>
      <w:tr w14:paraId="7754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2638457B">
            <w:pPr>
              <w:spacing w:line="360" w:lineRule="auto"/>
              <w:jc w:val="center"/>
              <w:rPr>
                <w:rFonts w:hint="eastAsia" w:ascii="宋体" w:hAnsi="宋体" w:cs="宋体"/>
                <w:szCs w:val="21"/>
                <w:highlight w:val="none"/>
              </w:rPr>
            </w:pPr>
            <w:r>
              <w:rPr>
                <w:rFonts w:hint="eastAsia" w:ascii="宋体" w:hAnsi="宋体" w:cs="宋体"/>
                <w:szCs w:val="21"/>
                <w:highlight w:val="none"/>
              </w:rPr>
              <w:t>（九）知识产权</w:t>
            </w:r>
          </w:p>
        </w:tc>
        <w:tc>
          <w:tcPr>
            <w:tcW w:w="7022" w:type="dxa"/>
            <w:gridSpan w:val="3"/>
            <w:noWrap w:val="0"/>
            <w:vAlign w:val="top"/>
          </w:tcPr>
          <w:p w14:paraId="08B4B09F">
            <w:pPr>
              <w:spacing w:line="360" w:lineRule="auto"/>
              <w:jc w:val="left"/>
              <w:rPr>
                <w:rFonts w:hint="eastAsia" w:ascii="宋体" w:hAnsi="宋体" w:cs="宋体"/>
                <w:szCs w:val="21"/>
                <w:highlight w:val="none"/>
              </w:rPr>
            </w:pPr>
            <w:r>
              <w:rPr>
                <w:rFonts w:hint="eastAsia" w:ascii="宋体" w:hAnsi="宋体" w:cs="宋体"/>
                <w:szCs w:val="21"/>
                <w:highlight w:val="none"/>
                <w:lang w:val="en-US" w:eastAsia="zh-CN"/>
              </w:rPr>
              <w:t>供应商</w:t>
            </w:r>
            <w:r>
              <w:rPr>
                <w:rFonts w:hint="eastAsia" w:ascii="宋体" w:hAnsi="宋体" w:cs="宋体"/>
                <w:szCs w:val="21"/>
                <w:highlight w:val="none"/>
              </w:rPr>
              <w:t>保证所提供的产品及服务涉及到的知识产权和相关技术资料是合法取得的，采购人在使用产品及服务时不会侵犯任何第三方的专利权、商标权、工业设计权或其他权利，不会因为采购人的使用遭受第三方侵权指控，包括被责令致歉、停止使用、追偿或要求赔偿损失等。否则，</w:t>
            </w:r>
            <w:r>
              <w:rPr>
                <w:rFonts w:hint="eastAsia" w:ascii="宋体" w:hAnsi="宋体" w:cs="宋体"/>
                <w:szCs w:val="21"/>
                <w:highlight w:val="none"/>
                <w:lang w:val="en-US" w:eastAsia="zh-CN"/>
              </w:rPr>
              <w:t>供应商</w:t>
            </w:r>
            <w:r>
              <w:rPr>
                <w:rFonts w:hint="eastAsia" w:ascii="宋体" w:hAnsi="宋体" w:cs="宋体"/>
                <w:szCs w:val="21"/>
                <w:highlight w:val="none"/>
              </w:rPr>
              <w:t>负责解决由此引起的一切纠纷，采购人有权追究</w:t>
            </w:r>
            <w:r>
              <w:rPr>
                <w:rFonts w:hint="eastAsia" w:ascii="宋体" w:hAnsi="宋体" w:cs="宋体"/>
                <w:szCs w:val="21"/>
                <w:highlight w:val="none"/>
                <w:lang w:val="en-US" w:eastAsia="zh-CN"/>
              </w:rPr>
              <w:t>成交供应商</w:t>
            </w:r>
            <w:r>
              <w:rPr>
                <w:rFonts w:hint="eastAsia" w:ascii="宋体" w:hAnsi="宋体" w:cs="宋体"/>
                <w:szCs w:val="21"/>
                <w:highlight w:val="none"/>
              </w:rPr>
              <w:t>的法律责任，其不利后果由</w:t>
            </w:r>
            <w:r>
              <w:rPr>
                <w:rFonts w:hint="eastAsia" w:ascii="宋体" w:hAnsi="宋体" w:cs="宋体"/>
                <w:szCs w:val="21"/>
                <w:highlight w:val="none"/>
                <w:lang w:val="en-US" w:eastAsia="zh-CN"/>
              </w:rPr>
              <w:t>供应商</w:t>
            </w:r>
            <w:r>
              <w:rPr>
                <w:rFonts w:hint="eastAsia" w:ascii="宋体" w:hAnsi="宋体" w:cs="宋体"/>
                <w:szCs w:val="21"/>
                <w:highlight w:val="none"/>
              </w:rPr>
              <w:t>全部承担。</w:t>
            </w:r>
          </w:p>
        </w:tc>
      </w:tr>
      <w:tr w14:paraId="770C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031CADF7">
            <w:pPr>
              <w:spacing w:line="360" w:lineRule="auto"/>
              <w:jc w:val="center"/>
              <w:rPr>
                <w:rFonts w:hint="eastAsia" w:ascii="宋体" w:hAnsi="宋体" w:cs="宋体"/>
                <w:szCs w:val="21"/>
                <w:highlight w:val="none"/>
              </w:rPr>
            </w:pPr>
            <w:r>
              <w:rPr>
                <w:rFonts w:hint="eastAsia" w:ascii="宋体" w:hAnsi="宋体" w:cs="宋体"/>
                <w:szCs w:val="21"/>
                <w:highlight w:val="none"/>
              </w:rPr>
              <w:t>（十）履约保证金</w:t>
            </w:r>
          </w:p>
        </w:tc>
        <w:tc>
          <w:tcPr>
            <w:tcW w:w="7022" w:type="dxa"/>
            <w:gridSpan w:val="3"/>
            <w:noWrap w:val="0"/>
            <w:vAlign w:val="top"/>
          </w:tcPr>
          <w:p w14:paraId="427BCEDA">
            <w:pPr>
              <w:spacing w:line="360" w:lineRule="auto"/>
              <w:jc w:val="left"/>
              <w:rPr>
                <w:rFonts w:ascii="Times New Roman" w:hAnsi="Times New Roman" w:eastAsia="宋体" w:cs="Times New Roman"/>
                <w:szCs w:val="21"/>
                <w:highlight w:val="none"/>
              </w:rPr>
            </w:pPr>
            <w:r>
              <w:rPr>
                <w:rFonts w:hint="default" w:ascii="Times New Roman" w:hAnsi="Times New Roman" w:eastAsia="宋体" w:cs="Times New Roman"/>
                <w:szCs w:val="21"/>
                <w:highlight w:val="none"/>
              </w:rPr>
              <w:t>履约保证金：在合同签订之前，成交供应商按成交金额的5%（如成交供应商为中小微企业的，按成交金额的2%））向采购人交纳履约保证金。履约保证金交纳方式：转账或电汇等非现金形式。履约保证金指定账户【开户名称：桂林理工大学，开户银行：中国银行桂林分行，账号：613257488744】。成交供应商须按上述规定的金额、方式将履约保证金转入桂林理工大学账户。否则，不予签订合同。</w:t>
            </w:r>
          </w:p>
          <w:p w14:paraId="3F637C14">
            <w:pPr>
              <w:widowControl/>
              <w:spacing w:line="360" w:lineRule="auto"/>
              <w:jc w:val="left"/>
              <w:rPr>
                <w:rFonts w:hint="eastAsia" w:ascii="宋体" w:hAnsi="宋体" w:cs="宋体"/>
                <w:szCs w:val="21"/>
                <w:highlight w:val="none"/>
              </w:rPr>
            </w:pPr>
            <w:r>
              <w:rPr>
                <w:rFonts w:hint="default" w:ascii="Times New Roman" w:hAnsi="Times New Roman" w:eastAsia="宋体" w:cs="Times New Roman"/>
                <w:color w:val="000000"/>
                <w:szCs w:val="21"/>
                <w:highlight w:val="none"/>
              </w:rPr>
              <w:t>履约保证金在成交供应商履行完合同约定的权利义务（包括免费保修服务等）事项后7个工作日内，由成交供应商凭履约保证金的申请表及合同向采购人申请办理履约保证金退还手续，采购人在收到合格材料后5个工作日内以银行转账方式如数退还（不计利息）。</w:t>
            </w:r>
          </w:p>
        </w:tc>
      </w:tr>
      <w:tr w14:paraId="1A37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45E666F8">
            <w:pPr>
              <w:spacing w:line="360" w:lineRule="auto"/>
              <w:jc w:val="center"/>
              <w:rPr>
                <w:rFonts w:hint="eastAsia" w:ascii="宋体" w:hAnsi="宋体" w:cs="宋体"/>
                <w:szCs w:val="21"/>
                <w:highlight w:val="none"/>
              </w:rPr>
            </w:pPr>
            <w:r>
              <w:rPr>
                <w:rFonts w:hint="eastAsia" w:ascii="宋体" w:hAnsi="宋体" w:cs="宋体"/>
                <w:szCs w:val="21"/>
                <w:highlight w:val="none"/>
              </w:rPr>
              <w:t>（十一）违约责任</w:t>
            </w:r>
          </w:p>
        </w:tc>
        <w:tc>
          <w:tcPr>
            <w:tcW w:w="7022" w:type="dxa"/>
            <w:gridSpan w:val="3"/>
            <w:noWrap w:val="0"/>
            <w:vAlign w:val="top"/>
          </w:tcPr>
          <w:p w14:paraId="4A2E46FD">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1.乙方所提供的产品名称、生产厂家、品牌、规格型号、技术参数等不符合投标（响应）文件承诺或质量不合格的，应在</w:t>
            </w:r>
            <w:r>
              <w:rPr>
                <w:rFonts w:hint="eastAsia" w:ascii="宋体" w:hAnsi="宋体" w:eastAsia="宋体" w:cs="宋体"/>
                <w:highlight w:val="none"/>
                <w:u w:val="single"/>
              </w:rPr>
              <w:t>2</w:t>
            </w:r>
            <w:r>
              <w:rPr>
                <w:rFonts w:hint="eastAsia" w:ascii="宋体" w:hAnsi="宋体" w:eastAsia="宋体" w:cs="宋体"/>
                <w:szCs w:val="21"/>
                <w:highlight w:val="none"/>
              </w:rPr>
              <w:t xml:space="preserve">日内及时更换，更换不及时的按逾期交货处罚；因质量问题甲方不同意接收的或特殊情况甲方同意接收的，乙方应向甲方支付违约货款额 </w:t>
            </w:r>
            <w:r>
              <w:rPr>
                <w:rFonts w:hint="eastAsia" w:ascii="宋体" w:hAnsi="宋体" w:eastAsia="宋体" w:cs="宋体"/>
                <w:szCs w:val="21"/>
                <w:highlight w:val="none"/>
                <w:u w:val="single"/>
              </w:rPr>
              <w:t>5%</w:t>
            </w:r>
            <w:r>
              <w:rPr>
                <w:rFonts w:hint="eastAsia" w:ascii="宋体" w:hAnsi="宋体" w:eastAsia="宋体" w:cs="宋体"/>
                <w:szCs w:val="21"/>
                <w:highlight w:val="none"/>
              </w:rPr>
              <w:t xml:space="preserve">违约金并赔偿甲方经济损失。                                       </w:t>
            </w:r>
          </w:p>
          <w:p w14:paraId="079BB60A">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2.乙方提供的货物如侵犯了第三方合法权益而引发的任何纠纷或诉讼，均由乙方负责交涉并承担全部责任。</w:t>
            </w:r>
          </w:p>
          <w:p w14:paraId="6E3F5BB8">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3.因包装、运输引起的货物损坏，按质量不合格处罚。</w:t>
            </w:r>
          </w:p>
          <w:p w14:paraId="4EC5F6A0">
            <w:pPr>
              <w:snapToGrid w:val="0"/>
              <w:spacing w:line="360" w:lineRule="auto"/>
              <w:rPr>
                <w:rFonts w:hint="eastAsia" w:ascii="宋体" w:hAnsi="宋体" w:eastAsia="宋体" w:cs="宋体"/>
                <w:color w:val="00B050"/>
                <w:szCs w:val="21"/>
                <w:highlight w:val="none"/>
              </w:rPr>
            </w:pPr>
            <w:r>
              <w:rPr>
                <w:rFonts w:hint="eastAsia" w:ascii="宋体" w:hAnsi="宋体" w:eastAsia="宋体" w:cs="宋体"/>
                <w:szCs w:val="21"/>
                <w:highlight w:val="none"/>
              </w:rPr>
              <w:t>4.甲方无故延期接收货物、乙方逾期交货的，每天向对方偿付违约货款额3‰违约金，但违约金累计不得超过违约货款额</w:t>
            </w:r>
            <w:r>
              <w:rPr>
                <w:rFonts w:hint="eastAsia" w:ascii="宋体" w:hAnsi="宋体" w:eastAsia="宋体" w:cs="宋体"/>
                <w:szCs w:val="21"/>
                <w:highlight w:val="none"/>
                <w:u w:val="single"/>
              </w:rPr>
              <w:t>5%</w:t>
            </w:r>
            <w:r>
              <w:rPr>
                <w:rFonts w:hint="eastAsia" w:ascii="宋体" w:hAnsi="宋体" w:eastAsia="宋体" w:cs="宋体"/>
                <w:szCs w:val="21"/>
                <w:highlight w:val="none"/>
              </w:rPr>
              <w:t>，超过</w:t>
            </w:r>
            <w:r>
              <w:rPr>
                <w:rFonts w:hint="eastAsia" w:ascii="宋体" w:hAnsi="宋体" w:eastAsia="宋体" w:cs="宋体"/>
                <w:highlight w:val="none"/>
                <w:u w:val="single"/>
              </w:rPr>
              <w:t>7天</w:t>
            </w:r>
            <w:r>
              <w:rPr>
                <w:rFonts w:hint="eastAsia" w:ascii="宋体" w:hAnsi="宋体" w:eastAsia="宋体" w:cs="宋体"/>
                <w:szCs w:val="21"/>
                <w:highlight w:val="none"/>
              </w:rPr>
              <w:t>对方有权解除合同，违约方承担因此给对方造成经济损失；甲方延期付货款的</w:t>
            </w:r>
            <w:r>
              <w:rPr>
                <w:rFonts w:hint="eastAsia" w:ascii="宋体" w:hAnsi="宋体" w:eastAsia="宋体" w:cs="宋体"/>
                <w:color w:val="000000"/>
                <w:szCs w:val="21"/>
                <w:highlight w:val="none"/>
              </w:rPr>
              <w:t>，每天向乙方偿付延期货款额的3‰，但累计不得超过延期货款额的5%。</w:t>
            </w:r>
          </w:p>
          <w:p w14:paraId="7ECEF992">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5.乙方未按本合同和投标（响应）文件中规定的服务承诺提供售后服务的，乙方应按本合同合计金额 5%向甲方支付违约金。</w:t>
            </w:r>
          </w:p>
          <w:p w14:paraId="129D53BB">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6.乙方提供的货物在质量保证期内，因设计、工艺或材料的缺陷和其它质量原因造成的问题，由乙方负责，费用从履约保证金中扣除，不足另补。</w:t>
            </w:r>
          </w:p>
          <w:p w14:paraId="6CDF14EA">
            <w:pPr>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7.其它违约行为按违约货款额5%收取违约金并赔偿经济损失。</w:t>
            </w:r>
          </w:p>
          <w:p w14:paraId="24DC797A">
            <w:pPr>
              <w:spacing w:line="360" w:lineRule="auto"/>
              <w:rPr>
                <w:rFonts w:hint="eastAsia" w:ascii="宋体" w:hAnsi="宋体" w:cs="宋体"/>
                <w:szCs w:val="21"/>
                <w:highlight w:val="none"/>
              </w:rPr>
            </w:pPr>
            <w:r>
              <w:rPr>
                <w:rFonts w:hint="eastAsia" w:ascii="宋体" w:hAnsi="宋体" w:eastAsia="宋体" w:cs="宋体"/>
                <w:szCs w:val="21"/>
                <w:highlight w:val="none"/>
              </w:rPr>
              <w:t>8.乙方于响应文件中必须对所有产品的技术参数要求作出真实、有效的响应和承诺。所提供的产品必须为原装正品的、全新的、符合国家有关质量标准的产品。验收前，甲方现场根据采购文件要求及响应文件承诺对各项参数逐条对应进行核验，核验或检测数据不符合甲方要求及响应文件承诺的指标的，甲方有权终止合同执行并全部退货，由此造成甲方经济损失的由成交供应商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成交供应商承担，并承担政府采购虚假竞标的相关法律责任。</w:t>
            </w:r>
          </w:p>
        </w:tc>
      </w:tr>
      <w:tr w14:paraId="6891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00FF85F5">
            <w:pPr>
              <w:spacing w:line="360" w:lineRule="auto"/>
              <w:jc w:val="center"/>
              <w:rPr>
                <w:rFonts w:hint="eastAsia" w:ascii="宋体" w:hAnsi="宋体" w:cs="宋体"/>
                <w:szCs w:val="21"/>
                <w:highlight w:val="none"/>
              </w:rPr>
            </w:pPr>
            <w:r>
              <w:rPr>
                <w:rFonts w:hint="eastAsia" w:ascii="宋体" w:hAnsi="宋体" w:cs="宋体"/>
                <w:b/>
                <w:szCs w:val="21"/>
                <w:highlight w:val="none"/>
              </w:rPr>
              <w:t>核心产品</w:t>
            </w:r>
          </w:p>
        </w:tc>
        <w:tc>
          <w:tcPr>
            <w:tcW w:w="7022" w:type="dxa"/>
            <w:gridSpan w:val="3"/>
            <w:noWrap w:val="0"/>
            <w:vAlign w:val="center"/>
          </w:tcPr>
          <w:p w14:paraId="6FAAC174">
            <w:pPr>
              <w:spacing w:line="360" w:lineRule="auto"/>
              <w:rPr>
                <w:rFonts w:hint="eastAsia" w:ascii="宋体" w:hAnsi="宋体" w:cs="宋体"/>
                <w:szCs w:val="21"/>
                <w:highlight w:val="none"/>
              </w:rPr>
            </w:pPr>
            <w:r>
              <w:rPr>
                <w:rFonts w:hint="eastAsia" w:ascii="宋体" w:hAnsi="宋体" w:cs="宋体"/>
                <w:b/>
                <w:bCs/>
                <w:szCs w:val="21"/>
                <w:highlight w:val="none"/>
              </w:rPr>
              <w:t>核心产品为：</w:t>
            </w:r>
            <w:r>
              <w:rPr>
                <w:rFonts w:hint="eastAsia" w:ascii="宋体" w:hAnsi="宋体" w:eastAsia="宋体" w:cs="宋体"/>
                <w:b/>
                <w:szCs w:val="21"/>
                <w:highlight w:val="none"/>
              </w:rPr>
              <w:t>为第</w:t>
            </w:r>
            <w:r>
              <w:rPr>
                <w:rFonts w:hint="eastAsia" w:ascii="宋体" w:hAnsi="宋体" w:eastAsia="宋体" w:cs="宋体"/>
                <w:b/>
                <w:color w:val="auto"/>
                <w:szCs w:val="21"/>
                <w:highlight w:val="none"/>
                <w:u w:val="single"/>
              </w:rPr>
              <w:t xml:space="preserve"> </w:t>
            </w:r>
            <w:r>
              <w:rPr>
                <w:rFonts w:hint="eastAsia" w:ascii="宋体" w:hAnsi="宋体" w:cs="宋体"/>
                <w:b/>
                <w:color w:val="auto"/>
                <w:szCs w:val="21"/>
                <w:highlight w:val="none"/>
                <w:u w:val="single"/>
                <w:lang w:val="en-US" w:eastAsia="zh-CN"/>
              </w:rPr>
              <w:t>2</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rPr>
              <w:t>项</w:t>
            </w:r>
            <w:r>
              <w:rPr>
                <w:rFonts w:hint="eastAsia" w:ascii="宋体" w:hAnsi="宋体" w:eastAsia="宋体" w:cs="宋体"/>
                <w:b/>
                <w:szCs w:val="21"/>
                <w:highlight w:val="none"/>
              </w:rPr>
              <w:t>号</w:t>
            </w:r>
            <w:r>
              <w:rPr>
                <w:rFonts w:hint="eastAsia" w:ascii="宋体" w:hAnsi="宋体" w:eastAsia="宋体" w:cs="宋体"/>
                <w:b/>
                <w:color w:val="auto"/>
                <w:szCs w:val="21"/>
                <w:highlight w:val="none"/>
                <w:lang w:val="en-US" w:eastAsia="zh-CN"/>
              </w:rPr>
              <w:t>标的</w:t>
            </w:r>
            <w:r>
              <w:rPr>
                <w:rFonts w:hint="eastAsia" w:ascii="宋体" w:hAnsi="宋体" w:eastAsia="宋体" w:cs="宋体"/>
                <w:b/>
                <w:color w:val="auto"/>
                <w:szCs w:val="21"/>
                <w:highlight w:val="none"/>
              </w:rPr>
              <w:t>“</w:t>
            </w:r>
            <w:r>
              <w:rPr>
                <w:rFonts w:hint="eastAsia" w:ascii="宋体" w:hAnsi="宋体" w:cs="宋体"/>
                <w:b/>
                <w:color w:val="auto"/>
                <w:szCs w:val="21"/>
                <w:highlight w:val="none"/>
                <w:u w:val="single"/>
              </w:rPr>
              <w:t>空气源热泵热水机组-2</w:t>
            </w:r>
            <w:r>
              <w:rPr>
                <w:rFonts w:hint="eastAsia" w:ascii="宋体" w:hAnsi="宋体" w:eastAsia="宋体" w:cs="宋体"/>
                <w:b/>
                <w:color w:val="auto"/>
                <w:szCs w:val="21"/>
                <w:highlight w:val="none"/>
              </w:rPr>
              <w:t>”。</w:t>
            </w:r>
          </w:p>
        </w:tc>
      </w:tr>
      <w:tr w14:paraId="25B3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0416CB09">
            <w:pPr>
              <w:spacing w:line="360" w:lineRule="auto"/>
              <w:ind w:firstLine="422" w:firstLineChars="200"/>
              <w:jc w:val="left"/>
              <w:rPr>
                <w:rFonts w:hint="eastAsia" w:ascii="宋体" w:hAnsi="宋体" w:cs="宋体"/>
                <w:kern w:val="0"/>
                <w:szCs w:val="21"/>
                <w:highlight w:val="none"/>
              </w:rPr>
            </w:pPr>
            <w:r>
              <w:rPr>
                <w:rFonts w:hint="eastAsia" w:ascii="宋体" w:hAnsi="宋体" w:cs="宋体"/>
                <w:b/>
                <w:bCs/>
                <w:kern w:val="0"/>
                <w:szCs w:val="21"/>
                <w:highlight w:val="none"/>
              </w:rPr>
              <w:t>三、其他要求</w:t>
            </w:r>
          </w:p>
        </w:tc>
        <w:tc>
          <w:tcPr>
            <w:tcW w:w="7022" w:type="dxa"/>
            <w:gridSpan w:val="3"/>
            <w:noWrap w:val="0"/>
            <w:vAlign w:val="top"/>
          </w:tcPr>
          <w:p w14:paraId="4CC256B8">
            <w:pPr>
              <w:spacing w:line="360" w:lineRule="auto"/>
              <w:jc w:val="left"/>
              <w:rPr>
                <w:rFonts w:hint="eastAsia" w:ascii="宋体" w:hAnsi="宋体" w:cs="宋体"/>
                <w:szCs w:val="21"/>
                <w:highlight w:val="none"/>
              </w:rPr>
            </w:pPr>
            <w:r>
              <w:rPr>
                <w:rFonts w:hint="eastAsia" w:ascii="宋体" w:hAnsi="宋体" w:cs="宋体"/>
                <w:szCs w:val="21"/>
                <w:highlight w:val="none"/>
              </w:rPr>
              <w:t>1.本项目采购</w:t>
            </w:r>
            <w:r>
              <w:rPr>
                <w:rFonts w:hint="eastAsia" w:ascii="宋体" w:hAnsi="宋体" w:cs="宋体"/>
                <w:bCs/>
                <w:szCs w:val="21"/>
                <w:highlight w:val="none"/>
                <w:u w:val="none"/>
              </w:rPr>
              <w:t>预算为</w:t>
            </w:r>
            <w:r>
              <w:rPr>
                <w:rFonts w:hint="eastAsia" w:cs="Times New Roman"/>
                <w:b/>
                <w:szCs w:val="21"/>
                <w:highlight w:val="none"/>
                <w:u w:val="none"/>
                <w:lang w:val="en-US" w:eastAsia="zh-CN"/>
              </w:rPr>
              <w:t>壹佰叁拾叁万柒仟伍佰叁拾肆元整</w:t>
            </w:r>
            <w:r>
              <w:rPr>
                <w:rFonts w:ascii="Times New Roman" w:hAnsi="Times New Roman" w:cs="Times New Roman"/>
                <w:b/>
                <w:szCs w:val="21"/>
                <w:highlight w:val="none"/>
                <w:u w:val="none"/>
              </w:rPr>
              <w:t>（¥</w:t>
            </w:r>
            <w:r>
              <w:rPr>
                <w:rFonts w:hint="eastAsia" w:ascii="Times New Roman" w:hAnsi="Times New Roman" w:cs="Times New Roman"/>
                <w:b/>
                <w:szCs w:val="21"/>
                <w:highlight w:val="none"/>
                <w:u w:val="none"/>
              </w:rPr>
              <w:t>1337534.00</w:t>
            </w:r>
            <w:r>
              <w:rPr>
                <w:rFonts w:ascii="Times New Roman" w:hAnsi="Times New Roman" w:cs="Times New Roman"/>
                <w:b/>
                <w:szCs w:val="21"/>
                <w:highlight w:val="none"/>
                <w:u w:val="none"/>
              </w:rPr>
              <w:t>）</w:t>
            </w:r>
            <w:r>
              <w:rPr>
                <w:rFonts w:hint="eastAsia" w:ascii="宋体" w:hAnsi="宋体" w:cs="宋体"/>
                <w:bCs/>
                <w:szCs w:val="21"/>
                <w:highlight w:val="none"/>
              </w:rPr>
              <w:t>，</w:t>
            </w:r>
            <w:r>
              <w:rPr>
                <w:rFonts w:hint="eastAsia" w:ascii="宋体" w:hAnsi="宋体" w:cs="宋体"/>
                <w:szCs w:val="21"/>
                <w:highlight w:val="none"/>
              </w:rPr>
              <w:t>竞标报价超采购预算的，作</w:t>
            </w:r>
            <w:r>
              <w:rPr>
                <w:rFonts w:hint="eastAsia" w:ascii="宋体" w:hAnsi="宋体" w:cs="宋体"/>
                <w:szCs w:val="21"/>
                <w:highlight w:val="none"/>
                <w:lang w:val="en-US" w:eastAsia="zh-CN"/>
              </w:rPr>
              <w:t>竞</w:t>
            </w:r>
            <w:r>
              <w:rPr>
                <w:rFonts w:hint="eastAsia" w:ascii="宋体" w:hAnsi="宋体" w:cs="宋体"/>
                <w:szCs w:val="21"/>
                <w:highlight w:val="none"/>
              </w:rPr>
              <w:t>标无效处理。</w:t>
            </w:r>
          </w:p>
          <w:p w14:paraId="0636BD5C">
            <w:pPr>
              <w:spacing w:line="360" w:lineRule="auto"/>
              <w:jc w:val="lef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.保险：若供应商为本项目标的及标的涉及的相关材料、设备、人员、运输等购买保险的，相关费用由供应商自行承担。</w:t>
            </w:r>
          </w:p>
          <w:p w14:paraId="42632EA6">
            <w:pPr>
              <w:spacing w:line="360" w:lineRule="auto"/>
              <w:jc w:val="left"/>
              <w:rPr>
                <w:rFonts w:hint="eastAsia" w:ascii="宋体" w:hAnsi="宋体" w:cs="宋体"/>
                <w:kern w:val="0"/>
                <w:szCs w:val="21"/>
                <w:highlight w:val="none"/>
              </w:rPr>
            </w:pPr>
            <w:r>
              <w:rPr>
                <w:rFonts w:hint="eastAsia" w:ascii="宋体" w:hAnsi="宋体" w:cs="宋体"/>
                <w:b/>
                <w:bCs/>
                <w:szCs w:val="21"/>
                <w:highlight w:val="none"/>
                <w:lang w:val="en-US" w:eastAsia="zh-CN"/>
              </w:rPr>
              <w:t>3</w:t>
            </w:r>
            <w:r>
              <w:rPr>
                <w:rFonts w:hint="eastAsia" w:ascii="宋体" w:hAnsi="宋体" w:cs="宋体"/>
                <w:b/>
                <w:bCs/>
                <w:szCs w:val="21"/>
                <w:highlight w:val="none"/>
              </w:rPr>
              <w:t>.</w:t>
            </w:r>
            <w:r>
              <w:rPr>
                <w:rFonts w:hint="eastAsia" w:ascii="宋体" w:hAnsi="宋体" w:cs="宋体"/>
                <w:b/>
                <w:bCs/>
                <w:kern w:val="0"/>
                <w:szCs w:val="21"/>
                <w:highlight w:val="none"/>
              </w:rPr>
              <w:t>竞标报价必须包含本次采购范围内</w:t>
            </w:r>
            <w:r>
              <w:rPr>
                <w:rFonts w:hint="eastAsia" w:ascii="宋体" w:hAnsi="宋体" w:cs="宋体"/>
                <w:b/>
                <w:bCs/>
                <w:szCs w:val="21"/>
                <w:highlight w:val="none"/>
              </w:rPr>
              <w:t>货物货款、货物标准附件、备品备件、专用工具、包装、运输、装卸、安装、保险、税金、货到就位以及安装、安装所需辅材、调试、培训、售后服务、停车费、保修等其他所有可能发生的</w:t>
            </w:r>
            <w:r>
              <w:rPr>
                <w:rFonts w:hint="eastAsia" w:ascii="宋体" w:hAnsi="宋体" w:cs="宋体"/>
                <w:b/>
                <w:bCs/>
                <w:kern w:val="0"/>
                <w:szCs w:val="21"/>
                <w:highlight w:val="none"/>
              </w:rPr>
              <w:t>全部</w:t>
            </w:r>
            <w:r>
              <w:rPr>
                <w:rFonts w:hint="eastAsia" w:ascii="宋体" w:hAnsi="宋体" w:cs="宋体"/>
                <w:b/>
                <w:bCs/>
                <w:szCs w:val="21"/>
                <w:highlight w:val="none"/>
              </w:rPr>
              <w:t>费用和税费以及合理利润</w:t>
            </w:r>
            <w:r>
              <w:rPr>
                <w:rFonts w:hint="eastAsia" w:ascii="宋体" w:hAnsi="宋体" w:cs="宋体"/>
                <w:b/>
                <w:bCs/>
                <w:kern w:val="0"/>
                <w:szCs w:val="21"/>
                <w:highlight w:val="none"/>
              </w:rPr>
              <w:t>，</w:t>
            </w:r>
            <w:r>
              <w:rPr>
                <w:rFonts w:hint="eastAsia" w:ascii="宋体" w:hAnsi="宋体" w:cs="宋体"/>
                <w:b/>
                <w:bCs/>
                <w:szCs w:val="21"/>
                <w:highlight w:val="none"/>
              </w:rPr>
              <w:t>采购</w:t>
            </w:r>
            <w:r>
              <w:rPr>
                <w:rFonts w:hint="eastAsia" w:ascii="宋体" w:hAnsi="宋体" w:cs="宋体"/>
                <w:b/>
                <w:bCs/>
                <w:kern w:val="0"/>
                <w:szCs w:val="21"/>
                <w:highlight w:val="none"/>
              </w:rPr>
              <w:t>人不再支付任何费用，验收过程中所产生的一切费用均由成交供应商承担，供应商综合考虑在报价中。</w:t>
            </w:r>
          </w:p>
          <w:p w14:paraId="7870BEAE">
            <w:pPr>
              <w:snapToGrid/>
              <w:spacing w:line="360" w:lineRule="auto"/>
              <w:jc w:val="left"/>
              <w:rPr>
                <w:rFonts w:hint="eastAsia" w:ascii="宋体" w:hAnsi="宋体" w:cs="宋体"/>
                <w:kern w:val="0"/>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.免费培训：成交供应商负责对采购人指定的技术人员进行技术培训，培训内容包括设备操作、维护、简单维修和其他采购单位要求的内容，经培训应能进行日常运行维护</w:t>
            </w:r>
            <w:r>
              <w:rPr>
                <w:rFonts w:hint="eastAsia" w:ascii="宋体" w:hAnsi="宋体" w:cs="宋体"/>
                <w:kern w:val="0"/>
                <w:szCs w:val="21"/>
                <w:highlight w:val="none"/>
              </w:rPr>
              <w:t>工作：能熟练地排除简单故障、管理设备、分析故障等。</w:t>
            </w:r>
          </w:p>
          <w:p w14:paraId="334832E2">
            <w:pPr>
              <w:spacing w:line="360" w:lineRule="auto"/>
              <w:jc w:val="left"/>
              <w:rPr>
                <w:rFonts w:hint="eastAsia" w:ascii="宋体" w:hAnsi="宋体" w:eastAsia="宋体" w:cs="宋体"/>
                <w:kern w:val="0"/>
                <w:szCs w:val="21"/>
                <w:highlight w:val="none"/>
              </w:rPr>
            </w:pPr>
            <w:r>
              <w:rPr>
                <w:rFonts w:hint="eastAsia" w:ascii="宋体" w:hAnsi="宋体" w:cs="宋体"/>
                <w:b w:val="0"/>
                <w:bCs w:val="0"/>
                <w:szCs w:val="21"/>
                <w:highlight w:val="none"/>
                <w:lang w:val="en-US" w:eastAsia="zh-CN"/>
              </w:rPr>
              <w:t>5</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免费安装调试：</w:t>
            </w:r>
            <w:r>
              <w:rPr>
                <w:rFonts w:hint="eastAsia" w:ascii="宋体" w:hAnsi="宋体" w:eastAsia="宋体" w:cs="宋体"/>
                <w:szCs w:val="21"/>
                <w:highlight w:val="none"/>
              </w:rPr>
              <w:t>成交</w:t>
            </w:r>
            <w:r>
              <w:rPr>
                <w:rFonts w:hint="eastAsia" w:ascii="宋体" w:hAnsi="宋体" w:eastAsia="宋体" w:cs="宋体"/>
                <w:kern w:val="0"/>
                <w:szCs w:val="21"/>
                <w:highlight w:val="none"/>
              </w:rPr>
              <w:t>供应商负责</w:t>
            </w:r>
            <w:r>
              <w:rPr>
                <w:rFonts w:hint="eastAsia" w:ascii="宋体" w:hAnsi="宋体" w:eastAsia="宋体" w:cs="宋体"/>
                <w:szCs w:val="21"/>
                <w:highlight w:val="none"/>
              </w:rPr>
              <w:t>本项目</w:t>
            </w:r>
            <w:r>
              <w:rPr>
                <w:rFonts w:hint="eastAsia" w:ascii="宋体" w:hAnsi="宋体" w:eastAsia="宋体" w:cs="宋体"/>
                <w:kern w:val="0"/>
                <w:szCs w:val="21"/>
                <w:highlight w:val="none"/>
              </w:rPr>
              <w:t>所有设备的安装、调试工作。</w:t>
            </w:r>
          </w:p>
          <w:p w14:paraId="44105A8F">
            <w:pPr>
              <w:spacing w:line="360" w:lineRule="auto"/>
              <w:jc w:val="left"/>
              <w:rPr>
                <w:rFonts w:hint="eastAsia" w:ascii="宋体" w:hAnsi="宋体" w:eastAsia="宋体" w:cs="宋体"/>
                <w:kern w:val="0"/>
                <w:szCs w:val="21"/>
                <w:highlight w:val="none"/>
              </w:rPr>
            </w:pPr>
            <w:r>
              <w:rPr>
                <w:rFonts w:hint="eastAsia" w:ascii="宋体" w:hAnsi="宋体" w:cs="宋体"/>
                <w:kern w:val="0"/>
                <w:szCs w:val="21"/>
                <w:highlight w:val="none"/>
                <w:lang w:val="en-US" w:eastAsia="zh-CN"/>
              </w:rPr>
              <w:t>6</w:t>
            </w:r>
            <w:r>
              <w:rPr>
                <w:rFonts w:hint="eastAsia" w:ascii="宋体" w:hAnsi="宋体" w:eastAsia="宋体" w:cs="宋体"/>
                <w:kern w:val="0"/>
                <w:szCs w:val="21"/>
                <w:highlight w:val="none"/>
              </w:rPr>
              <w:t>.操作维修手册：</w:t>
            </w:r>
            <w:r>
              <w:rPr>
                <w:rFonts w:hint="eastAsia" w:ascii="宋体" w:hAnsi="宋体" w:eastAsia="宋体" w:cs="宋体"/>
                <w:szCs w:val="21"/>
                <w:highlight w:val="none"/>
              </w:rPr>
              <w:t>成交</w:t>
            </w:r>
            <w:r>
              <w:rPr>
                <w:rFonts w:hint="eastAsia" w:ascii="宋体" w:hAnsi="宋体" w:eastAsia="宋体" w:cs="宋体"/>
                <w:kern w:val="0"/>
                <w:szCs w:val="21"/>
                <w:highlight w:val="none"/>
              </w:rPr>
              <w:t>供应商必须提供完善的产品使用手册、操作培训手册、维护手册。</w:t>
            </w:r>
          </w:p>
          <w:p w14:paraId="135216E0">
            <w:pPr>
              <w:spacing w:line="360" w:lineRule="auto"/>
              <w:jc w:val="left"/>
              <w:rPr>
                <w:rFonts w:hint="eastAsia" w:ascii="宋体" w:hAnsi="宋体" w:eastAsia="宋体" w:cs="宋体"/>
                <w:b/>
                <w:bCs/>
                <w:kern w:val="0"/>
                <w:szCs w:val="21"/>
                <w:highlight w:val="none"/>
              </w:rPr>
            </w:pPr>
            <w:r>
              <w:rPr>
                <w:rFonts w:hint="eastAsia" w:ascii="宋体" w:hAnsi="宋体" w:cs="宋体"/>
                <w:kern w:val="0"/>
                <w:szCs w:val="21"/>
                <w:highlight w:val="none"/>
                <w:lang w:val="en-US" w:eastAsia="zh-CN"/>
              </w:rPr>
              <w:t>7</w:t>
            </w:r>
            <w:r>
              <w:rPr>
                <w:rFonts w:hint="eastAsia" w:ascii="宋体" w:hAnsi="宋体" w:eastAsia="宋体" w:cs="宋体"/>
                <w:kern w:val="0"/>
                <w:szCs w:val="21"/>
                <w:highlight w:val="none"/>
              </w:rPr>
              <w:t>.如因采购人现场实施条件不能满足设备安装实施导致</w:t>
            </w:r>
            <w:r>
              <w:rPr>
                <w:rFonts w:hint="eastAsia" w:ascii="宋体" w:hAnsi="宋体" w:eastAsia="宋体" w:cs="宋体"/>
                <w:szCs w:val="21"/>
                <w:highlight w:val="none"/>
              </w:rPr>
              <w:t>成交</w:t>
            </w:r>
            <w:r>
              <w:rPr>
                <w:rFonts w:hint="eastAsia" w:ascii="宋体" w:hAnsi="宋体" w:eastAsia="宋体" w:cs="宋体"/>
                <w:kern w:val="0"/>
                <w:szCs w:val="21"/>
                <w:highlight w:val="none"/>
              </w:rPr>
              <w:t>供应商不能正常按时履行合同约定的，由采购人、</w:t>
            </w:r>
            <w:r>
              <w:rPr>
                <w:rFonts w:hint="eastAsia" w:ascii="宋体" w:hAnsi="宋体" w:eastAsia="宋体" w:cs="宋体"/>
                <w:szCs w:val="21"/>
                <w:highlight w:val="none"/>
              </w:rPr>
              <w:t>成交</w:t>
            </w:r>
            <w:r>
              <w:rPr>
                <w:rFonts w:hint="eastAsia" w:ascii="宋体" w:hAnsi="宋体" w:eastAsia="宋体" w:cs="宋体"/>
                <w:kern w:val="0"/>
                <w:szCs w:val="21"/>
                <w:highlight w:val="none"/>
              </w:rPr>
              <w:t>供应商双方协商设备安装完成工期及验收时间，并免除逾期交货违约金责任，但法律另有规定的除外。</w:t>
            </w:r>
          </w:p>
          <w:p w14:paraId="74EFDF5B">
            <w:pPr>
              <w:spacing w:line="360" w:lineRule="auto"/>
              <w:jc w:val="left"/>
              <w:rPr>
                <w:rFonts w:hint="eastAsia" w:ascii="宋体" w:hAnsi="宋体" w:eastAsia="宋体" w:cs="宋体"/>
                <w:b/>
                <w:bCs/>
                <w:kern w:val="0"/>
                <w:szCs w:val="21"/>
                <w:highlight w:val="none"/>
              </w:rPr>
            </w:pPr>
            <w:r>
              <w:rPr>
                <w:rFonts w:hint="eastAsia" w:ascii="宋体" w:hAnsi="宋体" w:cs="宋体"/>
                <w:b/>
                <w:bCs/>
                <w:kern w:val="0"/>
                <w:szCs w:val="21"/>
                <w:highlight w:val="none"/>
                <w:lang w:val="en-US" w:eastAsia="zh-CN"/>
              </w:rPr>
              <w:t>8</w:t>
            </w:r>
            <w:r>
              <w:rPr>
                <w:rFonts w:hint="eastAsia" w:ascii="宋体" w:hAnsi="宋体" w:eastAsia="宋体" w:cs="宋体"/>
                <w:b/>
                <w:bCs/>
                <w:kern w:val="0"/>
                <w:szCs w:val="21"/>
                <w:highlight w:val="none"/>
              </w:rPr>
              <w:t>.《采购项目需求一览表》中的项目均为实质性要求的技术需求项目，若有任意一项负偏离作无效竞标处理。</w:t>
            </w:r>
          </w:p>
          <w:p w14:paraId="4DB3B768">
            <w:pPr>
              <w:bidi w:val="0"/>
              <w:spacing w:line="360" w:lineRule="auto"/>
              <w:rPr>
                <w:rFonts w:hint="eastAsia"/>
                <w:highlight w:val="none"/>
                <w:lang w:val="en-US" w:eastAsia="zh-CN"/>
              </w:rPr>
            </w:pPr>
            <w:r>
              <w:rPr>
                <w:rFonts w:hint="eastAsia" w:ascii="宋体" w:hAnsi="宋体" w:eastAsia="宋体" w:cs="宋体"/>
                <w:b/>
                <w:bCs/>
                <w:highlight w:val="none"/>
                <w:lang w:val="en-US" w:eastAsia="zh-CN"/>
              </w:rPr>
              <w:t>9.</w:t>
            </w:r>
            <w:r>
              <w:rPr>
                <w:rFonts w:hint="eastAsia" w:ascii="宋体" w:hAnsi="宋体" w:eastAsia="宋体" w:cs="宋体"/>
                <w:b/>
                <w:bCs/>
                <w:highlight w:val="none"/>
                <w:lang w:val="en-US"/>
              </w:rPr>
              <w:t>供货时，须向采购人提供本项目“</w:t>
            </w:r>
            <w:r>
              <w:rPr>
                <w:rFonts w:hint="eastAsia" w:ascii="宋体" w:hAnsi="宋体" w:eastAsia="宋体" w:cs="宋体"/>
                <w:b/>
                <w:bCs/>
                <w:highlight w:val="none"/>
                <w:lang w:val="en-US" w:eastAsia="zh-CN"/>
              </w:rPr>
              <w:t>项目采购需求</w:t>
            </w:r>
            <w:r>
              <w:rPr>
                <w:rFonts w:hint="eastAsia" w:ascii="宋体" w:hAnsi="宋体" w:eastAsia="宋体" w:cs="宋体"/>
                <w:b/>
                <w:bCs/>
                <w:highlight w:val="none"/>
                <w:lang w:val="en-US"/>
              </w:rPr>
              <w:t>”中要求提供的检验（测）报告</w:t>
            </w:r>
            <w:r>
              <w:rPr>
                <w:rFonts w:hint="eastAsia" w:ascii="宋体" w:hAnsi="宋体" w:eastAsia="宋体" w:cs="宋体"/>
                <w:b/>
                <w:bCs/>
                <w:highlight w:val="none"/>
                <w:lang w:val="en-US" w:eastAsia="zh-CN"/>
              </w:rPr>
              <w:t>及其他</w:t>
            </w:r>
            <w:r>
              <w:rPr>
                <w:rFonts w:hint="eastAsia" w:ascii="宋体" w:hAnsi="宋体" w:eastAsia="宋体" w:cs="宋体"/>
                <w:b/>
                <w:bCs/>
                <w:highlight w:val="none"/>
                <w:lang w:val="en-US"/>
              </w:rPr>
              <w:t>证明资料等进行核查，发现弄虚作假的，采购人有权不签订合同，同时报相关监督管理部门处理，按政府采购规定进行处罚，由此造成的损失由成交供应商负责。</w:t>
            </w:r>
          </w:p>
        </w:tc>
      </w:tr>
      <w:tr w14:paraId="0898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8" w:type="dxa"/>
            <w:gridSpan w:val="2"/>
            <w:noWrap w:val="0"/>
            <w:vAlign w:val="center"/>
          </w:tcPr>
          <w:p w14:paraId="39332589">
            <w:pPr>
              <w:spacing w:line="360" w:lineRule="auto"/>
              <w:ind w:firstLine="0" w:firstLineChars="0"/>
              <w:jc w:val="left"/>
              <w:rPr>
                <w:rFonts w:hint="eastAsia" w:ascii="宋体" w:hAnsi="宋体" w:eastAsia="宋体" w:cs="宋体"/>
                <w:b/>
                <w:bCs/>
                <w:kern w:val="0"/>
                <w:szCs w:val="21"/>
                <w:highlight w:val="none"/>
                <w:lang w:val="en-US" w:eastAsia="zh-CN"/>
              </w:rPr>
            </w:pPr>
            <w:r>
              <w:rPr>
                <w:rFonts w:hint="eastAsia" w:ascii="宋体" w:hAnsi="宋体" w:cs="宋体"/>
                <w:b/>
                <w:bCs/>
                <w:kern w:val="0"/>
                <w:szCs w:val="21"/>
                <w:highlight w:val="none"/>
                <w:lang w:val="en-US" w:eastAsia="zh-CN"/>
              </w:rPr>
              <w:t>四、进口产品说明</w:t>
            </w:r>
          </w:p>
        </w:tc>
        <w:tc>
          <w:tcPr>
            <w:tcW w:w="7022" w:type="dxa"/>
            <w:gridSpan w:val="3"/>
            <w:noWrap w:val="0"/>
            <w:vAlign w:val="top"/>
          </w:tcPr>
          <w:p w14:paraId="14DB514F">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1.本表的第</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货物已按规定办妥进口产品采购审核手续，竞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竞标，</w:t>
            </w:r>
            <w:r>
              <w:rPr>
                <w:rFonts w:hint="eastAsia" w:ascii="宋体" w:hAnsi="宋体" w:eastAsia="宋体" w:cs="宋体"/>
                <w:b/>
                <w:color w:val="auto"/>
                <w:szCs w:val="21"/>
                <w:highlight w:val="none"/>
              </w:rPr>
              <w:t>否则其响应文件作无效处理。</w:t>
            </w:r>
          </w:p>
          <w:p w14:paraId="713EE591">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2.货物不接受进口产品（即通过中国海关报关验放进入中国境内且产自关境外的产品）参与竞标，</w:t>
            </w:r>
            <w:r>
              <w:rPr>
                <w:rFonts w:hint="eastAsia" w:ascii="宋体" w:hAnsi="宋体" w:eastAsia="宋体" w:cs="宋体"/>
                <w:b/>
                <w:color w:val="auto"/>
                <w:szCs w:val="21"/>
                <w:highlight w:val="none"/>
              </w:rPr>
              <w:t>如有进口产品参与竞标的，其响应文件作无效处理</w:t>
            </w:r>
            <w:r>
              <w:rPr>
                <w:rFonts w:hint="eastAsia" w:ascii="宋体" w:hAnsi="宋体" w:eastAsia="宋体" w:cs="宋体"/>
                <w:color w:val="auto"/>
                <w:szCs w:val="21"/>
                <w:highlight w:val="none"/>
              </w:rPr>
              <w:t>。</w:t>
            </w:r>
          </w:p>
        </w:tc>
      </w:tr>
      <w:bookmarkEnd w:id="16"/>
    </w:tbl>
    <w:p w14:paraId="19322817"/>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BF1CD"/>
    <w:multiLevelType w:val="singleLevel"/>
    <w:tmpl w:val="A75BF1C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DC1BC3"/>
    <w:rsid w:val="46481DE6"/>
    <w:rsid w:val="58503492"/>
    <w:rsid w:val="5CA92881"/>
    <w:rsid w:val="687A4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Times New Roman" w:hAnsi="Times New Roman" w:eastAsia="宋体" w:cs="Times New Roman"/>
      <w:kern w:val="0"/>
      <w:sz w:val="20"/>
    </w:rPr>
  </w:style>
  <w:style w:type="paragraph" w:styleId="3">
    <w:name w:val="Subtitle"/>
    <w:basedOn w:val="1"/>
    <w:next w:val="1"/>
    <w:qFormat/>
    <w:uiPriority w:val="0"/>
    <w:pPr>
      <w:spacing w:before="240" w:after="60" w:line="312" w:lineRule="auto"/>
      <w:jc w:val="center"/>
      <w:outlineLvl w:val="1"/>
    </w:pPr>
    <w:rPr>
      <w:rFonts w:ascii="Arial" w:hAnsi="Arial" w:eastAsia="宋体" w:cs="Arial"/>
      <w:b/>
      <w:bCs/>
      <w:kern w:val="28"/>
      <w:sz w:val="32"/>
      <w:szCs w:val="32"/>
    </w:rPr>
  </w:style>
  <w:style w:type="paragraph" w:styleId="5">
    <w:name w:val="annotation text"/>
    <w:basedOn w:val="1"/>
    <w:qFormat/>
    <w:uiPriority w:val="0"/>
    <w:pPr>
      <w:jc w:val="left"/>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9460</Words>
  <Characters>10795</Characters>
  <Lines>0</Lines>
  <Paragraphs>0</Paragraphs>
  <TotalTime>3</TotalTime>
  <ScaleCrop>false</ScaleCrop>
  <LinksUpToDate>false</LinksUpToDate>
  <CharactersWithSpaces>10914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2025-08-25T05:47:00Z</dcterms:created>
  <dc:creator>Administrator</dc:creator>
  <cp:lastModifiedBy>mmm</cp:lastModifiedBy>
  <dcterms:modified xsi:type="dcterms:W3CDTF">2025-08-26T07:19:06Z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eyJoZGlkIjoiN2M5YzhlODljYzhhYWI4NWQzYWM5NDY0NzdjYzA4ZTIiLCJ1c2VySWQiOiIzNDI3NzExOTAifQ==</vt:lpwstr>
  </property>
  <property fmtid="{D5CDD505-2E9C-101B-9397-08002B2CF9AE}" pid="4" name="ICV">
    <vt:lpwstr>EBEA4DD98AAB4D46AA8AC88DCAF5F8F5_12</vt:lpwstr>
  </property>
</Properties>
</file>