
<file path=[Content_Types].xml><?xml version="1.0" encoding="utf-8"?>
<Types xmlns="http://schemas.openxmlformats.org/package/2006/content-types">
  <Default Extension="xml" ContentType="application/xml"/>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nts/font1.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1071C61C">
      <w:pPr>
        <w:spacing w:line="360" w:lineRule="auto"/>
        <w:rPr>
          <w:rFonts w:hint="eastAsia" w:eastAsia="仿宋_GB2312" w:asciiTheme="minorHAnsi" w:hAnsiTheme="minorHAnsi"/>
          <w:sz w:val="44"/>
          <w:szCs w:val="44"/>
          <w:lang w:val="en-GB"/>
        </w:rPr>
      </w:pPr>
    </w:p>
    <w:p w14:paraId="77C9D43E">
      <w:pPr>
        <w:spacing w:line="360" w:lineRule="auto"/>
        <w:jc w:val="center"/>
        <w:rPr>
          <w:rFonts w:hint="eastAsia" w:ascii="华文新魏" w:hAnsi="黑体" w:eastAsia="华文新魏"/>
          <w:b/>
          <w:kern w:val="15"/>
          <w:sz w:val="72"/>
          <w:szCs w:val="72"/>
        </w:rPr>
      </w:pPr>
      <w:r>
        <w:rPr>
          <w:rFonts w:hint="eastAsia" w:ascii="华文新魏" w:hAnsi="黑体" w:eastAsia="华文新魏"/>
          <w:b/>
          <w:kern w:val="15"/>
          <w:sz w:val="72"/>
          <w:szCs w:val="72"/>
        </w:rPr>
        <w:t>柳州市政府集中采购中心</w:t>
      </w:r>
    </w:p>
    <w:p w14:paraId="14E057F2">
      <w:pPr>
        <w:spacing w:line="360" w:lineRule="auto"/>
        <w:jc w:val="center"/>
        <w:rPr>
          <w:b/>
          <w:sz w:val="52"/>
          <w:szCs w:val="52"/>
        </w:rPr>
      </w:pPr>
      <w:r>
        <w:rPr>
          <w:rFonts w:hint="eastAsia" w:ascii="黑体" w:hAnsi="黑体" w:eastAsia="黑体"/>
          <w:sz w:val="72"/>
          <w:szCs w:val="72"/>
        </w:rPr>
        <mc:AlternateContent>
          <mc:Choice Requires="wps">
            <w:drawing>
              <wp:anchor distT="0" distB="0" distL="114300" distR="114300" simplePos="0" relativeHeight="251659264" behindDoc="0" locked="0" layoutInCell="1" allowOverlap="1">
                <wp:simplePos x="0" y="0"/>
                <wp:positionH relativeFrom="column">
                  <wp:posOffset>212725</wp:posOffset>
                </wp:positionH>
                <wp:positionV relativeFrom="paragraph">
                  <wp:posOffset>12700</wp:posOffset>
                </wp:positionV>
                <wp:extent cx="5306060" cy="0"/>
                <wp:effectExtent l="12700" t="18415" r="15240" b="10160"/>
                <wp:wrapNone/>
                <wp:docPr id="9" name="自选图形 14"/>
                <wp:cNvGraphicFramePr/>
                <a:graphic xmlns:a="http://schemas.openxmlformats.org/drawingml/2006/main">
                  <a:graphicData uri="http://schemas.microsoft.com/office/word/2010/wordprocessingShape">
                    <wps:wsp>
                      <wps:cNvCnPr>
                        <a:cxnSpLocks noChangeShapeType="1"/>
                      </wps:cNvCnPr>
                      <wps:spPr bwMode="auto">
                        <a:xfrm>
                          <a:off x="0" y="0"/>
                          <a:ext cx="5306060" cy="0"/>
                        </a:xfrm>
                        <a:prstGeom prst="straightConnector1">
                          <a:avLst/>
                        </a:prstGeom>
                        <a:noFill/>
                        <a:ln w="19050">
                          <a:solidFill>
                            <a:srgbClr val="000000"/>
                          </a:solidFill>
                          <a:round/>
                        </a:ln>
                      </wps:spPr>
                      <wps:bodyPr/>
                    </wps:wsp>
                  </a:graphicData>
                </a:graphic>
              </wp:anchor>
            </w:drawing>
          </mc:Choice>
          <mc:Fallback>
            <w:pict>
              <v:shape id="自选图形 14" o:spid="_x0000_s1026" o:spt="32" type="#_x0000_t32" style="position:absolute;left:0pt;margin-left:16.75pt;margin-top:1pt;height:0pt;width:417.8pt;z-index:251659264;mso-width-relative:page;mso-height-relative:page;" filled="f" stroked="t" coordsize="21600,21600" o:gfxdata="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">
                <v:fill on="f" focussize="0,0"/>
                <v:stroke weight="1.5pt" color="#000000" joinstyle="round"/>
                <v:imagedata o:title=""/>
                <o:lock v:ext="edit" aspectratio="f"/>
              </v:shape>
            </w:pict>
          </mc:Fallback>
        </mc:AlternateContent>
      </w:r>
    </w:p>
    <w:p w14:paraId="7D9A977B">
      <w:pPr>
        <w:spacing w:line="800" w:lineRule="exact"/>
        <w:jc w:val="center"/>
        <w:rPr>
          <w:rFonts w:hint="eastAsia" w:ascii="华文中宋" w:hAnsi="华文中宋" w:eastAsia="华文中宋"/>
          <w:b/>
          <w:spacing w:val="200"/>
          <w:sz w:val="84"/>
          <w:szCs w:val="84"/>
        </w:rPr>
      </w:pPr>
    </w:p>
    <w:p w14:paraId="2EB24F35">
      <w:pPr>
        <w:jc w:val="center"/>
        <w:rPr>
          <w:rFonts w:hint="eastAsia" w:ascii="华文中宋" w:hAnsi="华文中宋" w:eastAsia="华文中宋"/>
          <w:b/>
          <w:spacing w:val="200"/>
          <w:sz w:val="144"/>
          <w:szCs w:val="144"/>
        </w:rPr>
      </w:pPr>
      <w:r>
        <w:rPr>
          <w:rFonts w:hint="eastAsia" w:ascii="华文中宋" w:hAnsi="华文中宋" w:eastAsia="华文中宋"/>
          <w:b/>
          <w:spacing w:val="200"/>
          <w:sz w:val="144"/>
          <w:szCs w:val="144"/>
        </w:rPr>
        <w:t>招标文件</w:t>
      </w:r>
    </w:p>
    <w:p w14:paraId="0995721C">
      <w:pPr>
        <w:spacing w:line="600" w:lineRule="exact"/>
        <w:jc w:val="center"/>
        <w:rPr>
          <w:b/>
          <w:sz w:val="44"/>
          <w:szCs w:val="44"/>
        </w:rPr>
      </w:pPr>
    </w:p>
    <w:p w14:paraId="45474515">
      <w:pPr>
        <w:spacing w:line="600" w:lineRule="exact"/>
        <w:rPr>
          <w:b/>
          <w:sz w:val="44"/>
          <w:szCs w:val="44"/>
        </w:rPr>
      </w:pPr>
    </w:p>
    <w:p w14:paraId="5201714F">
      <w:pPr>
        <w:spacing w:line="800" w:lineRule="exact"/>
        <w:ind w:left="907" w:leftChars="432"/>
        <w:rPr>
          <w:rFonts w:ascii="楷体" w:hAnsi="楷体" w:eastAsia="楷体"/>
          <w:b/>
          <w:color w:val="000000"/>
          <w:sz w:val="44"/>
          <w:szCs w:val="44"/>
        </w:rPr>
      </w:pPr>
      <w:r>
        <w:rPr>
          <w:rFonts w:hint="eastAsia" w:ascii="楷体" w:hAnsi="楷体" w:eastAsia="楷体"/>
          <w:b/>
          <w:sz w:val="44"/>
          <w:szCs w:val="44"/>
        </w:rPr>
        <w:t>项目名称：</w:t>
      </w:r>
      <w:r>
        <w:rPr>
          <w:rFonts w:ascii="楷体" w:hAnsi="楷体" w:eastAsia="楷体"/>
          <w:b/>
          <w:color w:val="000000"/>
          <w:sz w:val="44"/>
          <w:szCs w:val="44"/>
        </w:rPr>
        <w:t>中小学增补及常规电教</w:t>
      </w:r>
    </w:p>
    <w:p w14:paraId="5A321736">
      <w:pPr>
        <w:spacing w:line="800" w:lineRule="exact"/>
        <w:ind w:left="907" w:leftChars="432" w:firstLine="2209" w:firstLineChars="500"/>
        <w:rPr>
          <w:rFonts w:hint="eastAsia" w:ascii="楷体" w:hAnsi="楷体" w:eastAsia="楷体"/>
          <w:b/>
          <w:sz w:val="44"/>
          <w:szCs w:val="44"/>
          <w:lang w:val="en-GB"/>
        </w:rPr>
      </w:pPr>
      <w:r>
        <w:rPr>
          <w:rFonts w:ascii="楷体" w:hAnsi="楷体" w:eastAsia="楷体"/>
          <w:b/>
          <w:color w:val="000000"/>
          <w:sz w:val="44"/>
          <w:szCs w:val="44"/>
        </w:rPr>
        <w:t>设备采购</w:t>
      </w:r>
    </w:p>
    <w:p w14:paraId="03954D42">
      <w:pPr>
        <w:spacing w:line="800" w:lineRule="exact"/>
        <w:ind w:left="907" w:leftChars="432"/>
        <w:rPr>
          <w:rFonts w:hint="eastAsia" w:ascii="楷体" w:hAnsi="楷体" w:eastAsia="楷体"/>
          <w:b/>
          <w:sz w:val="44"/>
          <w:szCs w:val="44"/>
          <w:lang w:val="en-GB"/>
        </w:rPr>
      </w:pPr>
      <w:r>
        <w:rPr>
          <w:rFonts w:hint="eastAsia" w:ascii="楷体" w:hAnsi="楷体" w:eastAsia="楷体"/>
          <w:b/>
          <w:sz w:val="44"/>
          <w:szCs w:val="44"/>
        </w:rPr>
        <w:t>项目编号：</w:t>
      </w:r>
      <w:r>
        <w:rPr>
          <w:rFonts w:ascii="楷体" w:hAnsi="楷体" w:eastAsia="楷体"/>
          <w:b/>
          <w:color w:val="000000"/>
          <w:sz w:val="44"/>
          <w:szCs w:val="44"/>
        </w:rPr>
        <w:t>LZZC2025-G1-990813-LZSZ</w:t>
      </w:r>
    </w:p>
    <w:p w14:paraId="475FBFE0">
      <w:pPr>
        <w:spacing w:line="800" w:lineRule="exact"/>
        <w:rPr>
          <w:rFonts w:hint="eastAsia" w:ascii="楷体" w:hAnsi="楷体" w:eastAsia="楷体"/>
          <w:b/>
          <w:sz w:val="44"/>
          <w:szCs w:val="44"/>
        </w:rPr>
      </w:pPr>
    </w:p>
    <w:p w14:paraId="3F50D9AE">
      <w:pPr>
        <w:spacing w:line="800" w:lineRule="exact"/>
        <w:ind w:firstLine="663" w:firstLineChars="150"/>
        <w:jc w:val="center"/>
        <w:rPr>
          <w:rFonts w:hint="eastAsia" w:ascii="楷体" w:hAnsi="楷体" w:eastAsia="楷体"/>
          <w:b/>
          <w:sz w:val="44"/>
          <w:szCs w:val="44"/>
          <w:lang w:val="en-GB"/>
        </w:rPr>
      </w:pPr>
      <w:r>
        <w:rPr>
          <w:rFonts w:hint="eastAsia" w:ascii="楷体" w:hAnsi="楷体" w:eastAsia="楷体"/>
          <w:b/>
          <w:sz w:val="44"/>
          <w:szCs w:val="44"/>
        </w:rPr>
        <w:t>采购人：</w:t>
      </w:r>
      <w:r>
        <w:rPr>
          <w:rFonts w:ascii="楷体" w:hAnsi="楷体" w:eastAsia="楷体"/>
          <w:b/>
          <w:sz w:val="44"/>
          <w:szCs w:val="44"/>
        </w:rPr>
        <w:t>柳州市电化教育站</w:t>
      </w:r>
    </w:p>
    <w:p w14:paraId="1BBBB1DE">
      <w:pPr>
        <w:spacing w:line="800" w:lineRule="exact"/>
        <w:ind w:firstLine="658" w:firstLineChars="149"/>
        <w:rPr>
          <w:rFonts w:hint="eastAsia" w:ascii="楷体" w:hAnsi="楷体" w:eastAsia="楷体"/>
          <w:b/>
          <w:sz w:val="44"/>
          <w:szCs w:val="44"/>
        </w:rPr>
      </w:pPr>
      <w:r>
        <w:rPr>
          <w:rFonts w:hint="eastAsia" w:ascii="楷体" w:hAnsi="楷体" w:eastAsia="楷体"/>
          <w:b/>
          <w:sz w:val="44"/>
          <w:szCs w:val="44"/>
        </w:rPr>
        <w:t>采购代理机构：柳州市政府集中采购中心</w:t>
      </w:r>
    </w:p>
    <w:p w14:paraId="0AA35A55">
      <w:pPr>
        <w:spacing w:line="600" w:lineRule="exact"/>
        <w:jc w:val="center"/>
        <w:rPr>
          <w:rFonts w:hint="eastAsia" w:ascii="楷体" w:hAnsi="楷体" w:eastAsia="楷体"/>
          <w:b/>
          <w:sz w:val="44"/>
          <w:szCs w:val="44"/>
        </w:rPr>
      </w:pPr>
    </w:p>
    <w:p w14:paraId="37CD29B3">
      <w:pPr>
        <w:spacing w:line="600" w:lineRule="exact"/>
        <w:jc w:val="center"/>
        <w:rPr>
          <w:rFonts w:ascii="楷体" w:hAnsi="楷体" w:eastAsia="楷体"/>
          <w:b/>
          <w:sz w:val="44"/>
          <w:szCs w:val="44"/>
        </w:rPr>
      </w:pPr>
      <w:r>
        <w:rPr>
          <w:rFonts w:ascii="楷体" w:hAnsi="楷体" w:eastAsia="楷体"/>
          <w:b/>
          <w:sz w:val="44"/>
          <w:szCs w:val="44"/>
        </w:rPr>
        <w:t>2025年XX月XX日</w:t>
      </w:r>
    </w:p>
    <w:p w14:paraId="381B3E9C">
      <w:pPr>
        <w:spacing w:line="360" w:lineRule="auto"/>
        <w:jc w:val="center"/>
        <w:rPr>
          <w:b/>
          <w:sz w:val="52"/>
          <w:szCs w:val="52"/>
        </w:rPr>
        <w:sectPr>
          <w:headerReference r:id="rId3" w:type="default"/>
          <w:footerReference r:id="rId4" w:type="default"/>
          <w:pgSz w:w="11906" w:h="16838"/>
          <w:pgMar w:top="1440" w:right="991" w:bottom="1440" w:left="1440" w:header="851" w:footer="992" w:gutter="0"/>
          <w:pgNumType w:start="1"/>
          <w:cols w:space="720" w:num="1"/>
          <w:docGrid w:linePitch="312" w:charSpace="0"/>
        </w:sectPr>
      </w:pPr>
    </w:p>
    <w:p w14:paraId="765F7A0A">
      <w:pPr>
        <w:pStyle w:val="2"/>
      </w:pPr>
    </w:p>
    <w:p w14:paraId="083DB341">
      <w:pPr>
        <w:spacing w:line="360" w:lineRule="auto"/>
        <w:jc w:val="center"/>
        <w:rPr>
          <w:b/>
          <w:sz w:val="52"/>
          <w:szCs w:val="52"/>
        </w:rPr>
      </w:pPr>
      <w:r>
        <w:rPr>
          <w:rFonts w:hint="eastAsia"/>
          <w:b/>
          <w:sz w:val="52"/>
          <w:szCs w:val="52"/>
        </w:rPr>
        <w:t>目  录</w:t>
      </w:r>
    </w:p>
    <w:p w14:paraId="42126A27">
      <w:pPr>
        <w:spacing w:line="360" w:lineRule="auto"/>
        <w:jc w:val="center"/>
        <w:rPr>
          <w:b/>
          <w:sz w:val="52"/>
          <w:szCs w:val="52"/>
        </w:rPr>
      </w:pPr>
    </w:p>
    <w:p w14:paraId="577F3415">
      <w:pPr>
        <w:pStyle w:val="34"/>
        <w:tabs>
          <w:tab w:val="right" w:leader="dot" w:pos="9746"/>
        </w:tabs>
        <w:spacing w:line="360" w:lineRule="auto"/>
        <w:rPr>
          <w:rFonts w:hint="eastAsia" w:ascii="仿宋_GB2312" w:hAnsi="仿宋_GB2312" w:eastAsia="仿宋_GB2312" w:cs="仿宋_GB2312"/>
          <w:sz w:val="32"/>
          <w:szCs w:val="32"/>
          <w:lang w:eastAsia="zh-CN"/>
        </w:rPr>
      </w:pP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TOC \o "1-1" \h \z \u </w:instrText>
      </w:r>
      <w:r>
        <w:rPr>
          <w:rFonts w:hint="eastAsia" w:ascii="仿宋_GB2312" w:hAnsi="仿宋_GB2312" w:eastAsia="仿宋_GB2312" w:cs="仿宋_GB2312"/>
          <w:sz w:val="32"/>
          <w:szCs w:val="32"/>
        </w:rPr>
        <w:fldChar w:fldCharType="separate"/>
      </w:r>
      <w:r>
        <w:fldChar w:fldCharType="begin"/>
      </w:r>
      <w:r>
        <w:instrText xml:space="preserve"> HYPERLINK \l "_Toc29306" </w:instrText>
      </w:r>
      <w:r>
        <w:fldChar w:fldCharType="separate"/>
      </w:r>
      <w:r>
        <w:rPr>
          <w:rFonts w:hint="eastAsia" w:ascii="仿宋_GB2312" w:hAnsi="仿宋_GB2312" w:eastAsia="仿宋_GB2312" w:cs="仿宋_GB2312"/>
          <w:sz w:val="32"/>
          <w:szCs w:val="32"/>
        </w:rPr>
        <w:t>第一章 公开招标公告</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1</w:t>
      </w:r>
    </w:p>
    <w:p w14:paraId="45FDE245">
      <w:pPr>
        <w:pStyle w:val="34"/>
        <w:tabs>
          <w:tab w:val="right" w:leader="dot" w:pos="9746"/>
        </w:tabs>
        <w:spacing w:line="360" w:lineRule="auto"/>
        <w:rPr>
          <w:rFonts w:hint="eastAsia" w:ascii="仿宋_GB2312" w:hAnsi="仿宋_GB2312" w:eastAsia="仿宋_GB2312" w:cs="仿宋_GB2312"/>
          <w:sz w:val="32"/>
          <w:szCs w:val="32"/>
        </w:rPr>
      </w:pPr>
      <w:r>
        <w:fldChar w:fldCharType="begin"/>
      </w:r>
      <w:r>
        <w:instrText xml:space="preserve"> HYPERLINK \l "_Toc13541" </w:instrText>
      </w:r>
      <w:r>
        <w:fldChar w:fldCharType="separate"/>
      </w:r>
      <w:r>
        <w:rPr>
          <w:rFonts w:hint="eastAsia" w:ascii="仿宋_GB2312" w:hAnsi="仿宋_GB2312" w:eastAsia="仿宋_GB2312" w:cs="仿宋_GB2312"/>
          <w:sz w:val="32"/>
          <w:szCs w:val="32"/>
        </w:rPr>
        <w:t>第二章 采购需求</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5</w:t>
      </w:r>
    </w:p>
    <w:p w14:paraId="37DE4656">
      <w:pPr>
        <w:pStyle w:val="34"/>
        <w:tabs>
          <w:tab w:val="right" w:leader="dot" w:pos="9746"/>
        </w:tabs>
        <w:spacing w:line="360" w:lineRule="auto"/>
        <w:rPr>
          <w:rFonts w:hint="eastAsia" w:ascii="仿宋_GB2312" w:hAnsi="仿宋_GB2312" w:eastAsia="仿宋_GB2312" w:cs="仿宋_GB2312"/>
          <w:sz w:val="32"/>
          <w:szCs w:val="32"/>
          <w:lang w:val="en-US" w:eastAsia="zh-CN"/>
        </w:rPr>
      </w:pPr>
      <w:r>
        <w:fldChar w:fldCharType="begin"/>
      </w:r>
      <w:r>
        <w:instrText xml:space="preserve"> HYPERLINK \l "_Toc29711" </w:instrText>
      </w:r>
      <w:r>
        <w:fldChar w:fldCharType="separate"/>
      </w:r>
      <w:r>
        <w:rPr>
          <w:rFonts w:hint="eastAsia" w:ascii="仿宋_GB2312" w:hAnsi="仿宋_GB2312" w:eastAsia="仿宋_GB2312" w:cs="仿宋_GB2312"/>
          <w:sz w:val="32"/>
          <w:szCs w:val="32"/>
        </w:rPr>
        <w:t>第三章 投标人须知</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_Toc29711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rPr>
        <w:t>1</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87</w:t>
      </w:r>
    </w:p>
    <w:p w14:paraId="653D1FD7">
      <w:pPr>
        <w:pStyle w:val="34"/>
        <w:tabs>
          <w:tab w:val="right" w:leader="dot" w:pos="9746"/>
        </w:tabs>
        <w:spacing w:line="360" w:lineRule="auto"/>
        <w:rPr>
          <w:rFonts w:hint="eastAsia" w:ascii="仿宋_GB2312" w:hAnsi="仿宋_GB2312" w:eastAsia="仿宋_GB2312" w:cs="仿宋_GB2312"/>
          <w:sz w:val="32"/>
          <w:szCs w:val="32"/>
          <w:lang w:eastAsia="zh-CN"/>
        </w:rPr>
      </w:pPr>
      <w:r>
        <w:fldChar w:fldCharType="begin"/>
      </w:r>
      <w:r>
        <w:instrText xml:space="preserve"> HYPERLINK \l "_Toc27328" </w:instrText>
      </w:r>
      <w:r>
        <w:fldChar w:fldCharType="separate"/>
      </w:r>
      <w:r>
        <w:rPr>
          <w:rFonts w:hint="eastAsia" w:ascii="仿宋_GB2312" w:hAnsi="仿宋_GB2312" w:eastAsia="仿宋_GB2312" w:cs="仿宋_GB2312"/>
          <w:sz w:val="32"/>
          <w:szCs w:val="32"/>
        </w:rPr>
        <w:t>第四章 评标方法及评标标准</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_Toc27328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20</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1</w:t>
      </w:r>
    </w:p>
    <w:p w14:paraId="299F7CAC">
      <w:pPr>
        <w:pStyle w:val="34"/>
        <w:tabs>
          <w:tab w:val="right" w:leader="dot" w:pos="9746"/>
        </w:tabs>
        <w:spacing w:line="360" w:lineRule="auto"/>
        <w:rPr>
          <w:rFonts w:hint="eastAsia" w:ascii="仿宋_GB2312" w:hAnsi="宋体" w:eastAsia="仿宋_GB2312"/>
          <w:b w:val="0"/>
          <w:bCs w:val="0"/>
          <w:caps w:val="0"/>
          <w:sz w:val="32"/>
          <w:szCs w:val="32"/>
        </w:rPr>
      </w:pPr>
      <w:r>
        <w:fldChar w:fldCharType="begin"/>
      </w:r>
      <w:r>
        <w:instrText xml:space="preserve"> HYPERLINK \l "_Toc21458" </w:instrText>
      </w:r>
      <w:r>
        <w:fldChar w:fldCharType="separate"/>
      </w:r>
      <w:r>
        <w:rPr>
          <w:rFonts w:hint="eastAsia" w:ascii="仿宋_GB2312" w:hAnsi="仿宋_GB2312" w:eastAsia="仿宋_GB2312" w:cs="仿宋_GB2312"/>
          <w:sz w:val="32"/>
          <w:szCs w:val="32"/>
        </w:rPr>
        <w:t>第五章 合同主要条款格式及广西壮族自治区政府采购项目合同验收书格式</w:t>
      </w:r>
      <w:r>
        <w:rPr>
          <w:rFonts w:hint="eastAsia" w:ascii="仿宋_GB2312" w:hAnsi="仿宋_GB2312" w:eastAsia="仿宋_GB2312" w:cs="仿宋_GB2312"/>
          <w:sz w:val="32"/>
          <w:szCs w:val="32"/>
        </w:rPr>
        <w:tab/>
      </w:r>
      <w:r>
        <w:rPr>
          <w:rFonts w:hint="eastAsia" w:ascii="仿宋_GB2312" w:hAnsi="仿宋_GB2312" w:eastAsia="仿宋_GB2312" w:cs="仿宋_GB2312"/>
          <w:sz w:val="32"/>
          <w:szCs w:val="32"/>
        </w:rPr>
        <w:fldChar w:fldCharType="begin"/>
      </w:r>
      <w:r>
        <w:rPr>
          <w:rFonts w:hint="eastAsia" w:ascii="仿宋_GB2312" w:hAnsi="仿宋_GB2312" w:eastAsia="仿宋_GB2312" w:cs="仿宋_GB2312"/>
          <w:sz w:val="32"/>
          <w:szCs w:val="32"/>
        </w:rPr>
        <w:instrText xml:space="preserve"> PAGEREF _Toc21458 </w:instrText>
      </w:r>
      <w:r>
        <w:rPr>
          <w:rFonts w:hint="eastAsia" w:ascii="仿宋_GB2312" w:hAnsi="仿宋_GB2312" w:eastAsia="仿宋_GB2312" w:cs="仿宋_GB2312"/>
          <w:sz w:val="32"/>
          <w:szCs w:val="32"/>
        </w:rPr>
        <w:fldChar w:fldCharType="separate"/>
      </w:r>
      <w:r>
        <w:rPr>
          <w:rFonts w:hint="eastAsia" w:ascii="仿宋_GB2312" w:hAnsi="仿宋_GB2312" w:eastAsia="仿宋_GB2312" w:cs="仿宋_GB2312"/>
          <w:sz w:val="32"/>
          <w:szCs w:val="32"/>
          <w:lang w:val="en-US" w:eastAsia="zh-CN"/>
        </w:rPr>
        <w:t>22</w:t>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rPr>
        <w:fldChar w:fldCharType="end"/>
      </w:r>
      <w:r>
        <w:rPr>
          <w:rFonts w:hint="eastAsia" w:ascii="仿宋_GB2312" w:hAnsi="仿宋_GB2312" w:eastAsia="仿宋_GB2312" w:cs="仿宋_GB2312"/>
          <w:sz w:val="32"/>
          <w:szCs w:val="32"/>
          <w:lang w:val="en-US" w:eastAsia="zh-CN"/>
        </w:rPr>
        <w:t>0</w:t>
      </w:r>
      <w:r>
        <w:rPr>
          <w:rFonts w:hint="eastAsia" w:ascii="仿宋_GB2312" w:hAnsi="仿宋_GB2312" w:eastAsia="仿宋_GB2312" w:cs="仿宋_GB2312"/>
          <w:sz w:val="32"/>
          <w:szCs w:val="32"/>
        </w:rPr>
        <w:fldChar w:fldCharType="end"/>
      </w:r>
      <w:r>
        <w:rPr>
          <w:rFonts w:hint="eastAsia" w:ascii="仿宋_GB2312" w:hAnsi="宋体" w:eastAsia="仿宋_GB2312"/>
          <w:b w:val="0"/>
          <w:bCs w:val="0"/>
          <w:caps w:val="0"/>
          <w:sz w:val="32"/>
          <w:szCs w:val="32"/>
        </w:rPr>
        <w:t xml:space="preserve"> </w:t>
      </w:r>
    </w:p>
    <w:p w14:paraId="667E9C70"/>
    <w:p w14:paraId="2244593E"/>
    <w:p w14:paraId="33207039"/>
    <w:p w14:paraId="7E7E063B"/>
    <w:p w14:paraId="43C2093C"/>
    <w:p w14:paraId="05E909C2"/>
    <w:p w14:paraId="58280B7A"/>
    <w:p w14:paraId="134D2369"/>
    <w:p w14:paraId="11542FB1"/>
    <w:p w14:paraId="65B643C8"/>
    <w:p w14:paraId="1C534F7D"/>
    <w:p w14:paraId="7B89B868">
      <w:pPr>
        <w:pStyle w:val="2"/>
      </w:pPr>
    </w:p>
    <w:p w14:paraId="48F98B1D">
      <w:pPr>
        <w:pStyle w:val="2"/>
      </w:pPr>
    </w:p>
    <w:p w14:paraId="3A5D4CAA">
      <w:pPr>
        <w:pStyle w:val="2"/>
      </w:pPr>
    </w:p>
    <w:p w14:paraId="5275F2E0">
      <w:pPr>
        <w:pStyle w:val="2"/>
      </w:pPr>
    </w:p>
    <w:p w14:paraId="0FC5DB6F">
      <w:pPr>
        <w:pStyle w:val="2"/>
      </w:pPr>
    </w:p>
    <w:p w14:paraId="3993CA4E">
      <w:pPr>
        <w:pStyle w:val="2"/>
      </w:pPr>
    </w:p>
    <w:p w14:paraId="7FDC5428">
      <w:pPr>
        <w:pStyle w:val="5"/>
        <w:spacing w:line="276" w:lineRule="auto"/>
        <w:jc w:val="center"/>
        <w:rPr>
          <w:rFonts w:hint="eastAsia"/>
          <w:sz w:val="32"/>
          <w:szCs w:val="32"/>
        </w:rPr>
        <w:sectPr>
          <w:footerReference r:id="rId5" w:type="default"/>
          <w:pgSz w:w="11906" w:h="16838"/>
          <w:pgMar w:top="1440" w:right="991" w:bottom="1440" w:left="1440" w:header="851" w:footer="992" w:gutter="0"/>
          <w:pgNumType w:start="1"/>
          <w:cols w:space="720" w:num="1"/>
          <w:docGrid w:linePitch="312" w:charSpace="0"/>
        </w:sectPr>
      </w:pPr>
      <w:bookmarkStart w:id="0" w:name="_Toc29306"/>
    </w:p>
    <w:p w14:paraId="7EAB2524">
      <w:pPr>
        <w:pStyle w:val="5"/>
        <w:spacing w:line="276" w:lineRule="auto"/>
        <w:jc w:val="center"/>
        <w:rPr>
          <w:sz w:val="32"/>
          <w:szCs w:val="32"/>
        </w:rPr>
      </w:pPr>
      <w:r>
        <w:rPr>
          <w:rFonts w:hint="eastAsia"/>
          <w:sz w:val="32"/>
          <w:szCs w:val="32"/>
        </w:rPr>
        <w:t>第一章 公开招标公告</w:t>
      </w:r>
      <w:bookmarkEnd w:id="0"/>
    </w:p>
    <w:p w14:paraId="222E60FE">
      <w:pPr>
        <w:pStyle w:val="6"/>
        <w:spacing w:line="240" w:lineRule="auto"/>
        <w:ind w:right="-21" w:rightChars="-10" w:firstLine="711" w:firstLineChars="253"/>
        <w:jc w:val="both"/>
        <w:rPr>
          <w:rFonts w:hint="eastAsia" w:ascii="仿宋_GB2312" w:hAnsi="仿宋_GB2312" w:eastAsia="仿宋_GB2312" w:cs="仿宋_GB2312"/>
          <w:bCs/>
          <w:sz w:val="28"/>
          <w:szCs w:val="28"/>
        </w:rPr>
      </w:pPr>
      <w:r>
        <w:rPr>
          <w:rFonts w:hint="eastAsia" w:ascii="仿宋_GB2312" w:hAnsi="仿宋_GB2312" w:eastAsia="仿宋_GB2312" w:cs="仿宋_GB2312"/>
          <w:bCs/>
          <w:sz w:val="28"/>
          <w:szCs w:val="28"/>
        </w:rPr>
        <w:t>项目概况</w:t>
      </w:r>
    </w:p>
    <w:p w14:paraId="4D14E71B">
      <w:pPr>
        <w:spacing w:line="400" w:lineRule="exact"/>
        <w:ind w:right="-21" w:rightChars="-10" w:firstLine="555"/>
        <w:rPr>
          <w:rFonts w:ascii="仿宋_GB2312" w:eastAsia="仿宋_GB2312"/>
          <w:sz w:val="28"/>
          <w:szCs w:val="28"/>
          <w:u w:val="single"/>
        </w:rPr>
      </w:pPr>
      <w:bookmarkStart w:id="1" w:name="_Hlk50568865"/>
      <w:r>
        <w:rPr>
          <w:rFonts w:ascii="仿宋_GB2312" w:eastAsia="仿宋_GB2312"/>
          <w:sz w:val="28"/>
          <w:szCs w:val="28"/>
        </w:rPr>
        <w:t>中小学增补及常规电教设备采购</w:t>
      </w:r>
      <w:r>
        <w:rPr>
          <w:rFonts w:hint="eastAsia" w:ascii="仿宋_GB2312" w:eastAsia="仿宋_GB2312"/>
          <w:sz w:val="28"/>
          <w:szCs w:val="28"/>
        </w:rPr>
        <w:t>项目的潜在投标人应在广西政府采购云平台（https://www.gcy.zfcg.gxzf.gov.cn/）获取招标文件，并于</w:t>
      </w:r>
      <w:r>
        <w:rPr>
          <w:rFonts w:ascii="仿宋_GB2312" w:eastAsia="仿宋_GB2312"/>
          <w:sz w:val="28"/>
          <w:szCs w:val="28"/>
        </w:rPr>
        <w:t>2025年XX月XX日 09:20</w:t>
      </w:r>
      <w:r>
        <w:rPr>
          <w:rFonts w:hint="eastAsia" w:ascii="仿宋_GB2312" w:eastAsia="仿宋_GB2312"/>
          <w:sz w:val="28"/>
          <w:szCs w:val="28"/>
        </w:rPr>
        <w:t>（北京时间）前</w:t>
      </w:r>
      <w:bookmarkEnd w:id="1"/>
      <w:r>
        <w:rPr>
          <w:rFonts w:hint="eastAsia" w:ascii="仿宋_GB2312" w:hAnsi="仿宋_GB2312" w:eastAsia="仿宋_GB2312" w:cs="仿宋_GB2312"/>
          <w:sz w:val="28"/>
          <w:szCs w:val="28"/>
        </w:rPr>
        <w:t>在线提交投标文件</w:t>
      </w:r>
      <w:r>
        <w:rPr>
          <w:rFonts w:hint="eastAsia" w:ascii="仿宋_GB2312" w:eastAsia="仿宋_GB2312"/>
          <w:sz w:val="28"/>
          <w:szCs w:val="28"/>
        </w:rPr>
        <w:t>。</w:t>
      </w:r>
    </w:p>
    <w:p w14:paraId="35F2D8F7">
      <w:pPr>
        <w:spacing w:line="400" w:lineRule="exact"/>
        <w:ind w:right="-21" w:rightChars="-10" w:firstLine="562" w:firstLineChars="200"/>
        <w:rPr>
          <w:rFonts w:hint="eastAsia" w:ascii="黑体" w:hAnsi="黑体" w:eastAsia="黑体" w:cs="黑体"/>
          <w:b/>
          <w:bCs/>
          <w:sz w:val="28"/>
          <w:szCs w:val="28"/>
        </w:rPr>
      </w:pPr>
      <w:bookmarkStart w:id="2" w:name="_Hlk53504521"/>
      <w:r>
        <w:rPr>
          <w:rFonts w:hint="eastAsia" w:ascii="黑体" w:hAnsi="黑体" w:eastAsia="黑体" w:cs="黑体"/>
          <w:b/>
          <w:bCs/>
          <w:sz w:val="28"/>
          <w:szCs w:val="28"/>
        </w:rPr>
        <w:t>一、项目基本情况</w:t>
      </w:r>
    </w:p>
    <w:bookmarkEnd w:id="2"/>
    <w:p w14:paraId="407A539F">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项目编号：</w:t>
      </w:r>
      <w:r>
        <w:rPr>
          <w:rFonts w:ascii="仿宋_GB2312" w:eastAsia="仿宋_GB2312"/>
          <w:sz w:val="28"/>
          <w:szCs w:val="28"/>
        </w:rPr>
        <w:t>LZZC2025-G1-990813-LZSZ</w:t>
      </w:r>
    </w:p>
    <w:p w14:paraId="2FE6D713">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项目名称：</w:t>
      </w:r>
      <w:r>
        <w:rPr>
          <w:rFonts w:ascii="仿宋_GB2312" w:eastAsia="仿宋_GB2312"/>
          <w:sz w:val="28"/>
          <w:szCs w:val="28"/>
        </w:rPr>
        <w:t>中小学增补及常规电教设备采购</w:t>
      </w:r>
    </w:p>
    <w:p w14:paraId="45D5C559">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预算总金额</w:t>
      </w:r>
      <w:bookmarkStart w:id="3" w:name="_Hlk50568912"/>
      <w:r>
        <w:rPr>
          <w:rFonts w:hint="eastAsia" w:ascii="仿宋_GB2312" w:eastAsia="仿宋_GB2312"/>
          <w:sz w:val="28"/>
          <w:szCs w:val="28"/>
        </w:rPr>
        <w:t>（元）</w:t>
      </w:r>
      <w:bookmarkEnd w:id="3"/>
      <w:r>
        <w:rPr>
          <w:rFonts w:hint="eastAsia" w:ascii="仿宋_GB2312" w:eastAsia="仿宋_GB2312"/>
          <w:sz w:val="28"/>
          <w:szCs w:val="28"/>
        </w:rPr>
        <w:t>：</w:t>
      </w:r>
      <w:r>
        <w:rPr>
          <w:rFonts w:ascii="仿宋_GB2312" w:hAnsi="Times New Roman" w:eastAsia="仿宋_GB2312"/>
          <w:sz w:val="28"/>
          <w:szCs w:val="28"/>
        </w:rPr>
        <w:t>3343200</w:t>
      </w:r>
    </w:p>
    <w:p w14:paraId="3500D22E">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采购需求：</w:t>
      </w:r>
    </w:p>
    <w:p w14:paraId="186FBEAD">
      <w:pPr>
        <w:spacing w:line="400" w:lineRule="exact"/>
        <w:ind w:right="-21" w:rightChars="-10"/>
        <w:rPr>
          <w:rFonts w:ascii="仿宋" w:hAnsi="仿宋" w:eastAsia="仿宋"/>
          <w:bCs/>
          <w:sz w:val="24"/>
        </w:rPr>
      </w:pPr>
      <w:r>
        <w:rPr>
          <w:rFonts w:ascii="仿宋" w:hAnsi="仿宋" w:eastAsia="仿宋"/>
          <w:bCs/>
          <w:sz w:val="24"/>
        </w:rPr>
        <w:t>标项一
</w:t>
      </w:r>
      <w:r>
        <w:rPr>
          <w:rFonts w:ascii="仿宋" w:hAnsi="仿宋" w:eastAsia="仿宋"/>
          <w:bCs/>
          <w:sz w:val="24"/>
        </w:rPr>
        <w:cr/>
      </w:r>
      <w:r>
        <w:rPr>
          <w:rFonts w:ascii="仿宋" w:hAnsi="仿宋" w:eastAsia="仿宋"/>
          <w:bCs/>
          <w:sz w:val="24"/>
        </w:rPr>
        <w:t>标项名称：局属学校信息化设备采购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预算金额（元）：1742800
</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rPr>
        <w:t>局属学校信息化设备采购</w:t>
      </w:r>
      <w:r>
        <w:rPr>
          <w:rFonts w:ascii="仿宋" w:hAnsi="仿宋" w:eastAsia="仿宋"/>
          <w:bCs/>
          <w:sz w:val="24"/>
        </w:rPr>
        <w:t>（具体内容详见招标文件第二章《采购需求》）</w:t>
      </w:r>
    </w:p>
    <w:p w14:paraId="4F33C545">
      <w:pPr>
        <w:spacing w:line="400" w:lineRule="exact"/>
        <w:ind w:right="-21" w:rightChars="-10"/>
        <w:rPr>
          <w:rFonts w:ascii="仿宋" w:hAnsi="仿宋" w:eastAsia="仿宋"/>
          <w:bCs/>
          <w:sz w:val="24"/>
        </w:rPr>
      </w:pPr>
      <w:r>
        <w:rPr>
          <w:rFonts w:ascii="仿宋" w:hAnsi="仿宋" w:eastAsia="仿宋"/>
          <w:bCs/>
          <w:sz w:val="24"/>
        </w:rPr>
        <w:t>最高限价（如有）：1742800
</w:t>
      </w:r>
      <w:r>
        <w:rPr>
          <w:rFonts w:ascii="仿宋" w:hAnsi="仿宋" w:eastAsia="仿宋"/>
          <w:bCs/>
          <w:sz w:val="24"/>
        </w:rPr>
        <w:cr/>
      </w:r>
      <w:r>
        <w:rPr>
          <w:rFonts w:ascii="仿宋" w:hAnsi="仿宋" w:eastAsia="仿宋"/>
          <w:bCs/>
          <w:sz w:val="24"/>
        </w:rPr>
        <w:t>合同履约期限：自签订合同之日起30日内安装调试完毕，验收合格并交付使用。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
</w:t>
      </w:r>
      <w:r>
        <w:rPr>
          <w:rFonts w:ascii="仿宋" w:hAnsi="仿宋" w:eastAsia="仿宋"/>
          <w:bCs/>
          <w:sz w:val="24"/>
        </w:rPr>
        <w:cr/>
      </w:r>
      <w:r>
        <w:rPr>
          <w:rFonts w:ascii="仿宋" w:hAnsi="仿宋" w:eastAsia="仿宋"/>
          <w:bCs/>
          <w:sz w:val="24"/>
        </w:rPr>
        <w:t>
</w:t>
      </w:r>
      <w:r>
        <w:rPr>
          <w:rFonts w:ascii="仿宋" w:hAnsi="仿宋" w:eastAsia="仿宋"/>
          <w:bCs/>
          <w:sz w:val="24"/>
        </w:rPr>
        <w:cr/>
      </w:r>
      <w:r>
        <w:rPr>
          <w:rFonts w:ascii="仿宋" w:hAnsi="仿宋" w:eastAsia="仿宋"/>
          <w:bCs/>
          <w:sz w:val="24"/>
        </w:rPr>
        <w:t>标项二
</w:t>
      </w:r>
      <w:r>
        <w:rPr>
          <w:rFonts w:ascii="仿宋" w:hAnsi="仿宋" w:eastAsia="仿宋"/>
          <w:bCs/>
          <w:sz w:val="24"/>
        </w:rPr>
        <w:cr/>
      </w:r>
      <w:r>
        <w:rPr>
          <w:rFonts w:ascii="仿宋" w:hAnsi="仿宋" w:eastAsia="仿宋"/>
          <w:bCs/>
          <w:sz w:val="24"/>
        </w:rPr>
        <w:t>标项名称：</w:t>
      </w:r>
      <w:r>
        <w:rPr>
          <w:rFonts w:hint="eastAsia" w:ascii="仿宋" w:hAnsi="仿宋" w:eastAsia="仿宋"/>
          <w:bCs/>
          <w:sz w:val="24"/>
        </w:rPr>
        <w:t>中学LED屏幕及多媒体信息化设备增补采购</w:t>
      </w:r>
      <w:r>
        <w:rPr>
          <w:rFonts w:ascii="仿宋" w:hAnsi="仿宋" w:eastAsia="仿宋"/>
          <w:bCs/>
          <w:sz w:val="24"/>
        </w:rPr>
        <w:t>
</w:t>
      </w:r>
      <w:r>
        <w:rPr>
          <w:rFonts w:ascii="仿宋" w:hAnsi="仿宋" w:eastAsia="仿宋"/>
          <w:bCs/>
          <w:sz w:val="24"/>
        </w:rPr>
        <w:cr/>
      </w:r>
      <w:r>
        <w:rPr>
          <w:rFonts w:ascii="仿宋" w:hAnsi="仿宋" w:eastAsia="仿宋"/>
          <w:bCs/>
          <w:sz w:val="24"/>
        </w:rPr>
        <w:t>数量：1
</w:t>
      </w:r>
      <w:r>
        <w:rPr>
          <w:rFonts w:ascii="仿宋" w:hAnsi="仿宋" w:eastAsia="仿宋"/>
          <w:bCs/>
          <w:sz w:val="24"/>
        </w:rPr>
        <w:cr/>
      </w:r>
      <w:r>
        <w:rPr>
          <w:rFonts w:ascii="仿宋" w:hAnsi="仿宋" w:eastAsia="仿宋"/>
          <w:bCs/>
          <w:sz w:val="24"/>
        </w:rPr>
        <w:t>预算金额（元）：1600400
</w:t>
      </w:r>
      <w:r>
        <w:rPr>
          <w:rFonts w:ascii="仿宋" w:hAnsi="仿宋" w:eastAsia="仿宋"/>
          <w:bCs/>
          <w:sz w:val="24"/>
        </w:rPr>
        <w:cr/>
      </w:r>
      <w:r>
        <w:rPr>
          <w:rFonts w:ascii="仿宋" w:hAnsi="仿宋" w:eastAsia="仿宋"/>
          <w:bCs/>
          <w:sz w:val="24"/>
        </w:rPr>
        <w:t>简要规格描述或项目基本概况介绍、用途：</w:t>
      </w:r>
      <w:r>
        <w:rPr>
          <w:rFonts w:hint="eastAsia" w:ascii="仿宋" w:hAnsi="仿宋" w:eastAsia="仿宋"/>
          <w:bCs/>
          <w:sz w:val="24"/>
        </w:rPr>
        <w:t>中学LED屏幕及多媒体信息化设备增补采购</w:t>
      </w:r>
      <w:r>
        <w:rPr>
          <w:rFonts w:ascii="仿宋" w:hAnsi="仿宋" w:eastAsia="仿宋"/>
          <w:bCs/>
          <w:sz w:val="24"/>
        </w:rPr>
        <w:t>（具体内容详见招标文件第二章《采购需求》）</w:t>
      </w:r>
    </w:p>
    <w:p w14:paraId="7B8C094C">
      <w:pPr>
        <w:spacing w:line="400" w:lineRule="exact"/>
        <w:ind w:right="-21" w:rightChars="-10"/>
        <w:rPr>
          <w:rFonts w:ascii="仿宋_GB2312" w:eastAsia="仿宋_GB2312"/>
          <w:b/>
          <w:sz w:val="28"/>
          <w:szCs w:val="28"/>
        </w:rPr>
      </w:pPr>
      <w:r>
        <w:rPr>
          <w:rFonts w:ascii="仿宋" w:hAnsi="仿宋" w:eastAsia="仿宋"/>
          <w:bCs/>
          <w:sz w:val="24"/>
        </w:rPr>
        <w:t>最高限价（如有）：1600400
</w:t>
      </w:r>
      <w:r>
        <w:rPr>
          <w:rFonts w:ascii="仿宋" w:hAnsi="仿宋" w:eastAsia="仿宋"/>
          <w:bCs/>
          <w:sz w:val="24"/>
        </w:rPr>
        <w:cr/>
      </w:r>
      <w:r>
        <w:rPr>
          <w:rFonts w:ascii="仿宋" w:hAnsi="仿宋" w:eastAsia="仿宋"/>
          <w:bCs/>
          <w:sz w:val="24"/>
        </w:rPr>
        <w:t>合同履约期限：自签订合同之日起30日内安装调试完毕，验收合格并交付使用。
</w:t>
      </w:r>
      <w:r>
        <w:rPr>
          <w:rFonts w:ascii="仿宋" w:hAnsi="仿宋" w:eastAsia="仿宋"/>
          <w:bCs/>
          <w:sz w:val="24"/>
        </w:rPr>
        <w:cr/>
      </w:r>
      <w:r>
        <w:rPr>
          <w:rFonts w:ascii="仿宋" w:hAnsi="仿宋" w:eastAsia="仿宋"/>
          <w:bCs/>
          <w:sz w:val="24"/>
        </w:rPr>
        <w:t>本标项（否）接受联合体投标
</w:t>
      </w:r>
      <w:r>
        <w:rPr>
          <w:rFonts w:ascii="仿宋" w:hAnsi="仿宋" w:eastAsia="仿宋"/>
          <w:bCs/>
          <w:sz w:val="24"/>
        </w:rPr>
        <w:cr/>
      </w:r>
      <w:r>
        <w:rPr>
          <w:rFonts w:ascii="仿宋" w:hAnsi="仿宋" w:eastAsia="仿宋"/>
          <w:bCs/>
          <w:sz w:val="24"/>
        </w:rPr>
        <w:t>备注：本项目为线上电子招标项目，</w:t>
      </w:r>
      <w:r>
        <w:rPr>
          <w:rFonts w:ascii="仿宋" w:hAnsi="仿宋" w:eastAsia="仿宋"/>
          <w:b/>
          <w:bCs w:val="0"/>
          <w:sz w:val="24"/>
        </w:rPr>
        <w:t>采用远程异地评标</w:t>
      </w:r>
      <w:r>
        <w:rPr>
          <w:rFonts w:ascii="仿宋" w:hAnsi="仿宋" w:eastAsia="仿宋"/>
          <w:bCs/>
          <w:sz w:val="24"/>
        </w:rPr>
        <w:t>，有意向参与本项目的供应商应当做好参与全流程电子招投标交易的充分准备。</w:t>
      </w:r>
    </w:p>
    <w:p w14:paraId="464D999A">
      <w:pPr>
        <w:pStyle w:val="6"/>
        <w:spacing w:line="400" w:lineRule="exact"/>
        <w:ind w:right="-21" w:rightChars="-10" w:firstLine="562" w:firstLineChars="200"/>
        <w:jc w:val="both"/>
        <w:rPr>
          <w:rFonts w:hint="eastAsia" w:ascii="黑体" w:hAnsi="黑体" w:eastAsia="黑体" w:cs="黑体"/>
          <w:bCs/>
          <w:sz w:val="28"/>
          <w:szCs w:val="28"/>
        </w:rPr>
      </w:pPr>
      <w:bookmarkStart w:id="4" w:name="_Hlk53504529"/>
      <w:r>
        <w:rPr>
          <w:rFonts w:hint="eastAsia" w:ascii="黑体" w:hAnsi="黑体" w:eastAsia="黑体" w:cs="黑体"/>
          <w:bCs/>
          <w:sz w:val="28"/>
          <w:szCs w:val="28"/>
        </w:rPr>
        <w:t>二、申请人的资格要求</w:t>
      </w:r>
    </w:p>
    <w:bookmarkEnd w:id="4"/>
    <w:p w14:paraId="2A0A7F7D">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1.</w:t>
      </w:r>
      <w:r>
        <w:rPr>
          <w:rFonts w:hint="eastAsia" w:ascii="仿宋_GB2312" w:eastAsia="仿宋_GB2312"/>
          <w:sz w:val="28"/>
          <w:szCs w:val="28"/>
        </w:rPr>
        <w:t>满足《中华人民共和国政府采购法》第二十二条规定；</w:t>
      </w:r>
    </w:p>
    <w:p w14:paraId="6FC9B061">
      <w:pPr>
        <w:pStyle w:val="73"/>
        <w:spacing w:line="400" w:lineRule="exact"/>
        <w:ind w:right="-21" w:rightChars="-10" w:firstLine="560"/>
        <w:rPr>
          <w:rFonts w:ascii="仿宋_GB2312" w:eastAsia="仿宋_GB2312"/>
          <w:sz w:val="28"/>
          <w:szCs w:val="28"/>
        </w:rPr>
      </w:pP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eastAsia="仿宋_GB2312"/>
          <w:sz w:val="28"/>
          <w:szCs w:val="28"/>
        </w:rPr>
        <w:t>落实政府采购政策需满足的资格要求：</w:t>
      </w:r>
      <w:r>
        <w:rPr>
          <w:rFonts w:ascii="仿宋_GB2312" w:eastAsia="仿宋_GB2312"/>
          <w:sz w:val="28"/>
          <w:szCs w:val="28"/>
        </w:rPr>
        <w:t>无；</w:t>
      </w:r>
    </w:p>
    <w:p w14:paraId="27806E81">
      <w:pPr>
        <w:pStyle w:val="73"/>
        <w:spacing w:line="400" w:lineRule="exact"/>
        <w:ind w:right="-21" w:rightChars="-10" w:firstLine="560"/>
        <w:rPr>
          <w:rFonts w:ascii="仿宋_GB2312" w:eastAsia="仿宋_GB2312"/>
          <w:sz w:val="28"/>
          <w:szCs w:val="28"/>
        </w:rPr>
      </w:pPr>
      <w:r>
        <w:rPr>
          <w:rFonts w:hint="eastAsia" w:ascii="仿宋_GB2312" w:eastAsia="仿宋_GB2312"/>
          <w:sz w:val="28"/>
          <w:szCs w:val="28"/>
        </w:rPr>
        <w:t>3</w:t>
      </w:r>
      <w:r>
        <w:rPr>
          <w:rFonts w:ascii="仿宋_GB2312" w:eastAsia="仿宋_GB2312"/>
          <w:sz w:val="28"/>
          <w:szCs w:val="28"/>
        </w:rPr>
        <w:t>.</w:t>
      </w:r>
      <w:r>
        <w:rPr>
          <w:rFonts w:hint="eastAsia" w:ascii="仿宋_GB2312" w:eastAsia="仿宋_GB2312"/>
          <w:sz w:val="28"/>
          <w:szCs w:val="28"/>
        </w:rPr>
        <w:t>本项目的特定资格要求：</w:t>
      </w:r>
      <w:r>
        <w:rPr>
          <w:rFonts w:ascii="仿宋_GB2312" w:eastAsia="仿宋_GB2312"/>
          <w:sz w:val="28"/>
          <w:szCs w:val="28"/>
        </w:rPr>
        <w:t>无；</w:t>
      </w:r>
    </w:p>
    <w:p w14:paraId="051C08AF">
      <w:pPr>
        <w:pStyle w:val="6"/>
        <w:spacing w:line="400" w:lineRule="exact"/>
        <w:ind w:right="-21" w:rightChars="-10" w:firstLine="562" w:firstLineChars="200"/>
        <w:jc w:val="both"/>
        <w:rPr>
          <w:rFonts w:hint="eastAsia" w:ascii="黑体" w:hAnsi="黑体" w:eastAsia="黑体" w:cs="黑体"/>
          <w:bCs/>
          <w:sz w:val="28"/>
          <w:szCs w:val="28"/>
        </w:rPr>
      </w:pPr>
      <w:bookmarkStart w:id="5" w:name="_Toc35393792"/>
      <w:bookmarkStart w:id="6" w:name="_Toc35393623"/>
      <w:r>
        <w:rPr>
          <w:rFonts w:hint="eastAsia" w:ascii="黑体" w:hAnsi="黑体" w:eastAsia="黑体" w:cs="黑体"/>
          <w:bCs/>
          <w:sz w:val="28"/>
          <w:szCs w:val="28"/>
        </w:rPr>
        <w:t>三、</w:t>
      </w:r>
      <w:bookmarkEnd w:id="5"/>
      <w:bookmarkEnd w:id="6"/>
      <w:r>
        <w:rPr>
          <w:rFonts w:hint="eastAsia" w:ascii="黑体" w:hAnsi="黑体" w:eastAsia="黑体" w:cs="黑体"/>
          <w:bCs/>
          <w:sz w:val="28"/>
          <w:szCs w:val="28"/>
        </w:rPr>
        <w:t>获取招标文件</w:t>
      </w:r>
    </w:p>
    <w:p w14:paraId="1F85CF6F">
      <w:pPr>
        <w:spacing w:line="400" w:lineRule="exact"/>
        <w:ind w:right="-21" w:rightChars="-10" w:firstLine="540"/>
        <w:rPr>
          <w:rFonts w:ascii="仿宋_GB2312" w:hAnsi="Calibri" w:eastAsia="仿宋_GB2312"/>
          <w:sz w:val="28"/>
          <w:szCs w:val="28"/>
        </w:rPr>
      </w:pPr>
      <w:r>
        <w:rPr>
          <w:rFonts w:hint="eastAsia" w:ascii="仿宋_GB2312" w:eastAsia="仿宋_GB2312"/>
          <w:sz w:val="28"/>
          <w:szCs w:val="28"/>
        </w:rPr>
        <w:t>时间：</w:t>
      </w:r>
      <w:r>
        <w:rPr>
          <w:rFonts w:hint="eastAsia" w:ascii="仿宋_GB2312" w:hAnsi="Calibri" w:eastAsia="仿宋_GB2312"/>
          <w:sz w:val="28"/>
          <w:szCs w:val="28"/>
        </w:rPr>
        <w:t>XX年XX月XX日</w:t>
      </w:r>
      <w:r>
        <w:rPr>
          <w:rFonts w:hint="eastAsia" w:ascii="仿宋_GB2312" w:eastAsia="仿宋_GB2312"/>
          <w:sz w:val="28"/>
          <w:szCs w:val="28"/>
        </w:rPr>
        <w:t>至</w:t>
      </w:r>
      <w:r>
        <w:rPr>
          <w:rFonts w:ascii="仿宋_GB2312" w:hAnsi="Calibri" w:eastAsia="仿宋_GB2312"/>
          <w:sz w:val="28"/>
          <w:szCs w:val="28"/>
        </w:rPr>
        <w:t>XX年XX月XX日</w:t>
      </w:r>
      <w:r>
        <w:rPr>
          <w:rFonts w:hint="eastAsia" w:ascii="仿宋_GB2312" w:hAnsi="仿宋_GB2312" w:eastAsia="仿宋_GB2312" w:cs="仿宋_GB2312"/>
          <w:color w:val="000000"/>
          <w:sz w:val="28"/>
          <w:szCs w:val="28"/>
        </w:rPr>
        <w:t>，每天上午08:00至12:00，下午12:00至</w:t>
      </w:r>
      <w:r>
        <w:rPr>
          <w:rFonts w:hint="eastAsia" w:ascii="仿宋_GB2312" w:hAnsi="仿宋_GB2312" w:eastAsia="仿宋_GB2312" w:cs="仿宋_GB2312"/>
          <w:sz w:val="28"/>
          <w:szCs w:val="28"/>
        </w:rPr>
        <w:t>21:00</w:t>
      </w:r>
      <w:r>
        <w:rPr>
          <w:rFonts w:hint="eastAsia" w:ascii="仿宋_GB2312" w:hAnsi="仿宋_GB2312" w:eastAsia="仿宋_GB2312" w:cs="仿宋_GB2312"/>
          <w:color w:val="000000"/>
          <w:sz w:val="28"/>
          <w:szCs w:val="28"/>
        </w:rPr>
        <w:t>（北京时间，法定节假日除外）</w:t>
      </w:r>
    </w:p>
    <w:p w14:paraId="6B738F17">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地点（网址）：</w:t>
      </w:r>
      <w:r>
        <w:rPr>
          <w:rFonts w:hint="eastAsia" w:ascii="仿宋_GB2312" w:hAnsi="仿宋_GB2312" w:eastAsia="仿宋_GB2312" w:cs="仿宋_GB2312"/>
          <w:sz w:val="28"/>
          <w:szCs w:val="28"/>
        </w:rPr>
        <w:t>广西政府采购云平台（https://www.gcy.zfcg.gxzf.gov.cn/）</w:t>
      </w:r>
    </w:p>
    <w:p w14:paraId="4B456748">
      <w:pPr>
        <w:spacing w:line="480" w:lineRule="exact"/>
        <w:ind w:right="-21" w:rightChars="-10" w:firstLine="560" w:firstLineChars="200"/>
        <w:rPr>
          <w:rFonts w:hint="eastAsia" w:ascii="仿宋_GB2312" w:hAnsi="仿宋_GB2312" w:eastAsia="仿宋_GB2312" w:cs="仿宋_GB2312"/>
          <w:color w:val="000000"/>
          <w:sz w:val="28"/>
          <w:szCs w:val="28"/>
          <w:u w:val="single"/>
        </w:rPr>
      </w:pPr>
      <w:r>
        <w:rPr>
          <w:rFonts w:hint="eastAsia" w:ascii="仿宋_GB2312" w:hAnsi="仿宋_GB2312" w:eastAsia="仿宋_GB2312" w:cs="仿宋_GB2312"/>
          <w:color w:val="000000"/>
          <w:sz w:val="28"/>
          <w:szCs w:val="28"/>
        </w:rPr>
        <w:t>方式：</w:t>
      </w:r>
      <w:r>
        <w:rPr>
          <w:rFonts w:hint="eastAsia" w:ascii="仿宋_GB2312" w:hAnsi="仿宋_GB2312" w:eastAsia="仿宋_GB2312" w:cs="仿宋_GB2312"/>
          <w:sz w:val="28"/>
          <w:szCs w:val="28"/>
        </w:rPr>
        <w:t>线上获取。登录广西政府采购云平台（https://www.gcy.zfcg.gxzf.gov.cn/），在“工作台”—“项目采购”—“获取采购文件”选择本项目，点击“申请获取采购文件”进行申请提交后，在已申请栏中选择下载本项目招标文件。提示：1.未注册的供应商可在广西政府采购云平台完成注册后再行获取招标文件。2.供应商只有在“广西政府采购云平台”完成获取招标文件申请并下载了招标文件后才视作依法获取招标文件（法律法规所指的供应商获取招标文件时间以供应商完成获取招标文件申请后下载招标文件的时间为准）。3.已获取招标文件的投标人不等于符合本项目的投标人资格。</w:t>
      </w:r>
    </w:p>
    <w:p w14:paraId="40980DCC">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售价（元）：0</w:t>
      </w:r>
    </w:p>
    <w:p w14:paraId="24562061">
      <w:pPr>
        <w:pStyle w:val="6"/>
        <w:spacing w:line="400" w:lineRule="exact"/>
        <w:ind w:right="-21" w:rightChars="-10" w:firstLine="562" w:firstLineChars="200"/>
        <w:jc w:val="both"/>
        <w:rPr>
          <w:rFonts w:hint="eastAsia" w:ascii="黑体" w:hAnsi="黑体" w:eastAsia="黑体" w:cs="黑体"/>
          <w:bCs/>
          <w:sz w:val="28"/>
          <w:szCs w:val="28"/>
        </w:rPr>
      </w:pPr>
      <w:bookmarkStart w:id="7" w:name="_Toc28359082"/>
      <w:bookmarkStart w:id="8" w:name="_Toc35393793"/>
      <w:bookmarkStart w:id="9" w:name="_Toc35393624"/>
      <w:bookmarkStart w:id="10" w:name="_Toc28359005"/>
      <w:r>
        <w:rPr>
          <w:rFonts w:hint="eastAsia" w:ascii="黑体" w:hAnsi="黑体" w:eastAsia="黑体" w:cs="黑体"/>
          <w:bCs/>
          <w:sz w:val="28"/>
          <w:szCs w:val="28"/>
        </w:rPr>
        <w:t>四、</w:t>
      </w:r>
      <w:bookmarkEnd w:id="7"/>
      <w:bookmarkEnd w:id="8"/>
      <w:bookmarkEnd w:id="9"/>
      <w:bookmarkEnd w:id="10"/>
      <w:r>
        <w:rPr>
          <w:rFonts w:hint="eastAsia" w:ascii="黑体" w:hAnsi="黑体" w:eastAsia="黑体" w:cs="黑体"/>
          <w:bCs/>
          <w:color w:val="000000"/>
          <w:sz w:val="28"/>
          <w:szCs w:val="28"/>
        </w:rPr>
        <w:t>提交投标文件截止时间、开标时间和地点</w:t>
      </w:r>
    </w:p>
    <w:p w14:paraId="1724F7D7">
      <w:pPr>
        <w:spacing w:line="400" w:lineRule="exact"/>
        <w:ind w:right="-21" w:rightChars="-10" w:firstLine="560" w:firstLineChars="200"/>
        <w:rPr>
          <w:rFonts w:hint="eastAsia" w:ascii="仿宋" w:hAnsi="仿宋" w:eastAsia="仿宋"/>
          <w:bCs/>
          <w:sz w:val="28"/>
          <w:szCs w:val="28"/>
          <w:u w:val="single"/>
        </w:rPr>
      </w:pPr>
      <w:r>
        <w:rPr>
          <w:rFonts w:hint="eastAsia" w:ascii="仿宋_GB2312" w:hAnsi="仿宋_GB2312" w:eastAsia="仿宋_GB2312" w:cs="仿宋_GB2312"/>
          <w:color w:val="000000"/>
          <w:sz w:val="28"/>
          <w:szCs w:val="28"/>
        </w:rPr>
        <w:t>提交投标文件截止时间：</w:t>
      </w:r>
      <w:r>
        <w:rPr>
          <w:rFonts w:ascii="仿宋_GB2312" w:hAnsi="仿宋_GB2312" w:eastAsia="仿宋_GB2312" w:cs="仿宋_GB2312"/>
          <w:bCs/>
          <w:sz w:val="28"/>
          <w:szCs w:val="28"/>
        </w:rPr>
        <w:t>2025年XX月XX日 09:20</w:t>
      </w:r>
      <w:r>
        <w:rPr>
          <w:rFonts w:hint="eastAsia" w:ascii="仿宋_GB2312" w:eastAsia="仿宋_GB2312"/>
          <w:sz w:val="28"/>
          <w:szCs w:val="28"/>
        </w:rPr>
        <w:t>（北京时间）</w:t>
      </w:r>
    </w:p>
    <w:p w14:paraId="0044BB57">
      <w:pPr>
        <w:spacing w:line="480" w:lineRule="exact"/>
        <w:ind w:right="-21" w:rightChars="-10" w:firstLine="560" w:firstLineChars="200"/>
        <w:rPr>
          <w:rFonts w:hint="eastAsia" w:ascii="仿宋_GB2312" w:hAnsi="仿宋_GB2312" w:eastAsia="仿宋_GB2312" w:cs="仿宋_GB2312"/>
          <w:bCs/>
          <w:color w:val="000000"/>
          <w:sz w:val="28"/>
          <w:szCs w:val="28"/>
        </w:rPr>
      </w:pPr>
      <w:r>
        <w:rPr>
          <w:rFonts w:hint="eastAsia" w:ascii="仿宋_GB2312" w:hAnsi="仿宋_GB2312" w:eastAsia="仿宋_GB2312" w:cs="仿宋_GB2312"/>
          <w:color w:val="000000"/>
          <w:sz w:val="28"/>
          <w:szCs w:val="28"/>
        </w:rPr>
        <w:t>投标地点（网址）：</w:t>
      </w:r>
      <w:r>
        <w:rPr>
          <w:rFonts w:hint="eastAsia" w:ascii="仿宋_GB2312" w:hAnsi="仿宋_GB2312" w:eastAsia="仿宋_GB2312" w:cs="仿宋_GB2312"/>
          <w:sz w:val="28"/>
          <w:szCs w:val="28"/>
        </w:rPr>
        <w:t>广西政府采购云平台（https://www.gcy.zfcg.gxzf.gov.cn/）</w:t>
      </w:r>
      <w:r>
        <w:rPr>
          <w:rFonts w:ascii="仿宋" w:hAnsi="仿宋" w:eastAsia="仿宋" w:cs="仿宋"/>
          <w:sz w:val="27"/>
          <w:szCs w:val="27"/>
        </w:rPr>
        <w:t>（</w:t>
      </w:r>
      <w:r>
        <w:rPr>
          <w:rFonts w:hint="eastAsia" w:ascii="仿宋_GB2312" w:hAnsi="仿宋_GB2312" w:eastAsia="仿宋_GB2312" w:cs="仿宋_GB2312"/>
          <w:bCs/>
          <w:sz w:val="28"/>
          <w:szCs w:val="28"/>
        </w:rPr>
        <w:t>投标人应当在提交投标文件截止时间前完成电子投标文件的传输提交，提交截止时间前可以补充、修改或者撤回电子投标文件。补充或者修改电子投标文件的，应当先行撤回原文件，补充、修改后重新传输提交。提交投标文件截止时间前未完成传输的，视为撤回电子投标文件。提交投标文件截止时间后提交的电子投标文件，及</w:t>
      </w:r>
      <w:r>
        <w:rPr>
          <w:rFonts w:hint="eastAsia" w:ascii="仿宋_GB2312" w:hAnsi="仿宋_GB2312" w:eastAsia="仿宋_GB2312" w:cs="仿宋_GB2312"/>
          <w:sz w:val="28"/>
          <w:szCs w:val="28"/>
        </w:rPr>
        <w:t>未按规定编制并加密的电子投标文件，</w:t>
      </w:r>
      <w:r>
        <w:rPr>
          <w:rFonts w:hint="eastAsia" w:ascii="仿宋_GB2312" w:hAnsi="仿宋_GB2312" w:eastAsia="仿宋_GB2312" w:cs="仿宋_GB2312"/>
          <w:bCs/>
          <w:sz w:val="28"/>
          <w:szCs w:val="28"/>
        </w:rPr>
        <w:t>将被广西政府采购云平台拒收。</w:t>
      </w:r>
      <w:r>
        <w:rPr>
          <w:rFonts w:ascii="仿宋" w:hAnsi="仿宋" w:eastAsia="仿宋" w:cs="仿宋"/>
          <w:sz w:val="27"/>
          <w:szCs w:val="27"/>
        </w:rPr>
        <w:t>）</w:t>
      </w:r>
    </w:p>
    <w:p w14:paraId="67D3AFFA">
      <w:pPr>
        <w:spacing w:line="480" w:lineRule="exact"/>
        <w:ind w:right="-21" w:rightChars="-10" w:firstLine="560" w:firstLineChars="200"/>
        <w:rPr>
          <w:rFonts w:hint="eastAsia" w:ascii="仿宋_GB2312" w:hAnsi="仿宋_GB2312" w:eastAsia="仿宋_GB2312" w:cs="仿宋_GB2312"/>
          <w:color w:val="000000"/>
          <w:sz w:val="28"/>
          <w:szCs w:val="28"/>
        </w:rPr>
      </w:pPr>
      <w:r>
        <w:rPr>
          <w:rFonts w:hint="eastAsia" w:ascii="仿宋_GB2312" w:hAnsi="仿宋_GB2312" w:eastAsia="仿宋_GB2312" w:cs="仿宋_GB2312"/>
          <w:color w:val="000000"/>
          <w:sz w:val="28"/>
          <w:szCs w:val="28"/>
        </w:rPr>
        <w:t> 开标时间：</w:t>
      </w:r>
      <w:r>
        <w:rPr>
          <w:rFonts w:ascii="仿宋_GB2312" w:eastAsia="仿宋_GB2312"/>
          <w:bCs/>
          <w:sz w:val="28"/>
          <w:szCs w:val="28"/>
        </w:rPr>
        <w:t>2025年XX月XX日 09:20</w:t>
      </w:r>
    </w:p>
    <w:p w14:paraId="3F12EC94">
      <w:pPr>
        <w:spacing w:line="480" w:lineRule="exact"/>
        <w:ind w:right="-21" w:rightChars="-10"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color w:val="000000"/>
          <w:sz w:val="28"/>
          <w:szCs w:val="28"/>
        </w:rPr>
        <w:t> 开标地点：</w:t>
      </w:r>
      <w:r>
        <w:rPr>
          <w:rFonts w:hint="eastAsia" w:ascii="仿宋_GB2312" w:hAnsi="仿宋_GB2312" w:eastAsia="仿宋_GB2312" w:cs="仿宋_GB2312"/>
          <w:sz w:val="28"/>
          <w:szCs w:val="28"/>
        </w:rPr>
        <w:t>广西政府采购云平台（https://www.gcy.zfcg.gxzf.gov.cn/）</w:t>
      </w:r>
    </w:p>
    <w:p w14:paraId="540ABB10">
      <w:pPr>
        <w:pStyle w:val="6"/>
        <w:spacing w:line="400" w:lineRule="exact"/>
        <w:ind w:right="-21" w:rightChars="-10" w:firstLine="562" w:firstLineChars="200"/>
        <w:jc w:val="both"/>
        <w:rPr>
          <w:rFonts w:hint="eastAsia" w:ascii="黑体" w:hAnsi="黑体" w:eastAsia="黑体" w:cs="黑体"/>
          <w:bCs/>
          <w:sz w:val="28"/>
          <w:szCs w:val="28"/>
        </w:rPr>
      </w:pPr>
      <w:bookmarkStart w:id="11" w:name="_Toc28359007"/>
      <w:bookmarkStart w:id="12" w:name="_Toc28359084"/>
      <w:bookmarkStart w:id="13" w:name="_Toc35393794"/>
      <w:bookmarkStart w:id="14" w:name="_Toc35393625"/>
      <w:r>
        <w:rPr>
          <w:rFonts w:hint="eastAsia" w:ascii="黑体" w:hAnsi="黑体" w:eastAsia="黑体" w:cs="黑体"/>
          <w:bCs/>
          <w:sz w:val="28"/>
          <w:szCs w:val="28"/>
        </w:rPr>
        <w:t>五、公告期限</w:t>
      </w:r>
      <w:bookmarkEnd w:id="11"/>
      <w:bookmarkEnd w:id="12"/>
      <w:bookmarkEnd w:id="13"/>
      <w:bookmarkEnd w:id="14"/>
    </w:p>
    <w:p w14:paraId="3AB731B9">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自本公告发布之日起5个工作日。</w:t>
      </w:r>
    </w:p>
    <w:p w14:paraId="20FB690A">
      <w:pPr>
        <w:pStyle w:val="6"/>
        <w:spacing w:line="400" w:lineRule="exact"/>
        <w:ind w:right="-21" w:rightChars="-10" w:firstLine="562" w:firstLineChars="200"/>
        <w:jc w:val="both"/>
        <w:rPr>
          <w:rFonts w:hint="eastAsia" w:ascii="仿宋_GB2312" w:hAnsi="仿宋_GB2312" w:eastAsia="仿宋_GB2312" w:cs="仿宋_GB2312"/>
          <w:bCs/>
          <w:sz w:val="28"/>
          <w:szCs w:val="28"/>
        </w:rPr>
      </w:pPr>
      <w:bookmarkStart w:id="15" w:name="_Toc35393626"/>
      <w:bookmarkStart w:id="16" w:name="_Toc35393795"/>
      <w:r>
        <w:rPr>
          <w:rFonts w:hint="eastAsia" w:ascii="黑体" w:hAnsi="黑体" w:eastAsia="黑体" w:cs="黑体"/>
          <w:bCs/>
          <w:sz w:val="28"/>
          <w:szCs w:val="28"/>
        </w:rPr>
        <w:t>六、其他补充事宜</w:t>
      </w:r>
      <w:bookmarkEnd w:id="15"/>
      <w:bookmarkEnd w:id="16"/>
    </w:p>
    <w:p w14:paraId="2AD84B71">
      <w:pPr>
        <w:pStyle w:val="73"/>
        <w:spacing w:line="400" w:lineRule="exact"/>
        <w:ind w:right="-21" w:rightChars="-10"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（一）是否专门面向中小微企业采购：否</w:t>
      </w:r>
      <w:r>
        <w:rPr>
          <w:rFonts w:hint="eastAsia" w:ascii="仿宋_GB2312" w:hAnsi="仿宋_GB2312" w:eastAsia="仿宋_GB2312" w:cs="仿宋_GB2312"/>
          <w:b/>
          <w:bCs/>
          <w:sz w:val="28"/>
          <w:szCs w:val="28"/>
        </w:rPr>
        <w:cr/>
      </w:r>
      <w:r>
        <w:rPr>
          <w:rFonts w:hint="eastAsia" w:ascii="仿宋_GB2312" w:hAnsi="仿宋_GB2312" w:eastAsia="仿宋_GB2312" w:cs="仿宋_GB2312"/>
          <w:b/>
          <w:bCs/>
          <w:sz w:val="28"/>
          <w:szCs w:val="28"/>
        </w:rPr>
        <w:t xml:space="preserve">    （二）投标保证金：</w:t>
      </w:r>
      <w:r>
        <w:rPr>
          <w:rFonts w:hint="eastAsia" w:ascii="仿宋_GB2312" w:hAnsi="仿宋_GB2312" w:eastAsia="仿宋_GB2312" w:cs="仿宋_GB2312"/>
          <w:sz w:val="28"/>
          <w:szCs w:val="28"/>
        </w:rPr>
        <w:t>本项目无需提交投标保证金。</w:t>
      </w:r>
    </w:p>
    <w:p w14:paraId="46D30498">
      <w:pPr>
        <w:pStyle w:val="73"/>
        <w:spacing w:line="420" w:lineRule="exact"/>
        <w:ind w:firstLine="562"/>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（三）发布媒体：</w:t>
      </w:r>
      <w:r>
        <w:rPr>
          <w:rFonts w:hint="eastAsia" w:ascii="仿宋_GB2312" w:hAnsi="仿宋_GB2312" w:eastAsia="仿宋_GB2312" w:cs="仿宋_GB2312"/>
          <w:sz w:val="28"/>
          <w:szCs w:val="28"/>
        </w:rPr>
        <w:t>中国政府采购网（www.ccgp.gov.cn）、广西壮族自治区政府采购网（zfcg.gxzf.gov.cn）、柳州市政府采购网（zfcg.lzscz.liuzhou.gov.cn）。</w:t>
      </w:r>
    </w:p>
    <w:p w14:paraId="28640D31">
      <w:pPr>
        <w:pStyle w:val="73"/>
        <w:spacing w:line="420" w:lineRule="exact"/>
        <w:ind w:firstLine="560"/>
        <w:rPr>
          <w:rFonts w:hint="eastAsia" w:ascii="仿宋_GB2312" w:hAnsi="仿宋_GB2312" w:eastAsia="仿宋_GB2312" w:cs="仿宋_GB2312"/>
          <w:sz w:val="28"/>
          <w:szCs w:val="28"/>
        </w:rPr>
      </w:pPr>
      <w:bookmarkStart w:id="17" w:name="_Hlk93681467"/>
      <w:r>
        <w:rPr>
          <w:rFonts w:hint="eastAsia" w:ascii="仿宋_GB2312" w:hAnsi="仿宋_GB2312" w:eastAsia="仿宋_GB2312" w:cs="仿宋_GB2312"/>
          <w:sz w:val="28"/>
          <w:szCs w:val="28"/>
        </w:rPr>
        <w:t>（四）</w:t>
      </w:r>
      <w:r>
        <w:rPr>
          <w:rFonts w:ascii="仿宋_GB2312" w:hAnsi="仿宋_GB2312" w:eastAsia="仿宋_GB2312" w:cs="仿宋_GB2312"/>
          <w:sz w:val="28"/>
          <w:szCs w:val="28"/>
        </w:rPr>
        <w:t>本项目需要落实的政府采购政策：</w:t>
      </w:r>
      <w:r>
        <w:rPr>
          <w:rFonts w:hint="eastAsia" w:ascii="仿宋_GB2312" w:hAnsi="仿宋_GB2312" w:eastAsia="仿宋_GB2312" w:cs="仿宋_GB2312"/>
          <w:sz w:val="28"/>
          <w:szCs w:val="28"/>
        </w:rPr>
        <w:t>落实强制采购的节能产品、鼓励节能政策、鼓励环保政策、促进中小企业发展政策、支持监狱企业发展政策、促进残疾人就业政府采购政策。如需进一步了解详细内容，详见公开招标文件第二章《采购需求》及第四章《评标方法及评标标准》。</w:t>
      </w:r>
    </w:p>
    <w:bookmarkEnd w:id="17"/>
    <w:p w14:paraId="0E264BA8">
      <w:pPr>
        <w:spacing w:line="420" w:lineRule="exact"/>
        <w:ind w:firstLine="560" w:firstLineChars="20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（五）对在“信用中国”网站(www.creditchina.gov.cn)、中国政府采购网(www.ccgp.gov.cn)等渠道列入失信被执行人、重大税收违法案件当事人名单、政府采购严重违法失信行为记录名单的投标人，不得参与政府采购活动。</w:t>
      </w:r>
    </w:p>
    <w:p w14:paraId="6E3132FC">
      <w:pPr>
        <w:spacing w:line="420" w:lineRule="exact"/>
        <w:ind w:firstLine="562" w:firstLineChars="200"/>
        <w:rPr>
          <w:rFonts w:hint="eastAsia" w:ascii="仿宋_GB2312" w:hAnsi="仿宋_GB2312" w:eastAsia="仿宋_GB2312" w:cs="仿宋_GB2312"/>
          <w:sz w:val="28"/>
          <w:szCs w:val="28"/>
        </w:rPr>
      </w:pPr>
      <w:r>
        <w:rPr>
          <w:rFonts w:hint="eastAsia" w:ascii="仿宋_GB2312" w:hAnsi="仿宋_GB2312" w:eastAsia="仿宋_GB2312" w:cs="仿宋_GB2312"/>
          <w:b/>
          <w:bCs/>
          <w:sz w:val="28"/>
          <w:szCs w:val="28"/>
        </w:rPr>
        <w:t>（六）根据《柳州市财政局 人民银行柳州市中心支行 关于进一步做好线上“政采贷”融资工作的通知》（柳财采〔2022〕19号），供应商可凭中标通知书、政府采购合同，通过中征应收账款融资服务平台向银行在线申请“政采贷”融资。</w:t>
      </w:r>
    </w:p>
    <w:p w14:paraId="3644BA22">
      <w:pPr>
        <w:spacing w:line="420" w:lineRule="exact"/>
        <w:ind w:firstLine="562" w:firstLineChars="200"/>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（七）投标人参与电子投标特别说明</w:t>
      </w:r>
    </w:p>
    <w:p w14:paraId="05A5779B">
      <w:pPr>
        <w:pStyle w:val="73"/>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1.本项目通过广西政府采购云平台实行电子投标，投标人应按照本项目公开招标文件和广西政府采购云平台的要求，通过“广西政府采购云平台客户端”编制、加密并提交电子投标文件。</w:t>
      </w:r>
    </w:p>
    <w:p w14:paraId="37EA3333">
      <w:pPr>
        <w:pStyle w:val="73"/>
        <w:wordWrap w:val="0"/>
        <w:spacing w:line="420" w:lineRule="exact"/>
        <w:ind w:firstLine="560"/>
        <w:rPr>
          <w:rFonts w:hint="eastAsia" w:ascii="仿宋_GB2312" w:hAnsi="仿宋_GB2312" w:eastAsia="仿宋_GB2312" w:cs="仿宋_GB2312"/>
          <w:sz w:val="28"/>
          <w:szCs w:val="28"/>
        </w:rPr>
      </w:pPr>
      <w:r>
        <w:rPr>
          <w:rFonts w:hint="eastAsia" w:ascii="仿宋_GB2312" w:hAnsi="仿宋_GB2312" w:eastAsia="仿宋_GB2312" w:cs="仿宋_GB2312"/>
          <w:sz w:val="28"/>
          <w:szCs w:val="28"/>
        </w:rPr>
        <w:t>2.参与电子标的投标人必须为广西政府采购云平台的正式供应商且申领CA证书，</w:t>
      </w:r>
      <w:r>
        <w:rPr>
          <w:rFonts w:hint="eastAsia" w:ascii="仿宋_GB2312" w:hAnsi="仿宋_GB2312" w:eastAsia="仿宋_GB2312" w:cs="仿宋_GB2312"/>
          <w:b/>
          <w:bCs/>
          <w:sz w:val="28"/>
          <w:szCs w:val="28"/>
        </w:rPr>
        <w:t>各投标人应在开标前及时完成</w:t>
      </w:r>
      <w:r>
        <w:rPr>
          <w:rFonts w:hint="eastAsia" w:ascii="仿宋_GB2312" w:hAnsi="仿宋_GB2312" w:eastAsia="仿宋_GB2312" w:cs="仿宋_GB2312"/>
          <w:sz w:val="28"/>
          <w:szCs w:val="28"/>
        </w:rPr>
        <w:t>平台注册、CA证书申领、CA证书绑定、下载投标客户端，熟悉并掌握广西政府采购云平台电子标系统操作。</w:t>
      </w:r>
    </w:p>
    <w:p w14:paraId="57FD767E">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1</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投标人应及时熟悉掌握电子标系统操作指南（见广西政府采购云平台电子卖场首页—服务中心—帮助中心—项目采购）</w:t>
      </w:r>
    </w:p>
    <w:p w14:paraId="31B79BB6">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2</w:t>
      </w:r>
      <w:r>
        <w:rPr>
          <w:rFonts w:ascii="仿宋_GB2312" w:hAnsi="仿宋_GB2312" w:eastAsia="仿宋_GB2312" w:cs="仿宋_GB2312"/>
          <w:sz w:val="28"/>
          <w:szCs w:val="28"/>
        </w:rPr>
        <w:t>）</w:t>
      </w:r>
      <w:r>
        <w:rPr>
          <w:rFonts w:hint="eastAsia" w:ascii="仿宋_GB2312" w:hAnsi="仿宋_GB2312" w:eastAsia="仿宋_GB2312" w:cs="仿宋_GB2312"/>
          <w:sz w:val="28"/>
          <w:szCs w:val="28"/>
        </w:rPr>
        <w:t>投标人</w:t>
      </w:r>
      <w:r>
        <w:rPr>
          <w:rFonts w:ascii="仿宋_GB2312" w:hAnsi="仿宋_GB2312" w:eastAsia="仿宋_GB2312" w:cs="仿宋_GB2312"/>
          <w:sz w:val="28"/>
          <w:szCs w:val="28"/>
        </w:rPr>
        <w:t>应及时完成CA申领和绑定（见广西壮族自治区政府采购网—办事服务—下载专区-政采云CA证书办理操作指南）</w:t>
      </w:r>
      <w:r>
        <w:rPr>
          <w:rFonts w:hint="eastAsia" w:ascii="仿宋_GB2312" w:hAnsi="仿宋_GB2312" w:eastAsia="仿宋_GB2312" w:cs="仿宋_GB2312"/>
          <w:sz w:val="28"/>
          <w:szCs w:val="28"/>
        </w:rPr>
        <w:t>：</w:t>
      </w:r>
    </w:p>
    <w:p w14:paraId="6BDD6A15">
      <w:pPr>
        <w:pStyle w:val="73"/>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http://www.ccgp-guangxi.gov.cn/luban/detail?parentId=66479&amp;articleId=giG2hxujOLVnOuVjZr6wgQ</w:t>
      </w:r>
    </w:p>
    <w:p w14:paraId="48C448D2">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w:t>
      </w:r>
      <w:r>
        <w:rPr>
          <w:rFonts w:hint="eastAsia" w:ascii="仿宋_GB2312" w:hAnsi="仿宋_GB2312" w:eastAsia="仿宋_GB2312" w:cs="仿宋_GB2312"/>
          <w:sz w:val="28"/>
          <w:szCs w:val="28"/>
        </w:rPr>
        <w:t>3</w:t>
      </w:r>
      <w:r>
        <w:rPr>
          <w:rFonts w:ascii="仿宋_GB2312" w:hAnsi="仿宋_GB2312" w:eastAsia="仿宋_GB2312" w:cs="仿宋_GB2312"/>
          <w:sz w:val="28"/>
          <w:szCs w:val="28"/>
        </w:rPr>
        <w:t>）</w:t>
      </w:r>
      <w:r>
        <w:rPr>
          <w:rFonts w:hint="eastAsia" w:ascii="仿宋_GB2312" w:hAnsi="仿宋_GB2312" w:eastAsia="仿宋_GB2312" w:cs="仿宋_GB2312"/>
          <w:b/>
          <w:bCs/>
          <w:sz w:val="28"/>
          <w:szCs w:val="28"/>
        </w:rPr>
        <w:t>各投标人通过新平台参与政府采购项目投标需下载使用新版客户端，广西政府采购云平台客户端</w:t>
      </w:r>
      <w:r>
        <w:rPr>
          <w:rFonts w:hint="eastAsia" w:ascii="仿宋_GB2312" w:hAnsi="仿宋_GB2312" w:eastAsia="仿宋_GB2312" w:cs="仿宋_GB2312"/>
          <w:sz w:val="28"/>
          <w:szCs w:val="28"/>
        </w:rPr>
        <w:t>软件请投标人自行前往下载并安装：</w:t>
      </w:r>
    </w:p>
    <w:p w14:paraId="283BA715">
      <w:pPr>
        <w:pStyle w:val="73"/>
        <w:wordWrap w:val="0"/>
        <w:spacing w:line="420" w:lineRule="exact"/>
        <w:ind w:firstLine="560"/>
        <w:rPr>
          <w:rFonts w:hint="eastAsia" w:ascii="仿宋_GB2312" w:hAnsi="仿宋_GB2312" w:eastAsia="仿宋_GB2312" w:cs="仿宋_GB2312"/>
          <w:sz w:val="28"/>
          <w:szCs w:val="28"/>
        </w:rPr>
      </w:pPr>
      <w:r>
        <w:rPr>
          <w:rFonts w:ascii="仿宋_GB2312" w:hAnsi="仿宋_GB2312" w:eastAsia="仿宋_GB2312" w:cs="仿宋_GB2312"/>
          <w:sz w:val="28"/>
          <w:szCs w:val="28"/>
        </w:rPr>
        <w:t>http://www.ccgp-guangxi.gov.cn/site/detail?parentId=66479&amp;articleId=+06E5n62B1RzrGh0ew1OFg==&amp;utm=site.site-PC-38919.1024-pc-wsg-secondLevelPage-front.1.5057b2c0cef811ee9fd599f289f082d5</w:t>
      </w:r>
    </w:p>
    <w:p w14:paraId="1385A96C">
      <w:pPr>
        <w:spacing w:line="420" w:lineRule="exact"/>
        <w:ind w:firstLine="560" w:firstLineChars="200"/>
        <w:rPr>
          <w:rFonts w:hint="eastAsia" w:ascii="仿宋_GB2312" w:hAnsi="仿宋_GB2312" w:eastAsia="仿宋_GB2312" w:cs="仿宋_GB2312"/>
          <w:bCs/>
          <w:sz w:val="28"/>
          <w:szCs w:val="28"/>
        </w:rPr>
      </w:pPr>
      <w:r>
        <w:rPr>
          <w:rFonts w:hint="eastAsia" w:ascii="仿宋_GB2312" w:hAnsi="仿宋_GB2312" w:eastAsia="仿宋_GB2312" w:cs="仿宋_GB2312"/>
          <w:sz w:val="28"/>
          <w:szCs w:val="28"/>
        </w:rPr>
        <w:t>3.</w:t>
      </w:r>
      <w:r>
        <w:rPr>
          <w:rFonts w:hint="eastAsia" w:ascii="仿宋_GB2312" w:hAnsi="仿宋_GB2312" w:eastAsia="仿宋_GB2312" w:cs="仿宋_GB2312"/>
          <w:bCs/>
          <w:sz w:val="28"/>
          <w:szCs w:val="28"/>
        </w:rPr>
        <w:t>电子标项目不要求参与投标的投标人到现场，但投标人应派法定代表人或委托代理人准时在线出席电子开评标会议，随时关注开评标进度，如在开评标过程中有电子询标，应在规定的时间内对电子询标函进行澄清回复。</w:t>
      </w:r>
    </w:p>
    <w:p w14:paraId="09C15114">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4.因未注册广西政府采购云平台、未办理CA证书、CA证书故障、操作不当等原因造成无法投标或投标失败等后果由投标人自行承担；</w:t>
      </w:r>
    </w:p>
    <w:p w14:paraId="4B3A60E3">
      <w:pPr>
        <w:pStyle w:val="73"/>
        <w:spacing w:line="420" w:lineRule="exact"/>
        <w:ind w:firstLine="562"/>
        <w:rPr>
          <w:rFonts w:hint="eastAsia" w:ascii="仿宋_GB2312" w:hAnsi="仿宋_GB2312" w:eastAsia="仿宋_GB2312" w:cs="仿宋_GB2312"/>
          <w:b/>
          <w:bCs/>
          <w:sz w:val="28"/>
          <w:szCs w:val="28"/>
        </w:rPr>
      </w:pPr>
      <w:r>
        <w:rPr>
          <w:rFonts w:hint="eastAsia" w:ascii="仿宋_GB2312" w:hAnsi="仿宋_GB2312" w:eastAsia="仿宋_GB2312" w:cs="仿宋_GB2312"/>
          <w:b/>
          <w:bCs/>
          <w:sz w:val="28"/>
          <w:szCs w:val="28"/>
        </w:rPr>
        <w:t>5.投标人在使用广西政府采购云平台参与投标过程中遇到涉及平台使用的任何问题，可致电广西政府采购云平台技术支持热线咨询，联系方式：</w:t>
      </w:r>
      <w:r>
        <w:rPr>
          <w:rFonts w:ascii="仿宋_GB2312" w:hAnsi="仿宋_GB2312" w:eastAsia="仿宋_GB2312" w:cs="仿宋_GB2312"/>
          <w:b/>
          <w:bCs/>
          <w:sz w:val="28"/>
          <w:szCs w:val="28"/>
        </w:rPr>
        <w:t>95763</w:t>
      </w:r>
      <w:r>
        <w:rPr>
          <w:rFonts w:hint="eastAsia" w:ascii="仿宋_GB2312" w:hAnsi="仿宋_GB2312" w:eastAsia="仿宋_GB2312" w:cs="仿宋_GB2312"/>
          <w:b/>
          <w:bCs/>
          <w:sz w:val="28"/>
          <w:szCs w:val="28"/>
        </w:rPr>
        <w:t>。</w:t>
      </w:r>
    </w:p>
    <w:p w14:paraId="429190E7">
      <w:pPr>
        <w:pStyle w:val="6"/>
        <w:spacing w:line="400" w:lineRule="exact"/>
        <w:ind w:right="-21" w:rightChars="-10" w:firstLine="562" w:firstLineChars="200"/>
        <w:jc w:val="both"/>
        <w:rPr>
          <w:rFonts w:hint="eastAsia" w:ascii="黑体" w:hAnsi="黑体" w:eastAsia="黑体" w:cs="黑体"/>
          <w:b w:val="0"/>
          <w:sz w:val="28"/>
          <w:szCs w:val="28"/>
        </w:rPr>
      </w:pPr>
      <w:bookmarkStart w:id="18" w:name="_Toc28359085"/>
      <w:bookmarkStart w:id="19" w:name="_Toc35393627"/>
      <w:bookmarkStart w:id="20" w:name="_Toc28359008"/>
      <w:bookmarkStart w:id="21" w:name="_Toc35393796"/>
      <w:bookmarkStart w:id="22" w:name="_Hlk50569036"/>
      <w:r>
        <w:rPr>
          <w:rFonts w:hint="eastAsia" w:ascii="黑体" w:hAnsi="黑体" w:eastAsia="黑体" w:cs="黑体"/>
          <w:bCs/>
          <w:sz w:val="28"/>
          <w:szCs w:val="28"/>
        </w:rPr>
        <w:t>七、对本次招标提出询问，请按以下方式联系</w:t>
      </w:r>
      <w:bookmarkEnd w:id="18"/>
      <w:bookmarkEnd w:id="19"/>
      <w:bookmarkEnd w:id="20"/>
      <w:bookmarkEnd w:id="21"/>
    </w:p>
    <w:p w14:paraId="6570D77D">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1.采购人信息</w:t>
      </w:r>
    </w:p>
    <w:p w14:paraId="3507D3FE">
      <w:pPr>
        <w:tabs>
          <w:tab w:val="left" w:pos="851"/>
        </w:tabs>
        <w:spacing w:line="400" w:lineRule="exact"/>
        <w:ind w:right="-21" w:rightChars="-10" w:firstLine="560" w:firstLineChars="200"/>
        <w:rPr>
          <w:rFonts w:ascii="仿宋_GB2312" w:eastAsia="仿宋_GB2312"/>
          <w:color w:val="FF0000"/>
          <w:sz w:val="28"/>
          <w:szCs w:val="28"/>
        </w:rPr>
      </w:pPr>
      <w:r>
        <w:rPr>
          <w:rFonts w:hint="eastAsia" w:ascii="仿宋_GB2312" w:eastAsia="仿宋_GB2312"/>
          <w:sz w:val="28"/>
          <w:szCs w:val="28"/>
        </w:rPr>
        <w:t>名 称：</w:t>
      </w:r>
      <w:r>
        <w:rPr>
          <w:rFonts w:ascii="仿宋_GB2312" w:eastAsia="仿宋_GB2312"/>
          <w:sz w:val="28"/>
          <w:szCs w:val="28"/>
        </w:rPr>
        <w:t>柳州市电化教育站</w:t>
      </w:r>
    </w:p>
    <w:p w14:paraId="085C7B3D">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地</w:t>
      </w:r>
      <w:r>
        <w:rPr>
          <w:rFonts w:ascii="仿宋_GB2312" w:eastAsia="仿宋_GB2312"/>
          <w:sz w:val="28"/>
          <w:szCs w:val="28"/>
        </w:rPr>
        <w:t xml:space="preserve"> </w:t>
      </w:r>
      <w:r>
        <w:rPr>
          <w:rFonts w:hint="eastAsia" w:ascii="仿宋_GB2312" w:eastAsia="仿宋_GB2312"/>
          <w:sz w:val="28"/>
          <w:szCs w:val="28"/>
        </w:rPr>
        <w:t>址：</w:t>
      </w:r>
      <w:r>
        <w:rPr>
          <w:rFonts w:ascii="仿宋_GB2312" w:eastAsia="仿宋_GB2312"/>
          <w:sz w:val="28"/>
          <w:szCs w:val="28"/>
        </w:rPr>
        <w:t>广西柳州市鱼峰区新柳大道91号启元广场A座</w:t>
      </w:r>
    </w:p>
    <w:p w14:paraId="5EF07CF8">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秦佳乐</w:t>
      </w:r>
    </w:p>
    <w:p w14:paraId="4AF71D92">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0772-5389537</w:t>
      </w:r>
    </w:p>
    <w:p w14:paraId="05363DF6">
      <w:pPr>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2.采购代理机构信息</w:t>
      </w:r>
    </w:p>
    <w:p w14:paraId="0CF3CAA1">
      <w:pPr>
        <w:tabs>
          <w:tab w:val="left" w:pos="851"/>
        </w:tabs>
        <w:spacing w:line="400" w:lineRule="exact"/>
        <w:ind w:right="-21" w:rightChars="-10" w:firstLine="560" w:firstLineChars="200"/>
        <w:rPr>
          <w:rFonts w:ascii="仿宋_GB2312" w:eastAsia="仿宋_GB2312"/>
          <w:sz w:val="28"/>
          <w:szCs w:val="28"/>
        </w:rPr>
      </w:pPr>
      <w:r>
        <w:rPr>
          <w:rFonts w:hint="eastAsia" w:ascii="仿宋_GB2312" w:eastAsia="仿宋_GB2312"/>
          <w:sz w:val="28"/>
          <w:szCs w:val="28"/>
        </w:rPr>
        <w:t>名 称：柳州市政府集中采购中心</w:t>
      </w:r>
    </w:p>
    <w:p w14:paraId="7FB1482B">
      <w:pPr>
        <w:spacing w:line="400" w:lineRule="exact"/>
        <w:ind w:left="2100" w:right="-21" w:rightChars="-10" w:hanging="2100" w:hangingChars="750"/>
        <w:rPr>
          <w:rFonts w:ascii="仿宋_GB2312" w:eastAsia="仿宋_GB2312"/>
          <w:sz w:val="28"/>
          <w:szCs w:val="28"/>
        </w:rPr>
      </w:pPr>
      <w:r>
        <w:rPr>
          <w:rFonts w:hint="eastAsia" w:ascii="仿宋_GB2312" w:eastAsia="仿宋_GB2312"/>
          <w:sz w:val="28"/>
          <w:szCs w:val="28"/>
        </w:rPr>
        <w:t xml:space="preserve">    地 址：广西</w:t>
      </w:r>
      <w:r>
        <w:rPr>
          <w:rFonts w:ascii="仿宋_GB2312" w:eastAsia="仿宋_GB2312"/>
          <w:sz w:val="28"/>
          <w:szCs w:val="28"/>
        </w:rPr>
        <w:t>柳州市三中路6</w:t>
      </w:r>
      <w:r>
        <w:rPr>
          <w:rFonts w:hint="eastAsia" w:ascii="仿宋_GB2312" w:eastAsia="仿宋_GB2312"/>
          <w:sz w:val="28"/>
          <w:szCs w:val="28"/>
        </w:rPr>
        <w:t>4-2</w:t>
      </w:r>
      <w:r>
        <w:rPr>
          <w:rFonts w:ascii="仿宋_GB2312" w:eastAsia="仿宋_GB2312"/>
          <w:sz w:val="28"/>
          <w:szCs w:val="28"/>
        </w:rPr>
        <w:t>号</w:t>
      </w:r>
    </w:p>
    <w:p w14:paraId="4F2A96FA">
      <w:pPr>
        <w:spacing w:line="400" w:lineRule="exact"/>
        <w:ind w:right="-21" w:rightChars="-10" w:firstLine="555"/>
        <w:rPr>
          <w:rFonts w:ascii="仿宋_GB2312" w:eastAsia="仿宋_GB2312"/>
          <w:color w:val="FF0000"/>
          <w:sz w:val="28"/>
          <w:szCs w:val="28"/>
        </w:rPr>
      </w:pPr>
      <w:r>
        <w:rPr>
          <w:rFonts w:hint="eastAsia" w:ascii="仿宋_GB2312" w:eastAsia="仿宋_GB2312"/>
          <w:sz w:val="28"/>
          <w:szCs w:val="28"/>
        </w:rPr>
        <w:t>项目联系人：</w:t>
      </w:r>
      <w:r>
        <w:rPr>
          <w:rFonts w:ascii="仿宋_GB2312" w:eastAsia="仿宋_GB2312"/>
          <w:sz w:val="28"/>
          <w:szCs w:val="28"/>
        </w:rPr>
        <w:t>潘俐君</w:t>
      </w:r>
    </w:p>
    <w:p w14:paraId="2FEECA51">
      <w:pPr>
        <w:spacing w:line="400" w:lineRule="exact"/>
        <w:ind w:right="-21" w:rightChars="-10"/>
        <w:rPr>
          <w:rFonts w:ascii="仿宋_GB2312" w:eastAsia="仿宋_GB2312"/>
          <w:sz w:val="28"/>
          <w:szCs w:val="28"/>
        </w:rPr>
      </w:pPr>
      <w:r>
        <w:rPr>
          <w:rFonts w:hint="eastAsia" w:ascii="仿宋_GB2312" w:eastAsia="仿宋_GB2312"/>
          <w:sz w:val="28"/>
          <w:szCs w:val="28"/>
        </w:rPr>
        <w:t xml:space="preserve">    项目联系方式：</w:t>
      </w:r>
      <w:r>
        <w:rPr>
          <w:rFonts w:ascii="仿宋_GB2312" w:eastAsia="仿宋_GB2312"/>
          <w:sz w:val="28"/>
          <w:szCs w:val="28"/>
        </w:rPr>
        <w:t>0772-2992106</w:t>
      </w:r>
      <w:bookmarkEnd w:id="22"/>
    </w:p>
    <w:p w14:paraId="6524C3C1">
      <w:pPr>
        <w:spacing w:line="400" w:lineRule="exact"/>
        <w:ind w:right="560"/>
        <w:rPr>
          <w:rFonts w:ascii="仿宋_GB2312" w:eastAsia="仿宋_GB2312"/>
          <w:sz w:val="28"/>
          <w:szCs w:val="28"/>
        </w:rPr>
        <w:sectPr>
          <w:footerReference r:id="rId6" w:type="default"/>
          <w:pgSz w:w="11906" w:h="16838"/>
          <w:pgMar w:top="1440" w:right="991" w:bottom="1440" w:left="1440" w:header="851" w:footer="992" w:gutter="0"/>
          <w:pgNumType w:start="1"/>
          <w:cols w:space="720" w:num="1"/>
          <w:docGrid w:linePitch="312" w:charSpace="0"/>
        </w:sectPr>
      </w:pPr>
    </w:p>
    <w:p w14:paraId="0FD72F81">
      <w:pPr>
        <w:pStyle w:val="5"/>
        <w:spacing w:line="276" w:lineRule="auto"/>
        <w:jc w:val="center"/>
        <w:rPr>
          <w:rFonts w:hint="eastAsia" w:ascii="宋体" w:hAnsi="宋体"/>
          <w:sz w:val="32"/>
          <w:szCs w:val="32"/>
        </w:rPr>
      </w:pPr>
      <w:bookmarkStart w:id="23" w:name="_Toc13541"/>
      <w:r>
        <w:rPr>
          <w:rFonts w:hint="eastAsia" w:ascii="宋体" w:hAnsi="宋体"/>
          <w:sz w:val="32"/>
          <w:szCs w:val="32"/>
        </w:rPr>
        <w:t>第二章 采购需求</w:t>
      </w:r>
      <w:bookmarkEnd w:id="23"/>
    </w:p>
    <w:p w14:paraId="32933568">
      <w:pPr>
        <w:spacing w:line="276" w:lineRule="auto"/>
        <w:ind w:right="-330" w:rightChars="-157"/>
        <w:rPr>
          <w:rFonts w:ascii="仿宋_GB2312" w:eastAsia="仿宋_GB2312"/>
          <w:b/>
          <w:bCs/>
          <w:sz w:val="24"/>
        </w:rPr>
      </w:pPr>
      <w:r>
        <w:rPr>
          <w:rFonts w:hint="eastAsia" w:ascii="仿宋_GB2312" w:eastAsia="仿宋_GB2312"/>
          <w:b/>
          <w:bCs/>
          <w:sz w:val="24"/>
        </w:rPr>
        <w:t>说明：</w:t>
      </w:r>
    </w:p>
    <w:p w14:paraId="202BA6EB">
      <w:pPr>
        <w:spacing w:line="380" w:lineRule="exact"/>
        <w:ind w:right="-330" w:rightChars="-157" w:firstLine="482" w:firstLineChars="200"/>
        <w:rPr>
          <w:rFonts w:ascii="仿宋_GB2312" w:eastAsia="仿宋_GB2312"/>
          <w:b/>
          <w:bCs/>
          <w:color w:val="000000"/>
          <w:sz w:val="24"/>
        </w:rPr>
      </w:pPr>
      <w:bookmarkStart w:id="24" w:name="_Hlk93675025"/>
      <w:r>
        <w:rPr>
          <w:rFonts w:hint="eastAsia" w:ascii="仿宋_GB2312" w:eastAsia="仿宋_GB2312"/>
          <w:b/>
          <w:bCs/>
          <w:color w:val="000000"/>
          <w:sz w:val="24"/>
        </w:rPr>
        <w:t>（一）本一览表中的品牌、型号仅起参考作用，投标人可选用其他品牌型号替代，但这些替代的产品要实质上满足或优于参考品牌、型号及其技术参数性能（配置）要求。</w:t>
      </w:r>
    </w:p>
    <w:p w14:paraId="45AF4A3B">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（二）本一览表中参考品牌、型号及技术参数性能（配置）不明确或有误的，或投标人选用其他品牌型号替代的，请说明品牌型号和详细、正确的技术参数性能（配置）同时填写投标报价明细表和技术响应表。</w:t>
      </w:r>
    </w:p>
    <w:p w14:paraId="3D729DF7">
      <w:pPr>
        <w:spacing w:line="380" w:lineRule="exact"/>
        <w:ind w:right="-330" w:rightChars="-157" w:firstLine="482" w:firstLineChars="200"/>
        <w:rPr>
          <w:rFonts w:ascii="仿宋_GB2312" w:eastAsia="仿宋_GB2312"/>
          <w:b/>
          <w:bCs/>
          <w:color w:val="000000"/>
          <w:sz w:val="24"/>
        </w:rPr>
      </w:pPr>
      <w:r>
        <w:rPr>
          <w:rFonts w:ascii="仿宋_GB2312" w:eastAsia="仿宋_GB2312"/>
          <w:b/>
          <w:bCs/>
          <w:color w:val="000000"/>
          <w:sz w:val="24"/>
        </w:rPr>
        <w:t>（三）标记“★”符号的为实质性响应内容，该内容仅限于“第二章 采购需求”，评审时投标人的响应内容发生负偏离一项以上的，视为投标无效。</w:t>
      </w:r>
      <w:r>
        <w:rPr>
          <w:rFonts w:hint="eastAsia" w:ascii="仿宋_GB2312" w:eastAsia="仿宋_GB2312"/>
          <w:b/>
          <w:bCs/>
          <w:color w:val="000000"/>
          <w:sz w:val="24"/>
          <w:lang w:val="en-US" w:eastAsia="zh-CN"/>
        </w:rPr>
        <w:t>没有</w:t>
      </w:r>
      <w:r>
        <w:rPr>
          <w:rFonts w:ascii="仿宋_GB2312" w:eastAsia="仿宋_GB2312"/>
          <w:b/>
          <w:bCs/>
          <w:color w:val="000000"/>
          <w:sz w:val="24"/>
        </w:rPr>
        <w:t>标记“★”符号的技术参数要求，</w:t>
      </w:r>
      <w:r>
        <w:rPr>
          <w:rFonts w:ascii="仿宋_GB2312" w:eastAsia="仿宋_GB2312"/>
          <w:b/>
          <w:bCs/>
          <w:sz w:val="24"/>
        </w:rPr>
        <w:t>评审时</w:t>
      </w:r>
      <w:r>
        <w:rPr>
          <w:rFonts w:hint="eastAsia" w:ascii="仿宋_GB2312" w:eastAsia="仿宋_GB2312"/>
          <w:b/>
          <w:bCs/>
          <w:sz w:val="24"/>
        </w:rPr>
        <w:t>，分标1投标人的响应内容发生负偏离</w:t>
      </w:r>
      <w:r>
        <w:rPr>
          <w:rFonts w:hint="eastAsia" w:ascii="仿宋_GB2312" w:eastAsia="仿宋_GB2312"/>
          <w:b/>
          <w:bCs/>
          <w:sz w:val="24"/>
          <w:lang w:val="en-US" w:eastAsia="zh-CN"/>
        </w:rPr>
        <w:t>四</w:t>
      </w:r>
      <w:r>
        <w:rPr>
          <w:rFonts w:hint="eastAsia" w:ascii="仿宋_GB2312" w:eastAsia="仿宋_GB2312"/>
          <w:b/>
          <w:bCs/>
          <w:sz w:val="24"/>
        </w:rPr>
        <w:t>项以上的，分标1视为投标无效；分标2投标人的响应内容发生负偏离</w:t>
      </w:r>
      <w:r>
        <w:rPr>
          <w:rFonts w:hint="eastAsia" w:ascii="仿宋_GB2312" w:eastAsia="仿宋_GB2312"/>
          <w:b/>
          <w:bCs/>
          <w:sz w:val="24"/>
          <w:lang w:val="en-US" w:eastAsia="zh-CN"/>
        </w:rPr>
        <w:t>四</w:t>
      </w:r>
      <w:r>
        <w:rPr>
          <w:rFonts w:hint="eastAsia" w:ascii="仿宋_GB2312" w:eastAsia="仿宋_GB2312"/>
          <w:b/>
          <w:bCs/>
          <w:sz w:val="24"/>
        </w:rPr>
        <w:t>项以上的，分标2视为投标无效</w:t>
      </w:r>
      <w:r>
        <w:rPr>
          <w:rFonts w:ascii="仿宋_GB2312" w:eastAsia="仿宋_GB2312"/>
          <w:b/>
          <w:bCs/>
          <w:sz w:val="24"/>
        </w:rPr>
        <w:t>。</w:t>
      </w:r>
      <w:r>
        <w:rPr>
          <w:rFonts w:ascii="仿宋_GB2312" w:eastAsia="仿宋_GB2312"/>
          <w:b/>
          <w:bCs/>
          <w:color w:val="000000"/>
          <w:sz w:val="24"/>
        </w:rPr>
        <w:t>关于“项数”的规定，凡标有最低一级序号的指标项即为一项技术条款，无论是否隶属于上一级编号（有特别说明的除外）。</w:t>
      </w:r>
    </w:p>
    <w:p w14:paraId="00175AE4">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四）评审时，评审委员会发现采购文件存在歧义、重大缺陷导致评审工作无法进行，或者采购文件内容违反国家有关规定的，要停止评审工作并向采购人或采购代理机构书面说明情况，采购人或采购代理机构应当修改采购文件后重新组织采购活动；发现投标人提供虚假材料、串通等违法违规行为的，要及时向采购人或采购代理机构报告。</w:t>
      </w:r>
    </w:p>
    <w:p w14:paraId="1B068EF5">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五）提供相同品牌产品且通过资格审查、符合性审查的不同投标人参加同一合同项下的投标，按一家投标人计算，评审后得分最高的同品牌投标人获得中标人推荐资格；评审得分相同的，由采购人或者采购人委托评标委员会按照招标文件规定的方式确定一个投标人获得中标人推荐资格，招标文件未规定的采取随机抽取方式确定，其他同品牌投标人不作为中标候选人；</w:t>
      </w:r>
    </w:p>
    <w:p w14:paraId="65A7145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非单一产品采购项目中，多家投标人提供的核心产品品牌相同的，视为提供相同品牌产品，核心产品的名称在招标文件第二章“采购需求”用“▲”标明。</w:t>
      </w:r>
    </w:p>
    <w:p w14:paraId="55C40BB8">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（六）本项目包括以下设备，根据财办库〔2008〕248号文件有关规定，本项目不允许进口产品参加报价。</w:t>
      </w:r>
    </w:p>
    <w:p w14:paraId="5D0281EF">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七）投标人必须为其响应产品侵犯其他投标人或专利人的专利成果承担相应法律责任；同时，具有产品专利的投标人应在其投标文件中提供与其自有产品专利相关的有效证明材料，否则，不能就其产品的专利在本项目响应过程中被侵权问题提出异议。</w:t>
      </w:r>
    </w:p>
    <w:p w14:paraId="443FA3D6">
      <w:pPr>
        <w:spacing w:line="380" w:lineRule="exact"/>
        <w:ind w:right="-330" w:rightChars="-157" w:firstLine="482" w:firstLineChars="200"/>
        <w:rPr>
          <w:rFonts w:ascii="仿宋_GB2312" w:eastAsia="仿宋_GB2312"/>
          <w:b/>
          <w:bCs/>
          <w:color w:val="000000"/>
          <w:sz w:val="24"/>
        </w:rPr>
      </w:pPr>
      <w:r>
        <w:rPr>
          <w:rFonts w:hint="eastAsia" w:ascii="仿宋_GB2312" w:eastAsia="仿宋_GB2312"/>
          <w:b/>
          <w:bCs/>
          <w:color w:val="000000"/>
          <w:sz w:val="24"/>
        </w:rPr>
        <w:t>（八）若采购货物属于</w:t>
      </w:r>
      <w:r>
        <w:fldChar w:fldCharType="begin"/>
      </w:r>
      <w:r>
        <w:instrText xml:space="preserve">HYPERLINK "http://gks.mof.gov.cn/zhengfucaigouguanli/201904/P020190402638613799126.pdf"</w:instrText>
      </w:r>
      <w:r>
        <w:fldChar w:fldCharType="separate"/>
      </w:r>
      <w:r>
        <w:rPr>
          <w:rFonts w:hint="eastAsia" w:ascii="仿宋_GB2312" w:eastAsia="仿宋_GB2312"/>
          <w:b/>
          <w:bCs/>
          <w:color w:val="000000"/>
          <w:sz w:val="24"/>
        </w:rPr>
        <w:t>节能产品政府采购品目清单</w:t>
      </w:r>
      <w:r>
        <w:rPr>
          <w:rFonts w:ascii="仿宋_GB2312" w:eastAsia="仿宋_GB2312"/>
          <w:b/>
          <w:bCs/>
          <w:color w:val="000000"/>
          <w:sz w:val="24"/>
        </w:rPr>
        <w:fldChar w:fldCharType="end"/>
      </w:r>
      <w:r>
        <w:rPr>
          <w:rFonts w:hint="eastAsia" w:ascii="仿宋_GB2312" w:eastAsia="仿宋_GB2312"/>
          <w:b/>
          <w:bCs/>
          <w:color w:val="000000"/>
          <w:sz w:val="24"/>
        </w:rPr>
        <w:t>范围的，投标人的投标货物必须使用政府强制采购的节能产品，品目清单请从中国政府采购网（www.ccgp.gov.cn）查询下载，有属于政府强制节能产品的，必须提供所投产品的证明材料（国家确定的认证机构出具的、处于有效期之内的节能产品认证证书材料，加盖投标人CA电子签章），否则其投标无效。</w:t>
      </w:r>
    </w:p>
    <w:p w14:paraId="587D25CD">
      <w:pPr>
        <w:spacing w:line="380" w:lineRule="exact"/>
        <w:ind w:right="-330" w:rightChars="-157" w:firstLine="482" w:firstLineChars="200"/>
        <w:rPr>
          <w:rFonts w:hint="eastAsia" w:ascii="仿宋_GB2312" w:eastAsia="仿宋_GB2312"/>
          <w:b/>
          <w:bCs/>
          <w:color w:val="000000"/>
          <w:sz w:val="24"/>
        </w:rPr>
      </w:pPr>
      <w:r>
        <w:rPr>
          <w:rFonts w:hint="eastAsia" w:ascii="仿宋_GB2312" w:eastAsia="仿宋_GB2312"/>
          <w:b/>
          <w:bCs/>
          <w:color w:val="000000"/>
          <w:sz w:val="24"/>
        </w:rPr>
        <w:t>（九）本货物需求一览表的技术参数要求中未特别列明的技术要求参照国家相关技术标准执行，如有最新标准，按最新标准执行。</w:t>
      </w:r>
    </w:p>
    <w:p w14:paraId="65F8FFCC">
      <w:pPr>
        <w:spacing w:line="380" w:lineRule="exact"/>
        <w:ind w:right="-330" w:rightChars="-157"/>
        <w:jc w:val="left"/>
        <w:rPr>
          <w:rFonts w:hint="eastAsia" w:ascii="仿宋_GB2312" w:eastAsia="仿宋_GB2312"/>
          <w:b/>
          <w:bCs/>
          <w:sz w:val="24"/>
        </w:rPr>
      </w:pPr>
    </w:p>
    <w:p w14:paraId="3A3596B9">
      <w:pPr>
        <w:spacing w:line="380" w:lineRule="exact"/>
        <w:ind w:right="-330" w:rightChars="-157"/>
        <w:jc w:val="left"/>
        <w:rPr>
          <w:rFonts w:hint="eastAsia" w:ascii="仿宋_GB2312" w:eastAsia="仿宋_GB2312"/>
          <w:b/>
          <w:bCs/>
          <w:color w:val="000000"/>
          <w:sz w:val="24"/>
        </w:rPr>
      </w:pPr>
      <w:r>
        <w:rPr>
          <w:rFonts w:hint="eastAsia" w:ascii="仿宋_GB2312" w:eastAsia="仿宋_GB2312"/>
          <w:b/>
          <w:bCs/>
          <w:sz w:val="24"/>
        </w:rPr>
        <w:t>分标1：</w:t>
      </w:r>
    </w:p>
    <w:tbl>
      <w:tblPr>
        <w:tblStyle w:val="48"/>
        <w:tblpPr w:leftFromText="181" w:rightFromText="181" w:vertAnchor="text" w:horzAnchor="page" w:tblpX="1288" w:tblpY="80"/>
        <w:tblOverlap w:val="never"/>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500"/>
        <w:gridCol w:w="1238"/>
        <w:gridCol w:w="7213"/>
        <w:gridCol w:w="903"/>
      </w:tblGrid>
      <w:tr w14:paraId="51EEB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2ECC6C3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left"/>
              <w:textAlignment w:val="center"/>
              <w:rPr>
                <w:rFonts w:hint="default" w:ascii="仿宋_GB2312" w:hAnsi="仿宋_GB2312" w:eastAsia="仿宋_GB2312" w:cs="仿宋_GB2312"/>
                <w:b/>
                <w:bCs/>
                <w:color w:val="auto"/>
                <w:kern w:val="0"/>
                <w:sz w:val="24"/>
                <w:lang w:bidi="ar"/>
              </w:rPr>
            </w:pPr>
            <w:r>
              <w:rPr>
                <w:rFonts w:hint="eastAsia" w:ascii="仿宋_GB2312" w:hAnsi="仿宋_GB2312" w:eastAsia="仿宋_GB2312" w:cs="仿宋_GB2312"/>
                <w:b/>
                <w:bCs/>
                <w:color w:val="auto"/>
                <w:kern w:val="0"/>
                <w:sz w:val="24"/>
                <w:lang w:bidi="ar"/>
              </w:rPr>
              <w:t>一、项目技术规格参数及要求</w:t>
            </w:r>
          </w:p>
        </w:tc>
      </w:tr>
      <w:tr w14:paraId="3E80D5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24F282C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序号</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14134CE">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品名</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083EEE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规格及技术参数</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BEFF5D2">
            <w:pPr>
              <w:keepNext w:val="0"/>
              <w:keepLines w:val="0"/>
              <w:widowControl/>
              <w:suppressLineNumbers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bCs/>
                <w:color w:val="auto"/>
                <w:sz w:val="24"/>
              </w:rPr>
            </w:pPr>
            <w:r>
              <w:rPr>
                <w:rFonts w:hint="eastAsia" w:ascii="仿宋_GB2312" w:hAnsi="仿宋_GB2312" w:eastAsia="仿宋_GB2312" w:cs="仿宋_GB2312"/>
                <w:b/>
                <w:bCs/>
                <w:color w:val="auto"/>
                <w:kern w:val="0"/>
                <w:sz w:val="24"/>
                <w:lang w:bidi="ar"/>
              </w:rPr>
              <w:t>数量及</w:t>
            </w:r>
          </w:p>
          <w:p w14:paraId="64A3529F">
            <w:pPr>
              <w:keepNext w:val="0"/>
              <w:keepLines w:val="0"/>
              <w:widowControl/>
              <w:suppressLineNumbers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bCs/>
                <w:color w:val="auto"/>
                <w:sz w:val="24"/>
              </w:rPr>
            </w:pPr>
            <w:r>
              <w:rPr>
                <w:rFonts w:hint="eastAsia" w:ascii="仿宋_GB2312" w:hAnsi="仿宋_GB2312" w:eastAsia="仿宋_GB2312" w:cs="仿宋_GB2312"/>
                <w:b/>
                <w:bCs/>
                <w:color w:val="auto"/>
                <w:kern w:val="0"/>
                <w:sz w:val="24"/>
                <w:lang w:bidi="ar"/>
              </w:rPr>
              <w:t>单位</w:t>
            </w:r>
          </w:p>
        </w:tc>
      </w:tr>
      <w:tr w14:paraId="64172B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05B047D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bCs/>
                <w:color w:val="auto"/>
                <w:kern w:val="0"/>
                <w:sz w:val="24"/>
                <w:lang w:bidi="ar"/>
              </w:rPr>
            </w:pPr>
            <w:r>
              <w:rPr>
                <w:rFonts w:hint="eastAsia" w:ascii="仿宋_GB2312" w:hAnsi="仿宋_GB2312" w:eastAsia="仿宋_GB2312" w:cs="仿宋_GB2312"/>
                <w:b/>
                <w:bCs/>
                <w:color w:val="auto"/>
                <w:kern w:val="0"/>
                <w:sz w:val="24"/>
                <w:szCs w:val="24"/>
                <w:lang w:val="en-US" w:eastAsia="zh-CN"/>
              </w:rPr>
              <w:t>（一）柳铁二中移动录播系统</w:t>
            </w:r>
          </w:p>
        </w:tc>
      </w:tr>
      <w:tr w14:paraId="0DD7B0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right w:val="single" w:color="auto" w:sz="4" w:space="0"/>
            </w:tcBorders>
            <w:shd w:val="clear" w:color="auto" w:fill="auto"/>
            <w:vAlign w:val="center"/>
          </w:tcPr>
          <w:p w14:paraId="768B0FC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w:t>
            </w:r>
          </w:p>
        </w:tc>
        <w:tc>
          <w:tcPr>
            <w:tcW w:w="628" w:type="pct"/>
            <w:tcBorders>
              <w:top w:val="single" w:color="auto" w:sz="4" w:space="0"/>
              <w:left w:val="single" w:color="auto" w:sz="4" w:space="0"/>
              <w:right w:val="single" w:color="auto" w:sz="4" w:space="0"/>
            </w:tcBorders>
            <w:shd w:val="clear" w:color="auto" w:fill="auto"/>
            <w:vAlign w:val="center"/>
          </w:tcPr>
          <w:p w14:paraId="0525A7B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rPr>
            </w:pPr>
            <w:r>
              <w:rPr>
                <w:rFonts w:hint="eastAsia" w:ascii="仿宋_GB2312" w:eastAsia="仿宋_GB2312"/>
                <w:b/>
                <w:bCs/>
                <w:color w:val="auto"/>
                <w:sz w:val="24"/>
              </w:rPr>
              <w:t>▲</w:t>
            </w:r>
            <w:r>
              <w:rPr>
                <w:rFonts w:hint="eastAsia" w:ascii="仿宋_GB2312" w:hAnsi="仿宋_GB2312" w:eastAsia="仿宋_GB2312" w:cs="仿宋_GB2312"/>
                <w:b w:val="0"/>
                <w:bCs w:val="0"/>
                <w:color w:val="auto"/>
                <w:sz w:val="24"/>
                <w:szCs w:val="24"/>
              </w:rPr>
              <w:t>便携移动录播</w:t>
            </w:r>
            <w:r>
              <w:rPr>
                <w:rFonts w:hint="eastAsia" w:ascii="仿宋_GB2312" w:hAnsi="仿宋_GB2312" w:eastAsia="仿宋_GB2312" w:cs="仿宋_GB2312"/>
                <w:b w:val="0"/>
                <w:bCs w:val="0"/>
                <w:color w:val="auto"/>
                <w:sz w:val="24"/>
                <w:szCs w:val="24"/>
                <w:lang w:val="en-US" w:eastAsia="zh-CN"/>
              </w:rPr>
              <w:t>主机</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E662332">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1.为保证系统整体编解码性能及使用稳定性，主机需采用≥3颗ARM架构处理器，主处理器采用4核架构，2颗协处理均采用4核架构。</w:t>
            </w:r>
          </w:p>
          <w:p w14:paraId="54039DAF">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2.主机系统内存≥8GB。</w:t>
            </w:r>
          </w:p>
          <w:p w14:paraId="37BDD347">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3.为保证不影响授课，主机无风扇设计，主机噪声小于20dB（A）。</w:t>
            </w:r>
          </w:p>
          <w:p w14:paraId="73F243F0">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4.主机存储容量不低于1TB。</w:t>
            </w:r>
          </w:p>
          <w:p w14:paraId="592427F2">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5.内置蓝牙无线物联模块，主机无需线缆就可以实现对音箱的音量控制，也可通过台实现对主机开关机控制。</w:t>
            </w:r>
          </w:p>
          <w:p w14:paraId="1DD54E4C">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6.支持标准USB音视频信号输出，通过主机TypeC接口可以实现图像和声音同步输出，最大支持4K图像输出。</w:t>
            </w:r>
          </w:p>
          <w:p w14:paraId="710453CB">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7.标配壁装支架，可通过转轴实现翻转，便于接插线和维护。</w:t>
            </w:r>
          </w:p>
          <w:p w14:paraId="34ACC87F">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8.主机采用高度集成化设计，能够独立完成视频采集、音频采集、音频编码、视频编码、音频处理、视频处理表、直播、录制、互动、专业导播、远程运维参数设置功能。</w:t>
            </w:r>
          </w:p>
          <w:p w14:paraId="50A3523A">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highlight w:val="yellow"/>
                <w:u w:val="wave"/>
                <w:lang w:val="en-US" w:eastAsia="zh-CN"/>
              </w:rPr>
            </w:pPr>
            <w:r>
              <w:rPr>
                <w:rFonts w:ascii="仿宋_GB2312" w:eastAsia="仿宋_GB2312"/>
                <w:b/>
                <w:bCs/>
                <w:color w:val="auto"/>
                <w:sz w:val="24"/>
              </w:rPr>
              <w:t>★</w:t>
            </w:r>
            <w:r>
              <w:rPr>
                <w:rFonts w:hint="eastAsia" w:ascii="仿宋_GB2312" w:hAnsi="仿宋_GB2312" w:eastAsia="仿宋_GB2312" w:cs="仿宋_GB2312"/>
                <w:color w:val="auto"/>
                <w:sz w:val="24"/>
                <w:szCs w:val="24"/>
                <w:lang w:val="en-US" w:eastAsia="zh-CN"/>
              </w:rPr>
              <w:t>9.内置音频接收模块。无需外接无线音频接收模块，即可完成无线音频采集，</w:t>
            </w:r>
            <w:r>
              <w:rPr>
                <w:rFonts w:hint="eastAsia" w:ascii="仿宋_GB2312" w:hAnsi="仿宋_GB2312" w:eastAsia="仿宋_GB2312" w:cs="仿宋_GB2312"/>
                <w:color w:val="auto"/>
                <w:sz w:val="24"/>
                <w:szCs w:val="24"/>
                <w:highlight w:val="yellow"/>
                <w:u w:val="wave"/>
                <w:lang w:val="en-US" w:eastAsia="zh-CN"/>
              </w:rPr>
              <w:t>支持同时≥1个无线麦克风接入，且同时支持≥2种对频模式。</w:t>
            </w:r>
          </w:p>
          <w:p w14:paraId="504829E9">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ascii="仿宋_GB2312" w:eastAsia="仿宋_GB2312"/>
                <w:b/>
                <w:bCs/>
                <w:color w:val="auto"/>
                <w:sz w:val="24"/>
              </w:rPr>
              <w:t>★</w:t>
            </w:r>
            <w:r>
              <w:rPr>
                <w:rFonts w:hint="eastAsia" w:ascii="仿宋_GB2312" w:hAnsi="仿宋_GB2312" w:eastAsia="仿宋_GB2312" w:cs="仿宋_GB2312"/>
                <w:color w:val="auto"/>
                <w:sz w:val="24"/>
                <w:szCs w:val="24"/>
                <w:lang w:val="en-US" w:eastAsia="zh-CN"/>
              </w:rPr>
              <w:t>10.支持断电扩声，在主机完全断电的情况下，从主机线性音频通道上输入的音频可以从主机输出通道输出，</w:t>
            </w:r>
            <w:r>
              <w:rPr>
                <w:rFonts w:hint="eastAsia" w:ascii="仿宋_GB2312" w:hAnsi="仿宋_GB2312" w:eastAsia="仿宋_GB2312" w:cs="仿宋_GB2312"/>
                <w:color w:val="auto"/>
                <w:sz w:val="24"/>
                <w:szCs w:val="24"/>
                <w:highlight w:val="yellow"/>
                <w:u w:val="wave"/>
                <w:lang w:val="en-US" w:eastAsia="zh-CN"/>
              </w:rPr>
              <w:t>且≥1个音频输入通道可以支持该功能</w:t>
            </w:r>
            <w:r>
              <w:rPr>
                <w:rFonts w:hint="eastAsia" w:ascii="仿宋_GB2312" w:hAnsi="仿宋_GB2312" w:eastAsia="仿宋_GB2312" w:cs="仿宋_GB2312"/>
                <w:color w:val="auto"/>
                <w:sz w:val="24"/>
                <w:szCs w:val="24"/>
                <w:lang w:val="en-US" w:eastAsia="zh-CN"/>
              </w:rPr>
              <w:t>，满足全场景的教学使用需求。</w:t>
            </w:r>
          </w:p>
          <w:p w14:paraId="6339EEFD">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支持≥2个HDMI高清采集接口，支持分辨率包含：3840×2160p@30Hz、1920×1080p@60Hz、1920×1080p@30Hz、1680×1050p@30Hz、1600×900p@30Hz、1400×1050p@30fps、1280×1024p@30Hz、1280×1024p@60Hz、1280×960p@30Hz、1280×800p@30Hz、1280×720p@60Hz、1280×720p@30Hz、720×480p@60Hz、640×480p@30Hz 。</w:t>
            </w:r>
          </w:p>
          <w:p w14:paraId="3D73BA47">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12.支持≥1路HDMI输入通道具备音频同步采集能力，可通过系统设置音频采集打开或者关闭。</w:t>
            </w:r>
          </w:p>
          <w:p w14:paraId="2F2AAEBB">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◆13.支持≥4路高清视频输出，视频输出可同一时间输出不同视频源，且输出最大分辨率均可达到4K，其中</w:t>
            </w:r>
            <w:r>
              <w:rPr>
                <w:rFonts w:hint="eastAsia" w:ascii="仿宋_GB2312" w:hAnsi="仿宋_GB2312" w:eastAsia="仿宋_GB2312" w:cs="仿宋_GB2312"/>
                <w:color w:val="auto"/>
                <w:sz w:val="24"/>
                <w:szCs w:val="24"/>
                <w:highlight w:val="yellow"/>
                <w:u w:val="wave"/>
                <w:lang w:val="en-US" w:eastAsia="zh-CN"/>
              </w:rPr>
              <w:t>HDMI信号输出≥2路</w:t>
            </w:r>
            <w:r>
              <w:rPr>
                <w:rFonts w:hint="eastAsia" w:ascii="仿宋_GB2312" w:hAnsi="仿宋_GB2312" w:eastAsia="仿宋_GB2312" w:cs="仿宋_GB2312"/>
                <w:color w:val="auto"/>
                <w:sz w:val="24"/>
                <w:szCs w:val="24"/>
                <w:lang w:val="en-US" w:eastAsia="zh-CN"/>
              </w:rPr>
              <w:t>且UVC视频输出≥1路。</w:t>
            </w:r>
          </w:p>
          <w:p w14:paraId="1462680C">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◆14.</w:t>
            </w:r>
            <w:r>
              <w:rPr>
                <w:rFonts w:hint="eastAsia" w:ascii="仿宋_GB2312" w:hAnsi="仿宋_GB2312" w:eastAsia="仿宋_GB2312" w:cs="仿宋_GB2312"/>
                <w:color w:val="auto"/>
                <w:sz w:val="24"/>
                <w:szCs w:val="24"/>
                <w:highlight w:val="yellow"/>
                <w:u w:val="wave"/>
                <w:lang w:val="en-US" w:eastAsia="zh-CN"/>
              </w:rPr>
              <w:t>支持≥4个RJ45接口</w:t>
            </w:r>
            <w:r>
              <w:rPr>
                <w:rFonts w:hint="eastAsia" w:ascii="仿宋_GB2312" w:hAnsi="仿宋_GB2312" w:eastAsia="仿宋_GB2312" w:cs="仿宋_GB2312"/>
                <w:color w:val="auto"/>
                <w:sz w:val="24"/>
                <w:szCs w:val="24"/>
                <w:lang w:val="en-US" w:eastAsia="zh-CN"/>
              </w:rPr>
              <w:t>，其中≥3个支持POE。</w:t>
            </w:r>
          </w:p>
          <w:p w14:paraId="5085129D">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15.支持≥2个线路信号立体声输入，且输入接口采用不同的运放倍数设计，可满足不同类型的音频信号接入。</w:t>
            </w:r>
          </w:p>
          <w:p w14:paraId="7B609C26">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16.支持≥2个线性立体声音频输出，可独立设置任意一个输出接口的混音模式。</w:t>
            </w:r>
          </w:p>
          <w:p w14:paraId="75454D95">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17.支持≥1个阵列麦克风输入接口，可在不接入音频处理器的情况下，通过网线就可以完成≥8个阵列麦克风接入主机，通过网线可以实现≥8麦克风的供电、音频信号传输、音频参数设置，支持无损数字音频传输。</w:t>
            </w:r>
          </w:p>
          <w:p w14:paraId="3AF8459A">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ascii="仿宋_GB2312" w:eastAsia="仿宋_GB2312"/>
                <w:b/>
                <w:bCs/>
                <w:color w:val="auto"/>
                <w:sz w:val="24"/>
              </w:rPr>
              <w:t>★</w:t>
            </w:r>
            <w:r>
              <w:rPr>
                <w:rFonts w:hint="eastAsia" w:ascii="仿宋_GB2312" w:hAnsi="仿宋_GB2312" w:eastAsia="仿宋_GB2312" w:cs="仿宋_GB2312"/>
                <w:color w:val="auto"/>
                <w:sz w:val="24"/>
                <w:szCs w:val="24"/>
                <w:u w:val="none"/>
                <w:lang w:val="en-US" w:eastAsia="zh-CN"/>
              </w:rPr>
              <w:t>18.</w:t>
            </w:r>
            <w:r>
              <w:rPr>
                <w:rFonts w:hint="eastAsia" w:ascii="仿宋_GB2312" w:hAnsi="仿宋_GB2312" w:eastAsia="仿宋_GB2312" w:cs="仿宋_GB2312"/>
                <w:color w:val="auto"/>
                <w:sz w:val="24"/>
                <w:szCs w:val="24"/>
                <w:highlight w:val="yellow"/>
                <w:u w:val="wave"/>
                <w:lang w:val="en-US" w:eastAsia="zh-CN"/>
              </w:rPr>
              <w:t>支持≥4个USB类型接口</w:t>
            </w:r>
            <w:r>
              <w:rPr>
                <w:rFonts w:hint="eastAsia" w:ascii="仿宋_GB2312" w:hAnsi="仿宋_GB2312" w:eastAsia="仿宋_GB2312" w:cs="仿宋_GB2312"/>
                <w:color w:val="auto"/>
                <w:sz w:val="24"/>
                <w:szCs w:val="24"/>
                <w:u w:val="none"/>
                <w:lang w:val="en-US" w:eastAsia="zh-CN"/>
              </w:rPr>
              <w:t>，</w:t>
            </w:r>
            <w:r>
              <w:rPr>
                <w:rFonts w:hint="eastAsia" w:ascii="仿宋_GB2312" w:hAnsi="仿宋_GB2312" w:eastAsia="仿宋_GB2312" w:cs="仿宋_GB2312"/>
                <w:color w:val="auto"/>
                <w:sz w:val="24"/>
                <w:szCs w:val="24"/>
                <w:lang w:val="en-US" w:eastAsia="zh-CN"/>
              </w:rPr>
              <w:t>其中USB-A接口≥3个，Type-C接口≥2个。</w:t>
            </w:r>
          </w:p>
          <w:p w14:paraId="50B28F87">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19.主机采用多功能电源按键，通过一个按键可以实现开机、关机、节能待机。</w:t>
            </w:r>
          </w:p>
          <w:p w14:paraId="19EEDFE1">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20.支持双HDMI画面采集，采集画面可在主机上完成拼接，输出比例32:9画面。</w:t>
            </w:r>
          </w:p>
          <w:p w14:paraId="141BE61C">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21.支持AAC音频编码协议。</w:t>
            </w:r>
          </w:p>
          <w:p w14:paraId="12D83790">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22.支持硬件复位功能，可通过Reset复位键实现整机复位。</w:t>
            </w:r>
          </w:p>
          <w:p w14:paraId="74BCDD51">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23.支持接入标准USB声卡，实现USB双向音频通信。</w:t>
            </w:r>
          </w:p>
          <w:p w14:paraId="5C244CE8">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24.支持双网卡设计，摄像机可在独立网段单独工作，不影响原有网络。</w:t>
            </w:r>
          </w:p>
          <w:p w14:paraId="12539BE3">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25.支持检测摄像机接入状态，可根据摄像机在线离线状态自动实现状态更新。</w:t>
            </w:r>
          </w:p>
          <w:p w14:paraId="49DD0840">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26.支持开机后自动实现与无线音频设备链接，支持自动对频，可通过主机屏幕查看对频是否成功，对频成功支持音频提醒，可通过提示音反馈对频状态。</w:t>
            </w:r>
          </w:p>
          <w:p w14:paraId="2FC798A6">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27.支持HDMI通道通道检测，可通过主机屏幕显示HDMI信号接入状态。</w:t>
            </w:r>
          </w:p>
          <w:p w14:paraId="7BD80883">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28.支持≥1路自定义机位绑定设置，可将HDMI in绑定至任意景位。</w:t>
            </w:r>
          </w:p>
          <w:p w14:paraId="245B397F">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29.支持录制倒计时，自定义设置≥4种倒计时时间。</w:t>
            </w:r>
          </w:p>
          <w:p w14:paraId="68727612">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30.支持通过主机屏幕实现画面预监，可同时预监≥7路画面。</w:t>
            </w:r>
          </w:p>
          <w:p w14:paraId="4948BBC7">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31.支持 H.264(BP/MP/HP)视频编码与解码，可扩展支持H.265 编码/解码。</w:t>
            </w:r>
          </w:p>
          <w:p w14:paraId="525CCDEA">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eastAsia="仿宋_GB2312"/>
                <w:b/>
                <w:bCs/>
                <w:color w:val="auto"/>
                <w:sz w:val="24"/>
                <w:lang w:eastAsia="zh-CN"/>
              </w:rPr>
              <w:t>◆</w:t>
            </w:r>
            <w:r>
              <w:rPr>
                <w:rFonts w:hint="eastAsia" w:ascii="仿宋_GB2312" w:hAnsi="仿宋_GB2312" w:eastAsia="仿宋_GB2312" w:cs="仿宋_GB2312"/>
                <w:color w:val="auto"/>
                <w:sz w:val="24"/>
                <w:szCs w:val="24"/>
                <w:lang w:val="en-US" w:eastAsia="zh-CN"/>
              </w:rPr>
              <w:t>32.</w:t>
            </w:r>
            <w:r>
              <w:rPr>
                <w:rFonts w:hint="eastAsia" w:ascii="仿宋_GB2312" w:hAnsi="仿宋_GB2312" w:eastAsia="仿宋_GB2312" w:cs="仿宋_GB2312"/>
                <w:color w:val="auto"/>
                <w:sz w:val="24"/>
                <w:szCs w:val="24"/>
                <w:highlight w:val="yellow"/>
                <w:u w:val="wave"/>
                <w:lang w:val="en-US" w:eastAsia="zh-CN"/>
              </w:rPr>
              <w:t>支持≥31 路</w:t>
            </w:r>
            <w:r>
              <w:rPr>
                <w:rFonts w:hint="eastAsia" w:ascii="仿宋_GB2312" w:hAnsi="仿宋_GB2312" w:eastAsia="仿宋_GB2312" w:cs="仿宋_GB2312"/>
                <w:color w:val="auto"/>
                <w:sz w:val="24"/>
                <w:szCs w:val="24"/>
                <w:lang w:val="en-US" w:eastAsia="zh-CN"/>
              </w:rPr>
              <w:t xml:space="preserve"> 1080p@30fps 编/解码。</w:t>
            </w:r>
          </w:p>
          <w:p w14:paraId="6416BBDF">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33.支持分辨率、码率、帧率设定。</w:t>
            </w:r>
          </w:p>
          <w:p w14:paraId="62628823">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34.支持录制清晰度设定，支持可选择4K、1080p、720p、VGA、QVGA；支持录制帧率设定，可选择 25fps/30fps/60fps；支持录制画质选择，可选择≥5种等级；录制编码码率≥16Mbps。</w:t>
            </w:r>
          </w:p>
          <w:p w14:paraId="5ADEDE11">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35.支持多通道同时录制，支持生成标准 MP4 格式视频文件，支持≥ 8 路 MP4 文件同时录制。</w:t>
            </w:r>
          </w:p>
          <w:p w14:paraId="1D26F662">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36.支持通过主机一体化触控屏实现开始、暂停、停止录制、发布直播。</w:t>
            </w:r>
          </w:p>
          <w:p w14:paraId="4F503254">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37.支持≥2种录制视频自动分段模式：支持按照文件大小分段，可选择500MB，1GB，2GB进行分段录制；支持按照录制时长分段，可选择30分钟、60分钟。</w:t>
            </w:r>
          </w:p>
          <w:p w14:paraId="37B108B7">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38.支持网络监测功能，无需安装第三方软件，在触控屏幕上显示教室网络状态，包括：服务联通性、网络稳定性、上下行速度、网络追踪性、网卡信息。</w:t>
            </w:r>
          </w:p>
          <w:p w14:paraId="321791E2">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39.支持对直播视频 GOP 进行设置，可根据网络情况选择1~6秒。</w:t>
            </w:r>
          </w:p>
          <w:p w14:paraId="6A4ACA0A">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40.支持主机一体化触控屏实现开启/关闭直播，可选择开启录制时是否同步开启直播。</w:t>
            </w:r>
          </w:p>
          <w:p w14:paraId="34047AD7">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41.主机网口支持10/100/1000Mbps自适应，支持 IPV4，IPV6。</w:t>
            </w:r>
          </w:p>
          <w:p w14:paraId="70FABE51">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42.主机无需配置单独公网 IP 即可实现互动。</w:t>
            </w:r>
          </w:p>
          <w:p w14:paraId="4BF57DA5">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43.支持智能组网，摄像机插入主机后能够自动实现机位绑定并出现画面。</w:t>
            </w:r>
          </w:p>
          <w:p w14:paraId="543F7E07">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44.支持录制时长设定，录制时长到达后可自动停止录制，支持设定时长包括 40 分钟、1 小时、2 小时、6小时、12 小时，用户可根据需要提前结束录制；录制过程中，用户可通过互动录播电脑主机一体化触控屏查看已录制时长。</w:t>
            </w:r>
          </w:p>
          <w:p w14:paraId="5B701CFC">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45.支持单个文件、文件夹删除；多个文件、多个文件夹批量删除；支持清空视频功能，可一键清除主机视频。</w:t>
            </w:r>
          </w:p>
          <w:p w14:paraId="2C01835A">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eastAsia="仿宋_GB2312"/>
                <w:b/>
                <w:bCs/>
                <w:color w:val="auto"/>
                <w:sz w:val="24"/>
                <w:lang w:eastAsia="zh-CN"/>
              </w:rPr>
              <w:t>◆</w:t>
            </w:r>
            <w:r>
              <w:rPr>
                <w:rFonts w:hint="eastAsia" w:ascii="仿宋_GB2312" w:hAnsi="仿宋_GB2312" w:eastAsia="仿宋_GB2312" w:cs="仿宋_GB2312"/>
                <w:color w:val="auto"/>
                <w:sz w:val="24"/>
                <w:szCs w:val="24"/>
                <w:lang w:val="en-US" w:eastAsia="zh-CN"/>
              </w:rPr>
              <w:t>46.</w:t>
            </w:r>
            <w:r>
              <w:rPr>
                <w:rFonts w:hint="eastAsia" w:ascii="仿宋_GB2312" w:hAnsi="仿宋_GB2312" w:eastAsia="仿宋_GB2312" w:cs="仿宋_GB2312"/>
                <w:color w:val="auto"/>
                <w:sz w:val="24"/>
                <w:szCs w:val="24"/>
                <w:highlight w:val="yellow"/>
                <w:u w:val="wave"/>
                <w:lang w:val="en-US" w:eastAsia="zh-CN"/>
              </w:rPr>
              <w:t>支持推流路数≥2路</w:t>
            </w:r>
            <w:r>
              <w:rPr>
                <w:rFonts w:hint="eastAsia" w:ascii="仿宋_GB2312" w:hAnsi="仿宋_GB2312" w:eastAsia="仿宋_GB2312" w:cs="仿宋_GB2312"/>
                <w:color w:val="auto"/>
                <w:sz w:val="24"/>
                <w:szCs w:val="24"/>
                <w:lang w:val="en-US" w:eastAsia="zh-CN"/>
              </w:rPr>
              <w:t>，支持rtmp直播推流，推送的直播流可选择不同视频源，推流单路可达 1080p@60fps，可选画面≥7个，推送的直播流可选择是否带有声音。</w:t>
            </w:r>
          </w:p>
          <w:p w14:paraId="6CCE0FC3">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47.录制视频文件支持自动归档，支持按照年月日时分秒自动归类，存储到对应的文件夹下，同时支持用户账号自动关联，用户使用账号登录主机后，录制文件会自动归档到该用户账号。</w:t>
            </w:r>
          </w:p>
          <w:p w14:paraId="115B2A62">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48.主机内置扬声器，支持音频检测，通过主机内置扬声器可以播放测试音频，通过主机一体化屏幕进行视频预览时能够同步播放音频，且可控制播放音频音量大小。</w:t>
            </w:r>
          </w:p>
          <w:p w14:paraId="78589FD8">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49.直播视频清晰度可设置，支持 1080p@60fps，可选择1080p、720p、VGA、QVGA；支持帧率设定，可选择 25fps/30fps/60fps；支持多种画质选择，可选择极佳、好、一般、流畅四个不同等级。</w:t>
            </w:r>
          </w:p>
          <w:p w14:paraId="06B71E3C">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50.支持单个文件、文件夹拷贝；多个文件、多个文件夹批量拷贝；支持动态显示拷贝进度，完成时自动提醒；当有多个 U 盘插入时，可在互动录播电脑主机一体化触控屏进行 U 盘选择。</w:t>
            </w:r>
          </w:p>
          <w:p w14:paraId="00380BB6">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51.支持 FTP 远程自动上传录像，录制停止后自动上传视频文件到 FTP 服务器，支持断点续传。</w:t>
            </w:r>
          </w:p>
          <w:p w14:paraId="5E28F390">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52.支持通过主机一体化触控屏幕，选择自动/手动导播模式。</w:t>
            </w:r>
          </w:p>
          <w:p w14:paraId="4D13CB04">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53.支持串口通信，可通过中控协议实现中控控制，控制开关机、开始/暂停/停止录制。</w:t>
            </w:r>
          </w:p>
          <w:p w14:paraId="66B0EB6D">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54.支持通过互联网，查看当前的主机总数、日活个数、当前在线数量，支持通过平台查看设备在线和离线状态，支持通过平台查看设备 ID 地址、IP 地址、激活时间信息。</w:t>
            </w:r>
          </w:p>
          <w:p w14:paraId="4C739E8B">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55.支持通过互联网，实现对设备的远程配置，</w:t>
            </w:r>
            <w:r>
              <w:rPr>
                <w:rFonts w:hint="eastAsia" w:ascii="仿宋_GB2312" w:hAnsi="仿宋_GB2312" w:eastAsia="仿宋_GB2312" w:cs="仿宋_GB2312"/>
                <w:color w:val="auto"/>
                <w:sz w:val="24"/>
                <w:szCs w:val="24"/>
                <w:highlight w:val="yellow"/>
                <w:u w:val="none"/>
                <w:lang w:val="en-US" w:eastAsia="zh-CN"/>
              </w:rPr>
              <w:t>支持≥3种操作</w:t>
            </w:r>
            <w:r>
              <w:rPr>
                <w:rFonts w:hint="eastAsia" w:ascii="仿宋_GB2312" w:hAnsi="仿宋_GB2312" w:eastAsia="仿宋_GB2312" w:cs="仿宋_GB2312"/>
                <w:color w:val="auto"/>
                <w:sz w:val="24"/>
                <w:szCs w:val="24"/>
                <w:lang w:val="en-US" w:eastAsia="zh-CN"/>
              </w:rPr>
              <w:t>。</w:t>
            </w:r>
          </w:p>
          <w:p w14:paraId="20BA7379">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56.支持通过互联网，按照版本号进行查询。可查看该版本的主机数量，支持通过 IOT 物联平台实现主机的远程升级，可查看不同版本的占比，可按照行政区域进行分区升级。</w:t>
            </w:r>
          </w:p>
          <w:p w14:paraId="78E1C78F">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57.支持上电自启动，设备通电后系统可自动启动，可设置开启或关闭上电自启动功能，支持自动开关机，可设置定时开关机时间。</w:t>
            </w:r>
          </w:p>
          <w:p w14:paraId="08FA2238">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58.支持点击、双击、滑动 3 种类型的触控操控。</w:t>
            </w:r>
          </w:p>
          <w:p w14:paraId="19A50376">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59.支持自动息屏功能，同时支持用户自设置息屏时间，可支持 1min、3min、5min、10min 多种时间选择。</w:t>
            </w:r>
          </w:p>
          <w:p w14:paraId="149D69D5">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60.设备支持本地升级、可通过 U 盘实现设备升级，同时支持 OTA 远程在线升级，升级过程支持版本号校验，支持在线下载升级包自动完成升级。</w:t>
            </w:r>
          </w:p>
          <w:p w14:paraId="1B611DC2">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61.支持使用 FAT32，NTFS格式的U盘进行文件拷贝，拷贝进度可动态显示。</w:t>
            </w:r>
          </w:p>
          <w:p w14:paraId="2821D840">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62.支持通过主机一体化屏幕，调用系统内置输入法，对录制文件的名称进行重命名。</w:t>
            </w:r>
          </w:p>
          <w:p w14:paraId="1FC75174">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63.音频编码码率支持320Kbps并向下兼容，音频信号处理延时≤20ms，频率相应20~20kHz、采样率最大支持48KHz。</w:t>
            </w:r>
          </w:p>
          <w:p w14:paraId="07EE043F">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eastAsia="仿宋_GB2312"/>
                <w:b/>
                <w:bCs/>
                <w:color w:val="auto"/>
                <w:sz w:val="24"/>
                <w:lang w:eastAsia="zh-CN"/>
              </w:rPr>
              <w:t>◆</w:t>
            </w:r>
            <w:r>
              <w:rPr>
                <w:rFonts w:hint="eastAsia" w:ascii="仿宋_GB2312" w:hAnsi="仿宋_GB2312" w:eastAsia="仿宋_GB2312" w:cs="仿宋_GB2312"/>
                <w:color w:val="auto"/>
                <w:sz w:val="24"/>
                <w:szCs w:val="24"/>
                <w:lang w:val="en-US" w:eastAsia="zh-CN"/>
              </w:rPr>
              <w:t>64.</w:t>
            </w:r>
            <w:r>
              <w:rPr>
                <w:rFonts w:hint="eastAsia" w:ascii="仿宋_GB2312" w:hAnsi="仿宋_GB2312" w:eastAsia="仿宋_GB2312" w:cs="仿宋_GB2312"/>
                <w:color w:val="auto"/>
                <w:sz w:val="24"/>
                <w:szCs w:val="24"/>
                <w:highlight w:val="yellow"/>
                <w:u w:val="wave"/>
                <w:lang w:val="en-US" w:eastAsia="zh-CN"/>
              </w:rPr>
              <w:t>主机采用≥15英寸触控电容屏</w:t>
            </w:r>
            <w:r>
              <w:rPr>
                <w:rFonts w:hint="eastAsia" w:ascii="仿宋_GB2312" w:hAnsi="仿宋_GB2312" w:eastAsia="仿宋_GB2312" w:cs="仿宋_GB2312"/>
                <w:color w:val="auto"/>
                <w:sz w:val="24"/>
                <w:szCs w:val="24"/>
                <w:lang w:val="en-US" w:eastAsia="zh-CN"/>
              </w:rPr>
              <w:t>，屏幕色域≥72% NTSC，表面硬度≥7H，屏幕分辨率≥1920*1080。</w:t>
            </w:r>
          </w:p>
          <w:p w14:paraId="1DB82667">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65.音画不同步时间差≤167ms。</w:t>
            </w:r>
          </w:p>
          <w:p w14:paraId="610D5622">
            <w:pPr>
              <w:keepNext w:val="0"/>
              <w:keepLines w:val="0"/>
              <w:pageBreakBefore w:val="0"/>
              <w:widowControl w:val="0"/>
              <w:numPr>
                <w:ilvl w:val="0"/>
                <w:numId w:val="0"/>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66.主机供电采用安全电压，整机供电电压≤24V。</w:t>
            </w:r>
          </w:p>
          <w:p w14:paraId="2016082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67.支持用户在录播主机上随时查看已录制视频总容量，并采用百分比的形式展示。</w:t>
            </w:r>
          </w:p>
        </w:tc>
        <w:tc>
          <w:tcPr>
            <w:tcW w:w="456" w:type="pct"/>
            <w:tcBorders>
              <w:top w:val="single" w:color="auto" w:sz="4" w:space="0"/>
              <w:left w:val="single" w:color="auto" w:sz="4" w:space="0"/>
              <w:right w:val="single" w:color="auto" w:sz="4" w:space="0"/>
            </w:tcBorders>
            <w:shd w:val="clear" w:color="auto" w:fill="auto"/>
            <w:vAlign w:val="center"/>
          </w:tcPr>
          <w:p w14:paraId="060037AD">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1套</w:t>
            </w:r>
          </w:p>
        </w:tc>
      </w:tr>
      <w:tr w14:paraId="1D863B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2AED722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414B80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移动</w:t>
            </w:r>
            <w:r>
              <w:rPr>
                <w:rFonts w:hint="eastAsia" w:ascii="仿宋_GB2312" w:hAnsi="仿宋_GB2312" w:eastAsia="仿宋_GB2312" w:cs="仿宋_GB2312"/>
                <w:b w:val="0"/>
                <w:bCs w:val="0"/>
                <w:color w:val="auto"/>
                <w:sz w:val="24"/>
                <w:szCs w:val="24"/>
                <w:lang w:val="en-US" w:eastAsia="zh-CN"/>
              </w:rPr>
              <w:t>录播导播系统</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72386B7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 自动导播默认画面支持自定义设定，支持选择自动导播画面，可根据需要选择自动导播的画面，可设置自动导播画面的保护时间和保持时间。</w:t>
            </w:r>
          </w:p>
          <w:p w14:paraId="5E7E288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 支持多种画面模式，支持单画面、画中画、左右等分、三画面、四画面多种画面合成模式，支持自动导播、手动导播，可通过互动录播电脑主机一体化触控屏实现模式选择。</w:t>
            </w:r>
          </w:p>
          <w:p w14:paraId="274DF30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 导播优先级可自定义设定，支持定时切换设置，可自由选择切换时间和切换画面，支持根据学生、老师行为状态实现画面智能切换。</w:t>
            </w:r>
          </w:p>
          <w:p w14:paraId="598B8D9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 支持本地导播、远程导播，本地导播可通过互动录播电脑主机一体化触控屏实现本地导播控制；也可通过触控回传实现画面导播，无需外接键鼠设备，通过交互智能平板实现对互动录播电脑主机的导播控制，远程导播可通过网络实现远程导播控制。</w:t>
            </w:r>
          </w:p>
          <w:p w14:paraId="4528708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 支持课件画面自动检测，可设置检测灵敏度；支持课件画面检测区域设定，可屏蔽电脑弹窗区域。</w:t>
            </w:r>
          </w:p>
          <w:p w14:paraId="76FB073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 支持导入与导出互动录播主机配置文件，进行升级和调试。</w:t>
            </w:r>
          </w:p>
          <w:p w14:paraId="6EFE781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 支持云台摄像机控制，支持 PTZ（云台全方位移动及镜头变倍、变焦），多个预置位设置和调用；同时支持通过鼠标点击画面，实现云台摄像机跟踪，可通过鼠标滑轮实现镜头画面放大缩小。</w:t>
            </w:r>
          </w:p>
          <w:p w14:paraId="7D6C366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 在导播界面的预览窗口可实时观看教师全景/特写、学生全景/特写、多媒体电脑共五路画面，点击可进行画面切换。预监画面可实时推流给资源平台，实现平台直播。</w:t>
            </w:r>
          </w:p>
          <w:p w14:paraId="5D1888F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 支持电影模式和资源模式同步录制，可根据用户的不同需求选择录制模式。</w:t>
            </w:r>
          </w:p>
          <w:p w14:paraId="17B869A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 支持外接导播台，可通过导播台实现对录播主机的录制控制、画面切换、云台跟踪、预置位设定与调取、音量调节。</w:t>
            </w:r>
          </w:p>
          <w:p w14:paraId="4E2587F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 录播画面比例支持16：9，触控回传响应延时≤70ms。</w:t>
            </w:r>
          </w:p>
          <w:p w14:paraId="5899FD2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 支持≥7种导播切换特效，通过主机一体化屏幕就可以实现转场特效类型选择设置；特效保持时间支持自定义。</w:t>
            </w:r>
          </w:p>
          <w:p w14:paraId="6C814C4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13</w:t>
            </w:r>
            <w:r>
              <w:rPr>
                <w:rFonts w:hint="eastAsia" w:ascii="仿宋_GB2312" w:hAnsi="仿宋_GB2312" w:eastAsia="仿宋_GB2312" w:cs="仿宋_GB2312"/>
                <w:color w:val="auto"/>
                <w:sz w:val="24"/>
                <w:szCs w:val="24"/>
              </w:rPr>
              <w:t>.支持三种混流方式，推流端混流、拉流端混流、服务端混流。</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7A35FD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宋体"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w:t>
            </w:r>
            <w:r>
              <w:rPr>
                <w:rFonts w:hint="eastAsia" w:ascii="仿宋_GB2312" w:hAnsi="仿宋_GB2312" w:eastAsia="仿宋_GB2312" w:cs="仿宋_GB2312"/>
                <w:color w:val="auto"/>
                <w:lang w:val="en-US" w:eastAsia="zh-CN"/>
              </w:rPr>
              <w:t>套</w:t>
            </w:r>
          </w:p>
        </w:tc>
      </w:tr>
      <w:tr w14:paraId="32C7CA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BD46AF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36B257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移动录播视频处理系统</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67BB803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 支持合成4K的PGM画面，包含导播画面、教师全景画面、教师特写画面、学生全景画面、学生特写画面。</w:t>
            </w:r>
          </w:p>
          <w:p w14:paraId="066543F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 支持多种类型视频信号接入，支持标准网络视频信号接入、高速数字信号接入。</w:t>
            </w:r>
          </w:p>
          <w:p w14:paraId="63CA2DB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 支持通过rtsp协议接入第三方摄像机视频流。</w:t>
            </w:r>
          </w:p>
          <w:p w14:paraId="0964581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 支持不少于3种编码复杂度，支持Baseline Profile、Main profile、High profile</w:t>
            </w:r>
          </w:p>
          <w:p w14:paraId="6BC003A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 支持不少于两种码率控制方式，支持CBR（Constant Bit Rate）、VBR（Variable Bit Rate）。</w:t>
            </w:r>
          </w:p>
          <w:p w14:paraId="2E12EE5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 支持通过网络实现对接入摄像机的设备信息检索。</w:t>
            </w:r>
          </w:p>
          <w:p w14:paraId="4151F72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 POE视频接入单元支持802.3af标准协议，可实现POE摄像机接入。</w:t>
            </w:r>
          </w:p>
          <w:p w14:paraId="3C7C145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8. HDMI采集通道支持画面缩放，可完成4K图像采集。</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89CFB3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1套</w:t>
            </w:r>
          </w:p>
        </w:tc>
      </w:tr>
      <w:tr w14:paraId="3AF465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5E97974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A44C851">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移动录播互动系统</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0ACB1A0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同时支持自动连线和手动连线，自动连线模式下，听课端会自动接通来自主讲端的互动请求，可选择设置关闭，手动连线模式下，当主讲端发出呼叫请求后，在互动录播主机一体化触控屏上会出现呼叫提醒，用户可选择接听或者挂断。</w:t>
            </w:r>
          </w:p>
          <w:p w14:paraId="4FC9C3B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2.支持标准SIP音视频互动协议，支持1080P60fps全高清视频互动。</w:t>
            </w:r>
          </w:p>
          <w:p w14:paraId="5A6C0E7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3.支持互动清晰度设置：支持 1080p@60fps，分辨率可选择 1080p、720p、VGA、QVGA，帧率可选择 60fps、30fps、25fps。互动画质可选择极佳、好、一般、流畅四个等级。</w:t>
            </w:r>
          </w:p>
          <w:p w14:paraId="58F8643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4.支持双流自动发送，设置自动发送后，建立呼叫，主讲教室自动发送双流。</w:t>
            </w:r>
          </w:p>
          <w:p w14:paraId="3F74530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5.支持课程预约功能，互动录播主机能接收平台下发的互动课表，并显示于互动</w:t>
            </w:r>
            <w:r>
              <w:rPr>
                <w:rFonts w:hint="eastAsia" w:ascii="仿宋_GB2312" w:hAnsi="仿宋_GB2312" w:eastAsia="仿宋_GB2312" w:cs="仿宋_GB2312"/>
                <w:color w:val="auto"/>
                <w:sz w:val="24"/>
                <w:szCs w:val="24"/>
                <w:lang w:val="en-US" w:eastAsia="zh-CN"/>
              </w:rPr>
              <w:t>录播</w:t>
            </w:r>
            <w:r>
              <w:rPr>
                <w:rFonts w:hint="eastAsia" w:ascii="仿宋_GB2312" w:hAnsi="仿宋_GB2312" w:eastAsia="仿宋_GB2312" w:cs="仿宋_GB2312"/>
                <w:color w:val="auto"/>
                <w:sz w:val="24"/>
                <w:szCs w:val="24"/>
              </w:rPr>
              <w:t>主机一体化触控屏上，用户点击课表即可立即加入课堂，进行实时互动。</w:t>
            </w:r>
          </w:p>
          <w:p w14:paraId="2DCA6DF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6.支持微信扫码登录，无需单独输入账号，使用微信扫描互动录播主机一体化触控屏上显示的二维码即可登录互动系统，登陆后显示用户头像和用户名。</w:t>
            </w:r>
          </w:p>
          <w:p w14:paraId="6173669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7.支持手动切换发给远端的画面。支持通过互动录播主机一体化触控屏实现音量大小调整、静音。支持互动过程中一键全屏，全屏放大主画面，隐藏所有图标。支持开启和关闭桌面共享功能。</w:t>
            </w:r>
          </w:p>
          <w:p w14:paraId="7558415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互动过程中可随时邀请新的听课端加入，支持拨号呼叫，用户可通过互动录播主机一体化触控屏上的拨号键盘实现拨号呼叫；支持互动通讯录功能，通讯录可显示最近呼叫的账号信息，可通过通讯录实现一键呼叫。</w:t>
            </w:r>
          </w:p>
          <w:p w14:paraId="523B470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9.支持一键结束互动，用户通过互动录播主机一体化触控屏一键结束互动。</w:t>
            </w:r>
          </w:p>
          <w:p w14:paraId="272187A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10.支持通过互动录播主机一体化触控屏实现导播控制，过程中可选择自动导播/手动导播；支持通过 PC 客户端软件进行远程导播控制。</w:t>
            </w:r>
          </w:p>
          <w:p w14:paraId="649DB52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11.PC 客户端软件支持进行互动听课端列表查看、发言管理功能。</w:t>
            </w:r>
          </w:p>
          <w:p w14:paraId="3EDB579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无需通过任何第三方软件即可进行网络监测，并在互动录播主机一体化触控屏上显示教室网络状态；实现对网络联通性、网络稳定性、上行速度、下行速度、网卡信息实时检测；在一段时间内，支持以折线图方式实时呈现网络稳定性、上行速度和下行速度。</w:t>
            </w:r>
          </w:p>
          <w:p w14:paraId="383A7EA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13.支持开始互动同步开始录制，用户可选择进入互动后是否自动开启录制。互动过程中可通过互动录播主机一体化触控屏实现录制和直播控制，互动过程中可以控制开始录制、结束录制、开始直播、结束直播。</w:t>
            </w:r>
          </w:p>
          <w:p w14:paraId="0ADE6E9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14.听课教室可申请发言，申请后主讲教室可收到申请，并选择是否接受申请。</w:t>
            </w:r>
          </w:p>
          <w:p w14:paraId="5679E3E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15.听课过程中用户可在互动录播主机一体化触控屏上同时显示授课教室画面和本地教室画面，且互动录播主机支持一键全屏主画面。</w:t>
            </w:r>
          </w:p>
          <w:p w14:paraId="02C60BC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16.教师在开始授课前可根据互动录播主机一体化触控屏检查设备是否正常，包括：在预监画面查看各个视频画面是否正常；在预监画面进行音量调节和查看声音是否正常；支持自动导播和手动导播模式切换；自动导播模式下支持设置参与自动导播的导播画面；选择是否开启直播和桌面共享。</w:t>
            </w:r>
          </w:p>
          <w:p w14:paraId="6E5ADA4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17.支持课堂互动功能，授课过程中老师可通过在互动录播主机一体化触控屏上单击听课教室画面切换</w:t>
            </w:r>
            <w:r>
              <w:rPr>
                <w:rFonts w:hint="eastAsia" w:ascii="仿宋_GB2312" w:hAnsi="仿宋_GB2312" w:eastAsia="仿宋_GB2312" w:cs="仿宋_GB2312"/>
                <w:color w:val="auto"/>
                <w:sz w:val="24"/>
                <w:szCs w:val="24"/>
                <w:lang w:val="en-US" w:eastAsia="zh-CN"/>
              </w:rPr>
              <w:t xml:space="preserve"> </w:t>
            </w:r>
            <w:r>
              <w:rPr>
                <w:rFonts w:hint="eastAsia" w:ascii="仿宋_GB2312" w:hAnsi="仿宋_GB2312" w:eastAsia="仿宋_GB2312" w:cs="仿宋_GB2312"/>
                <w:color w:val="auto"/>
                <w:sz w:val="24"/>
                <w:szCs w:val="24"/>
              </w:rPr>
              <w:t>听课教室为主画面，并与该教室实时连麦对讲，实现异地互动。</w:t>
            </w:r>
          </w:p>
          <w:p w14:paraId="0F7763F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18.互动过程中，可以在互动录播主机一体化触控屏调出当前视频参数，包括上行/下行速率、视频清晰度、当前句柄数量、CPU使用率、累计视频卡顿次数、累计音频卡顿次数。</w:t>
            </w:r>
          </w:p>
          <w:p w14:paraId="11DF296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19.支持授课预监功能，授课过程中可在互动录播主机一体化触控屏实时显示授课教室和参与互动的听课教室画面，用户可实时查看授课教室拍摄效果和互动教室的听课场景画面。</w:t>
            </w:r>
          </w:p>
          <w:p w14:paraId="4B339A7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20.设备双向互动过程中，在系统总丢包率 50%的网络环境下，视频清晰流畅无卡顿，语音连贯。</w:t>
            </w:r>
          </w:p>
          <w:p w14:paraId="4C18983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21.支持根据网络自适应调整码流大小。</w:t>
            </w:r>
          </w:p>
          <w:p w14:paraId="4E4EB91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22.支持 3Mbps 网络带宽环境下实现 1080P@60fps 视频双向互动。</w:t>
            </w:r>
          </w:p>
          <w:p w14:paraId="7EAF60A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23.互动系统具备回声消除功能，在主讲教室与听讲教室同时发言的情况下，保证双方语音清晰，双方体验良好。</w:t>
            </w:r>
          </w:p>
          <w:p w14:paraId="1BEC2C2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24.支持跨运营商互动，通过云端多运营商自适应切换技术，可最大程度优化跨运营商带来的大延时。</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A57F08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1套</w:t>
            </w:r>
          </w:p>
        </w:tc>
      </w:tr>
      <w:tr w14:paraId="418705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2C942E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5</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D6ACD4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无线拾音麦</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2CAB7AC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 麦克风支持≥1个3.5mm音频接口，可输入头戴麦音频信号，输出幅值≥2V（RMS）。整机3.5mm音频接口≥2个。</w:t>
            </w:r>
          </w:p>
          <w:p w14:paraId="115D6DD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 麦克风整机≥1个USB Type-C接口。</w:t>
            </w:r>
          </w:p>
          <w:p w14:paraId="4E0B5F6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 麦克风支持≥1个Pogo pin接口，支持通过Pogo pin接口进行充电。整机Pogo pin接口≥2个。</w:t>
            </w:r>
          </w:p>
          <w:p w14:paraId="46C4708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 麦克风支持≥1个三合一按键，可控制麦克风的开关机、静音和配对。</w:t>
            </w:r>
          </w:p>
          <w:p w14:paraId="43EFFA6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 麦克风支持≥2个音量控制按钮，可通过音量“+”“—”按钮控制麦克风输出音量。</w:t>
            </w:r>
          </w:p>
          <w:p w14:paraId="3C975B1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 麦克风单体重量≤30g。</w:t>
            </w:r>
          </w:p>
          <w:p w14:paraId="1890A2B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 麦克风标配充电仓。</w:t>
            </w:r>
          </w:p>
          <w:p w14:paraId="6D0EED1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 麦克风充电仓支持电量指示，通过灯珠亮灭数量充电仓剩余电量及充电状态。</w:t>
            </w:r>
          </w:p>
          <w:p w14:paraId="74C3114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 麦克风支持≥4种佩戴方式。</w:t>
            </w:r>
          </w:p>
          <w:p w14:paraId="71B683F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 麦克风领夹角度支持自由调节，调节角度≥±90°，以适配不同的使用者衣物；调节至0°位置时会有“卡扣感”,方便回归标准位置。</w:t>
            </w:r>
          </w:p>
          <w:p w14:paraId="268B6FF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 整机标配两个无线麦克风，且两个麦克风支持同时工作。</w:t>
            </w:r>
          </w:p>
          <w:p w14:paraId="38ED61F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 麦克风支持≥2种开机方式，可通过短按按键开机、打开充电仓并取出麦克风自动开机。</w:t>
            </w:r>
          </w:p>
          <w:p w14:paraId="0555469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 麦克风支持≥3种关机方式，可通过长按按键关机、长时间无配对或配对后无使用自动关机、麦克风放回充电仓自动关机。</w:t>
            </w:r>
          </w:p>
          <w:p w14:paraId="41038FE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14. 麦克风支持≥2种配对方式，可通过麦克风从充电仓拿出自动开始配对、短按按键开始配对，配对完成时间≤5s。</w:t>
            </w:r>
          </w:p>
          <w:p w14:paraId="6BAE944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 麦克风支持≥2种断开连接方式，可通过麦克风放入充电仓自动断开连接、关机自动断开连接。</w:t>
            </w:r>
          </w:p>
          <w:p w14:paraId="4A69958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16. 麦克风支持一键开启静音模式。</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3FDD51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1套</w:t>
            </w:r>
          </w:p>
        </w:tc>
      </w:tr>
      <w:tr w14:paraId="5E7873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DC8429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6</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06409C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麦克风音频处理系统</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2F423D3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 麦克风采用基于Bluetooth 5.2的LE Audio技术标准，保证抗干扰、低功耗、低延时传输。</w:t>
            </w:r>
          </w:p>
          <w:p w14:paraId="603A7DF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 麦克风音频编码方式采用LC3 plus。</w:t>
            </w:r>
          </w:p>
          <w:p w14:paraId="1C73C0D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 支持啸叫抑制算法，当音箱安装在正常高度（2.5m）时，本地扩声教室后排9m距离音量为</w:t>
            </w:r>
            <w:r>
              <w:rPr>
                <w:rFonts w:hint="eastAsia" w:ascii="仿宋_GB2312" w:hAnsi="仿宋_GB2312" w:eastAsia="仿宋_GB2312" w:cs="仿宋_GB2312"/>
                <w:color w:val="auto"/>
                <w:sz w:val="24"/>
                <w:szCs w:val="24"/>
                <w:lang w:val="en-US" w:eastAsia="zh-CN"/>
              </w:rPr>
              <w:t>大于</w:t>
            </w:r>
            <w:r>
              <w:rPr>
                <w:rFonts w:hint="eastAsia" w:ascii="仿宋_GB2312" w:hAnsi="仿宋_GB2312" w:eastAsia="仿宋_GB2312" w:cs="仿宋_GB2312"/>
                <w:color w:val="auto"/>
                <w:sz w:val="24"/>
                <w:szCs w:val="24"/>
              </w:rPr>
              <w:t>75dB时，通过算法可实现本地扩声无啸叫现象。</w:t>
            </w:r>
          </w:p>
          <w:p w14:paraId="12B4780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 支持全频自适应降噪技术。</w:t>
            </w:r>
          </w:p>
          <w:p w14:paraId="30AF91C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 支持智能混音，支持多通道输入混音。</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DF6A27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1套</w:t>
            </w:r>
          </w:p>
        </w:tc>
      </w:tr>
      <w:tr w14:paraId="0FCAE9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820F25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7</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5E5CCA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高清无线云台摄像机</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194FB9D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 支持≥1路RJ45网络接口，10M/100M/自适应以太网。</w:t>
            </w:r>
          </w:p>
          <w:p w14:paraId="0631998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 支持≥1路HDMI OUT接口。</w:t>
            </w:r>
          </w:p>
          <w:p w14:paraId="4CA5845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 支持≥1路3.5mm Line in接口。</w:t>
            </w:r>
          </w:p>
          <w:p w14:paraId="6A8C215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 支持≥1路DC 12V电源输入接口。</w:t>
            </w:r>
          </w:p>
          <w:p w14:paraId="66E4556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 支持≥1路USB Type-C接口。</w:t>
            </w:r>
          </w:p>
          <w:p w14:paraId="35E37D6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 支持硬件复位功能，可通过Reset复位键实现整机复位。</w:t>
            </w:r>
          </w:p>
          <w:p w14:paraId="138DB7A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 支持拨码开关，通过拨码开关可控制摄像机输出视频制式。</w:t>
            </w:r>
          </w:p>
          <w:p w14:paraId="60C5137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 传感器尺寸≥CMOS 1/1.8英寸。</w:t>
            </w:r>
          </w:p>
          <w:p w14:paraId="621F3E1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 传感器有效像素≥800万。</w:t>
            </w:r>
          </w:p>
          <w:p w14:paraId="604416A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 支持最大水平视场角≥60°，最大垂直视场角≥35°。</w:t>
            </w:r>
          </w:p>
          <w:p w14:paraId="3E40C57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 镜头光圈：F1.58 ~ F3.95</w:t>
            </w:r>
          </w:p>
          <w:p w14:paraId="2C04FB9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 快门速度：1/30s ~ 1/10000s</w:t>
            </w:r>
          </w:p>
          <w:p w14:paraId="124E0F8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 低照度支持≤0.1Lux @ (F1.8, AGC ON)</w:t>
            </w:r>
          </w:p>
          <w:p w14:paraId="76FB299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14. 支持不少于40倍变焦。</w:t>
            </w:r>
          </w:p>
          <w:p w14:paraId="7B32EE8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 镜头畸变率≤1.5%。</w:t>
            </w:r>
          </w:p>
          <w:p w14:paraId="03B744C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16. 摄像机景深≥10m。</w:t>
            </w:r>
          </w:p>
          <w:p w14:paraId="05CAD77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17. 支持自动对焦/手动对焦。</w:t>
            </w:r>
          </w:p>
          <w:p w14:paraId="2EE391D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18. 支持水平翻转、垂直翻转，水平转动范围：±170°，垂直转动范围：-30°~+90°。</w:t>
            </w:r>
          </w:p>
          <w:p w14:paraId="40A17AF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19. 支持可变速度转动，水平转动速度0～100°/s，垂直转动速度支持0～69°/s。</w:t>
            </w:r>
          </w:p>
          <w:p w14:paraId="7508662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20. 云台转动精度≤0.1°。</w:t>
            </w:r>
          </w:p>
          <w:p w14:paraId="557071D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21. 支持标准USB音视频信号输出，可以同时支持UVC和UAC协议，通过主机TypeC接口可以实现图像和声音同步输出，最大支持最大支持1080@30fps输出，兼容主流视频会议软件。</w:t>
            </w:r>
          </w:p>
          <w:p w14:paraId="2996673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22. 支持内置≥2个驻极体全指向麦克风。</w:t>
            </w:r>
          </w:p>
          <w:p w14:paraId="33A095B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23. 麦克风灵敏度≥-26dB。</w:t>
            </w:r>
          </w:p>
          <w:p w14:paraId="27B25EB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24. 麦克风频率响应：20Hz～20kHz。</w:t>
            </w:r>
          </w:p>
          <w:p w14:paraId="5D931FA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25. 支持G.711A、AAC等音频编码方式。</w:t>
            </w:r>
          </w:p>
          <w:p w14:paraId="0540959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26. 音频采样率32kHz。</w:t>
            </w:r>
          </w:p>
          <w:p w14:paraId="31A96B2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27. 音频采样精度16bit。</w:t>
            </w:r>
          </w:p>
          <w:p w14:paraId="4C0FA3C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28. 支持5.8G无线传输。</w:t>
            </w:r>
          </w:p>
          <w:p w14:paraId="30F8319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29. 空旷环境下无遮挡可靠传输实时4K超清视频距离≥100m。</w:t>
            </w:r>
          </w:p>
          <w:p w14:paraId="5AA2B19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30. 空旷环境下无遮挡可靠传输实时1080高清视频距离≥250m。</w:t>
            </w:r>
          </w:p>
          <w:p w14:paraId="0217128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31. 支持摄像机开机后，与已配对过的录播系统实现自动连接。</w:t>
            </w:r>
          </w:p>
          <w:p w14:paraId="11240D9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32. 支持通过无线网络实现电量信息、无线信号强度、摄像机参数、版本信息的显示，并进行设备升级。</w:t>
            </w:r>
          </w:p>
          <w:p w14:paraId="6D76CDA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33. 支持DC 12V供电，且可同时给设备充电，充电过程中不影响使用。</w:t>
            </w:r>
          </w:p>
          <w:p w14:paraId="3962847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34. 不外接电源或移动电源时，电池续航时间≥5h。</w:t>
            </w:r>
          </w:p>
          <w:p w14:paraId="332DDB8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35. 支持连接录播设备时，10min自动关机。</w:t>
            </w:r>
          </w:p>
          <w:p w14:paraId="304D9A6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36. 机身配备</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1英寸显示屏，支持显示信号强度、连接状态、电量信息、IP地址、音频工作状态。</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667031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4台</w:t>
            </w:r>
          </w:p>
        </w:tc>
      </w:tr>
      <w:tr w14:paraId="3FDEB2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7AAD20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8</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07D4F4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无线云台图像处理系统</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143D8D7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 支持畸变矫正功能。</w:t>
            </w:r>
          </w:p>
          <w:p w14:paraId="47560D9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 支持H.264(BP、MP、HP)、H.265(MP)、MJPG编码协议。</w:t>
            </w:r>
          </w:p>
          <w:p w14:paraId="3E438DE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 网络视频编码输出格式：3840*2160@30fps、2560*1440@30fps、1920*1080@60fps、1920*1080@30fps、1920*1080@25fps、1280*720@60fps、1280*720@30fps、1280*720@25fps、1024*576@60fps、1024*576@30fps、1024*576@25fps、960*540@60fps、960*540@30fps、960*540@25fps、800*600 @60fps、800*600 @30fps、800*600 @25fps、640*480 @60fps、640*480 @30fps、640*480 @25fps。</w:t>
            </w:r>
          </w:p>
          <w:p w14:paraId="755A65B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 HDMI视频编码输出格式：3840*2160@30fps 、2560*1440@30fps 、1920*1080@60fps 、1920*1080@30fps 、1920*1080@25fps、1280*720 @60fps、1280*720 @30fps、1280*720 @25fps、1024*576@60fps、1024*576@30fps、1024*576@25fps、960*540@60fps、960*540@30fps、960*540@25fps、800*600 @60fps、800*600 @30fps、800*600 @25fps、640*480 @60fps、640*480 @30fps、640*480 @25fps。</w:t>
            </w:r>
          </w:p>
          <w:p w14:paraId="22EBCCB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 支持CBR、VBR码率控制。</w:t>
            </w:r>
          </w:p>
          <w:p w14:paraId="56F0565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 支持自动白平衡。</w:t>
            </w:r>
          </w:p>
          <w:p w14:paraId="41F84EC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 支持背光补偿。</w:t>
            </w:r>
          </w:p>
          <w:p w14:paraId="58C8712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 支持强光抑制。</w:t>
            </w:r>
          </w:p>
          <w:p w14:paraId="63B2948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 支持图像冻结。</w:t>
            </w:r>
          </w:p>
          <w:p w14:paraId="25E728D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 支持2D/3D降噪。</w:t>
            </w:r>
          </w:p>
          <w:p w14:paraId="25AF3F1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 支持4种编码等级，包含baseline、mainprofile、highprofile、svc-t。</w:t>
            </w:r>
          </w:p>
          <w:p w14:paraId="57BEC46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 支持≥12路RTSP同时拉流，拉流码率≥1080P@30fps。</w:t>
            </w:r>
          </w:p>
          <w:p w14:paraId="5584AB5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 支持基于不同使用场景的摄像机模式选择，包括室内模式、室外模式和专业模式。</w:t>
            </w:r>
          </w:p>
          <w:p w14:paraId="15D76D4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14. 支持自动增益控制，确保拾音过程不发生爆音现象。</w:t>
            </w:r>
          </w:p>
          <w:p w14:paraId="1CFF25C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15. 支持音频混音。</w:t>
            </w:r>
          </w:p>
          <w:p w14:paraId="6E91BF2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16. 支持人员检测，当开启跟踪时，即可实现对人员的跟踪拍摄，无需借助其他定位摄像机。</w:t>
            </w:r>
          </w:p>
          <w:p w14:paraId="77565B4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17. 支持通过录播主机手动划定跟踪目标，摄像机可对目标进行单人跟踪。</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BAB3F0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4套</w:t>
            </w:r>
          </w:p>
        </w:tc>
      </w:tr>
      <w:tr w14:paraId="207B1C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5"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4920F3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9</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F355CF5">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摄像机三脚架</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389FF6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strike w:val="0"/>
                <w:color w:val="auto"/>
                <w:sz w:val="24"/>
                <w:lang w:val="en-US" w:eastAsia="zh-CN"/>
              </w:rPr>
            </w:pPr>
            <w:r>
              <w:rPr>
                <w:rFonts w:hint="eastAsia" w:ascii="仿宋_GB2312" w:hAnsi="仿宋_GB2312" w:eastAsia="仿宋_GB2312" w:cs="仿宋_GB2312"/>
                <w:strike w:val="0"/>
                <w:color w:val="auto"/>
                <w:sz w:val="24"/>
                <w:lang w:val="en-US" w:eastAsia="zh-CN"/>
              </w:rPr>
              <w:t>1. 三脚架收纳高度：≥495mm。</w:t>
            </w:r>
          </w:p>
          <w:p w14:paraId="751FCC1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strike w:val="0"/>
                <w:color w:val="auto"/>
                <w:sz w:val="24"/>
                <w:lang w:val="en-US" w:eastAsia="zh-CN"/>
              </w:rPr>
            </w:pPr>
            <w:r>
              <w:rPr>
                <w:rFonts w:hint="eastAsia" w:ascii="仿宋_GB2312" w:hAnsi="仿宋_GB2312" w:eastAsia="仿宋_GB2312" w:cs="仿宋_GB2312"/>
                <w:strike w:val="0"/>
                <w:color w:val="auto"/>
                <w:sz w:val="24"/>
                <w:lang w:val="en-US" w:eastAsia="zh-CN"/>
              </w:rPr>
              <w:t>2. 最小工作高度:≥475mm。</w:t>
            </w:r>
          </w:p>
          <w:p w14:paraId="7DA53B22">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strike w:val="0"/>
                <w:color w:val="auto"/>
                <w:sz w:val="24"/>
                <w:lang w:val="en-US" w:eastAsia="zh-CN"/>
              </w:rPr>
            </w:pPr>
            <w:r>
              <w:rPr>
                <w:rFonts w:hint="eastAsia" w:ascii="仿宋_GB2312" w:hAnsi="仿宋_GB2312" w:eastAsia="仿宋_GB2312" w:cs="仿宋_GB2312"/>
                <w:strike w:val="0"/>
                <w:color w:val="auto"/>
                <w:sz w:val="24"/>
                <w:lang w:val="en-US" w:eastAsia="zh-CN"/>
              </w:rPr>
              <w:t>3. 最大工作高度：≥1500mm。</w:t>
            </w:r>
          </w:p>
          <w:p w14:paraId="22F589A6">
            <w:pPr>
              <w:keepNext w:val="0"/>
              <w:keepLines w:val="0"/>
              <w:pageBreakBefore w:val="0"/>
              <w:kinsoku/>
              <w:wordWrap/>
              <w:overflowPunct/>
              <w:topLinePunct w:val="0"/>
              <w:autoSpaceDE/>
              <w:autoSpaceDN/>
              <w:bidi w:val="0"/>
              <w:snapToGrid w:val="0"/>
              <w:spacing w:line="400" w:lineRule="atLeast"/>
              <w:jc w:val="left"/>
              <w:rPr>
                <w:rFonts w:hint="default"/>
                <w:strike/>
                <w:color w:val="auto"/>
                <w:lang w:val="en-US" w:eastAsia="zh-CN"/>
              </w:rPr>
            </w:pPr>
            <w:r>
              <w:rPr>
                <w:rFonts w:hint="eastAsia" w:ascii="仿宋_GB2312" w:hAnsi="仿宋_GB2312" w:eastAsia="仿宋_GB2312" w:cs="仿宋_GB2312"/>
                <w:strike w:val="0"/>
                <w:color w:val="auto"/>
                <w:sz w:val="24"/>
                <w:lang w:val="en-US" w:eastAsia="zh-CN"/>
              </w:rPr>
              <w:t>4. 承重：≥5kg。</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4B6C8C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4个</w:t>
            </w:r>
          </w:p>
        </w:tc>
      </w:tr>
      <w:tr w14:paraId="06D98D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721904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10</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FC6E111">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拉杆箱</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0903804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val="0"/>
                <w:color w:val="auto"/>
                <w:sz w:val="24"/>
                <w:szCs w:val="24"/>
                <w:lang w:val="en-US" w:eastAsia="zh-CN"/>
              </w:rPr>
            </w:pPr>
            <w:r>
              <w:rPr>
                <w:rFonts w:hint="eastAsia" w:ascii="仿宋_GB2312" w:hAnsi="仿宋_GB2312" w:eastAsia="仿宋_GB2312" w:cs="仿宋_GB2312"/>
                <w:strike w:val="0"/>
                <w:color w:val="auto"/>
                <w:sz w:val="24"/>
                <w:szCs w:val="24"/>
                <w:lang w:val="en-US" w:eastAsia="zh-CN"/>
              </w:rPr>
              <w:t>1. 采用高强度聚丙烯复合材料，箱体承重≥50KG。</w:t>
            </w:r>
          </w:p>
          <w:p w14:paraId="0A7A8E6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val="0"/>
                <w:color w:val="auto"/>
                <w:sz w:val="24"/>
                <w:szCs w:val="24"/>
                <w:lang w:val="en-US" w:eastAsia="zh-CN"/>
              </w:rPr>
            </w:pPr>
            <w:r>
              <w:rPr>
                <w:rFonts w:hint="eastAsia" w:ascii="仿宋_GB2312" w:hAnsi="仿宋_GB2312" w:eastAsia="仿宋_GB2312" w:cs="仿宋_GB2312"/>
                <w:strike w:val="0"/>
                <w:color w:val="auto"/>
                <w:sz w:val="24"/>
                <w:szCs w:val="24"/>
                <w:lang w:val="en-US" w:eastAsia="zh-CN"/>
              </w:rPr>
              <w:t>2. 箱体可抗紫外线辐射，耐强力冲击。</w:t>
            </w:r>
          </w:p>
          <w:p w14:paraId="16502C4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val="0"/>
                <w:color w:val="auto"/>
                <w:sz w:val="24"/>
                <w:szCs w:val="24"/>
                <w:lang w:val="en-US" w:eastAsia="zh-CN"/>
              </w:rPr>
            </w:pPr>
            <w:r>
              <w:rPr>
                <w:rFonts w:hint="eastAsia" w:ascii="仿宋_GB2312" w:hAnsi="仿宋_GB2312" w:eastAsia="仿宋_GB2312" w:cs="仿宋_GB2312"/>
                <w:strike w:val="0"/>
                <w:color w:val="auto"/>
                <w:sz w:val="24"/>
                <w:szCs w:val="24"/>
                <w:lang w:val="en-US" w:eastAsia="zh-CN"/>
              </w:rPr>
              <w:t>3. 支持IP67防护等级。</w:t>
            </w:r>
          </w:p>
          <w:p w14:paraId="6AAF084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val="0"/>
                <w:color w:val="auto"/>
                <w:sz w:val="24"/>
                <w:szCs w:val="24"/>
                <w:lang w:val="en-US" w:eastAsia="zh-CN"/>
              </w:rPr>
            </w:pPr>
            <w:r>
              <w:rPr>
                <w:rFonts w:hint="eastAsia" w:ascii="仿宋_GB2312" w:hAnsi="仿宋_GB2312" w:eastAsia="仿宋_GB2312" w:cs="仿宋_GB2312"/>
                <w:strike w:val="0"/>
                <w:color w:val="auto"/>
                <w:sz w:val="24"/>
                <w:szCs w:val="24"/>
                <w:lang w:val="en-US" w:eastAsia="zh-CN"/>
              </w:rPr>
              <w:t>4. 采用四个万向静音轮。</w:t>
            </w:r>
          </w:p>
          <w:p w14:paraId="32C614E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val="0"/>
                <w:color w:val="auto"/>
                <w:sz w:val="24"/>
                <w:szCs w:val="24"/>
                <w:lang w:val="en-US" w:eastAsia="zh-CN"/>
              </w:rPr>
            </w:pPr>
            <w:r>
              <w:rPr>
                <w:rFonts w:hint="eastAsia" w:ascii="仿宋_GB2312" w:hAnsi="仿宋_GB2312" w:eastAsia="仿宋_GB2312" w:cs="仿宋_GB2312"/>
                <w:strike w:val="0"/>
                <w:color w:val="auto"/>
                <w:sz w:val="24"/>
                <w:szCs w:val="24"/>
                <w:lang w:val="en-US" w:eastAsia="zh-CN"/>
              </w:rPr>
              <w:t>5. 具备可伸缩拉杆，人体工学把手，采用包胶设计。</w:t>
            </w:r>
          </w:p>
          <w:p w14:paraId="6E7A0955">
            <w:pPr>
              <w:keepNext w:val="0"/>
              <w:keepLines w:val="0"/>
              <w:pageBreakBefore w:val="0"/>
              <w:kinsoku/>
              <w:wordWrap/>
              <w:overflowPunct/>
              <w:topLinePunct w:val="0"/>
              <w:autoSpaceDE/>
              <w:autoSpaceDN/>
              <w:bidi w:val="0"/>
              <w:snapToGrid w:val="0"/>
              <w:spacing w:line="400" w:lineRule="atLeast"/>
              <w:rPr>
                <w:rFonts w:hint="default" w:ascii="仿宋_GB2312" w:hAnsi="仿宋_GB2312" w:eastAsia="仿宋_GB2312" w:cs="仿宋_GB2312"/>
                <w:strike/>
                <w:color w:val="auto"/>
                <w:sz w:val="24"/>
                <w:szCs w:val="24"/>
                <w:lang w:val="en-US" w:eastAsia="zh-CN"/>
              </w:rPr>
            </w:pPr>
            <w:r>
              <w:rPr>
                <w:rFonts w:hint="eastAsia" w:ascii="仿宋_GB2312" w:hAnsi="仿宋_GB2312" w:eastAsia="仿宋_GB2312" w:cs="仿宋_GB2312"/>
                <w:strike w:val="0"/>
                <w:color w:val="auto"/>
                <w:sz w:val="24"/>
                <w:szCs w:val="24"/>
                <w:lang w:val="en-US" w:eastAsia="zh-CN"/>
              </w:rPr>
              <w:t>6. 内衬采用环保材料，无刺激性气味。</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CA99D5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1个</w:t>
            </w:r>
          </w:p>
        </w:tc>
      </w:tr>
      <w:tr w14:paraId="5A12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F16188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0C5CF8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资源管理平台</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9D99B7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1.基础管理</w:t>
            </w:r>
          </w:p>
          <w:p w14:paraId="0C574C3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系统采用模块化的架构设计B/S架构，用户可通过浏览器实现专递课堂、名校网络课堂、直播活动、用户管理等功能。</w:t>
            </w:r>
          </w:p>
          <w:p w14:paraId="56D46F4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角色自定义：支持管理员根据不同教师的工作需求创建角色，自定义该角色的名称和可使用的功能权限；并可查看各角色的人数，方便管理。</w:t>
            </w:r>
          </w:p>
          <w:p w14:paraId="071E1B7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教师可以通过自主账号登录平台，根据教师个人学习需求对全校的视频课程进行筛选、点播观看、在线学习。</w:t>
            </w:r>
          </w:p>
          <w:p w14:paraId="5D67B10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视频管理：录播主机录制的视频自动上传至平台，支持本校教师或管理员对视频进行名称编辑、学科学段编辑、下载、删除、发布课程等操作。</w:t>
            </w:r>
          </w:p>
          <w:p w14:paraId="629EA82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上传附件：平台支持用户在发布课程时上传相关资料；所上传资料可支持不少于5种文件格式；课程发布后，观众观看课程时下载相关资料，进行深入学习。</w:t>
            </w:r>
          </w:p>
          <w:p w14:paraId="4AF790A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课程发布：课程发布时，可选择对应的学段、学科、发布模块、示范课分类等，方便用户按不同维度查找课程。</w:t>
            </w:r>
          </w:p>
          <w:p w14:paraId="4BD6A78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7</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课程审核：支持学校管理员对本校教师申请发布的课程进行审核，监控公开课程资源的质量；拒绝课程发布时，需填写拒绝原因；若课程未通过时，系统将在消息中心自动通知该课程归属的教师。</w:t>
            </w:r>
          </w:p>
          <w:p w14:paraId="17A1708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课程评论：支持用户对已发布视频进行视频打点并插入课堂评价，所评论内容需关联视频对应时间点。平台支持用户在线对课堂视频进行评论，所评论内容支持以新消息提示方式自动提醒授课教师。支持管理员对用户评论进行信息管理，可选择性删除评论内容，管控评论秩序。</w:t>
            </w:r>
          </w:p>
          <w:p w14:paraId="110C956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9</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账号管理：支持用户修改昵称、密码及头像设置等，并可重新绑定用户手机号，同时关联绑定/解绑个人微信号。</w:t>
            </w:r>
          </w:p>
          <w:p w14:paraId="5782735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10</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平台支持本地视频上传：可对上传视频进行标题描述、课程介绍等设置，可选择默认的视频缩略图封面，也可选择本地图片上传成为封面。</w:t>
            </w:r>
          </w:p>
          <w:p w14:paraId="4D58F90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11</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消息中心：新增课程计划、课程审核通过/被拒绝、成功加入教研组等消息可在主页面实时提醒。</w:t>
            </w:r>
          </w:p>
          <w:p w14:paraId="322D502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12</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设备管理：</w:t>
            </w:r>
          </w:p>
          <w:p w14:paraId="2FC4F0E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①显示管理员下辖的教室总数、在线教室总数、活跃教室数，实时呈现整体情况；</w:t>
            </w:r>
          </w:p>
          <w:p w14:paraId="11C4874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②管理员可实时查看教室信息和状态，包括：教室名称、设备IP、状态、信号源及教室详情，方便远程运维。</w:t>
            </w:r>
          </w:p>
          <w:p w14:paraId="2F43C4F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③支持学校管理员进行远程关机、重启、密码设置等等操作。</w:t>
            </w:r>
          </w:p>
          <w:p w14:paraId="7D9CD42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13</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公网直播：学校管理员可设置录播设备的直播模式为公网直播，自由发起公网直播活动，方便举办公开课、校园培训等活动。</w:t>
            </w:r>
          </w:p>
          <w:p w14:paraId="2134D33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①全局调度系统：实时收集节点负载、网络质量，并根据终端用户的 IP，将用户请求引导至最优的节点，以降低时延，提升流畅率。</w:t>
            </w:r>
          </w:p>
          <w:p w14:paraId="6B9C039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②冗余带宽：云服务器具备T级的带宽储备和百万级并发承载能力，可应对突发增量的用户访问。</w:t>
            </w:r>
          </w:p>
          <w:p w14:paraId="4C83F04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14</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直播活动：支持用户创建直播，提前设置预约直播信息，并获取直播地址及二维码海报，方便提前发布直播信息。</w:t>
            </w:r>
          </w:p>
          <w:p w14:paraId="32AF03C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15</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直播状态：根据直播开始时间和结束时间，分类显示所有直播的当前状态，包括未开始、进行中、已结束；用户可通过状态筛选不同的直播进行编辑管理。</w:t>
            </w:r>
          </w:p>
          <w:p w14:paraId="4F84779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16</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直播搜索：支持输入与直播名称相关的关键字，搜索直播活动。</w:t>
            </w:r>
          </w:p>
          <w:p w14:paraId="41ABD2A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17</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直播管理：在直播结束前，支持教师修改直播的结束时间、名称、封面、课件、直播简介、聊天互动权限等设置，并保持原分享链接和二维码不变，活动调整不会导致原分享链接和二维码失效。</w:t>
            </w:r>
          </w:p>
          <w:p w14:paraId="101897C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18</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直播工作台：创建直播时支持添加直播助教；助教进入工作台可进行直播间秩序维护，具体功能包括：</w:t>
            </w:r>
          </w:p>
          <w:p w14:paraId="4C976FE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①删除留言：支持对观众聊天互动的发言记录进行单个/批量删除，保障教师间互动交流的友好秩序；</w:t>
            </w:r>
          </w:p>
          <w:p w14:paraId="5515140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②禁言观众：支持对观众进行单个/批量的禁言，禁言后观众将不能在直播互动中发表言论，避免不法人员在公众场合捣乱。</w:t>
            </w:r>
          </w:p>
          <w:p w14:paraId="58338A5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③发起签到：支持对当前直播多次发起签到，并在签到结束后导出签到名单；发起签到后观众会在直播界面收到实时的签到提醒，帮助教师及时收集观众在线情况。</w:t>
            </w:r>
          </w:p>
          <w:p w14:paraId="17FB59D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④管理公告：支持对当前直播活动发布公告内容。</w:t>
            </w:r>
          </w:p>
          <w:p w14:paraId="721C2AC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19</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直播分享：用户可一键生成链接并进行分享，其他用户通过打开链接的方式，可登录观看直播视频。</w:t>
            </w:r>
          </w:p>
          <w:p w14:paraId="1E33052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20</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复制海报：生成海报后，用户可直接在网页中一键复制图片，并粘贴至微信中发送，无需下载图片保存本地，提高分享效率。</w:t>
            </w:r>
          </w:p>
          <w:p w14:paraId="0A2B86D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21</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活动预告：支持PC端、移动端通过分享链接地址，查看直播活动的相关信息，包括封面、活动名称、学校名称、活动开始时间、简介、预览课件等；在预览课件时，用户可在课件上进行书写、擦除、移动图片素材等操作，且操作不影响原课件内容，方便评课老师在直播开始前，预览主讲老师的课件。</w:t>
            </w:r>
          </w:p>
          <w:p w14:paraId="560F203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22</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活动课件：教师可选择云课件与直播关联，无需耗时上传本地文件；课件与直播关联后，支持用户在活动开始时间前查看云课件；活动开始后，用户可在观看直播视频的同时，在线查看已关联的课件。</w:t>
            </w:r>
          </w:p>
          <w:p w14:paraId="70C15A3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23</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直播互动：直播过程中，支持用户在直播课程中发布评论、点赞、分享观看链接或二维码，同时可查看直播简介、活动课件和累计观看人次。</w:t>
            </w:r>
          </w:p>
          <w:p w14:paraId="6C8C9C9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24</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直播暖场素材：平台支持用户自主选择上传图片或视频，作为暖场素材在直播间隙循环播放。</w:t>
            </w:r>
          </w:p>
          <w:p w14:paraId="0DA54E4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25</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签到设置：支持在直播活动开始前，设置签到规则；可选择限时签到或不限时签到，适应不同的直播场景。</w:t>
            </w:r>
          </w:p>
          <w:p w14:paraId="063901A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26</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签到信息：支持设置观众签到的输入信息，可选择仅输入“姓名”或“姓名、班级/学校/单位”。</w:t>
            </w:r>
          </w:p>
          <w:p w14:paraId="77EEF54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27</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导出签到数据：支持教师以Excel格式导出签到结果，签到结果包括每次签到用户的姓名、账号等信息。</w:t>
            </w:r>
          </w:p>
          <w:p w14:paraId="1791BF7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28</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直播数据：直播开始后，支持查看直播的人气峰值、观看人次、累计点赞、观众发言次数、签到人数等数据，随时掌握直播情况。</w:t>
            </w:r>
          </w:p>
          <w:p w14:paraId="21A2E61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29</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直播回放：支持开启直播回放功能；开启后用户可在原有直播的分享链接中查看已结束的直播内容，回顾直播精彩环节。</w:t>
            </w:r>
          </w:p>
          <w:p w14:paraId="0F1BE66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30</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管理直播回放：教师可选择直播中各时段生成的回放视频，删除不必要的回放片段，或选择发布至专递示范课/名校网络课堂/名师示范课，方便其他师生观看。</w:t>
            </w:r>
          </w:p>
          <w:p w14:paraId="0DCA3E0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31</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分组管理：教师可将多场已创建的直播、互动课堂、互动教研、课例评课等活动，添加至同一直播分组；每个分组自动生成分享二维码和链接，方便观众在一个分组链接中选择不同活动进行观看。</w:t>
            </w:r>
          </w:p>
          <w:p w14:paraId="30B2557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32</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分组命名：支持教师对直播分组自定义名称，让直播分组更具辨识度。</w:t>
            </w:r>
          </w:p>
          <w:p w14:paraId="18B20E2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33</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删除直播：支持教师删除过期或无效的直播，删除后原有的直播分享链接将自动失效。</w:t>
            </w:r>
          </w:p>
          <w:p w14:paraId="17A2959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34</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支持直播集群技术，以支持系统的横向拓展，随系统应用规模的拓展逐渐增加转发服务器以支持更大规模直播。平台支持不少于200点以上高清直播功能。</w:t>
            </w:r>
          </w:p>
          <w:p w14:paraId="0B84BB9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35</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课程搜索：支持用户通过课程、教师、学校名称等关键词快速搜索已发布的课程资源，支持用户查看最近搜索关键词记录，方便用户再次快速查找相关课程。</w:t>
            </w:r>
          </w:p>
          <w:p w14:paraId="77AAAFA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36</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用户可在教师空间中，查看该教师上传的全部课程、个人简介、所属学校以及个人成就，个人成就包含上传课程的总数、课程播放总次数等。</w:t>
            </w:r>
          </w:p>
          <w:p w14:paraId="1F57022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37</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教研评课：支持教师创建教研活动，并通过链接或海报分享给其他用户看课评课；支持教师在教研活动中查看活动简介、查看资料、发表点评、评课表打分。</w:t>
            </w:r>
          </w:p>
          <w:p w14:paraId="5A1855B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38</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教研数据：自动统计教研的点评次数、评课表平均分、观看人数等数据，支持查看文字点评的详情记录、评课表题目的客观题评分、主观题回答情况、教师评课记录。</w:t>
            </w:r>
          </w:p>
          <w:p w14:paraId="0C4DCCD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39</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评课表管理：支持管理员创建多张评课表，并自定义评课表的标题、引导语、评分标准、题目分数、主观评价。至少提供一份评课表模板，方便用户快捷创建评课表。</w:t>
            </w:r>
          </w:p>
          <w:p w14:paraId="44CFF54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40</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自定义导航栏：支持超级管理员编辑平台一级和二级导航栏的标题内容；支持拖拽调整一级导航栏的排序，方便管理者设置个性化的平台。</w:t>
            </w:r>
          </w:p>
          <w:p w14:paraId="286AF79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2.专递课堂</w:t>
            </w:r>
          </w:p>
          <w:p w14:paraId="501A544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专递示范课：自动统计老师发布到“专递示范课”的课程总数，并按学科统计发布课程的老师人数与课程数。</w:t>
            </w:r>
          </w:p>
          <w:p w14:paraId="260536F9">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支持用户在平台中预约专递课程，采用课表形式实时显示课程计划。</w:t>
            </w:r>
          </w:p>
          <w:p w14:paraId="19F6DF0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课表支持逐级汇总，教师个人课程计划、学校全体课程计划均支持在一张课表中展示，利于用户便捷查看。</w:t>
            </w:r>
          </w:p>
          <w:p w14:paraId="2F289E2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在课程计划中，支持登录用户进行个人课程的快速定位查看。</w:t>
            </w:r>
          </w:p>
          <w:p w14:paraId="313A9A80">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3.名师课堂</w:t>
            </w:r>
          </w:p>
          <w:p w14:paraId="1E443E9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用户可在名师示范课页面中，点播本校名师上传的优质示范课程。</w:t>
            </w:r>
          </w:p>
          <w:p w14:paraId="75F2141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平台根据课程播放数量提供最热门课程推荐，便于用户快速查看学习。</w:t>
            </w:r>
          </w:p>
          <w:p w14:paraId="65DAB79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平台提供课程播放总数最高的名师展示，支持用户点击名师头像进入教师空间，查看该名师上传的全部课程。</w:t>
            </w:r>
          </w:p>
          <w:p w14:paraId="13176A5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支持通过学段、学科、课程分类快速筛选课程视频；课程至少支持微课、培训讲座、课堂实录等分类，方便用户快速定位，查看所需课程。</w:t>
            </w:r>
          </w:p>
          <w:p w14:paraId="5CF3562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4.名校网络课堂</w:t>
            </w:r>
          </w:p>
          <w:p w14:paraId="2E2314E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具备名校网络课堂页面，展示详细学校情况，包括学校简介、活跃教师、学校上传的全部课程、课程观看总人次等数据。在活跃教师排行榜中，可看到各位名师发起的课程总数及总观看人次。</w:t>
            </w:r>
          </w:p>
          <w:p w14:paraId="3729F3D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用户访问平台网页观看线上课程时，可直接在平台网页中参与知识配对、选词填空、趣味分类等在线互动答题，加深对知识点的理解；完成后，可直接查看答题用时与答题排行榜，并可选择继续观看视频或再玩一次。</w:t>
            </w:r>
          </w:p>
          <w:p w14:paraId="673A2CA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名校管理员可进行学校校徽、学校简介等信息的设置管理。</w:t>
            </w:r>
          </w:p>
          <w:p w14:paraId="75FD5CD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5.移动端观看课程</w:t>
            </w:r>
          </w:p>
          <w:p w14:paraId="6801357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在专递示范课/名师示范课/名校网络课堂的课程页面中，支持一键生成分享海报，也可一键复制观看链接，方便分享给其他观众，通过移动端打开观看。</w:t>
            </w:r>
          </w:p>
          <w:p w14:paraId="109CC9A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分享海报中包括课程名称、主讲人、学校名称及二维码等信息。</w:t>
            </w:r>
          </w:p>
          <w:p w14:paraId="411721F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6.视频在线剪辑</w:t>
            </w:r>
          </w:p>
          <w:p w14:paraId="33EA97D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支持用户对本地上传或录播机录制的视频，通过浏览器完成在线剪辑，将视频的无效内容删除，保留课堂中的重难点和精彩部分。</w:t>
            </w:r>
          </w:p>
          <w:p w14:paraId="7906AD6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效果预览：进行剪辑操作后，支持用户通过在线预览窗口，实时查看剪辑后的内容，确保视频效果。</w:t>
            </w:r>
          </w:p>
          <w:p w14:paraId="79B39A5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插入课堂活动：支持用户在平台上查看已上传的云课件，并选择课件中的课堂活动插入视频中，设置为课程的互动答题环节；课程发布后，用户观看到所对应的课程时间点时，系统将自动弹出课堂活动，需要完成互动答题才可进入下一阶段的知识点学习。</w:t>
            </w:r>
          </w:p>
          <w:p w14:paraId="14D3F9EF">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视频截取：支持用户通过拖拽视频起点与终点，快速去除头部或尾部的无效内容，截取保留视频中的重点部分。</w:t>
            </w:r>
          </w:p>
          <w:p w14:paraId="430A0BBD">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视频分割与删除：支持基于时间刻度，将视频分割成若干个片段，并把无效片段删除。</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AFBA85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1套</w:t>
            </w:r>
          </w:p>
        </w:tc>
      </w:tr>
      <w:tr w14:paraId="044B3D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0A1FFF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bCs/>
                <w:color w:val="auto"/>
                <w:kern w:val="0"/>
                <w:sz w:val="24"/>
                <w:lang w:eastAsia="zh-CN" w:bidi="ar"/>
              </w:rPr>
              <w:t>（二）</w:t>
            </w:r>
            <w:r>
              <w:rPr>
                <w:rFonts w:hint="eastAsia" w:ascii="仿宋_GB2312" w:hAnsi="仿宋_GB2312" w:eastAsia="仿宋_GB2312" w:cs="仿宋_GB2312"/>
                <w:b/>
                <w:bCs/>
                <w:color w:val="auto"/>
                <w:kern w:val="0"/>
                <w:sz w:val="24"/>
                <w:lang w:bidi="ar"/>
              </w:rPr>
              <w:t>柳铁二中</w:t>
            </w:r>
            <w:r>
              <w:rPr>
                <w:rFonts w:hint="eastAsia" w:ascii="仿宋_GB2312" w:hAnsi="仿宋_GB2312" w:eastAsia="仿宋_GB2312" w:cs="仿宋_GB2312"/>
                <w:b/>
                <w:bCs/>
                <w:color w:val="auto"/>
                <w:kern w:val="0"/>
                <w:sz w:val="24"/>
                <w:lang w:val="en-US" w:eastAsia="zh-CN" w:bidi="ar"/>
              </w:rPr>
              <w:t>室内</w:t>
            </w:r>
            <w:r>
              <w:rPr>
                <w:rFonts w:hint="eastAsia" w:ascii="仿宋_GB2312" w:hAnsi="仿宋_GB2312" w:eastAsia="仿宋_GB2312" w:cs="仿宋_GB2312"/>
                <w:b/>
                <w:bCs/>
                <w:color w:val="auto"/>
                <w:kern w:val="0"/>
                <w:sz w:val="24"/>
                <w:lang w:bidi="ar"/>
              </w:rPr>
              <w:t>全彩LED屏</w:t>
            </w:r>
          </w:p>
        </w:tc>
      </w:tr>
      <w:tr w14:paraId="7F2C2A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ED93DC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B23C5FE">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室内全彩屏</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CE7663A">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color w:val="auto"/>
                <w:lang w:val="en-US" w:eastAsia="zh-CN"/>
              </w:rPr>
              <w:t>★</w:t>
            </w:r>
            <w:r>
              <w:rPr>
                <w:rFonts w:hint="eastAsia" w:ascii="仿宋_GB2312" w:hAnsi="仿宋_GB2312" w:eastAsia="仿宋_GB2312" w:cs="仿宋_GB2312"/>
                <w:i w:val="0"/>
                <w:iCs w:val="0"/>
                <w:color w:val="auto"/>
                <w:kern w:val="0"/>
                <w:sz w:val="24"/>
                <w:szCs w:val="24"/>
                <w:u w:val="none"/>
                <w:lang w:val="en-US" w:eastAsia="zh-CN" w:bidi="ar"/>
              </w:rPr>
              <w:t>1.点间距≤2.5mm；</w:t>
            </w:r>
          </w:p>
          <w:p w14:paraId="7158FEFA">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2.屏体面积尺寸：长4.8米*高2.4米≈11.52平方米，采用TOP型SMD封装的灯珠，1R1G1B；灯珠结构支持PPA碗杯结构、点胶封装、出光方式为单面发光；支持PCB平面结构，molding封装、切割、出光方式为五面发光；</w:t>
            </w:r>
          </w:p>
          <w:p w14:paraId="686D46CA">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3.LED显示模组亮度均匀性≥99%（校正后）；</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4.LED显示模组的基色主波长的测量误差∆入D≤2nm</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5.依据SJ/T 11281-2025第4.2.2测试，垂直≥177度，水平≥177度</w:t>
            </w:r>
          </w:p>
          <w:p w14:paraId="289C1589">
            <w:pPr>
              <w:keepNext w:val="0"/>
              <w:keepLines w:val="0"/>
              <w:widowControl/>
              <w:numPr>
                <w:ilvl w:val="0"/>
                <w:numId w:val="0"/>
              </w:numPr>
              <w:suppressLineNumbers w:val="0"/>
              <w:snapToGrid w:val="0"/>
              <w:spacing w:line="400" w:lineRule="atLeast"/>
              <w:ind w:leftChars="0"/>
              <w:jc w:val="both"/>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6.色温（K）：9300K，20—20000可调，调节步长100K，色温为6500K时，100%、75%、50%、25%四档电平白场调节色温误差≤±200K；色温为8500K时，100%、75%、50%、25%四档电平白场调节色温误差≤±100K；</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7.电流增益调节级别≥10位，电流增益调节范围1%-199%</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8.视觉舒适度(VICO指数)测试值在O≤VICO＜1,符合CSA035.2-2017标准量化分级1级，视觉舒适度等级为1级；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9.色度均匀性：±0.001(Cx,Cy之内)；</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10.对比度≥20000:1；</w:t>
            </w:r>
          </w:p>
          <w:p w14:paraId="524642A0">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11.模组间隙≤0.01mm，拼接模组间隙≤0.01mm，像素中心距相对偏差等级Jx≤0.5%，垂直相对错位等级Cc≤0.5%，水平相对错位等级Cs≤0.5%；</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12.刷新率≥3840Hz；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13.NTSC 色域覆盖率≥125%，色域重合度≥99.3%；</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color w:val="auto"/>
                <w:sz w:val="21"/>
                <w:szCs w:val="21"/>
              </w:rPr>
              <w:t>◆</w:t>
            </w:r>
            <w:r>
              <w:rPr>
                <w:rFonts w:hint="eastAsia" w:ascii="仿宋_GB2312" w:hAnsi="仿宋_GB2312" w:eastAsia="仿宋_GB2312" w:cs="仿宋_GB2312"/>
                <w:i w:val="0"/>
                <w:iCs w:val="0"/>
                <w:color w:val="auto"/>
                <w:kern w:val="0"/>
                <w:sz w:val="24"/>
                <w:szCs w:val="24"/>
                <w:u w:val="none"/>
                <w:lang w:val="en-US" w:eastAsia="zh-CN" w:bidi="ar"/>
              </w:rPr>
              <w:t>14.PCB 采用 FR-4 四层板同等级或更高材料，表面沉金处理，</w:t>
            </w:r>
            <w:r>
              <w:rPr>
                <w:rFonts w:hint="eastAsia" w:ascii="仿宋_GB2312" w:hAnsi="仿宋_GB2312" w:eastAsia="仿宋_GB2312" w:cs="仿宋_GB2312"/>
                <w:i w:val="0"/>
                <w:iCs w:val="0"/>
                <w:color w:val="auto"/>
                <w:kern w:val="0"/>
                <w:sz w:val="24"/>
                <w:szCs w:val="24"/>
                <w:highlight w:val="yellow"/>
                <w:u w:val="wave"/>
                <w:lang w:val="en-US" w:eastAsia="zh-CN" w:bidi="ar"/>
              </w:rPr>
              <w:t>板厚≥1.58mm，铜厚≥0.8 盎司，TG≥148</w:t>
            </w:r>
            <w:r>
              <w:rPr>
                <w:rFonts w:hint="eastAsia" w:ascii="仿宋_GB2312" w:hAnsi="仿宋_GB2312" w:eastAsia="仿宋_GB2312" w:cs="仿宋_GB2312"/>
                <w:i w:val="0"/>
                <w:iCs w:val="0"/>
                <w:color w:val="auto"/>
                <w:kern w:val="0"/>
                <w:sz w:val="24"/>
                <w:szCs w:val="24"/>
                <w:u w:val="none"/>
                <w:lang w:val="en-US" w:eastAsia="zh-CN" w:bidi="ar"/>
              </w:rPr>
              <w:t>，PCB 板表面具备防潮/防尘/防静电/抗氧化，防霉等级≤1 级。采用抗消隐设计，无“毛毛虫”“鬼影”跟随现象，模组与HUB板采用排线连接，无级联，可直接插拔和热插拔；</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15.显示屏塑料面罩底壳应能通过550℃灼热丝试验要求，满足HB等级要求；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16.显示屏经蓝光危害检测结果为无危害；</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17.噪声测试（符合GB 22337-2008社会生活环境噪声排放标准）屏前、屏后、屏左、屏右1m处，噪声声压≤3dB；</w:t>
            </w:r>
          </w:p>
          <w:p w14:paraId="05D735E8">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18.符合CQC3158-2016(LED显示单元节能认证技术规范),具有智能节电和黑屏节电功能，节能模式节电60%以上；</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19.平均修复时间≤2分钟，平均无故障工作时间≥110000小时，支持7*24小时不间断工作；</w:t>
            </w:r>
          </w:p>
          <w:p w14:paraId="283C25E0">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20.LED显示屏所使用的各种材料和元器件，铅、汞、六价铬、多溴联苯、多溴二苯醚(十溴二苯醚除外)的含量不应超过0.1%,镉的含量不应超过0.01%；</w:t>
            </w:r>
          </w:p>
          <w:p w14:paraId="02050FA3">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21.LED显示屏图像质量主观评价方法进行，运动图像清晰度、灰度表现力2（伪轮廓现象）主观感受满足图像质量好，评价优级；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22.采用印制板测试方法，IPC-TM-650 2.5.7D、IPC-TM-650 2.5.7.1.IPC-TM-6502.5.6B、IPC-TM-650 2.5.6.2AASTM D149 在工业用电频率时实心电绝缘材料的介电击穿电压与介电强度的试验方法，印刷板在经过湿热箱处理120h后进行测试，绝缘部分未被击穿；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23.采用 MC 多通道校正技术，消除屏体在不同灰阶下的麻点和色块问题，保证全灰阶显示均匀一致；</w:t>
            </w:r>
          </w:p>
          <w:p w14:paraId="2C49BE20">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24.支持鬼影消除、低灰偏色补偿、去除坏点、毛毛虫消除、余辉消除、亮度缓慢变亮功能；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25.摩擦起电电压|V|≤100V;静电电压衰减期 (±1000-±100V）≤2S;</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26.具备20条以上可调节的γ校正曲线；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★27.采用 MWFRFT 多层多参数智慧调节技术处理技术，打破传统单层 WFRFT 结构模式扩展为多层 MWFRFT 结构，提升大屏低灰刷新不足引起的闪烁问题；</w:t>
            </w:r>
            <w:r>
              <w:rPr>
                <w:rFonts w:hint="eastAsia" w:ascii="仿宋_GB2312" w:hAnsi="仿宋_GB2312" w:eastAsia="仿宋_GB2312" w:cs="仿宋_GB2312"/>
                <w:b/>
                <w:bCs/>
                <w:i w:val="0"/>
                <w:iCs w:val="0"/>
                <w:color w:val="auto"/>
                <w:kern w:val="0"/>
                <w:sz w:val="24"/>
                <w:szCs w:val="24"/>
                <w:u w:val="none"/>
                <w:lang w:val="en-US" w:eastAsia="zh-CN" w:bidi="ar"/>
              </w:rPr>
              <w:t>投标时提供具有CMA或CNAS标识的检测（检验）报告或提供其它证明材料（彩页、产品说明书、官网或功能截图等其中任意一项）。</w:t>
            </w:r>
            <w:r>
              <w:rPr>
                <w:rFonts w:hint="eastAsia" w:ascii="仿宋_GB2312" w:hAnsi="仿宋_GB2312" w:eastAsia="仿宋_GB2312" w:cs="仿宋_GB2312"/>
                <w:b/>
                <w:bCs/>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28.模组采用4P接插头，免工具维护，具有防呆设置，避免线路接错的问题。采用集成hub接收卡控制，支持通讯状态监测，高灰度，高刷新；</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29.支持HDR信号显示,支持HDR高动态光照渲染技米。依据CESI/TS008-2019《HDR 显示认证技术规范》，支持高动态范围(HDR，Higi-Dynamic Range)检测项目峰值亮度1000-1500、黑色亮度≤0.05cd/m2.EOTF 曲线拟合度0.7-1.3.色域覆盖率≥90（相对DCILP3色空间）、色域重合度≥60%；</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30.支持模组级的</w:t>
            </w:r>
            <w:bookmarkStart w:id="74" w:name="_GoBack"/>
            <w:bookmarkEnd w:id="74"/>
            <w:r>
              <w:rPr>
                <w:rFonts w:hint="eastAsia" w:ascii="仿宋_GB2312" w:hAnsi="仿宋_GB2312" w:eastAsia="仿宋_GB2312" w:cs="仿宋_GB2312"/>
                <w:i w:val="0"/>
                <w:iCs w:val="0"/>
                <w:color w:val="auto"/>
                <w:kern w:val="0"/>
                <w:sz w:val="24"/>
                <w:szCs w:val="24"/>
                <w:u w:val="none"/>
                <w:lang w:val="en-US" w:eastAsia="zh-CN" w:bidi="ar"/>
              </w:rPr>
              <w:t xml:space="preserve"> LED 灯防撞灯保护装置</w:t>
            </w:r>
            <w:r>
              <w:rPr>
                <w:rFonts w:hint="eastAsia"/>
                <w:strike w:val="0"/>
                <w:color w:val="auto"/>
                <w:lang w:eastAsia="zh-CN"/>
              </w:rPr>
              <w:t>；</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31.</w:t>
            </w:r>
            <w:r>
              <w:rPr>
                <w:rFonts w:hint="eastAsia" w:ascii="仿宋_GB2312" w:hAnsi="仿宋_GB2312" w:eastAsia="仿宋_GB2312" w:cs="仿宋_GB2312"/>
                <w:i w:val="0"/>
                <w:iCs w:val="0"/>
                <w:strike w:val="0"/>
                <w:color w:val="auto"/>
                <w:kern w:val="0"/>
                <w:sz w:val="24"/>
                <w:szCs w:val="24"/>
                <w:u w:val="none"/>
                <w:lang w:val="en-US" w:eastAsia="zh-CN" w:bidi="ar"/>
              </w:rPr>
              <w:t>粒子尺寸＜75μm 的滑石粉，尘降量 600g/（㎡ ·d）， 自由降尘，试验时间8h，产品未发现尘沉积及侵入；</w:t>
            </w:r>
          </w:p>
          <w:p w14:paraId="1DCA59F0">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32.电源插头或电源接入端子与外壳裸露金属部件之间绝缘电阻在正常大气条件下应≥500MΩ，湿热条件下应≥20MΩ;</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33.亮度调节支持手动/自动/远程调节；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34.通过灯管耐焊耐热测试：灯珠引脚无氧化,焊接正常,灯珠胶体正常,点亮正常；</w:t>
            </w:r>
          </w:p>
          <w:p w14:paraId="2B8C1AE6">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35.通过抗静电(ESD)测试:HBM模式:ESD＞2000V,灯珠点亮无异常；</w:t>
            </w:r>
          </w:p>
          <w:p w14:paraId="25889FF3">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36.PCB板及塑胶底壳、面罩满足UL94 V-0级要求；</w:t>
            </w:r>
          </w:p>
          <w:p w14:paraId="477FAF04">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0" w:leftChars="0" w:firstLine="0" w:firstLineChars="0"/>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37.</w:t>
            </w:r>
            <w:r>
              <w:rPr>
                <w:rFonts w:hint="eastAsia" w:ascii="仿宋_GB2312" w:hAnsi="仿宋_GB2312" w:eastAsia="仿宋_GB2312" w:cs="仿宋_GB2312"/>
                <w:color w:val="auto"/>
                <w:kern w:val="0"/>
                <w:sz w:val="24"/>
                <w:szCs w:val="24"/>
                <w:lang w:bidi="ar"/>
              </w:rPr>
              <w:t>功</w:t>
            </w:r>
            <w:r>
              <w:rPr>
                <w:rFonts w:hint="eastAsia" w:ascii="仿宋_GB2312" w:hAnsi="仿宋_GB2312" w:eastAsia="仿宋_GB2312" w:cs="仿宋_GB2312"/>
                <w:color w:val="auto"/>
                <w:kern w:val="0"/>
                <w:sz w:val="24"/>
                <w:szCs w:val="24"/>
                <w:lang w:eastAsia="zh-CN" w:bidi="ar"/>
              </w:rPr>
              <w:t>耗</w:t>
            </w:r>
            <w:r>
              <w:rPr>
                <w:rFonts w:hint="eastAsia" w:ascii="仿宋_GB2312" w:hAnsi="仿宋_GB2312" w:eastAsia="仿宋_GB2312" w:cs="仿宋_GB2312"/>
                <w:color w:val="auto"/>
                <w:kern w:val="0"/>
                <w:sz w:val="24"/>
                <w:szCs w:val="24"/>
                <w:lang w:bidi="ar"/>
              </w:rPr>
              <w:t xml:space="preserve">：最大功耗(W/㎡) 352 ，平均功率(W/㎡) </w:t>
            </w:r>
            <w:r>
              <w:rPr>
                <w:rFonts w:hint="eastAsia" w:ascii="仿宋_GB2312" w:hAnsi="仿宋_GB2312" w:eastAsia="仿宋_GB2312" w:cs="仿宋_GB2312"/>
                <w:color w:val="auto"/>
                <w:kern w:val="0"/>
                <w:sz w:val="24"/>
                <w:szCs w:val="24"/>
                <w:lang w:val="en-US" w:eastAsia="zh-CN" w:bidi="ar"/>
              </w:rPr>
              <w:t>126</w:t>
            </w:r>
            <w:r>
              <w:rPr>
                <w:rFonts w:hint="eastAsia" w:ascii="仿宋_GB2312" w:hAnsi="仿宋_GB2312" w:eastAsia="仿宋_GB2312" w:cs="仿宋_GB2312"/>
                <w:color w:val="auto"/>
                <w:kern w:val="0"/>
                <w:sz w:val="24"/>
                <w:szCs w:val="24"/>
                <w:lang w:eastAsia="zh-CN" w:bidi="ar"/>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547140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11.52㎡</w:t>
            </w:r>
          </w:p>
        </w:tc>
      </w:tr>
      <w:tr w14:paraId="3FF29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28CCDE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148130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LED备用模组</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FA0BA1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kern w:val="0"/>
                <w:sz w:val="24"/>
                <w:szCs w:val="24"/>
                <w:highlight w:val="none"/>
                <w:lang w:val="en-US" w:eastAsia="zh-CN"/>
              </w:rPr>
              <w:t>1.模组尺寸：320mm*160mm，与主LED屏同批次；</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69CADC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8张</w:t>
            </w:r>
          </w:p>
        </w:tc>
      </w:tr>
      <w:tr w14:paraId="2011E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777619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FBBFC2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LED电源</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B26BBAE">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1.输入电压：200-240Vac,40-63Hz</w:t>
            </w:r>
          </w:p>
          <w:p w14:paraId="70EF8D4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2.输出电流：40A/输出电压：5V</w:t>
            </w:r>
          </w:p>
          <w:p w14:paraId="0547167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3.泄漏电流：&lt;1ma（Vin：230）</w:t>
            </w:r>
          </w:p>
          <w:p w14:paraId="5AE4FE4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4.保护功能：输入欠压；过载保护；短路保护</w:t>
            </w:r>
          </w:p>
          <w:p w14:paraId="215BC96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5.工作温度：-30~50℃/储存温度：-40~80℃</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31695B1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40台</w:t>
            </w:r>
          </w:p>
        </w:tc>
      </w:tr>
      <w:tr w14:paraId="60BDF3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A693AC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F76DB9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接收卡</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3CD4DF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1.单卡最大带载 512×512像素，最多支持 32 组RGB 并行数据；</w:t>
            </w:r>
          </w:p>
          <w:p w14:paraId="0276AA3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2.采用 16个标准HUB75接口，具有高稳定性和高可靠性，适用于多种环境的搭建；</w:t>
            </w:r>
          </w:p>
          <w:p w14:paraId="1B52BE2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3.支持逐点亮度校正，可以对每个灯点的亮度进行校正，使整屏的亮度达到高度均匀一致，提高显示屏的画质</w:t>
            </w:r>
            <w:r>
              <w:rPr>
                <w:rFonts w:hint="eastAsia" w:ascii="仿宋_GB2312" w:hAnsi="仿宋_GB2312" w:eastAsia="仿宋_GB2312" w:cs="仿宋_GB2312"/>
                <w:color w:val="auto"/>
                <w:sz w:val="24"/>
                <w:szCs w:val="24"/>
                <w:lang w:eastAsia="zh-CN"/>
              </w:rPr>
              <w:t>；</w:t>
            </w:r>
          </w:p>
          <w:p w14:paraId="1750FED5">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4.快速亮暗线调节在调试软件上进行快速亮暗线调节，快速解决因箱体及模组拼接造成的显示屏亮暗线，调节过程中即时生效，简单易用</w:t>
            </w:r>
            <w:r>
              <w:rPr>
                <w:rFonts w:hint="eastAsia" w:ascii="仿宋_GB2312" w:hAnsi="仿宋_GB2312" w:eastAsia="仿宋_GB2312" w:cs="仿宋_GB2312"/>
                <w:color w:val="auto"/>
                <w:sz w:val="24"/>
                <w:szCs w:val="24"/>
                <w:lang w:eastAsia="zh-CN"/>
              </w:rPr>
              <w:t>；</w:t>
            </w:r>
          </w:p>
          <w:p w14:paraId="65A438E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5.配合支持 3D 功能的独立主控，在软件或独立主控的操作面板上开启 3D 功能，并设置 3D 参数，使画面显示 3D 效果</w:t>
            </w:r>
            <w:r>
              <w:rPr>
                <w:rFonts w:hint="eastAsia" w:ascii="仿宋_GB2312" w:hAnsi="仿宋_GB2312" w:eastAsia="仿宋_GB2312" w:cs="仿宋_GB2312"/>
                <w:color w:val="auto"/>
                <w:sz w:val="24"/>
                <w:szCs w:val="24"/>
                <w:lang w:eastAsia="zh-CN"/>
              </w:rPr>
              <w:t>；</w:t>
            </w:r>
          </w:p>
          <w:p w14:paraId="6FC6851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6.支持Mapping功能开启，每个箱体上会显示数字，清楚</w:t>
            </w:r>
            <w:r>
              <w:rPr>
                <w:rFonts w:hint="eastAsia" w:ascii="仿宋_GB2312" w:hAnsi="仿宋_GB2312" w:eastAsia="仿宋_GB2312" w:cs="仿宋_GB2312"/>
                <w:color w:val="auto"/>
                <w:sz w:val="24"/>
                <w:szCs w:val="24"/>
                <w:lang w:val="en-US" w:eastAsia="zh-CN"/>
              </w:rPr>
              <w:t>显示</w:t>
            </w:r>
            <w:r>
              <w:rPr>
                <w:rFonts w:hint="eastAsia" w:ascii="仿宋_GB2312" w:hAnsi="仿宋_GB2312" w:eastAsia="仿宋_GB2312" w:cs="仿宋_GB2312"/>
                <w:color w:val="auto"/>
                <w:sz w:val="24"/>
                <w:szCs w:val="24"/>
              </w:rPr>
              <w:t>当前箱体是哪个网口下的哪张接收卡，直观的看到显示屏连接状况</w:t>
            </w:r>
            <w:r>
              <w:rPr>
                <w:rFonts w:hint="eastAsia" w:ascii="仿宋_GB2312" w:hAnsi="仿宋_GB2312" w:eastAsia="仿宋_GB2312" w:cs="仿宋_GB2312"/>
                <w:color w:val="auto"/>
                <w:sz w:val="24"/>
                <w:szCs w:val="24"/>
                <w:lang w:eastAsia="zh-CN"/>
              </w:rPr>
              <w:t>；</w:t>
            </w:r>
          </w:p>
          <w:p w14:paraId="274DEAA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7.可以将指定图片设置为显示屏的开机、网线断开或无视频源信号时的画面或者最后一帧画面</w:t>
            </w:r>
            <w:r>
              <w:rPr>
                <w:rFonts w:hint="eastAsia" w:ascii="仿宋_GB2312" w:hAnsi="仿宋_GB2312" w:eastAsia="仿宋_GB2312" w:cs="仿宋_GB2312"/>
                <w:color w:val="auto"/>
                <w:sz w:val="24"/>
                <w:szCs w:val="24"/>
                <w:lang w:eastAsia="zh-CN"/>
              </w:rPr>
              <w:t>；</w:t>
            </w:r>
          </w:p>
          <w:p w14:paraId="7DE61E6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8.可以监测自身的温度和电压，无需其他外设，在软件上可以查看接收卡的温度和电压，检测发送设备与接收卡间或接收卡与接收卡间的网络通讯质量，记录错误包数，协助排除网络通讯隐患</w:t>
            </w:r>
            <w:r>
              <w:rPr>
                <w:rFonts w:hint="eastAsia" w:ascii="仿宋_GB2312" w:hAnsi="仿宋_GB2312" w:eastAsia="仿宋_GB2312" w:cs="仿宋_GB2312"/>
                <w:color w:val="auto"/>
                <w:sz w:val="24"/>
                <w:szCs w:val="24"/>
                <w:lang w:eastAsia="zh-CN"/>
              </w:rPr>
              <w:t>；</w:t>
            </w:r>
          </w:p>
          <w:p w14:paraId="30BC63B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color w:val="auto"/>
                <w:sz w:val="24"/>
                <w:szCs w:val="24"/>
              </w:rPr>
              <w:t>9.支持5pin 液晶模块，用于显示接收卡的温度、电压、单次运行时间和总运行时间。支持千兆网，可通过网线直接连接PC端进行调试和显示，无需发送卡</w:t>
            </w:r>
            <w:r>
              <w:rPr>
                <w:rFonts w:hint="eastAsia" w:ascii="仿宋_GB2312" w:hAnsi="仿宋_GB2312" w:eastAsia="仿宋_GB2312" w:cs="仿宋_GB2312"/>
                <w:color w:val="auto"/>
                <w:sz w:val="24"/>
                <w:szCs w:val="24"/>
                <w:lang w:eastAsia="zh-CN"/>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C489153">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16张</w:t>
            </w:r>
          </w:p>
        </w:tc>
      </w:tr>
      <w:tr w14:paraId="6E19E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9F9331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5</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A1DF55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视频处理器</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9EE3DC1">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1.支持多路输入接口：包括但不限于1 路 DVI，1 路 HDMI，1 路 VGA，1 路 USB ，1 路 CVBS，以适用各种前端输入信号；</w:t>
            </w:r>
          </w:p>
          <w:p w14:paraId="2B76E8A2">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2.发送卡和视频处理器二合一，减少系统连线，有效提升系统的稳定性及兼容性；</w:t>
            </w:r>
          </w:p>
          <w:p w14:paraId="194B6A58">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3.支持插入U盘播放，最大支持1920x1080@60Hz视频输入；</w:t>
            </w:r>
          </w:p>
          <w:p w14:paraId="22E1CD47">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4.设备前面板配备直观的 LCD 显示界面，可实时显示型号、ip地址、窗口及信号源的分辨率、网口的状态、屏幕大小及帧频、USB 连接或网线连接状态和屏体亮度等信息；</w:t>
            </w:r>
          </w:p>
          <w:p w14:paraId="03B3AEE3">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5.支持配合多功能卡，实现对屏体电源的手动控制，自动控制，以及软件控制</w:t>
            </w:r>
          </w:p>
          <w:p w14:paraId="5751E379">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6.支持 DVI、HDMI 的输入分辨率自定义调节。</w:t>
            </w:r>
          </w:p>
          <w:p w14:paraId="51CB3C72">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7.支持逐点亮度校正，可以对每个灯点的亮度和色度进行采集校正，有效消除色差，使整屏的亮度和色度达到高度均匀一致，提高显示屏的画质。</w:t>
            </w:r>
          </w:p>
          <w:p w14:paraId="4C159B9E">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8.支持通过设备旋转按钮实现快捷配屏和高级配屏功能点亮屏体；</w:t>
            </w:r>
          </w:p>
          <w:p w14:paraId="26A170CA">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9.支持不少于 4个千兆网口输出，最大带载可达260万像素。</w:t>
            </w:r>
          </w:p>
          <w:p w14:paraId="4771844C">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10.支持创建不少于6个用户场景作为模板保存，方便快速调用。</w:t>
            </w:r>
          </w:p>
          <w:p w14:paraId="6135860A">
            <w:pPr>
              <w:pStyle w:val="10"/>
              <w:keepNext w:val="0"/>
              <w:keepLines w:val="0"/>
              <w:pageBreakBefore w:val="0"/>
              <w:tabs>
                <w:tab w:val="left" w:pos="2688"/>
              </w:tabs>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lang w:eastAsia="zh-CN"/>
              </w:rPr>
              <w:t>11.支持通过中控设备进行统一控制。</w:t>
            </w:r>
            <w:r>
              <w:rPr>
                <w:rFonts w:hint="eastAsia" w:ascii="仿宋_GB2312" w:hAnsi="仿宋_GB2312" w:eastAsia="仿宋_GB2312" w:cs="仿宋_GB2312"/>
                <w:color w:val="auto"/>
                <w:sz w:val="24"/>
                <w:szCs w:val="24"/>
                <w:highlight w:val="none"/>
                <w:lang w:eastAsia="zh-CN"/>
              </w:rPr>
              <w:tab/>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2C7E1C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14A8EB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57E57D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6</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2363701">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显示屏框架</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FED9E9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1.框体尺寸：</w:t>
            </w:r>
            <w:r>
              <w:rPr>
                <w:rFonts w:hint="eastAsia" w:ascii="仿宋_GB2312" w:hAnsi="仿宋_GB2312" w:eastAsia="仿宋_GB2312" w:cs="仿宋_GB2312"/>
                <w:color w:val="auto"/>
                <w:sz w:val="24"/>
                <w:szCs w:val="24"/>
                <w:highlight w:val="none"/>
                <w:lang w:val="en-US" w:eastAsia="zh-CN"/>
              </w:rPr>
              <w:t>≥4900</w:t>
            </w:r>
            <w:r>
              <w:rPr>
                <w:rFonts w:hint="eastAsia" w:ascii="仿宋_GB2312" w:hAnsi="仿宋_GB2312" w:eastAsia="仿宋_GB2312" w:cs="仿宋_GB2312"/>
                <w:color w:val="auto"/>
                <w:sz w:val="24"/>
                <w:szCs w:val="24"/>
                <w:highlight w:val="none"/>
              </w:rPr>
              <w:t>mm*</w:t>
            </w:r>
            <w:r>
              <w:rPr>
                <w:rFonts w:hint="eastAsia" w:ascii="仿宋_GB2312" w:hAnsi="仿宋_GB2312" w:eastAsia="仿宋_GB2312" w:cs="仿宋_GB2312"/>
                <w:color w:val="auto"/>
                <w:sz w:val="24"/>
                <w:szCs w:val="24"/>
                <w:highlight w:val="none"/>
                <w:lang w:val="en-US" w:eastAsia="zh-CN"/>
              </w:rPr>
              <w:t>250</w:t>
            </w:r>
            <w:r>
              <w:rPr>
                <w:rFonts w:hint="eastAsia" w:ascii="仿宋_GB2312" w:hAnsi="仿宋_GB2312" w:eastAsia="仿宋_GB2312" w:cs="仿宋_GB2312"/>
                <w:color w:val="auto"/>
                <w:sz w:val="24"/>
                <w:szCs w:val="24"/>
                <w:highlight w:val="none"/>
              </w:rPr>
              <w:t>0mm，贴墙壁挂安装;</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含钢结构、定制包边。采用专用钢结构支架；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3.按照国家钢结构设计规范，满足屏体安全承载需求制；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显示屏采用支撑钢结构材料。</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74BDD3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12.25㎡</w:t>
            </w:r>
          </w:p>
        </w:tc>
      </w:tr>
      <w:tr w14:paraId="17FF1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150B58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7</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DBE774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计算机</w:t>
            </w:r>
            <w:r>
              <w:rPr>
                <w:rFonts w:hint="eastAsia" w:ascii="仿宋_GB2312" w:hAnsi="仿宋_GB2312" w:eastAsia="仿宋_GB2312" w:cs="仿宋_GB2312"/>
                <w:b/>
                <w:bCs/>
                <w:color w:val="auto"/>
                <w:sz w:val="24"/>
                <w:szCs w:val="24"/>
              </w:rPr>
              <w:t>（强制采购节能产品，详见采购需求说明第八点）</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0CC198F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★一、CPU规格</w:t>
            </w:r>
          </w:p>
          <w:p w14:paraId="24EEEF3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核8线程，主频≥2.7GHz，末级缓存≥8M，内存≥双通道DDR4-2666，热设计功耗≤70W，位宽≥64位；</w:t>
            </w:r>
          </w:p>
          <w:p w14:paraId="1DFDEB7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★二、内存规格</w:t>
            </w:r>
          </w:p>
          <w:p w14:paraId="02D09D7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1.内存配置容量：≥16GB；</w:t>
            </w:r>
          </w:p>
          <w:p w14:paraId="1DA3621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2.内存类型：支持 DDR4/LPDDR4/LPDDR4X及以上内存类型；</w:t>
            </w:r>
          </w:p>
          <w:p w14:paraId="04023EB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3.内存条配置数量（板载内存不涉及）：≥1；</w:t>
            </w:r>
          </w:p>
          <w:p w14:paraId="4D583E2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★三、主板规格</w:t>
            </w:r>
          </w:p>
          <w:p w14:paraId="6DE506A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1.主板集成模块：集成资源扩展模块、计算处理模块、音频扩展模块等，主板的互联拓扑可通过处理器或交换电路实现；</w:t>
            </w:r>
          </w:p>
          <w:p w14:paraId="593F71B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2.主板支持的 CPU 和内存情况：≥</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核8线程，主频≥2.7GHz，末级缓存≥8M，内存≥双通道DDR4-2666，热设计功耗≤70W，位宽≥64位；内存条数量≥</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w:t>
            </w:r>
          </w:p>
          <w:p w14:paraId="28E8D79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3.主板其他内置接口：≥SATA接口*4，≥M.2接口*1，</w:t>
            </w:r>
            <w:r>
              <w:rPr>
                <w:rFonts w:hint="eastAsia" w:ascii="仿宋_GB2312" w:hAnsi="仿宋_GB2312" w:eastAsia="仿宋_GB2312" w:cs="仿宋_GB2312"/>
                <w:color w:val="auto"/>
                <w:sz w:val="24"/>
                <w:szCs w:val="24"/>
                <w:highlight w:val="none"/>
              </w:rPr>
              <w:t>≥USB接口*1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rPr>
              <w:t>，固态硬盘占用M.2接口*1，机械硬盘占用SATA接口*1</w:t>
            </w:r>
          </w:p>
          <w:p w14:paraId="1A672F7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4.单内存插槽最大可支持容量（板载内存不涉及）：≥16GB；</w:t>
            </w:r>
          </w:p>
          <w:p w14:paraId="4906878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5.内存插槽满配时提供的最高内存总容量：≥64GB；</w:t>
            </w:r>
          </w:p>
          <w:p w14:paraId="0C55049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★四、存储设备规格</w:t>
            </w:r>
          </w:p>
          <w:p w14:paraId="701B959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1.固态盘数量：≥1 个；</w:t>
            </w:r>
          </w:p>
          <w:p w14:paraId="63082F1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2.固态存储容量：≥512GB；</w:t>
            </w:r>
          </w:p>
          <w:p w14:paraId="1B5D323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3.机械硬盘数量：≥1 个；</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4.机械硬盘总容量：≥1TB；</w:t>
            </w:r>
          </w:p>
          <w:p w14:paraId="1471EA9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5.机械硬盘转速：≥5400rpm；</w:t>
            </w:r>
          </w:p>
          <w:p w14:paraId="13B5303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6.机械硬盘形态：3.5 英寸等；</w:t>
            </w:r>
          </w:p>
          <w:p w14:paraId="049E1CC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7.固态存储形态：采用插卡或板载等形态，可选用符合M.2 或 2.5寸SATA或mSATA等标准的插卡形态；</w:t>
            </w:r>
          </w:p>
          <w:p w14:paraId="3434AF1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8.存储设备其他参数要求：a)固态盘应符合 SJ/T 11654 相关规定；b)机械硬盘准备时间应不大于 30s；侧面固定螺丝孔数量可为4孔或6孔；工作状态环境温度应满足 5℃~55℃；其它参数应符合 GB/T 12628 相关规定；</w:t>
            </w:r>
          </w:p>
          <w:p w14:paraId="52603D1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★五、显卡规格</w:t>
            </w:r>
          </w:p>
          <w:p w14:paraId="7267E1A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1.显卡类型：独立显卡；</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2.独立显卡显存类型：显存类型为DDR3/DDR4/GDDR5 /GDDR6/LPDDR4；</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3.独立显卡显存位宽：显存位宽≥16 位；</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4.独立显卡显存容量：显存容量≥1GB；</w:t>
            </w:r>
          </w:p>
          <w:p w14:paraId="280189A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★六、显示设备规格</w:t>
            </w:r>
          </w:p>
          <w:p w14:paraId="10B9905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1.显示屏屏占比：≥</w:t>
            </w:r>
            <w:r>
              <w:rPr>
                <w:rFonts w:hint="eastAsia" w:ascii="仿宋_GB2312" w:hAnsi="仿宋_GB2312" w:eastAsia="仿宋_GB2312" w:cs="仿宋_GB2312"/>
                <w:color w:val="auto"/>
                <w:sz w:val="24"/>
                <w:szCs w:val="24"/>
                <w:lang w:val="en-US" w:eastAsia="zh-CN"/>
              </w:rPr>
              <w:t>9</w:t>
            </w:r>
            <w:r>
              <w:rPr>
                <w:rFonts w:hint="eastAsia" w:ascii="仿宋_GB2312" w:hAnsi="仿宋_GB2312" w:eastAsia="仿宋_GB2312" w:cs="仿宋_GB2312"/>
                <w:color w:val="auto"/>
                <w:sz w:val="24"/>
                <w:szCs w:val="24"/>
              </w:rPr>
              <w:t>0%；</w:t>
            </w:r>
          </w:p>
          <w:p w14:paraId="1A3EB88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2.显示屏分辨率：≥1920*1080；</w:t>
            </w:r>
          </w:p>
          <w:p w14:paraId="52695B0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3.显示屏尺寸：≥23英寸；</w:t>
            </w:r>
          </w:p>
          <w:p w14:paraId="64BC99F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4.显示屏屏幕比例：16:9；</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5.显示器外观颜色：黑色商务色系；</w:t>
            </w:r>
          </w:p>
          <w:p w14:paraId="3110C63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rPr>
              <w:t>6.显示屏防蓝光：支持防蓝光模式，蓝光加权辐射亮度比应≤0.0012W/(·cd·sr)（瓦每坎特拉每球面度）</w:t>
            </w:r>
            <w:r>
              <w:rPr>
                <w:rFonts w:hint="eastAsia" w:ascii="仿宋_GB2312" w:hAnsi="仿宋_GB2312" w:eastAsia="仿宋_GB2312" w:cs="仿宋_GB2312"/>
                <w:color w:val="auto"/>
                <w:sz w:val="24"/>
                <w:szCs w:val="24"/>
                <w:highlight w:val="none"/>
              </w:rPr>
              <w:t>；</w:t>
            </w:r>
          </w:p>
          <w:p w14:paraId="72B0760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7.显示屏低频闪：显示屏应支持低频闪≤-35dB；</w:t>
            </w:r>
          </w:p>
          <w:p w14:paraId="0114BFA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8.显示屏防炫目：显示屏镜面反射率≤10%；</w:t>
            </w:r>
          </w:p>
          <w:p w14:paraId="78B9955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★七、外设规格</w:t>
            </w:r>
          </w:p>
          <w:p w14:paraId="46A0A37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1.鼠标数量：≥1个；</w:t>
            </w:r>
          </w:p>
          <w:p w14:paraId="3C245B3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2.键盘数量：≥1个；</w:t>
            </w:r>
          </w:p>
          <w:p w14:paraId="18C207D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3.键盘按键数目：≥10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键；</w:t>
            </w:r>
          </w:p>
          <w:p w14:paraId="59872B2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4.键盘连接方式：有线；</w:t>
            </w:r>
          </w:p>
          <w:p w14:paraId="4A76611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5.键盘键程：2.3mm-4.0mm；</w:t>
            </w:r>
          </w:p>
          <w:p w14:paraId="07B0913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6.键盘按键压力：按键压力应在0.54N±0.14N；</w:t>
            </w:r>
          </w:p>
          <w:p w14:paraId="729C7D6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7.有线键盘连接线：≥1.5 米；</w:t>
            </w:r>
          </w:p>
          <w:p w14:paraId="235728F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8.键盘颜色：黑色商务色系；</w:t>
            </w:r>
          </w:p>
          <w:p w14:paraId="6DFAAB3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9.鼠标连接方式：有线；</w:t>
            </w:r>
          </w:p>
          <w:p w14:paraId="2AC673D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10.有线鼠标连接线：≥1.5米；</w:t>
            </w:r>
          </w:p>
          <w:p w14:paraId="4A6CCF3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11.鼠标DPI分辨率：800-1600；</w:t>
            </w:r>
          </w:p>
          <w:p w14:paraId="4AAEF77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12.鼠标颜色：黑色商务色系；</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13.鼠标其他要求：其它参数应符合 GB/T 26245 的相关规定；</w:t>
            </w:r>
          </w:p>
          <w:p w14:paraId="008E0FE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★八、网络设备规格</w:t>
            </w:r>
          </w:p>
          <w:p w14:paraId="2CE6BF6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1.有线网卡数量：≥1；</w:t>
            </w:r>
          </w:p>
          <w:p w14:paraId="22ADA50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★九、外部接口规格</w:t>
            </w:r>
          </w:p>
          <w:p w14:paraId="7ED357D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1.USB 接口数量：机箱前面板应提供不少于</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个USB 接口（含 2个USB3.0 及以上接口</w:t>
            </w:r>
            <w:r>
              <w:rPr>
                <w:rFonts w:hint="eastAsia" w:ascii="仿宋_GB2312" w:hAnsi="仿宋_GB2312" w:eastAsia="仿宋_GB2312" w:cs="仿宋_GB2312"/>
                <w:color w:val="auto"/>
                <w:sz w:val="24"/>
                <w:szCs w:val="24"/>
                <w:lang w:val="en-US" w:eastAsia="zh-CN"/>
              </w:rPr>
              <w:t>,且USB接口额外支持关机状态下对外充电</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2.视频接口数量：≥1；</w:t>
            </w:r>
          </w:p>
          <w:p w14:paraId="2EA6CF2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3.音频接口数量：≥1；</w:t>
            </w:r>
          </w:p>
          <w:p w14:paraId="008B0B2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★十、整机基础规格</w:t>
            </w:r>
          </w:p>
          <w:p w14:paraId="29EDD4F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1.整机外观：a) 产品表面不应有凹痕、划伤、裂缝、变形和污染等。表面涂层均匀，不应起泡、龟裂、脱落和磨损，金属零部件无锈蚀及其它机械损伤；b) 产品表面说明功能的文字、符号、标志，应清晰、端正、牢固；</w:t>
            </w:r>
          </w:p>
          <w:p w14:paraId="2EFCF9C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2.状态指示灯：在产品显著位置提供状态指示功能；</w:t>
            </w:r>
          </w:p>
          <w:p w14:paraId="0BB8776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3.整机结构：a) 机箱应符合 GB/T 420</w:t>
            </w: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2B2FDF1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4.机箱防护要求：机箱应符合 GB/T 4208 中 IP20 防护要求；</w:t>
            </w:r>
          </w:p>
          <w:p w14:paraId="74AC4F1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5.整机噪音：产品工作在空闲状态下，产品的声功率级≤</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.5Bel；</w:t>
            </w:r>
          </w:p>
          <w:p w14:paraId="53568F5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516C1B1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7.整机能效限定值：产品能效限定值应达到 GB 28380-2012标准中能效等级 2 级及以上；</w:t>
            </w:r>
          </w:p>
          <w:p w14:paraId="2C22980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8.机身材质：塑料/金属等；</w:t>
            </w:r>
          </w:p>
          <w:p w14:paraId="6ED106D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9.机身颜色：黑色商务色系；</w:t>
            </w:r>
          </w:p>
          <w:p w14:paraId="723FC01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10.机箱尺寸容量：机箱体积≤</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0L;</w:t>
            </w:r>
          </w:p>
          <w:p w14:paraId="17013B9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★十一、CPU性能</w:t>
            </w:r>
          </w:p>
          <w:p w14:paraId="6C37D0B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 物理核数：≥</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w:t>
            </w:r>
          </w:p>
          <w:p w14:paraId="6C86868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2.CPU 主频：≥2.7GHz；</w:t>
            </w:r>
          </w:p>
          <w:p w14:paraId="65CD292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3.CPU 末级缓存容量：≥8MB；</w:t>
            </w:r>
          </w:p>
          <w:p w14:paraId="4B64801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4.CPU 支持的内存最高速率：≥2666MT/s；</w:t>
            </w:r>
          </w:p>
          <w:p w14:paraId="59C2862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★十二、内存性能</w:t>
            </w:r>
          </w:p>
          <w:p w14:paraId="29FA730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1.内存读写速率：≥2666MT/s；</w:t>
            </w:r>
          </w:p>
          <w:p w14:paraId="1C34BAB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★十三、显卡性能</w:t>
            </w:r>
          </w:p>
          <w:p w14:paraId="63C2B7A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1.显示分辨率：≥1920*1080；</w:t>
            </w:r>
          </w:p>
          <w:p w14:paraId="12E7217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2.显卡显示芯片核心频率：≥300MHz；</w:t>
            </w:r>
          </w:p>
          <w:p w14:paraId="219B1DD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3.显存等效频率：≥1000MT/s；</w:t>
            </w:r>
          </w:p>
          <w:p w14:paraId="3916AEC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4.显卡可支持多屏同时显示数量：显卡应支持2块屏幕同时显示，分辨率应不低于1920*1080；</w:t>
            </w:r>
          </w:p>
          <w:p w14:paraId="27E074B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★十四、显示设备性能</w:t>
            </w:r>
          </w:p>
          <w:p w14:paraId="0F47A7E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1.显示屏刷新率：≥</w:t>
            </w:r>
            <w:r>
              <w:rPr>
                <w:rFonts w:hint="eastAsia" w:ascii="仿宋_GB2312" w:hAnsi="仿宋_GB2312" w:eastAsia="仿宋_GB2312" w:cs="仿宋_GB2312"/>
                <w:color w:val="auto"/>
                <w:sz w:val="24"/>
                <w:szCs w:val="24"/>
                <w:lang w:val="en-US" w:eastAsia="zh-CN"/>
              </w:rPr>
              <w:t>90</w:t>
            </w:r>
            <w:r>
              <w:rPr>
                <w:rFonts w:hint="eastAsia" w:ascii="仿宋_GB2312" w:hAnsi="仿宋_GB2312" w:eastAsia="仿宋_GB2312" w:cs="仿宋_GB2312"/>
                <w:color w:val="auto"/>
                <w:sz w:val="24"/>
                <w:szCs w:val="24"/>
              </w:rPr>
              <w:t>Hz；</w:t>
            </w:r>
          </w:p>
          <w:p w14:paraId="164A172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2.显示屏位深：≥8位；</w:t>
            </w:r>
          </w:p>
          <w:p w14:paraId="6C4C52C2">
            <w:pPr>
              <w:keepNext w:val="0"/>
              <w:keepLines w:val="0"/>
              <w:pageBreakBefore w:val="0"/>
              <w:widowControl/>
              <w:kinsoku/>
              <w:wordWrap/>
              <w:overflowPunct/>
              <w:topLinePunct w:val="0"/>
              <w:autoSpaceDE/>
              <w:autoSpaceDN/>
              <w:bidi w:val="0"/>
              <w:snapToGrid w:val="0"/>
              <w:spacing w:line="400" w:lineRule="atLeast"/>
              <w:jc w:val="left"/>
              <w:rPr>
                <w:rFonts w:hint="default" w:ascii="仿宋_GB2312" w:hAnsi="仿宋_GB2312" w:eastAsia="仿宋_GB2312" w:cs="仿宋_GB2312"/>
                <w:color w:val="auto"/>
                <w:sz w:val="24"/>
                <w:szCs w:val="24"/>
                <w:lang w:val="en-US"/>
              </w:rPr>
            </w:pPr>
            <w:r>
              <w:rPr>
                <w:rFonts w:hint="eastAsia" w:ascii="仿宋_GB2312" w:hAnsi="仿宋_GB2312" w:eastAsia="仿宋_GB2312" w:cs="仿宋_GB2312"/>
                <w:color w:val="auto"/>
                <w:sz w:val="24"/>
                <w:szCs w:val="24"/>
              </w:rPr>
              <w:t>3.显示屏色域：≥99%sRGB</w:t>
            </w:r>
            <w:r>
              <w:rPr>
                <w:rFonts w:hint="eastAsia" w:ascii="仿宋_GB2312" w:hAnsi="仿宋_GB2312" w:eastAsia="仿宋_GB2312" w:cs="仿宋_GB2312"/>
                <w:color w:val="auto"/>
                <w:sz w:val="24"/>
                <w:szCs w:val="24"/>
                <w:lang w:eastAsia="zh-CN"/>
              </w:rPr>
              <w:t>，≥90%DCI-P3</w:t>
            </w:r>
            <w:r>
              <w:rPr>
                <w:rFonts w:hint="eastAsia" w:ascii="仿宋_GB2312" w:hAnsi="仿宋_GB2312" w:eastAsia="仿宋_GB2312" w:cs="仿宋_GB2312"/>
                <w:color w:val="auto"/>
                <w:sz w:val="24"/>
                <w:szCs w:val="24"/>
                <w:lang w:val="en-US" w:eastAsia="zh-CN"/>
              </w:rPr>
              <w:t>;</w:t>
            </w:r>
          </w:p>
          <w:p w14:paraId="108ACDE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4.显示屏色准：△E≤4；</w:t>
            </w:r>
          </w:p>
          <w:p w14:paraId="7A7BA3A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5.显示屏响应时间：≤8ms；</w:t>
            </w:r>
          </w:p>
          <w:p w14:paraId="5074F49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6.显示屏亮度：≥250尼特；</w:t>
            </w:r>
          </w:p>
          <w:p w14:paraId="56574D0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7.显示屏亮度一致性：≥70%；</w:t>
            </w:r>
          </w:p>
          <w:p w14:paraId="38B74DF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8.显示屏对比度：≥500：1；</w:t>
            </w:r>
          </w:p>
          <w:p w14:paraId="5B23C1A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9.显示屏其他参数：其它参数应符合 SJ/T 11292 的相关规定；</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lang w:eastAsia="zh-CN"/>
              </w:rPr>
              <w:t>★十五、网络设备性能</w:t>
            </w:r>
          </w:p>
          <w:p w14:paraId="79C6F8C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1.有线网卡速率：最高速率应不低于1000Mbps，应支持10Mbps、100Mbps、1000Mbps 速率自适应；</w:t>
            </w:r>
          </w:p>
          <w:p w14:paraId="7FEA2CC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★十六、主板功能</w:t>
            </w:r>
          </w:p>
          <w:p w14:paraId="355B9B2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1.内存扩展接口(板载内存不涉及)：≥2个；</w:t>
            </w:r>
          </w:p>
          <w:p w14:paraId="6DB674E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2.主板USB瞬间过流保护：支持有瞬间过流保护功能；</w:t>
            </w:r>
          </w:p>
          <w:p w14:paraId="64787E0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3.主板防静电保护：支持防静电保护功能；</w:t>
            </w:r>
          </w:p>
          <w:p w14:paraId="3A6BA25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42DD2ED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★十七、显卡功能</w:t>
            </w:r>
          </w:p>
          <w:p w14:paraId="790B0B5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1.显卡外接显示接口：显卡至少支持 VGA、HDMI、DVI、DP、Type-C 中 1 种显示接口，并与显示器接口相匹配；</w:t>
            </w:r>
          </w:p>
          <w:p w14:paraId="5DA069F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★十八、显示设备功能</w:t>
            </w:r>
          </w:p>
          <w:p w14:paraId="6C2879B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1.显示器接口：显示器应与显卡外接显示接口匹配；</w:t>
            </w:r>
          </w:p>
          <w:p w14:paraId="660C2C7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2.显示器支架：显示器应提供显示器支架；</w:t>
            </w:r>
          </w:p>
          <w:p w14:paraId="3D0440A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3.显示器参数调节：a)提供 OSD 选单按钮用于调节色彩、模式等；b)支持色温、亮度、对比度调节；</w:t>
            </w:r>
          </w:p>
          <w:p w14:paraId="6D7DC1C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★十九、存储功能</w:t>
            </w:r>
          </w:p>
          <w:p w14:paraId="6589910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1.存储功能：通过 SATA 固态存储/PCIe 固态存储/UFS 固态存储/SATA 硬磁盘等存储部件提供存储功能；</w:t>
            </w:r>
          </w:p>
          <w:p w14:paraId="3804975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★二十、网络设备功能</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1.网络功能：a)支持网络连接、网络开启/关闭功能；b)支持访问网络和数据交换功能；</w:t>
            </w:r>
          </w:p>
          <w:p w14:paraId="5714D68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2.数据传输：支持数据传输能力，并提供数据流量和异常日志记录功能；</w:t>
            </w:r>
          </w:p>
          <w:p w14:paraId="7009182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3.有线网卡接口类型：支持 RJ45 接口；</w:t>
            </w:r>
          </w:p>
          <w:p w14:paraId="22D9B2E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4.网络设备拆装：网络设备支持物理拆装，包括无线网卡和蓝牙模块等；</w:t>
            </w:r>
          </w:p>
          <w:p w14:paraId="33E7DA7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★二十一、外部接口功能</w:t>
            </w:r>
          </w:p>
          <w:p w14:paraId="25823C5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1.音频接口类型：支持 3.5mm 孔径 3 段式或 4 段式接口；</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2.视频接口类型：至少支持 VGA、HDMI、DVI、DP、Type-C中 1 种显示接口；</w:t>
            </w:r>
          </w:p>
          <w:p w14:paraId="064D954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3.HDMI、DP、Type-C 显示接口要求：若提供 HDMI 或 DP 或 Type-C 作为显示接口，应支持音频和视频同步输出；</w:t>
            </w:r>
          </w:p>
          <w:p w14:paraId="097CEC8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★二十二、电源功能</w:t>
            </w:r>
          </w:p>
          <w:p w14:paraId="0331AD9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1.电源线适配能力：电源适配器电线组件应符合 GB/T15934 的要求；</w:t>
            </w:r>
          </w:p>
          <w:p w14:paraId="7BBB3BB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★二十三、操作系统及软件功能</w:t>
            </w:r>
          </w:p>
          <w:p w14:paraId="13B6204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1.中文信息处理要求：符合 GB 18030 的相关规定；</w:t>
            </w:r>
          </w:p>
          <w:p w14:paraId="62206E7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2.操作系统备份及还原功能：支持操作系统备份及还原功能；</w:t>
            </w:r>
          </w:p>
          <w:p w14:paraId="716F109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3.固件备份还原能力：支持备份及还原固件的功能；</w:t>
            </w:r>
          </w:p>
          <w:p w14:paraId="1EFC5CF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4.操作系统及驱动升级：支持通过网络、闪存盘等方式对操作系统、驱动进行升级；</w:t>
            </w:r>
          </w:p>
          <w:p w14:paraId="00F7CF4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5.固件升级：支持通过网络、闪存盘等方式对固件进行升级；</w:t>
            </w:r>
          </w:p>
          <w:p w14:paraId="0C160DD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6.BIOS 支持关闭通讯接口：支持 BIOS 关闭以太网及 USB 接口；</w:t>
            </w:r>
          </w:p>
          <w:p w14:paraId="489953E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7.固件查看信息：支持查看固件版本、内存信息、主板信息、处理器信息和系统时间信息等功能；</w:t>
            </w:r>
          </w:p>
          <w:p w14:paraId="72775FE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8.固件设置启动顺序：支持设置启动顺序功能，并按照设置的启动顺序启动；</w:t>
            </w:r>
          </w:p>
          <w:p w14:paraId="0A434F1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9.固件设置口令：支持设置口令、修改口令、验证口令功能；</w:t>
            </w:r>
          </w:p>
          <w:p w14:paraId="76ED24A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10.固件设置网络引导：支持网络引导启动和关闭功能；</w:t>
            </w:r>
          </w:p>
          <w:p w14:paraId="39F7C856">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color w:val="auto"/>
                <w:sz w:val="24"/>
                <w:szCs w:val="24"/>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en-US" w:eastAsia="zh-CN"/>
              </w:rPr>
              <w:t>提供功能至少有文字处理、电子表格、演示文稿三大应用模块的办公软件，授权≥3年</w:t>
            </w:r>
          </w:p>
          <w:p w14:paraId="3C0BB12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★二十四、存储设备可靠性</w:t>
            </w:r>
          </w:p>
          <w:p w14:paraId="0552C19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1.固态存储寿命：TBW≥80TB（条件：512GB 硬盘容量）；</w:t>
            </w:r>
          </w:p>
          <w:p w14:paraId="6288FD3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2.机械硬盘寿命：通电时间≥5万小时；</w:t>
            </w:r>
          </w:p>
          <w:p w14:paraId="77DF9ED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★二十五、显示设备可靠性</w:t>
            </w:r>
          </w:p>
          <w:p w14:paraId="3279E3C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1.显示屏屏幕失效点：符合 GB/T 9813.2 的要求；</w:t>
            </w:r>
          </w:p>
          <w:p w14:paraId="1778CAD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★二十六、外设可靠性</w:t>
            </w:r>
          </w:p>
          <w:p w14:paraId="5492439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1.键盘按键寿命：≥1000 万次；</w:t>
            </w:r>
          </w:p>
          <w:p w14:paraId="36E4C61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2.鼠标按键寿命：≥500 万次；</w:t>
            </w:r>
          </w:p>
          <w:p w14:paraId="7C4A127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3.键盘鼠标线材寿命：键盘鼠标所用线材经±60°弯折不低于 3000 次，功能、外观完好；</w:t>
            </w:r>
          </w:p>
          <w:p w14:paraId="1F781A5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4.风扇寿命：≥4 万小时；</w:t>
            </w:r>
          </w:p>
          <w:p w14:paraId="70F383F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★二十七、整机可靠性要求</w:t>
            </w:r>
          </w:p>
          <w:p w14:paraId="4A293FB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1.电磁兼容性要求的抗扰度：符合 GB/T 9254.2 的规定；</w:t>
            </w:r>
          </w:p>
          <w:p w14:paraId="4983D7C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2.环境条件要求的气候环境适应性：符合 GB/T 9813.1 中规定；</w:t>
            </w:r>
          </w:p>
          <w:p w14:paraId="0F7C3F9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3.环境条件要求的振动适应性：符合 GB/T 9813.1 中规定；</w:t>
            </w:r>
          </w:p>
          <w:p w14:paraId="688D45C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4.环境条件要求的冲击适应性：符合 GB/T 9813.1 中规定；</w:t>
            </w:r>
          </w:p>
          <w:p w14:paraId="3C9AE6E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5.环境条件要求的碰撞适应性：符合 GB/T 9813.1 中规定；</w:t>
            </w:r>
          </w:p>
          <w:p w14:paraId="110FC65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6.环境条件要求的运输包装件跌落适应性：符合 GB/T 9813.1 中规定；</w:t>
            </w:r>
          </w:p>
          <w:p w14:paraId="4952FE3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7.MTBF 测试：MTBF(m1)≥</w:t>
            </w:r>
            <w:r>
              <w:rPr>
                <w:rFonts w:hint="eastAsia" w:ascii="仿宋_GB2312" w:hAnsi="仿宋_GB2312" w:eastAsia="仿宋_GB2312" w:cs="仿宋_GB2312"/>
                <w:color w:val="auto"/>
                <w:sz w:val="24"/>
                <w:szCs w:val="24"/>
                <w:highlight w:val="none"/>
                <w:lang w:val="en-US" w:eastAsia="zh-CN"/>
              </w:rPr>
              <w:t>99</w:t>
            </w:r>
            <w:r>
              <w:rPr>
                <w:rFonts w:hint="eastAsia" w:ascii="仿宋_GB2312" w:hAnsi="仿宋_GB2312" w:eastAsia="仿宋_GB2312" w:cs="仿宋_GB2312"/>
                <w:color w:val="auto"/>
                <w:sz w:val="24"/>
                <w:szCs w:val="24"/>
                <w:highlight w:val="none"/>
              </w:rPr>
              <w:t>万小时；</w:t>
            </w:r>
          </w:p>
          <w:p w14:paraId="258A01B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★二十八、兼容要求</w:t>
            </w:r>
          </w:p>
          <w:p w14:paraId="79D9836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1.常用软件兼容：支持流式软件、版式软件、浏览器、邮件采购人端、解压软件、多媒体、图形图像处理等常用软件；</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2.数据库兼容：兼容 3 个及以上厂商的数据库产品；</w:t>
            </w:r>
          </w:p>
          <w:p w14:paraId="085C111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3.中间件兼容：兼容 3 个及以上厂商中间件产品；</w:t>
            </w:r>
          </w:p>
          <w:p w14:paraId="4CB7612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4.平台软件兼容：兼容 3 个及以上厂商云计算及大数据平台；</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lang w:eastAsia="zh-CN"/>
              </w:rPr>
              <w:t>★二十九、包装及运输要求</w:t>
            </w:r>
          </w:p>
          <w:p w14:paraId="05796DB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1.标志、包装、运输和贮存：符合 GB/T 9813.1 和商品包装政府采购需求标准的相关规定；</w:t>
            </w:r>
          </w:p>
          <w:p w14:paraId="40FCC8A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★三十、服务要求</w:t>
            </w:r>
          </w:p>
          <w:p w14:paraId="4BD7BA9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1.配置检查工具：供应商提供自检测试工具；</w:t>
            </w:r>
          </w:p>
          <w:p w14:paraId="4FE0612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26B5944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3.服务周期：a) 设备停产后应继续提供质量保障服务（含备品备件），服务终止时间与最后一批设备交付时间间隔不低于</w:t>
            </w:r>
          </w:p>
          <w:p w14:paraId="3C67828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 年；b) 产品停止服务时间应提前 1 年告知；c) 应明确产品发布日期；</w:t>
            </w:r>
          </w:p>
          <w:p w14:paraId="35F064C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4.预装操作系统：预装符合桌面操作系统政府采购需求标准的正版操作系统；</w:t>
            </w:r>
            <w:r>
              <w:rPr>
                <w:rFonts w:hint="eastAsia" w:ascii="仿宋_GB2312" w:hAnsi="仿宋_GB2312" w:eastAsia="仿宋_GB2312" w:cs="仿宋_GB2312"/>
                <w:b/>
                <w:bCs/>
                <w:color w:val="auto"/>
                <w:sz w:val="24"/>
                <w:szCs w:val="24"/>
              </w:rPr>
              <w:t>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5.培训服务：供应商提供培训材料、产品手册、培训视频等培训相关内容；</w:t>
            </w:r>
          </w:p>
          <w:p w14:paraId="68FC5CB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6.典型问题解决手册：供应商提供典型问题解决说明文档或视频；</w:t>
            </w:r>
          </w:p>
          <w:p w14:paraId="046E6D4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7.厂家升级软件与扩容服务：供应商提供上门升级部件/软件与扩容的增值服务；</w:t>
            </w:r>
          </w:p>
          <w:p w14:paraId="44DB0C4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8.整机质量服务要求：免费服务周期（含换件和维修）应不小于 3 年；</w:t>
            </w:r>
          </w:p>
          <w:p w14:paraId="290AF8A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9.合格证书要求：供应商提供产品合格证；</w:t>
            </w:r>
          </w:p>
          <w:p w14:paraId="77235E0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10.开箱组装/使用指导要求：供应商提供开箱组装/使用指导；</w:t>
            </w:r>
          </w:p>
          <w:p w14:paraId="17C30AB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11.驱动下载服务要求：供应商提供驱动光盘或下载方式；</w:t>
            </w:r>
          </w:p>
          <w:p w14:paraId="29AD4BD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12.兼容适配软件下载服务要求：供应商提供兼容适配软件下载渠道（光盘、网站）；</w:t>
            </w:r>
          </w:p>
          <w:p w14:paraId="600F5D2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★三十一、供应链合规性</w:t>
            </w:r>
          </w:p>
          <w:p w14:paraId="65F3387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 产品部件保障：供应商保障产品主要部件，提供 6 年的备件服务能力（自购买之日起），或提供可兼容原设备的升级换代产品；</w:t>
            </w:r>
          </w:p>
          <w:p w14:paraId="3AB6AE6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★三十二、供应链质量</w:t>
            </w:r>
          </w:p>
          <w:p w14:paraId="2151955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1.抗干扰性：当产品部件出现供应风险时，供应商应通知采购人并提供风险应对方案确保产品的服务保障；</w:t>
            </w:r>
          </w:p>
          <w:p w14:paraId="4743528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 供应能力证明：供应商承诺供应链稳定，确保产品的部件在产品服务周期内稳定供货；</w:t>
            </w:r>
          </w:p>
          <w:p w14:paraId="403CC3F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★三十三、关键部件安全</w:t>
            </w:r>
          </w:p>
          <w:p w14:paraId="06D0051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b/>
                <w:bCs/>
                <w:color w:val="auto"/>
                <w:sz w:val="24"/>
                <w:szCs w:val="24"/>
              </w:rPr>
            </w:pPr>
            <w:r>
              <w:rPr>
                <w:rFonts w:hint="eastAsia" w:ascii="仿宋_GB2312" w:hAnsi="仿宋_GB2312" w:eastAsia="仿宋_GB2312" w:cs="仿宋_GB2312"/>
                <w:color w:val="auto"/>
                <w:sz w:val="24"/>
                <w:szCs w:val="24"/>
              </w:rPr>
              <w:t>1.关键部件安全要求：CPU 和操作系统等关键部件应当符合安全可靠测评要求；</w:t>
            </w:r>
            <w:r>
              <w:rPr>
                <w:rFonts w:hint="eastAsia" w:ascii="仿宋_GB2312" w:hAnsi="仿宋_GB2312" w:eastAsia="仿宋_GB2312" w:cs="仿宋_GB2312"/>
                <w:b/>
                <w:bCs/>
                <w:color w:val="auto"/>
                <w:sz w:val="24"/>
                <w:szCs w:val="24"/>
              </w:rPr>
              <w:t>（通过政府有关部门指定的中国信息安全测评中心和国家保密科技测评中心网站查看安全可靠测评结果）；</w:t>
            </w:r>
          </w:p>
          <w:p w14:paraId="1A016E9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注：投标人在填写《技术响应表》时，在“投标文件响应技术参数”明确给出所投</w:t>
            </w:r>
            <w:r>
              <w:rPr>
                <w:rFonts w:hint="eastAsia" w:ascii="仿宋_GB2312" w:hAnsi="仿宋_GB2312" w:eastAsia="仿宋_GB2312" w:cs="仿宋_GB2312"/>
                <w:b/>
                <w:bCs/>
                <w:color w:val="auto"/>
                <w:sz w:val="24"/>
                <w:szCs w:val="24"/>
                <w:lang w:val="en-US" w:eastAsia="zh-CN"/>
              </w:rPr>
              <w:t>计算机</w:t>
            </w:r>
            <w:r>
              <w:rPr>
                <w:rFonts w:hint="eastAsia" w:ascii="仿宋_GB2312" w:hAnsi="仿宋_GB2312" w:eastAsia="仿宋_GB2312" w:cs="仿宋_GB2312"/>
                <w:b/>
                <w:bCs/>
                <w:color w:val="auto"/>
                <w:sz w:val="24"/>
                <w:szCs w:val="24"/>
              </w:rPr>
              <w:t>“CPU型号”及“操作系统”名称，否则视为投标无效。</w:t>
            </w:r>
          </w:p>
          <w:p w14:paraId="0D10553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★三十四、整机安全性要求</w:t>
            </w:r>
          </w:p>
          <w:p w14:paraId="4836E4C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1.密码算法实现：CPU 芯片应符合 GM/T 0008 的相关规定，或芯片密码模块应符合 GB/T 37092或 GM/T 0028 的相关规定；（通过商用密码检测机构检测并经商用密码认证机构认证合格）</w:t>
            </w:r>
          </w:p>
          <w:p w14:paraId="6C109B4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7614E83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3.固件安全启动：支持固件安全启动功能，固件启动过程中只有通过启动校验才能正常启动；</w:t>
            </w:r>
          </w:p>
          <w:p w14:paraId="7AB40BB2">
            <w:pPr>
              <w:keepNext w:val="0"/>
              <w:keepLines w:val="0"/>
              <w:pageBreakBefore w:val="0"/>
              <w:widowControl/>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4.限用物质的限量要求：符合 GB/T 26572 中规定；</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C69A25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40F61D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1A6110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8</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86CFBD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宋体"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主电源线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6A3DE1CB">
            <w:pPr>
              <w:keepNext w:val="0"/>
              <w:keepLines w:val="0"/>
              <w:pageBreakBefore w:val="0"/>
              <w:numPr>
                <w:ilvl w:val="0"/>
                <w:numId w:val="2"/>
              </w:numPr>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mm²，铜芯阻燃交联聚乙烯绝缘聚氯乙烯护套电力电缆</w:t>
            </w:r>
          </w:p>
          <w:p w14:paraId="4E48823C">
            <w:pPr>
              <w:keepNext w:val="0"/>
              <w:keepLines w:val="0"/>
              <w:pageBreakBefore w:val="0"/>
              <w:numPr>
                <w:ilvl w:val="0"/>
                <w:numId w:val="2"/>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额定电压0.6/1KV</w:t>
            </w:r>
          </w:p>
          <w:p w14:paraId="0791F118">
            <w:pPr>
              <w:keepNext w:val="0"/>
              <w:keepLines w:val="0"/>
              <w:pageBreakBefore w:val="0"/>
              <w:numPr>
                <w:ilvl w:val="0"/>
                <w:numId w:val="2"/>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导体电阻≤1.15Ω/km</w:t>
            </w:r>
          </w:p>
          <w:p w14:paraId="59B81951">
            <w:pPr>
              <w:keepNext w:val="0"/>
              <w:keepLines w:val="0"/>
              <w:pageBreakBefore w:val="0"/>
              <w:numPr>
                <w:ilvl w:val="0"/>
                <w:numId w:val="2"/>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电压试验3500V/5min不击穿。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3C4A720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60米</w:t>
            </w:r>
          </w:p>
        </w:tc>
      </w:tr>
      <w:tr w14:paraId="50FD77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584E6D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9</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36B389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配电箱</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3AD65F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lang w:val="en-US" w:eastAsia="zh-CN"/>
              </w:rPr>
              <w:t>15</w:t>
            </w:r>
            <w:r>
              <w:rPr>
                <w:rFonts w:hint="eastAsia" w:ascii="仿宋_GB2312" w:hAnsi="仿宋_GB2312" w:eastAsia="仿宋_GB2312" w:cs="仿宋_GB2312"/>
                <w:color w:val="auto"/>
                <w:sz w:val="24"/>
                <w:szCs w:val="24"/>
                <w:highlight w:val="none"/>
              </w:rPr>
              <w:t>KW，支持分步延时上电、远程设置、具有短路、过流、过压、过载、避雷、过温等保护特性。</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B83255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19AAF3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F2D1BE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10</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651CCF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网线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D6FDDB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lang w:val="en-US" w:eastAsia="zh-CN"/>
              </w:rPr>
              <w:t>1.</w:t>
            </w:r>
            <w:r>
              <w:rPr>
                <w:rFonts w:hint="eastAsia" w:ascii="仿宋_GB2312" w:hAnsi="仿宋_GB2312" w:eastAsia="仿宋_GB2312" w:cs="仿宋_GB2312"/>
                <w:b w:val="0"/>
                <w:bCs/>
                <w:color w:val="auto"/>
                <w:sz w:val="24"/>
                <w:szCs w:val="24"/>
                <w:highlight w:val="none"/>
              </w:rPr>
              <w:t>六类非屏蔽双绞线，纯铜芯，传输无衰减，采用PVC环保外皮，包装长度305米；</w:t>
            </w:r>
          </w:p>
          <w:p w14:paraId="3CEF75F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color w:val="auto"/>
                <w:sz w:val="24"/>
                <w:szCs w:val="24"/>
                <w:highlight w:val="none"/>
              </w:rPr>
              <w:t>2．芯数: 4*2含十字骨架；导体直径：0.57±0.05mm；外护套材质：PVC；外径：6.3±0.2mm； PVC外护套符合</w:t>
            </w:r>
            <w:r>
              <w:rPr>
                <w:rFonts w:hint="eastAsia" w:ascii="仿宋_GB2312" w:hAnsi="仿宋_GB2312" w:eastAsia="仿宋_GB2312" w:cs="仿宋_GB2312"/>
                <w:b w:val="0"/>
                <w:bCs/>
                <w:strike w:val="0"/>
                <w:color w:val="auto"/>
                <w:sz w:val="24"/>
                <w:szCs w:val="24"/>
                <w:highlight w:val="none"/>
                <w:lang w:val="en-US" w:eastAsia="zh-CN"/>
              </w:rPr>
              <w:t>国标</w:t>
            </w:r>
            <w:r>
              <w:rPr>
                <w:rFonts w:hint="eastAsia" w:ascii="仿宋_GB2312" w:hAnsi="仿宋_GB2312" w:eastAsia="仿宋_GB2312" w:cs="仿宋_GB2312"/>
                <w:b w:val="0"/>
                <w:bCs/>
                <w:color w:val="auto"/>
                <w:sz w:val="24"/>
                <w:szCs w:val="24"/>
                <w:highlight w:val="none"/>
              </w:rPr>
              <w:t>相关规定。</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75E2A7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1箱</w:t>
            </w:r>
          </w:p>
        </w:tc>
      </w:tr>
      <w:tr w14:paraId="160C6D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2E923F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0E397B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网络跳线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37E338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RJ45超五类网络跳线（</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米）。</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02BEB5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16条</w:t>
            </w:r>
          </w:p>
        </w:tc>
      </w:tr>
      <w:tr w14:paraId="31BDCF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B4B52A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1120B7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内部电源线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6061831">
            <w:pPr>
              <w:keepNext w:val="0"/>
              <w:keepLines w:val="0"/>
              <w:pageBreakBefore w:val="0"/>
              <w:numPr>
                <w:ilvl w:val="0"/>
                <w:numId w:val="3"/>
              </w:numPr>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YJV</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2.5</w:t>
            </w:r>
            <w:r>
              <w:rPr>
                <w:rFonts w:hint="eastAsia" w:ascii="仿宋_GB2312" w:hAnsi="仿宋_GB2312" w:eastAsia="仿宋_GB2312" w:cs="仿宋_GB2312"/>
                <w:color w:val="auto"/>
                <w:sz w:val="24"/>
                <w:szCs w:val="24"/>
              </w:rPr>
              <w:t>mm²，铜芯阻燃交联聚乙烯绝缘聚氯乙烯护套电力电缆</w:t>
            </w:r>
          </w:p>
          <w:p w14:paraId="1686E8B9">
            <w:pPr>
              <w:keepNext w:val="0"/>
              <w:keepLines w:val="0"/>
              <w:pageBreakBefore w:val="0"/>
              <w:numPr>
                <w:ilvl w:val="0"/>
                <w:numId w:val="3"/>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额定电压0.6/1KV</w:t>
            </w:r>
          </w:p>
          <w:p w14:paraId="7CB802AB">
            <w:pPr>
              <w:keepNext w:val="0"/>
              <w:keepLines w:val="0"/>
              <w:pageBreakBefore w:val="0"/>
              <w:numPr>
                <w:ilvl w:val="0"/>
                <w:numId w:val="3"/>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导体电阻≤1.15Ω/km</w:t>
            </w:r>
          </w:p>
          <w:p w14:paraId="47E8C8C4">
            <w:pPr>
              <w:keepNext w:val="0"/>
              <w:keepLines w:val="0"/>
              <w:pageBreakBefore w:val="0"/>
              <w:numPr>
                <w:ilvl w:val="0"/>
                <w:numId w:val="3"/>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电压试验3500V/5min不击穿。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D9BD99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60米</w:t>
            </w:r>
          </w:p>
        </w:tc>
      </w:tr>
      <w:tr w14:paraId="70137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6DC3E7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9087F6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辅助材料及施工等</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6EE852CE">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含布线施工及设计，安装调试及培训、辅材等。按柳州市教育系统工程施工规范要求实施。</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1EAD2D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07C02BC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3F73528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bCs/>
                <w:color w:val="auto"/>
                <w:sz w:val="24"/>
                <w:szCs w:val="24"/>
                <w:lang w:eastAsia="zh-CN"/>
              </w:rPr>
              <w:t>（三）</w:t>
            </w:r>
            <w:r>
              <w:rPr>
                <w:rFonts w:hint="eastAsia" w:ascii="仿宋_GB2312" w:hAnsi="仿宋_GB2312" w:eastAsia="仿宋_GB2312" w:cs="仿宋_GB2312"/>
                <w:b/>
                <w:bCs/>
                <w:color w:val="auto"/>
                <w:sz w:val="24"/>
                <w:szCs w:val="24"/>
              </w:rPr>
              <w:t>柳铁二中</w:t>
            </w:r>
            <w:r>
              <w:rPr>
                <w:rFonts w:hint="eastAsia" w:ascii="仿宋_GB2312" w:hAnsi="仿宋_GB2312" w:eastAsia="仿宋_GB2312" w:cs="仿宋_GB2312"/>
                <w:b/>
                <w:bCs/>
                <w:color w:val="auto"/>
                <w:sz w:val="24"/>
                <w:szCs w:val="24"/>
                <w:lang w:val="en-US" w:eastAsia="zh-CN"/>
              </w:rPr>
              <w:t>户外</w:t>
            </w:r>
            <w:r>
              <w:rPr>
                <w:rFonts w:hint="eastAsia" w:ascii="仿宋_GB2312" w:hAnsi="仿宋_GB2312" w:eastAsia="仿宋_GB2312" w:cs="仿宋_GB2312"/>
                <w:b/>
                <w:bCs/>
                <w:color w:val="auto"/>
                <w:sz w:val="24"/>
                <w:szCs w:val="24"/>
              </w:rPr>
              <w:t>全彩LED屏</w:t>
            </w:r>
          </w:p>
        </w:tc>
      </w:tr>
      <w:tr w14:paraId="4CCAE9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2A2B261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1A5E8A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室外全彩LED屏</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65E6DDE">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1.屏体面积</w:t>
            </w:r>
            <w:r>
              <w:rPr>
                <w:rFonts w:hint="eastAsia" w:ascii="仿宋_GB2312" w:hAnsi="仿宋_GB2312" w:eastAsia="仿宋_GB2312" w:cs="仿宋_GB2312"/>
                <w:color w:val="auto"/>
                <w:sz w:val="24"/>
                <w:szCs w:val="24"/>
                <w:lang w:eastAsia="zh-CN"/>
              </w:rPr>
              <w:t>尺寸：长</w:t>
            </w:r>
            <w:r>
              <w:rPr>
                <w:rFonts w:hint="eastAsia" w:ascii="仿宋_GB2312" w:hAnsi="仿宋_GB2312" w:eastAsia="仿宋_GB2312" w:cs="仿宋_GB2312"/>
                <w:color w:val="auto"/>
                <w:sz w:val="24"/>
                <w:szCs w:val="24"/>
                <w:lang w:val="en-US" w:eastAsia="zh-CN"/>
              </w:rPr>
              <w:t>6.08米*高3.36米≈20.43平方米</w:t>
            </w:r>
          </w:p>
          <w:p w14:paraId="06250839">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color w:val="auto"/>
                <w:lang w:val="en-US" w:eastAsia="zh-CN"/>
              </w:rPr>
              <w:t>★</w:t>
            </w:r>
            <w:r>
              <w:rPr>
                <w:rFonts w:hint="eastAsia" w:ascii="仿宋_GB2312" w:hAnsi="仿宋_GB2312" w:eastAsia="仿宋_GB2312" w:cs="仿宋_GB2312"/>
                <w:color w:val="auto"/>
                <w:sz w:val="24"/>
                <w:szCs w:val="24"/>
              </w:rPr>
              <w:t>2.点间距≤4mm ，像素密度≤62500点/㎡</w:t>
            </w:r>
            <w:r>
              <w:rPr>
                <w:rFonts w:hint="eastAsia" w:ascii="仿宋_GB2312" w:hAnsi="仿宋_GB2312" w:eastAsia="仿宋_GB2312" w:cs="仿宋_GB2312"/>
                <w:color w:val="auto"/>
                <w:sz w:val="24"/>
                <w:szCs w:val="24"/>
                <w:lang w:eastAsia="zh-CN"/>
              </w:rPr>
              <w:t>；</w:t>
            </w:r>
          </w:p>
          <w:p w14:paraId="3CB0604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3.模组间相对错位均值≤0.1mm;平整度等级≤0. 5mm, 水平相对错位等级≤2%;垂直相对错位等级≤2%</w:t>
            </w:r>
            <w:r>
              <w:rPr>
                <w:rFonts w:hint="eastAsia" w:ascii="仿宋_GB2312" w:hAnsi="仿宋_GB2312" w:eastAsia="仿宋_GB2312" w:cs="仿宋_GB2312"/>
                <w:color w:val="auto"/>
                <w:sz w:val="24"/>
                <w:szCs w:val="24"/>
                <w:lang w:eastAsia="zh-CN"/>
              </w:rPr>
              <w:t>；</w:t>
            </w:r>
          </w:p>
          <w:p w14:paraId="1B8D044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4.亮度均匀性 ≥99%,色度均匀性在±0.002CX, Cy之内，支持通过配套软件调节刷新率的设置选项，刷新率支持1920Hz-3840Hz,同时支持0～100%无极调节</w:t>
            </w:r>
            <w:r>
              <w:rPr>
                <w:rFonts w:hint="eastAsia" w:ascii="仿宋_GB2312" w:hAnsi="仿宋_GB2312" w:eastAsia="仿宋_GB2312" w:cs="仿宋_GB2312"/>
                <w:color w:val="auto"/>
                <w:sz w:val="24"/>
                <w:szCs w:val="24"/>
                <w:lang w:eastAsia="zh-CN"/>
              </w:rPr>
              <w:t>；</w:t>
            </w:r>
          </w:p>
          <w:p w14:paraId="61879C74">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5.抗电强度：在交流电源输入端与金属外框可触及的金属结构件(与保护接地接)间施加 50Hz基本正弦波、1500V(有效值)的测试电压，1min，测试期间应不发生绝缘击穿</w:t>
            </w:r>
            <w:r>
              <w:rPr>
                <w:rFonts w:hint="eastAsia" w:ascii="仿宋_GB2312" w:hAnsi="仿宋_GB2312" w:eastAsia="仿宋_GB2312" w:cs="仿宋_GB2312"/>
                <w:color w:val="auto"/>
                <w:sz w:val="24"/>
                <w:szCs w:val="24"/>
                <w:lang w:eastAsia="zh-CN"/>
              </w:rPr>
              <w:t>；</w:t>
            </w:r>
          </w:p>
          <w:p w14:paraId="3578AB1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6.最大亮度≥5800cd/㎡，支持单点亮度色度校正功能，校正后亮度损失&lt;8%；发光点中心距偏差≤1%；水平视角≥170°垂直视角≥170°；</w:t>
            </w:r>
          </w:p>
          <w:p w14:paraId="3A7745D1">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7.支持PWM 灰阶控制技术提升低灰视觉效果；支持软件实现不同亮度情况下，灰度8-16bit任意设置 0-100%亮度时，8-16bits 任意灰度设直;支持低灰高亮：100%亮度时，16bit 灰度；70%亮度时，16 bit 灰度；50%亮度时，13 bit 灰度；20%亮度时，12bit 灰度；</w:t>
            </w:r>
          </w:p>
          <w:p w14:paraId="689CB9BC">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8.支持动态节能，带有智能节电功能、带电黑屏节电功能，开启智能节电功能比没有开启节能 45%以上。最大功耗≤880W/㎡；平均功耗≤ 295W/㎡；</w:t>
            </w:r>
          </w:p>
          <w:p w14:paraId="0CA24E6E">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9.维护方式：支持前/后维护，支持磁吸固定方式，LED 显示屏支持不关屏热插拔抢修维护功能</w:t>
            </w:r>
            <w:r>
              <w:rPr>
                <w:rFonts w:hint="eastAsia" w:ascii="仿宋_GB2312" w:hAnsi="仿宋_GB2312" w:eastAsia="仿宋_GB2312" w:cs="仿宋_GB2312"/>
                <w:color w:val="auto"/>
                <w:sz w:val="24"/>
                <w:szCs w:val="24"/>
                <w:lang w:eastAsia="zh-CN"/>
              </w:rPr>
              <w:t>；</w:t>
            </w:r>
          </w:p>
          <w:p w14:paraId="516453BD">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10.屏体正面为亚黑处理，反光率≤2%，LED 显示屏 Color Space 覆盖率≥173% YUV(PLA)</w:t>
            </w:r>
          </w:p>
          <w:p w14:paraId="7893384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11.依据 GB/T4208-2017 国家标准，符合 IP65 防护等级</w:t>
            </w:r>
            <w:r>
              <w:rPr>
                <w:rFonts w:hint="eastAsia" w:ascii="仿宋_GB2312" w:hAnsi="仿宋_GB2312" w:eastAsia="仿宋_GB2312" w:cs="仿宋_GB2312"/>
                <w:color w:val="auto"/>
                <w:sz w:val="24"/>
                <w:szCs w:val="24"/>
                <w:lang w:eastAsia="zh-CN"/>
              </w:rPr>
              <w:t>；</w:t>
            </w:r>
          </w:p>
          <w:p w14:paraId="0C62E05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12.按 GB 4943.1-2022 的规定进行，LED 显示屏应有保护接地端子，单个 LED 显示屏模组的接地电阻应不大于0.1Ω,多个拼接的 LED显示屏的金属外壳应与LED显示屏的钢架一起接地，且显示屏整体系统的接地电阻应不大于 1Ω</w:t>
            </w:r>
            <w:r>
              <w:rPr>
                <w:rFonts w:hint="eastAsia" w:ascii="仿宋_GB2312" w:hAnsi="仿宋_GB2312" w:eastAsia="仿宋_GB2312" w:cs="仿宋_GB2312"/>
                <w:color w:val="auto"/>
                <w:sz w:val="24"/>
                <w:szCs w:val="24"/>
                <w:lang w:eastAsia="zh-CN"/>
              </w:rPr>
              <w:t>；</w:t>
            </w:r>
          </w:p>
          <w:p w14:paraId="06D8FD5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13.使用基本绝缘作为基本安全防护，同时使用保护连接和保护接地作为附加安全防护，达到防电击保护I类设备</w:t>
            </w:r>
            <w:r>
              <w:rPr>
                <w:rFonts w:hint="eastAsia" w:ascii="仿宋_GB2312" w:hAnsi="仿宋_GB2312" w:eastAsia="仿宋_GB2312" w:cs="仿宋_GB2312"/>
                <w:color w:val="auto"/>
                <w:sz w:val="24"/>
                <w:szCs w:val="24"/>
                <w:lang w:eastAsia="zh-CN"/>
              </w:rPr>
              <w:t>；</w:t>
            </w:r>
          </w:p>
          <w:p w14:paraId="37987CA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14.依据GB4943.1-2022标准，套件(塑料面板、面罩)、塑胶件、PCB板电路板阻燃等级达到UL94 V-0等级；整机阻燃测试</w:t>
            </w:r>
            <w:r>
              <w:rPr>
                <w:rFonts w:hint="eastAsia" w:ascii="仿宋_GB2312" w:hAnsi="仿宋_GB2312" w:eastAsia="仿宋_GB2312" w:cs="仿宋_GB2312"/>
                <w:color w:val="auto"/>
                <w:sz w:val="24"/>
                <w:szCs w:val="24"/>
                <w:lang w:eastAsia="zh-CN"/>
              </w:rPr>
              <w:t>；</w:t>
            </w:r>
          </w:p>
          <w:p w14:paraId="16EDBCC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15.温升：按GB4943.1-2022的规定进行，LED显示屏在满负荷工作30min后用测温计测试各可触及点温度，LED显示屏正常使用时在达到热平衡后，屏体结构的金属部分的温升≤25°C，绝缘材料温升≤25°C</w:t>
            </w:r>
            <w:r>
              <w:rPr>
                <w:rFonts w:hint="eastAsia" w:ascii="仿宋_GB2312" w:hAnsi="仿宋_GB2312" w:eastAsia="仿宋_GB2312" w:cs="仿宋_GB2312"/>
                <w:color w:val="auto"/>
                <w:sz w:val="24"/>
                <w:szCs w:val="24"/>
                <w:lang w:eastAsia="zh-CN"/>
              </w:rPr>
              <w:t>；</w:t>
            </w:r>
          </w:p>
          <w:p w14:paraId="6F2C9C9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16.具有信号加密传输功能，支持控制器与屏体之间信号加密传输功能，防止网络恶意入侵。</w:t>
            </w:r>
          </w:p>
          <w:p w14:paraId="000559A4">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17.保证安全性及稳定性保障，所供产品需通过防火等级评定，测试依据为BS476-7:1997(包含勘误 1):2014 的分级标准，评定等级不低于Class 2级，</w:t>
            </w:r>
          </w:p>
          <w:p w14:paraId="36D28BE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18.寿命典型值≥115000h</w:t>
            </w:r>
            <w:r>
              <w:rPr>
                <w:rFonts w:hint="eastAsia" w:ascii="仿宋_GB2312" w:hAnsi="仿宋_GB2312" w:eastAsia="仿宋_GB2312" w:cs="仿宋_GB2312"/>
                <w:color w:val="auto"/>
                <w:sz w:val="24"/>
                <w:szCs w:val="24"/>
                <w:lang w:eastAsia="zh-CN"/>
              </w:rPr>
              <w:t>；</w:t>
            </w:r>
          </w:p>
          <w:p w14:paraId="5E5DADC5">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电流增益调节级别、电流增益：电流增益调节级别≥7位，电流增益调节范围1%～199%</w:t>
            </w:r>
          </w:p>
          <w:p w14:paraId="569A5F09">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20、色域空间：LED显示屏ColorSpace覆盖率≥120%YIQ （NTSC）ED显示屏ColorSpace覆盖率≥172%YUV （PAL）</w:t>
            </w:r>
            <w:r>
              <w:rPr>
                <w:rFonts w:hint="eastAsia" w:ascii="仿宋_GB2312" w:hAnsi="仿宋_GB2312" w:eastAsia="仿宋_GB2312" w:cs="仿宋_GB2312"/>
                <w:color w:val="auto"/>
                <w:sz w:val="24"/>
                <w:szCs w:val="24"/>
                <w:lang w:eastAsia="zh-CN"/>
              </w:rPr>
              <w:t>；</w:t>
            </w:r>
          </w:p>
          <w:p w14:paraId="24498FF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电源线柔韧性：拉力≥9kgf 信号衰减：≤202mV</w:t>
            </w:r>
            <w:r>
              <w:rPr>
                <w:rFonts w:hint="eastAsia" w:ascii="仿宋_GB2312" w:hAnsi="仿宋_GB2312" w:eastAsia="仿宋_GB2312" w:cs="仿宋_GB2312"/>
                <w:color w:val="auto"/>
                <w:sz w:val="24"/>
                <w:szCs w:val="24"/>
                <w:lang w:eastAsia="zh-CN"/>
              </w:rPr>
              <w:t>；</w:t>
            </w:r>
          </w:p>
          <w:p w14:paraId="4012728C">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雾度：可见光投射比≥88%，因磨耗引起的雾度≤1.40%，抗磨性能符合标准中的技术要求</w:t>
            </w:r>
            <w:r>
              <w:rPr>
                <w:rFonts w:hint="eastAsia" w:ascii="仿宋_GB2312" w:hAnsi="仿宋_GB2312" w:eastAsia="仿宋_GB2312" w:cs="仿宋_GB2312"/>
                <w:color w:val="auto"/>
                <w:sz w:val="24"/>
                <w:szCs w:val="24"/>
                <w:lang w:eastAsia="zh-CN"/>
              </w:rPr>
              <w:t>；</w:t>
            </w:r>
          </w:p>
          <w:p w14:paraId="3770F3D2">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摩擦起电电压：≤105V；26,26,24 在专业测试环境中，测试距离=1m 声压级≤1.5dB</w:t>
            </w:r>
          </w:p>
          <w:p w14:paraId="4B4264E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 xml:space="preserve">LED显示屏能效：能效一级，能源效率≥3.1cd/w </w:t>
            </w:r>
            <w:r>
              <w:rPr>
                <w:rFonts w:hint="eastAsia" w:ascii="仿宋_GB2312" w:hAnsi="仿宋_GB2312" w:eastAsia="仿宋_GB2312" w:cs="仿宋_GB2312"/>
                <w:color w:val="auto"/>
                <w:sz w:val="24"/>
                <w:szCs w:val="24"/>
                <w:lang w:eastAsia="zh-CN"/>
              </w:rPr>
              <w:t>；</w:t>
            </w:r>
          </w:p>
          <w:p w14:paraId="6DB3E3A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信噪比：LED显示屏画面信噪比≥58dB  表面硬度：具备划痕性能技术，表面硬度≥4H</w:t>
            </w:r>
          </w:p>
          <w:p w14:paraId="0441B5C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灯珠推力测试随机选择LED灯珠，在灯珠四侧以水平夹角45°的方向施加推力12N，灯珠未破碎或脱落</w:t>
            </w:r>
            <w:r>
              <w:rPr>
                <w:rFonts w:hint="eastAsia" w:ascii="仿宋_GB2312" w:hAnsi="仿宋_GB2312" w:eastAsia="仿宋_GB2312" w:cs="仿宋_GB2312"/>
                <w:color w:val="auto"/>
                <w:sz w:val="24"/>
                <w:szCs w:val="24"/>
                <w:lang w:eastAsia="zh-CN"/>
              </w:rPr>
              <w:t>；</w:t>
            </w:r>
          </w:p>
          <w:p w14:paraId="15401DE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HDR显示技术</w:t>
            </w:r>
            <w:r>
              <w:rPr>
                <w:rFonts w:hint="eastAsia" w:ascii="仿宋_GB2312" w:hAnsi="仿宋_GB2312" w:eastAsia="仿宋_GB2312" w:cs="仿宋_GB2312"/>
                <w:strike w:val="0"/>
                <w:color w:val="auto"/>
                <w:sz w:val="24"/>
                <w:szCs w:val="24"/>
                <w:lang w:eastAsia="zh-CN"/>
              </w:rPr>
              <w:t>，</w:t>
            </w:r>
            <w:r>
              <w:rPr>
                <w:rFonts w:hint="eastAsia" w:ascii="仿宋_GB2312" w:hAnsi="仿宋_GB2312" w:eastAsia="仿宋_GB2312" w:cs="仿宋_GB2312"/>
                <w:color w:val="auto"/>
                <w:sz w:val="24"/>
                <w:szCs w:val="24"/>
              </w:rPr>
              <w:t>支持高动态范围(HDR，High-DynamicRange)检测项目峰值亮度1000~1500、黑色亮度≤0.06cd/m</w:t>
            </w: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EOTF曲线拟合度0.7-1.</w:t>
            </w: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色域覆盖率≥88（相对DCI-P3色空间）、色域重合度≥55%）</w:t>
            </w:r>
            <w:r>
              <w:rPr>
                <w:rFonts w:hint="eastAsia" w:ascii="仿宋_GB2312" w:hAnsi="仿宋_GB2312" w:eastAsia="仿宋_GB2312" w:cs="仿宋_GB2312"/>
                <w:color w:val="auto"/>
                <w:sz w:val="24"/>
                <w:szCs w:val="24"/>
                <w:lang w:eastAsia="zh-CN"/>
              </w:rPr>
              <w:t>；</w:t>
            </w:r>
          </w:p>
          <w:p w14:paraId="689D51B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自动Gamma矫正技术设置支持自动Gamma校正技术，通过构造非线性校正曲线和色坐标变换系数矩阵实现了显示效果的不断改善，各项重要指标如色彩还原性、色温调节范围、亮度均匀性、色度均匀性、刷新率、换帧频率等，均符合广电级标准</w:t>
            </w:r>
            <w:r>
              <w:rPr>
                <w:rFonts w:hint="eastAsia" w:ascii="仿宋_GB2312" w:hAnsi="仿宋_GB2312" w:eastAsia="仿宋_GB2312" w:cs="仿宋_GB2312"/>
                <w:color w:val="auto"/>
                <w:sz w:val="24"/>
                <w:szCs w:val="24"/>
                <w:lang w:eastAsia="zh-CN"/>
              </w:rPr>
              <w:t>；</w:t>
            </w:r>
          </w:p>
          <w:p w14:paraId="6640E96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29.</w:t>
            </w:r>
            <w:r>
              <w:rPr>
                <w:rFonts w:hint="eastAsia" w:ascii="仿宋_GB2312" w:hAnsi="仿宋_GB2312" w:eastAsia="仿宋_GB2312" w:cs="仿宋_GB2312"/>
                <w:color w:val="auto"/>
                <w:sz w:val="24"/>
                <w:szCs w:val="24"/>
              </w:rPr>
              <w:t>支持动态节能，带有智能节电功能、带电黑屏节电功能，开启智能节电功能比没有开启节能 45%以上。最大功耗≤880W/㎡；平均功耗≤ 295W/㎡</w:t>
            </w:r>
          </w:p>
          <w:p w14:paraId="698BC87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30.</w:t>
            </w:r>
            <w:r>
              <w:rPr>
                <w:rFonts w:hint="eastAsia" w:ascii="仿宋_GB2312" w:hAnsi="仿宋_GB2312" w:eastAsia="仿宋_GB2312" w:cs="仿宋_GB2312"/>
                <w:color w:val="auto"/>
                <w:sz w:val="24"/>
                <w:szCs w:val="24"/>
              </w:rPr>
              <w:t>电流增益调节级别≥8位，电流增益调节范围1%～199</w:t>
            </w:r>
            <w:r>
              <w:rPr>
                <w:rFonts w:hint="eastAsia" w:ascii="仿宋_GB2312" w:hAnsi="仿宋_GB2312" w:eastAsia="仿宋_GB2312" w:cs="仿宋_GB2312"/>
                <w:color w:val="auto"/>
                <w:sz w:val="24"/>
                <w:szCs w:val="24"/>
                <w:lang w:eastAsia="zh-CN"/>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B0E875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20.43㎡</w:t>
            </w:r>
          </w:p>
        </w:tc>
      </w:tr>
      <w:tr w14:paraId="72A2BC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7EE8A8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F52335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LED备用模组</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59E562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kern w:val="0"/>
                <w:sz w:val="24"/>
                <w:szCs w:val="24"/>
                <w:highlight w:val="none"/>
                <w:lang w:val="en-US" w:eastAsia="zh-CN"/>
              </w:rPr>
              <w:t>1.模组尺寸：320mm*160mm，与主LED屏同批次；</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C37CB9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15张</w:t>
            </w:r>
          </w:p>
        </w:tc>
      </w:tr>
      <w:tr w14:paraId="45B0F13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FA43E4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6161B7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LED电源</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6E07057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1.输入电压：200-240Vac,40-63Hz</w:t>
            </w:r>
          </w:p>
          <w:p w14:paraId="3D6B583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2.输出电流：40A/输出电压：5V</w:t>
            </w:r>
          </w:p>
          <w:p w14:paraId="6FF6965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3.泄漏电流：&lt;1ma（Vin：230）</w:t>
            </w:r>
          </w:p>
          <w:p w14:paraId="5C44B1D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4.保护功能：输入欠压；过载保护；短路保护</w:t>
            </w:r>
          </w:p>
          <w:p w14:paraId="3B0F981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5.工作温度：-30~50℃/储存温度：-40~80℃</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ABCEDE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130台</w:t>
            </w:r>
          </w:p>
        </w:tc>
      </w:tr>
      <w:tr w14:paraId="7AEFF1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A6D1E8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7E7BF8D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接收卡</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66A3802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单卡最大带载 512×384像素，支持 24组 RGB 并行数据。采用12个HUB75接口，具有高稳定性和高可靠性，适用于多种环境的搭建</w:t>
            </w:r>
          </w:p>
          <w:p w14:paraId="74D8D23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 xml:space="preserve">支持逐点亮色度校正，配合调试软件和校正软件，对每个灯点的亮度和色度进行校正。 </w:t>
            </w:r>
          </w:p>
          <w:p w14:paraId="53A72B6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支持普通修缝，可在对应调试软件上进行修缝，用来消除灯板与灯板、箱体与箱体之间的缝隙。</w:t>
            </w:r>
          </w:p>
          <w:p w14:paraId="7E02443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支持低延时，降低视频源在接收卡端的延迟，延迟低至1帧。</w:t>
            </w:r>
          </w:p>
          <w:p w14:paraId="3BEC103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支持配合支持 3D 功能的独立主控，在调试软件或独立主控的操作面板上开启 3D 功能，并设置 3D 参数，使画面显示 3D 效果</w:t>
            </w:r>
          </w:p>
          <w:p w14:paraId="7DE5AC6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支持四种级联方向（0°/90°/180°/270°）的画面进行切换。</w:t>
            </w:r>
          </w:p>
          <w:p w14:paraId="1477C57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支持异形构造，可轻松实现异形屏、球形屏等创意显示屏。</w:t>
            </w:r>
          </w:p>
          <w:p w14:paraId="7FE5515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支持误码率监测，配合对应版本的调试软件 ，监测接收卡间通讯时传输链路上的数据丢包情况。</w:t>
            </w:r>
          </w:p>
          <w:p w14:paraId="79EE916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支持固件程序回读，在对应版本软件上可以回读接收卡的固件程序并保存到本地。</w:t>
            </w:r>
          </w:p>
          <w:p w14:paraId="5906F435">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支持配置参数回读，在 调试软件上可以回读接收卡配置参数并保存到本地。</w:t>
            </w:r>
          </w:p>
          <w:p w14:paraId="307A348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支持环路备份，利用冗余网口增加与发送设备之间的连接，增加设备之间级联的可靠性，当一路出现故障时可实现无缝切换至另一路，保障屏体正常显示。</w:t>
            </w:r>
          </w:p>
          <w:p w14:paraId="7A4F33C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支持双程序备份，接收卡出厂时保存了两份应用程序，以防程序更新异常导致的升级卡死。</w:t>
            </w:r>
          </w:p>
          <w:p w14:paraId="34BAC30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支持连接多功能卡。</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1B3714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30张</w:t>
            </w:r>
          </w:p>
        </w:tc>
      </w:tr>
      <w:tr w14:paraId="5E935C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5C8997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5</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0ECD86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视频处理器</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31B7BD6">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支持多路输入接口：包括但不限于1 路 DVI，1 路 HDMI，1 路 VGA，1 路 USB ，1 路 CVBS，以适用各种前端输入信号；</w:t>
            </w:r>
          </w:p>
          <w:p w14:paraId="4E0F296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发送卡和视频处理器二合一，减少系统连线，有效提升系统的稳定性及兼容性；</w:t>
            </w:r>
          </w:p>
          <w:p w14:paraId="71148BB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支持插入U盘播放，最大支持1920x1080@60Hz视频输入；</w:t>
            </w:r>
          </w:p>
          <w:p w14:paraId="162F8A5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设备前面板配备直观的 LCD 显示界面，可实时显示型号、ip地址、窗口及信号源的分辨率、网口的状态、屏幕大小及帧频、USB 连接或网线连接状态和屏体亮度等信息；</w:t>
            </w:r>
          </w:p>
          <w:p w14:paraId="71012CE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支持配合多功能卡，实现对屏体电源的手动控制，自动控制，以及软件控制。</w:t>
            </w:r>
          </w:p>
          <w:p w14:paraId="5CF87AC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支持 DVI、HDMI 的输入分辨率自定义调节。</w:t>
            </w:r>
          </w:p>
          <w:p w14:paraId="4F251BA6">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支持逐点亮度校正，可以对每个灯点的亮度和色度进行采集校正，有效消除色差，使整屏的亮度和色度达到高度均匀一致，提高显示屏的画质。</w:t>
            </w:r>
          </w:p>
          <w:p w14:paraId="318C9F2E">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支持通过设备旋转按钮实现快捷配屏和高级配屏功能点亮屏体；</w:t>
            </w:r>
          </w:p>
          <w:p w14:paraId="059AD91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支持不少于 4个千兆网口输出，最大带载可达260万像素。</w:t>
            </w:r>
          </w:p>
          <w:p w14:paraId="50A24FC2">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支持创建不少于6个用户场景作为模板保存，方便快速调用。</w:t>
            </w:r>
          </w:p>
          <w:p w14:paraId="612B9AD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支持通过中控设备进行统一控制。</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0BE5DF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128C06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5958DEA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6</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4C5FF31">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多功能卡</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6187975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使用 RS232 串口或千兆网口通信；</w:t>
            </w:r>
          </w:p>
          <w:p w14:paraId="1752944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支持用网口级联在接收卡之间或最后；</w:t>
            </w:r>
          </w:p>
          <w:p w14:paraId="487E438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具有定时功能，可以替代定时器和延时器；</w:t>
            </w:r>
          </w:p>
          <w:p w14:paraId="5825687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支持板载温度检测；</w:t>
            </w:r>
          </w:p>
          <w:p w14:paraId="029BF7B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支持板载湿度检测；</w:t>
            </w:r>
          </w:p>
          <w:p w14:paraId="6E27F78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支持音频输出；</w:t>
            </w:r>
          </w:p>
          <w:p w14:paraId="3552851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支持接 4 路光探头实现自动亮度调节；</w:t>
            </w:r>
          </w:p>
          <w:p w14:paraId="569B23B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支持外接温湿度模块、烟雾模块、噪声、空气质量、亮度传感器；</w:t>
            </w:r>
          </w:p>
          <w:p w14:paraId="1A94619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支持8路电源开关控制。</w:t>
            </w:r>
          </w:p>
          <w:p w14:paraId="0F230EC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具有定时功能，可以替代定时器和延时器。</w:t>
            </w:r>
          </w:p>
          <w:p w14:paraId="3E6811B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支持多卡级联统一控制。</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EAEBC8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1张</w:t>
            </w:r>
          </w:p>
        </w:tc>
      </w:tr>
      <w:tr w14:paraId="18C12D3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D40E04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7</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162B5B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配电箱</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463694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30</w:t>
            </w:r>
            <w:r>
              <w:rPr>
                <w:rFonts w:hint="eastAsia" w:ascii="仿宋_GB2312" w:hAnsi="仿宋_GB2312" w:eastAsia="仿宋_GB2312" w:cs="仿宋_GB2312"/>
                <w:color w:val="auto"/>
                <w:sz w:val="24"/>
                <w:szCs w:val="24"/>
              </w:rPr>
              <w:t>KW，支持分步延时上电、远程设置、具有短路、过流、过压、过载、避雷、过温等保护特性。</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4AF54D3">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7A2642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3D0505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8</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4C6A57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钢结构改造</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0D4FD5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内部钢结构改造、不锈钢包边，防水处理。</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B27A6D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4BBBF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51EBD4A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9</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8C8F65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制冷设备</w:t>
            </w:r>
            <w:r>
              <w:rPr>
                <w:rFonts w:hint="eastAsia" w:ascii="仿宋_GB2312" w:hAnsi="仿宋_GB2312" w:eastAsia="仿宋_GB2312" w:cs="仿宋_GB2312"/>
                <w:b/>
                <w:bCs/>
                <w:color w:val="auto"/>
                <w:sz w:val="24"/>
                <w:szCs w:val="24"/>
              </w:rPr>
              <w:t>（强制采购节能产品，详见采购需求说明第八点）</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14A3A21">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1.变频壁挂空调</w:t>
            </w:r>
          </w:p>
          <w:p w14:paraId="57F2355E">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2.匹数：2匹</w:t>
            </w:r>
          </w:p>
          <w:p w14:paraId="2CFB12AC">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3.适用面积：22-30平方</w:t>
            </w:r>
          </w:p>
          <w:p w14:paraId="642C01D0">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4.能效等级：不低于3级，能效比：3.2</w:t>
            </w:r>
          </w:p>
          <w:p w14:paraId="26EE96C4">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5.额定制冷量：5000W</w:t>
            </w:r>
          </w:p>
          <w:p w14:paraId="7817FBA3">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6.工作制式：冷暖</w:t>
            </w:r>
          </w:p>
          <w:p w14:paraId="5A13C01A">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7.电源规格：200V/50HZ</w:t>
            </w:r>
          </w:p>
          <w:p w14:paraId="58676EBD">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8.最大输入功率：1500W</w:t>
            </w:r>
          </w:p>
          <w:p w14:paraId="625694D9">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9.最大输入电流：12A</w:t>
            </w:r>
          </w:p>
          <w:p w14:paraId="039099C8">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10.运行噪音室内不超过：45分贝，运行噪音室外不超过：55分贝</w:t>
            </w:r>
          </w:p>
          <w:p w14:paraId="24242F8D">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11.循环风量不低于：900立方米/小时</w:t>
            </w:r>
          </w:p>
          <w:p w14:paraId="5B75E0B1">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atLeast"/>
              <w:ind w:left="0" w:leftChars="0" w:firstLine="0" w:firstLineChars="0"/>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12.保修：≥5年</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55A2B5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77A6E9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52A389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10</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56DA57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简易防水箱体</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2CB6665">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2"/>
                <w:sz w:val="24"/>
                <w:szCs w:val="24"/>
                <w:lang w:val="en-US" w:eastAsia="zh-CN" w:bidi="ar-SA"/>
              </w:rPr>
              <w:t>1.</w:t>
            </w:r>
            <w:r>
              <w:rPr>
                <w:rFonts w:hint="eastAsia" w:ascii="仿宋_GB2312" w:hAnsi="仿宋_GB2312" w:eastAsia="仿宋_GB2312" w:cs="仿宋_GB2312"/>
                <w:color w:val="auto"/>
                <w:sz w:val="24"/>
                <w:szCs w:val="24"/>
              </w:rPr>
              <w:t>定制箱体尺寸</w:t>
            </w:r>
          </w:p>
          <w:p w14:paraId="41C08927">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2.</w:t>
            </w:r>
            <w:r>
              <w:rPr>
                <w:rFonts w:hint="eastAsia" w:ascii="仿宋_GB2312" w:hAnsi="仿宋_GB2312" w:eastAsia="仿宋_GB2312" w:cs="仿宋_GB2312"/>
                <w:color w:val="auto"/>
                <w:sz w:val="24"/>
                <w:szCs w:val="24"/>
              </w:rPr>
              <w:t>板材：冷轧钢板</w:t>
            </w:r>
          </w:p>
          <w:p w14:paraId="19B40F61">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3.</w:t>
            </w:r>
            <w:r>
              <w:rPr>
                <w:rFonts w:hint="eastAsia" w:ascii="仿宋_GB2312" w:hAnsi="仿宋_GB2312" w:eastAsia="仿宋_GB2312" w:cs="仿宋_GB2312"/>
                <w:color w:val="auto"/>
                <w:sz w:val="24"/>
                <w:szCs w:val="24"/>
              </w:rPr>
              <w:t>颜色：黑色</w:t>
            </w:r>
          </w:p>
          <w:p w14:paraId="4C9C3E31">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4.</w:t>
            </w:r>
            <w:r>
              <w:rPr>
                <w:rFonts w:hint="eastAsia" w:ascii="仿宋_GB2312" w:hAnsi="仿宋_GB2312" w:eastAsia="仿宋_GB2312" w:cs="仿宋_GB2312"/>
                <w:color w:val="auto"/>
                <w:sz w:val="24"/>
                <w:szCs w:val="24"/>
              </w:rPr>
              <w:t>配件：电源板、卡托、连接件</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39CF982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20.43㎡</w:t>
            </w:r>
          </w:p>
        </w:tc>
      </w:tr>
      <w:tr w14:paraId="539240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8314CC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9C9486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网线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D827D3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1．六类非屏蔽双绞线，纯铜芯，传输无衰减，采用PVC环保外皮，包装长度305米；</w:t>
            </w:r>
          </w:p>
          <w:p w14:paraId="27C1D8C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2．芯数: 4*2含十字骨架；导体直径：0.57±0.05mm；外护套材质：PVC；外径：6.3±0.2mm； PVC外护套符合</w:t>
            </w:r>
            <w:r>
              <w:rPr>
                <w:rFonts w:hint="eastAsia" w:ascii="仿宋_GB2312" w:hAnsi="仿宋_GB2312" w:eastAsia="仿宋_GB2312" w:cs="仿宋_GB2312"/>
                <w:color w:val="auto"/>
                <w:sz w:val="24"/>
                <w:szCs w:val="24"/>
                <w:lang w:val="en-US" w:eastAsia="zh-CN"/>
              </w:rPr>
              <w:t>国标</w:t>
            </w:r>
            <w:r>
              <w:rPr>
                <w:rFonts w:hint="eastAsia" w:ascii="仿宋_GB2312" w:hAnsi="仿宋_GB2312" w:eastAsia="仿宋_GB2312" w:cs="仿宋_GB2312"/>
                <w:color w:val="auto"/>
                <w:sz w:val="24"/>
                <w:szCs w:val="24"/>
              </w:rPr>
              <w:t>相关规定。</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986F67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3箱</w:t>
            </w:r>
          </w:p>
        </w:tc>
      </w:tr>
      <w:tr w14:paraId="00D892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2694C95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77D80B0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网络跳线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C797162">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RJ45超五类网络跳线（</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米）。</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5FB4F0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30条</w:t>
            </w:r>
          </w:p>
        </w:tc>
      </w:tr>
      <w:tr w14:paraId="53FBE1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36DA18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6B8743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内部电源线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71EB784">
            <w:pPr>
              <w:keepNext w:val="0"/>
              <w:keepLines w:val="0"/>
              <w:pageBreakBefore w:val="0"/>
              <w:numPr>
                <w:ilvl w:val="0"/>
                <w:numId w:val="4"/>
              </w:numPr>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YJV</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2.5</w:t>
            </w:r>
            <w:r>
              <w:rPr>
                <w:rFonts w:hint="eastAsia" w:ascii="仿宋_GB2312" w:hAnsi="仿宋_GB2312" w:eastAsia="仿宋_GB2312" w:cs="仿宋_GB2312"/>
                <w:color w:val="auto"/>
                <w:sz w:val="24"/>
                <w:szCs w:val="24"/>
              </w:rPr>
              <w:t>mm²，铜芯阻燃交联聚乙烯绝缘聚氯乙烯护套电力电缆</w:t>
            </w:r>
          </w:p>
          <w:p w14:paraId="0BB5A5AC">
            <w:pPr>
              <w:keepNext w:val="0"/>
              <w:keepLines w:val="0"/>
              <w:pageBreakBefore w:val="0"/>
              <w:numPr>
                <w:ilvl w:val="0"/>
                <w:numId w:val="4"/>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额定电压0.6/1KV</w:t>
            </w:r>
          </w:p>
          <w:p w14:paraId="6118A658">
            <w:pPr>
              <w:keepNext w:val="0"/>
              <w:keepLines w:val="0"/>
              <w:pageBreakBefore w:val="0"/>
              <w:numPr>
                <w:ilvl w:val="0"/>
                <w:numId w:val="4"/>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导体电阻≤1.15Ω/km</w:t>
            </w:r>
          </w:p>
          <w:p w14:paraId="6507EBF8">
            <w:pPr>
              <w:keepNext w:val="0"/>
              <w:keepLines w:val="0"/>
              <w:pageBreakBefore w:val="0"/>
              <w:numPr>
                <w:ilvl w:val="0"/>
                <w:numId w:val="4"/>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电压试验3500V/5min不击穿。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43CEC6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105米</w:t>
            </w:r>
          </w:p>
        </w:tc>
      </w:tr>
      <w:tr w14:paraId="48661A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E3C5B8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042698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辅助材料及施工等</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104E05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含布线施工及设计，</w:t>
            </w:r>
            <w:r>
              <w:rPr>
                <w:rFonts w:hint="eastAsia" w:ascii="仿宋_GB2312" w:hAnsi="仿宋_GB2312" w:eastAsia="仿宋_GB2312" w:cs="仿宋_GB2312"/>
                <w:color w:val="auto"/>
                <w:sz w:val="24"/>
                <w:szCs w:val="24"/>
                <w:lang w:eastAsia="zh-CN"/>
              </w:rPr>
              <w:t>拆除旧屏，</w:t>
            </w:r>
            <w:r>
              <w:rPr>
                <w:rFonts w:hint="eastAsia" w:ascii="仿宋_GB2312" w:hAnsi="仿宋_GB2312" w:eastAsia="仿宋_GB2312" w:cs="仿宋_GB2312"/>
                <w:color w:val="auto"/>
                <w:sz w:val="24"/>
                <w:szCs w:val="24"/>
              </w:rPr>
              <w:t>安装调试及培训、辅材等。按柳州市教育系统工程施工规范要求实施。</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153833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31FC39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6C9029B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bCs/>
                <w:color w:val="auto"/>
                <w:kern w:val="0"/>
                <w:sz w:val="24"/>
                <w:lang w:val="en-US" w:eastAsia="zh-CN" w:bidi="ar"/>
              </w:rPr>
              <w:t>（四）柳州市三中室内全彩LED屏</w:t>
            </w:r>
          </w:p>
        </w:tc>
      </w:tr>
      <w:tr w14:paraId="11EB0F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427BB1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475EB0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室内全彩LED屏</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3028FF8">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1.点间距≤2.5mm；</w:t>
            </w:r>
          </w:p>
          <w:p w14:paraId="0710F927">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2.屏体面积尺寸：长5.76米*高2.72米≈15.67平方米</w:t>
            </w:r>
            <w:r>
              <w:rPr>
                <w:rFonts w:hint="eastAsia"/>
                <w:color w:val="auto"/>
                <w:lang w:eastAsia="zh-CN"/>
              </w:rPr>
              <w:t>，</w:t>
            </w:r>
            <w:r>
              <w:rPr>
                <w:rFonts w:hint="eastAsia" w:ascii="仿宋_GB2312" w:hAnsi="仿宋_GB2312" w:eastAsia="仿宋_GB2312" w:cs="仿宋_GB2312"/>
                <w:i w:val="0"/>
                <w:iCs w:val="0"/>
                <w:color w:val="auto"/>
                <w:kern w:val="0"/>
                <w:sz w:val="24"/>
                <w:szCs w:val="24"/>
                <w:u w:val="none"/>
                <w:lang w:val="en-US" w:eastAsia="zh-CN" w:bidi="ar"/>
              </w:rPr>
              <w:t>采用TOP型SMD封装的灯珠，1R1G1B；灯珠结构支持PPA碗杯结构、点胶封装、出光方式为单面发光；支持PCB平面结构，molding封装、切割、出光方式为五面发光；</w:t>
            </w:r>
          </w:p>
          <w:p w14:paraId="0D022B1C">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2"/>
                <w:sz w:val="24"/>
                <w:szCs w:val="24"/>
                <w:u w:val="singl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3.LED显示模组亮度均匀性≥99%（校正后）；</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4.LED显示模组的基色主波长的测量误差∆入D≤2nm</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5.依据SJ/T11281-2025第4.2.2测试，垂直≥177度，水平≥177</w:t>
            </w:r>
            <w:r>
              <w:rPr>
                <w:rFonts w:hint="eastAsia" w:ascii="仿宋_GB2312" w:hAnsi="仿宋_GB2312" w:eastAsia="仿宋_GB2312" w:cs="仿宋_GB2312"/>
                <w:i w:val="0"/>
                <w:iCs w:val="0"/>
                <w:color w:val="auto"/>
                <w:kern w:val="0"/>
                <w:sz w:val="24"/>
                <w:szCs w:val="24"/>
                <w:u w:val="single"/>
                <w:lang w:val="en-US" w:eastAsia="zh-CN" w:bidi="ar"/>
              </w:rPr>
              <w:t>度</w:t>
            </w:r>
          </w:p>
          <w:p w14:paraId="60B4AC15">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6.色温（K）：9300K，20—20000可调，调节步长100K，色温为6500K时，100%、75%、50%、25%四档电平白场调节色温误差≤±200K；色温为8500K时，100%、75%、50%、25%四档电平白场调节色温误差≤±100K；</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7.电流增益调节级别≥10位，电流增益调节范围1%-199%</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8.视觉舒适度(VICO指数)测试值在O≤VICO＜1,满足CSA035.2-2017标准量化分级1级，视觉舒适度等级为1级；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9.色度均匀性：±0.001(Cx,Cy之内)；</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10.对比度≥20000:1；</w:t>
            </w:r>
          </w:p>
          <w:p w14:paraId="0C1198ED">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11.模组间隙≤0.01mm，拼接模组间隙≤0.01mm，像素中心距相对偏差等级Jx≤0.5%，垂直相对错位等级Cc≤0.5%，水平相对错位等级Cs≤0.5%；</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12.刷新率≥3840Hz；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13.NTSC 色域覆盖率≥125%，色域重合度≥99.3%；</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14.PCB 采用 FR-4 四层板同等级或更高材料，表面沉金处理，板厚≥1.58mm，铜厚≥0.8 盎司，TG≥148，PCB 板表面具备防潮/防尘/防静电/抗氧化，防霉等级≤1 级。采用抗消隐设计，无“毛毛虫”“鬼影”跟随现象，模组与HUB板采用排线连接，无级联，可直接插拔和热插拔；</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15.显示屏塑料面罩底壳应能通过550℃灼热丝试验要求，满足HB等级要求；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16.显示屏经蓝光危害检测结果为无危害；</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17.噪声测试（符合GB22337-2008社会生活环境噪声排放标准）屏前、屏后、屏左、屏右1m处，噪声声压≤3dB；</w:t>
            </w:r>
          </w:p>
          <w:p w14:paraId="1F662705">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18.符合CQC3158-2016(LED显示单元节能认证技术规范),具有智能节电和黑屏节电功能，节能模式节电60%以上；</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19.平均修复时间≤2分钟，平均无故障工作时间≥110000小时，支持7*24小时不间断工作；</w:t>
            </w:r>
          </w:p>
          <w:p w14:paraId="67696ED9">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20.LED显示屏所使用的各种材料和元器件，铅、汞、六价铬、多溴联苯、多溴二苯醚(十溴二苯醚除外)的含量不应超过0.1%,镉的含量不应超过0.01%；</w:t>
            </w:r>
          </w:p>
          <w:p w14:paraId="574AB75A">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21.LED显示屏图像质量主观评价方法进行，运动图像清晰度、灰度表现力2（伪轮廓现象）主观感受满足图像质量好，评价优级；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22.采用印制板测试方法，IPC-TM-650 2.5.7D、IPC-TM-650 2.5.7.1.IPC-TM-6502.5.6B、IPC-TM-650 2.5.6.2AASTM D149 在工业用电频率时实心电绝缘材料的介电击穿电压与介电强度的试验方法，印刷板在经过湿热箱处理120h后进行测试，绝缘部分未被击穿；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23.采用 MC 多通道校正技术，消除屏体在不同灰阶下的麻点和色块问题，保证全灰阶显示均匀一致；</w:t>
            </w:r>
          </w:p>
          <w:p w14:paraId="65790FCA">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24.支持鬼影消除、低灰偏色补偿、去除坏点、毛毛虫消除、余辉消除、亮度缓慢变亮功能；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25.摩擦起电电压|V|≤100V;静电电压衰减期 (±1000-±100V）≤2S;</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26.具备20条以上可调节的γ校正曲线；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27.采用 MWFRFT 多层多参数智慧调节技术处理技术，打破传统单层 WFRFT 结构模式扩展为多层 MWFRFT 结构，提升大屏低灰刷新不足引起的闪烁问题；</w:t>
            </w:r>
          </w:p>
          <w:p w14:paraId="20A6D196">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28.模组采用4P接插头，免工具维护，具有防呆设置，避免线路接错的问题。采用集成hub接收卡控制，支持通讯状态监测，高灰度，高刷新；</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29.支持HDR信号显示,支持HDR高动态光照渲染技米。依据CESI/TS008-2019《HDR 显示认证技术规范》，支持高动态范围(HDR，Higi-Dynamic Range)检测项目峰值亮度1000-1500、黑色亮度≤0.05cd/m2.EOTF 曲线拟合度0.7-1.3.色域覆盖率≥90（相对DCILP3色空间）、色域重合度≥60%；</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30.支持模组级的 LED 灯防撞灯保护装置；</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31.粒子尺寸＜75μm 的滑石粉，尘降量 600g/（㎡ ·d）， 自由降尘，试验时间8h，产品未发现尘沉积及侵入；</w:t>
            </w:r>
          </w:p>
          <w:p w14:paraId="398B3B22">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32.电源插头或电源接入端子与外壳裸露金属部件之间绝缘电阻在正常大气条件下应≥500MΩ，湿热条件下应≥20MΩ;</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33.亮度调节支持手动/自动/远程调节；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34.通过灯管耐焊耐热测试：灯珠引脚无氧化,焊接正常,灯珠胶体正常,点亮正常；</w:t>
            </w:r>
          </w:p>
          <w:p w14:paraId="53E7F584">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35.通过抗静电(ESD)测试:HBM模式:ESD＞2000V,灯珠点亮无异常；</w:t>
            </w:r>
          </w:p>
          <w:p w14:paraId="600E668F">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36.PCB板及塑胶底壳、面罩满足UL94 V-0级要求；</w:t>
            </w:r>
          </w:p>
          <w:p w14:paraId="15A8B1F3">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0" w:leftChars="0" w:firstLine="0" w:firstLineChars="0"/>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37.</w:t>
            </w:r>
            <w:r>
              <w:rPr>
                <w:rFonts w:hint="eastAsia" w:ascii="仿宋_GB2312" w:hAnsi="仿宋_GB2312" w:eastAsia="仿宋_GB2312" w:cs="仿宋_GB2312"/>
                <w:color w:val="auto"/>
                <w:kern w:val="0"/>
                <w:sz w:val="24"/>
                <w:szCs w:val="24"/>
                <w:lang w:bidi="ar"/>
              </w:rPr>
              <w:t>功</w:t>
            </w:r>
            <w:r>
              <w:rPr>
                <w:rFonts w:hint="eastAsia" w:ascii="仿宋_GB2312" w:hAnsi="仿宋_GB2312" w:eastAsia="仿宋_GB2312" w:cs="仿宋_GB2312"/>
                <w:color w:val="auto"/>
                <w:kern w:val="0"/>
                <w:sz w:val="24"/>
                <w:szCs w:val="24"/>
                <w:lang w:eastAsia="zh-CN" w:bidi="ar"/>
              </w:rPr>
              <w:t>耗</w:t>
            </w:r>
            <w:r>
              <w:rPr>
                <w:rFonts w:hint="eastAsia" w:ascii="仿宋_GB2312" w:hAnsi="仿宋_GB2312" w:eastAsia="仿宋_GB2312" w:cs="仿宋_GB2312"/>
                <w:color w:val="auto"/>
                <w:kern w:val="0"/>
                <w:sz w:val="24"/>
                <w:szCs w:val="24"/>
                <w:lang w:bidi="ar"/>
              </w:rPr>
              <w:t>：最大功耗(W/㎡) 352 ，平均功率(W/㎡) 1</w:t>
            </w:r>
            <w:r>
              <w:rPr>
                <w:rFonts w:hint="eastAsia" w:ascii="仿宋_GB2312" w:hAnsi="仿宋_GB2312" w:eastAsia="仿宋_GB2312" w:cs="仿宋_GB2312"/>
                <w:color w:val="auto"/>
                <w:kern w:val="0"/>
                <w:sz w:val="24"/>
                <w:szCs w:val="24"/>
                <w:lang w:val="en-US" w:eastAsia="zh-CN" w:bidi="ar"/>
              </w:rPr>
              <w:t>26</w:t>
            </w:r>
            <w:r>
              <w:rPr>
                <w:rFonts w:hint="eastAsia" w:ascii="仿宋_GB2312" w:hAnsi="仿宋_GB2312" w:eastAsia="仿宋_GB2312" w:cs="仿宋_GB2312"/>
                <w:color w:val="auto"/>
                <w:kern w:val="0"/>
                <w:sz w:val="24"/>
                <w:szCs w:val="24"/>
                <w:lang w:eastAsia="zh-CN" w:bidi="ar"/>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83E102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15.67㎡</w:t>
            </w:r>
          </w:p>
        </w:tc>
      </w:tr>
      <w:tr w14:paraId="372B5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CD6C0E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C8D018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 xml:space="preserve">LED电源 </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6C88EF16">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1.输入电压：200-240Vac,40-63Hz</w:t>
            </w:r>
          </w:p>
          <w:p w14:paraId="4A2A1C36">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2.输出电流：40A/输出电压：5V</w:t>
            </w:r>
          </w:p>
          <w:p w14:paraId="61F8182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3.泄漏电流：&lt;1ma（Vin：230）</w:t>
            </w:r>
          </w:p>
          <w:p w14:paraId="7ECB9C5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4.保护功能：输入欠压；过载保护；短路保护</w:t>
            </w:r>
          </w:p>
          <w:p w14:paraId="7E6ADEA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5.工作温度：-30~50℃/储存温度：-40~80℃</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7F20DC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58台</w:t>
            </w:r>
          </w:p>
        </w:tc>
      </w:tr>
      <w:tr w14:paraId="4E5543B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CAF789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9E8959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接收卡</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675DE2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1.单卡最大带载 512×512像素，最多支持 </w:t>
            </w:r>
            <w:r>
              <w:rPr>
                <w:rFonts w:hint="eastAsia" w:ascii="仿宋_GB2312" w:hAnsi="仿宋_GB2312" w:eastAsia="仿宋_GB2312" w:cs="仿宋_GB2312"/>
                <w:color w:val="auto"/>
                <w:sz w:val="24"/>
                <w:szCs w:val="24"/>
                <w:lang w:val="en-US" w:eastAsia="zh-CN"/>
              </w:rPr>
              <w:t>24</w:t>
            </w:r>
            <w:r>
              <w:rPr>
                <w:rFonts w:hint="eastAsia" w:ascii="仿宋_GB2312" w:hAnsi="仿宋_GB2312" w:eastAsia="仿宋_GB2312" w:cs="仿宋_GB2312"/>
                <w:color w:val="auto"/>
                <w:sz w:val="24"/>
                <w:szCs w:val="24"/>
              </w:rPr>
              <w:t xml:space="preserve"> 组RGB 并行数据；</w:t>
            </w:r>
          </w:p>
          <w:p w14:paraId="2BA52AF2">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2.采用 </w:t>
            </w:r>
            <w:r>
              <w:rPr>
                <w:rFonts w:hint="eastAsia" w:ascii="仿宋_GB2312" w:hAnsi="仿宋_GB2312" w:eastAsia="仿宋_GB2312" w:cs="仿宋_GB2312"/>
                <w:color w:val="auto"/>
                <w:sz w:val="24"/>
                <w:szCs w:val="24"/>
                <w:lang w:val="en-US" w:eastAsia="zh-CN"/>
              </w:rPr>
              <w:t>12</w:t>
            </w:r>
            <w:r>
              <w:rPr>
                <w:rFonts w:hint="eastAsia" w:ascii="仿宋_GB2312" w:hAnsi="仿宋_GB2312" w:eastAsia="仿宋_GB2312" w:cs="仿宋_GB2312"/>
                <w:color w:val="auto"/>
                <w:sz w:val="24"/>
                <w:szCs w:val="24"/>
              </w:rPr>
              <w:t>个标准HUB75接口，具有高稳定性和高可靠性，适用于多种环境的搭建；</w:t>
            </w:r>
          </w:p>
          <w:p w14:paraId="1E5AC09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3.支持逐点亮度校正，可以对每个灯点的亮度进行校正，使整屏的亮度达到高度均匀一致，提高显示屏的画质</w:t>
            </w:r>
          </w:p>
          <w:p w14:paraId="62A3F995">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4.快速亮暗线调节在调试软件上进行快速亮暗线调节，快速解决因箱体及模组拼接造成的显示屏亮暗线，调节过程中即时生效，简单易用。</w:t>
            </w:r>
          </w:p>
          <w:p w14:paraId="03450BD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5.配合支持 3D 功能的独立主控，在软件或独立主控的操作面板上开启 3D 功能，并设置 3D 参数，使画面显示 3D 效果。</w:t>
            </w:r>
          </w:p>
          <w:p w14:paraId="5DDB792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6.支持Mapping功能开启，每个箱体上会显示数字，清楚</w:t>
            </w:r>
            <w:r>
              <w:rPr>
                <w:rFonts w:hint="eastAsia" w:ascii="仿宋_GB2312" w:hAnsi="仿宋_GB2312" w:eastAsia="仿宋_GB2312" w:cs="仿宋_GB2312"/>
                <w:color w:val="auto"/>
                <w:sz w:val="24"/>
                <w:szCs w:val="24"/>
                <w:lang w:val="en-US" w:eastAsia="zh-CN"/>
              </w:rPr>
              <w:t>显示</w:t>
            </w:r>
            <w:r>
              <w:rPr>
                <w:rFonts w:hint="eastAsia" w:ascii="仿宋_GB2312" w:hAnsi="仿宋_GB2312" w:eastAsia="仿宋_GB2312" w:cs="仿宋_GB2312"/>
                <w:color w:val="auto"/>
                <w:sz w:val="24"/>
                <w:szCs w:val="24"/>
              </w:rPr>
              <w:t>当前箱体是哪个网口下的哪张接收卡，直观的看到显示屏连接状况。</w:t>
            </w:r>
          </w:p>
          <w:p w14:paraId="0F7A923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7.可以将指定图片设置为显示屏的开机、网线断开或无视频源信号时的画面或者最后一帧画面</w:t>
            </w:r>
            <w:r>
              <w:rPr>
                <w:rFonts w:hint="eastAsia" w:ascii="仿宋_GB2312" w:hAnsi="仿宋_GB2312" w:eastAsia="仿宋_GB2312" w:cs="仿宋_GB2312"/>
                <w:color w:val="auto"/>
                <w:sz w:val="24"/>
                <w:szCs w:val="24"/>
                <w:lang w:eastAsia="zh-CN"/>
              </w:rPr>
              <w:t>。</w:t>
            </w:r>
          </w:p>
          <w:p w14:paraId="6D1D06D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8.可以监测自身的温度和电压，无需其他外设，在软件上可以查看接收卡的温度和电压，检测发送设备与接收卡间或接收卡与接收卡间的网络通讯质量，记录错误包数，协助排除网络通讯隐患</w:t>
            </w:r>
          </w:p>
          <w:p w14:paraId="64C3382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color w:val="auto"/>
                <w:sz w:val="24"/>
                <w:szCs w:val="24"/>
              </w:rPr>
              <w:t>9.支持5pin 液晶模块，用于显示接收卡的温度、电压、单次运行时间和总运行时间。支持千兆网，可通过网线直接连接PC端进行调试和显示，无需发送卡</w:t>
            </w:r>
            <w:r>
              <w:rPr>
                <w:rFonts w:hint="eastAsia" w:ascii="仿宋_GB2312" w:hAnsi="仿宋_GB2312" w:eastAsia="仿宋_GB2312" w:cs="仿宋_GB2312"/>
                <w:color w:val="auto"/>
                <w:sz w:val="24"/>
                <w:szCs w:val="24"/>
                <w:lang w:eastAsia="zh-CN"/>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ACDB72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38张</w:t>
            </w:r>
          </w:p>
        </w:tc>
      </w:tr>
      <w:tr w14:paraId="079F9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8379FD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1D2309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视频处理器</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4658286">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1.采用标准 19 英寸金属结构机箱，机箱为后挂耳结构，上盖无螺钉安装:外壳防护等级符合GB</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lang w:eastAsia="zh-CN"/>
              </w:rPr>
              <w:t>T 4280-2017中IP20的要求;采用纯硬件 FPGA 架构设计、运行稳定、可靠、高效。</w:t>
            </w:r>
          </w:p>
          <w:p w14:paraId="34446C45">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2.输入接口至少包括1路HDMI2.0+LOOP,2路HDMI1.3，1路USB3.0，最大可支持4096*2160@60HZ信号输入，支持选配1路3G-SDI（IN+LOOP）。</w:t>
            </w:r>
          </w:p>
          <w:p w14:paraId="7439CB10">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3.视频输出支持不少于6路千兆网口输出，1路10G-OPT光口，最大带载可达390万像素，最宽支持10240,最高8192。</w:t>
            </w:r>
          </w:p>
          <w:p w14:paraId="33170F38">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4.音频输入支持视频口伴随音频输入及独立输入两种模式，音频输出支持网口扩展输出及3.5mm独立音频口输出；</w:t>
            </w:r>
          </w:p>
          <w:p w14:paraId="46646D6B">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5.支持输入源备份功能，主源丢失下，无需人为操作可自动切换至备源显示，切换过程无黑屏；</w:t>
            </w:r>
          </w:p>
          <w:p w14:paraId="4011A1D1">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6.可支持144HZ高帧率输入输出，输出支持插帧、抽帧、倍频（2倍频、3倍频、4倍频）功能，可将30HZ信号，倍频至120HZ输出；</w:t>
            </w:r>
          </w:p>
          <w:p w14:paraId="52E7ECC3">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7.图层能力：最大可支持不少于6个2K图层或1个4K图层+2个2K图层，全部图层大小和位置可单独调节。4K接口输入2K信号，按2K图层计算图层资源；</w:t>
            </w:r>
          </w:p>
          <w:p w14:paraId="01B17473">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8.支持通过上位机软件实现对显示屏的连接，控制，包括：输入源切换，窗口位置及大小调节，分辨率自定义等；软件端支持可视化呈现设备各接口实时状态，包括视频输入状态及分辨率、网口带载利用率、监控界面支持接收卡温度、电压、误码率、通讯状态等的检测；</w:t>
            </w:r>
          </w:p>
          <w:p w14:paraId="1CBE9E66">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9.支持U盘即插即播功能，最大支持4K级（3840*2160@60fps）图片和视频的流畅播放，播放列表计切换效果支持自定义编排，最多支持20余种图片切换特效，如：水波涟漪、镜头拉近、直接推出、立体翻转、百叶窗、左右擦除、上下擦除、立方体旋转、溶解转场、网格转场、扇扫转场、画卷转场、淡入淡出、旋转扭曲、心形转场、拉帘推出、透视三角、圆形消失、矩形弹跳、星形旋转等；</w:t>
            </w:r>
          </w:p>
          <w:p w14:paraId="0C10C63A">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10.标配全彩液晶，搭配实体按键，极大的方便了设备整体状态的监控及设备功能的控制:设备功能按键及丝印信息采用全中文提示，项目上无需粘贴额外的标签纸加以区分，清晰直观;</w:t>
            </w:r>
          </w:p>
          <w:p w14:paraId="5FD4FB79">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11.支持2种用户模式，标准模式和专业模式，满足不同角色对显示屏的分权管理，使用更加放心；</w:t>
            </w:r>
          </w:p>
          <w:p w14:paraId="752D485D">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12.支持微信小程序快捷控制，包括亮度调节、输出画质调节、待机模式、画面冻结、场景切换、U盘播放等功能；</w:t>
            </w:r>
          </w:p>
          <w:p w14:paraId="546AA2CE">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13.支持平板对控制器进行快捷控制，包括亮度调节、图层布局调节、画面冻结、黑屏、场景切换、音量大小、OSD开关等功能；</w:t>
            </w:r>
          </w:p>
          <w:p w14:paraId="520B3F82">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14.支持创建多个设备还原点，将当前设备的配屏，场景，输出等参数存储为还原点，当系统工作异常时，可根据还原点一键快速还原；</w:t>
            </w:r>
          </w:p>
          <w:p w14:paraId="5220CD6C">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15.支持控制设备白名单，可通过MAC地址限制控制设备，非白名单内设备无法控制设备，不允许对设备进行操作；</w:t>
            </w:r>
          </w:p>
          <w:p w14:paraId="1E8CF2F1">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16.MTBF≥150000小时，MTTR平均修复小于10分钟可用度大于 99%，整机寿命不小于150000小时。产品稳定性高、性能卓越、纯硬件结构，上电即可正常工作，无需做任何其它设置。</w:t>
            </w:r>
          </w:p>
          <w:p w14:paraId="2EC553DF">
            <w:pPr>
              <w:pStyle w:val="10"/>
              <w:keepNext w:val="0"/>
              <w:keepLines w:val="0"/>
              <w:pageBreakBefore w:val="0"/>
              <w:tabs>
                <w:tab w:val="left" w:pos="2688"/>
              </w:tabs>
              <w:kinsoku/>
              <w:wordWrap/>
              <w:overflowPunct/>
              <w:topLinePunct w:val="0"/>
              <w:autoSpaceDE/>
              <w:autoSpaceDN/>
              <w:bidi w:val="0"/>
              <w:snapToGrid w:val="0"/>
              <w:spacing w:line="400" w:lineRule="atLeast"/>
              <w:ind w:left="0" w:leftChars="0" w:firstLine="0" w:firstLineChars="0"/>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lang w:eastAsia="zh-CN"/>
              </w:rPr>
              <w:t>17.设备控制支持BS架构，可兼容多种操作系统包括但不限于：Windows、MAC OS、深度 Linux、银河麒麟、统信 UOS中标麒麟(NeoKylin)、优麒麟(UbuntuKylin)、凝思磐石、红旗 Linux 等。</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D1D4FB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06201A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75DEF15">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5</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EA874C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LED备用模组</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29BD848">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kern w:val="0"/>
                <w:sz w:val="24"/>
                <w:szCs w:val="24"/>
                <w:highlight w:val="none"/>
                <w:lang w:val="en-US" w:eastAsia="zh-CN"/>
              </w:rPr>
              <w:t>1.模组尺寸：320mm*160mm，与主LED屏同批次；</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3094BFC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6张</w:t>
            </w:r>
          </w:p>
        </w:tc>
      </w:tr>
      <w:tr w14:paraId="228AE8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5FA5A9C1">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6</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7D8476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显示屏框架</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F87E10A">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1.框体尺寸：</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highlight w:val="none"/>
                <w:lang w:val="en-US" w:eastAsia="zh-CN"/>
              </w:rPr>
              <w:t>5860</w:t>
            </w:r>
            <w:r>
              <w:rPr>
                <w:rFonts w:hint="eastAsia" w:ascii="仿宋_GB2312" w:hAnsi="仿宋_GB2312" w:eastAsia="仿宋_GB2312" w:cs="仿宋_GB2312"/>
                <w:color w:val="auto"/>
                <w:sz w:val="24"/>
                <w:szCs w:val="24"/>
                <w:highlight w:val="none"/>
              </w:rPr>
              <w:t>mm*</w:t>
            </w:r>
            <w:r>
              <w:rPr>
                <w:rFonts w:hint="eastAsia" w:ascii="仿宋_GB2312" w:hAnsi="仿宋_GB2312" w:eastAsia="仿宋_GB2312" w:cs="仿宋_GB2312"/>
                <w:color w:val="auto"/>
                <w:sz w:val="24"/>
                <w:szCs w:val="24"/>
                <w:highlight w:val="none"/>
                <w:lang w:val="en-US" w:eastAsia="zh-CN"/>
              </w:rPr>
              <w:t>2820</w:t>
            </w:r>
            <w:r>
              <w:rPr>
                <w:rFonts w:hint="eastAsia" w:ascii="仿宋_GB2312" w:hAnsi="仿宋_GB2312" w:eastAsia="仿宋_GB2312" w:cs="仿宋_GB2312"/>
                <w:color w:val="auto"/>
                <w:sz w:val="24"/>
                <w:szCs w:val="24"/>
                <w:highlight w:val="none"/>
              </w:rPr>
              <w:t>mm，贴墙壁挂安装;</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含钢结构、定制包边。采用专用钢结构支架；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3.按照国家钢结构设计规范，满足屏体安全承载需求制；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显示屏采用支撑钢结构材料。</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F7DCA2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16.53㎡</w:t>
            </w:r>
          </w:p>
        </w:tc>
      </w:tr>
      <w:tr w14:paraId="4DD3A1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0EFC94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7</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F98A5C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计算机</w:t>
            </w:r>
            <w:r>
              <w:rPr>
                <w:rFonts w:hint="eastAsia" w:ascii="仿宋_GB2312" w:hAnsi="仿宋_GB2312" w:eastAsia="仿宋_GB2312" w:cs="仿宋_GB2312"/>
                <w:b/>
                <w:bCs/>
                <w:color w:val="auto"/>
                <w:sz w:val="24"/>
                <w:szCs w:val="24"/>
              </w:rPr>
              <w:t>（强制采购节能产品，详见采购需求说明第八点）</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31F02CB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★一、CPU规格</w:t>
            </w:r>
          </w:p>
          <w:p w14:paraId="28B390B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核8线程，主频≥2.7GHz，末级缓存≥8M，内存≥双通道DDR4-2666，热设计功耗≤70W，位宽≥64位；</w:t>
            </w:r>
          </w:p>
          <w:p w14:paraId="5340CF9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★二、内存规格</w:t>
            </w:r>
          </w:p>
          <w:p w14:paraId="69B559B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1.内存配置容量：≥16GB；</w:t>
            </w:r>
          </w:p>
          <w:p w14:paraId="61B27DD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2.内存类型：支持 DDR4/LPDDR4/LPDDR4X及以上内存类型；</w:t>
            </w:r>
          </w:p>
          <w:p w14:paraId="50BC249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3.内存条配置数量（板载内存不涉及）：≥1；</w:t>
            </w:r>
          </w:p>
          <w:p w14:paraId="6BDF964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★三、主板规格</w:t>
            </w:r>
          </w:p>
          <w:p w14:paraId="1CD7399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1.主板集成模块：集成资源扩展模块、计算处理模块、音频扩展模块等，主板的互联拓扑可通过处理器或交换电路实现；</w:t>
            </w:r>
          </w:p>
          <w:p w14:paraId="3AC8F74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2.主板支持的 CPU 和内存情况：≥</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核8线程，主频≥2.7GHz，末级缓存≥8M，内存≥双通道DDR4-2666，热设计功耗≤70W，位宽≥64位；内存条数量≥</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w:t>
            </w:r>
          </w:p>
          <w:p w14:paraId="56D6C63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3.主板其他内置接口：≥SATA接口*4，≥M.2接口*1，</w:t>
            </w:r>
            <w:r>
              <w:rPr>
                <w:rFonts w:hint="eastAsia" w:ascii="仿宋_GB2312" w:hAnsi="仿宋_GB2312" w:eastAsia="仿宋_GB2312" w:cs="仿宋_GB2312"/>
                <w:color w:val="auto"/>
                <w:sz w:val="24"/>
                <w:szCs w:val="24"/>
                <w:highlight w:val="none"/>
              </w:rPr>
              <w:t>≥USB接口*1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rPr>
              <w:t>，固态硬盘占用M.2接口*1，机械硬盘占用SATA接口*1</w:t>
            </w:r>
          </w:p>
          <w:p w14:paraId="43E92EE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4.单内存插槽最大可支持容量（板载内存不涉及）：≥16GB；</w:t>
            </w:r>
          </w:p>
          <w:p w14:paraId="4F34562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5.内存插槽满配时提供的最高内存总容量：≥64GB；</w:t>
            </w:r>
          </w:p>
          <w:p w14:paraId="2E881AF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★四、存储设备规格</w:t>
            </w:r>
          </w:p>
          <w:p w14:paraId="2982263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1.固态盘数量：≥1 个；</w:t>
            </w:r>
          </w:p>
          <w:p w14:paraId="6CD43CE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2.固态存储容量：≥512GB；</w:t>
            </w:r>
          </w:p>
          <w:p w14:paraId="54305FE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3.机械硬盘数量：≥1 个；</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4.机械硬盘总容量：≥1TB；</w:t>
            </w:r>
          </w:p>
          <w:p w14:paraId="6DF899C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5.机械硬盘转速：≥5400rpm；</w:t>
            </w:r>
          </w:p>
          <w:p w14:paraId="6AB66AC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6.机械硬盘形态：3.5 英寸等；</w:t>
            </w:r>
          </w:p>
          <w:p w14:paraId="46B4554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7.固态存储形态：采用插卡或板载等形态，可选用符合M.2 或 2.5寸SATA或mSATA等标准的插卡形态；</w:t>
            </w:r>
          </w:p>
          <w:p w14:paraId="0BE004D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8.存储设备其他参数要求：a)固态盘应符合 SJ/T 11654 相关规定；b)机械硬盘准备时间应不大于 30s；侧面固定螺丝孔数量可为4孔或6孔；工作状态环境温度应满足 5℃~55℃；其它参数应符合 GB/T 12628 相关规定；</w:t>
            </w:r>
          </w:p>
          <w:p w14:paraId="3E22D0C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★五、显卡规格</w:t>
            </w:r>
          </w:p>
          <w:p w14:paraId="4319366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1.显卡类型：独立显卡；</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2.独立显卡显存类型：显存类型为DDR3/DDR4/GDDR5 /GDDR6/LPDDR4；</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3.独立显卡显存位宽：显存位宽≥16 位；</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4.独立显卡显存容量：显存容量≥1GB；</w:t>
            </w:r>
          </w:p>
          <w:p w14:paraId="7436C84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★六、显示设备规格</w:t>
            </w:r>
          </w:p>
          <w:p w14:paraId="3415A72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1.显示屏屏占比：≥</w:t>
            </w:r>
            <w:r>
              <w:rPr>
                <w:rFonts w:hint="eastAsia" w:ascii="仿宋_GB2312" w:hAnsi="仿宋_GB2312" w:eastAsia="仿宋_GB2312" w:cs="仿宋_GB2312"/>
                <w:color w:val="auto"/>
                <w:sz w:val="24"/>
                <w:szCs w:val="24"/>
                <w:lang w:val="en-US" w:eastAsia="zh-CN"/>
              </w:rPr>
              <w:t>9</w:t>
            </w:r>
            <w:r>
              <w:rPr>
                <w:rFonts w:hint="eastAsia" w:ascii="仿宋_GB2312" w:hAnsi="仿宋_GB2312" w:eastAsia="仿宋_GB2312" w:cs="仿宋_GB2312"/>
                <w:color w:val="auto"/>
                <w:sz w:val="24"/>
                <w:szCs w:val="24"/>
              </w:rPr>
              <w:t>0%；</w:t>
            </w:r>
          </w:p>
          <w:p w14:paraId="4645BD9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2.显示屏分辨率：≥1920*1080；</w:t>
            </w:r>
          </w:p>
          <w:p w14:paraId="2691135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3.显示屏尺寸：≥23英寸；</w:t>
            </w:r>
          </w:p>
          <w:p w14:paraId="2B42D3D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4.显示屏屏幕比例：16:9；</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5.显示器外观颜色：黑色商务色系；</w:t>
            </w:r>
          </w:p>
          <w:p w14:paraId="1D32544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rPr>
              <w:t>6.显示屏防蓝光：支持防蓝光模式，蓝光加权辐射亮度比应≤0.0012W/(·cd·sr)（瓦每坎特拉每球面度）</w:t>
            </w:r>
            <w:r>
              <w:rPr>
                <w:rFonts w:hint="eastAsia" w:ascii="仿宋_GB2312" w:hAnsi="仿宋_GB2312" w:eastAsia="仿宋_GB2312" w:cs="仿宋_GB2312"/>
                <w:color w:val="auto"/>
                <w:sz w:val="24"/>
                <w:szCs w:val="24"/>
                <w:lang w:eastAsia="zh-CN"/>
              </w:rPr>
              <w:t>；</w:t>
            </w:r>
          </w:p>
          <w:p w14:paraId="2ECD863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7.显示屏低频闪：显示屏应支持低频闪≤-35dB；</w:t>
            </w:r>
          </w:p>
          <w:p w14:paraId="4B0E640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8.显示屏防炫目：显示屏镜面反射率≤10%；</w:t>
            </w:r>
          </w:p>
          <w:p w14:paraId="5C68AA2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★七、外设规格</w:t>
            </w:r>
          </w:p>
          <w:p w14:paraId="3F177B6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1.鼠标数量：≥1个；</w:t>
            </w:r>
          </w:p>
          <w:p w14:paraId="1283B30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2.键盘数量：≥1个；</w:t>
            </w:r>
          </w:p>
          <w:p w14:paraId="5DD4993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3.键盘按键数目：≥10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键；</w:t>
            </w:r>
          </w:p>
          <w:p w14:paraId="52A6063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4.键盘连接方式：有线；</w:t>
            </w:r>
          </w:p>
          <w:p w14:paraId="655C659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5.键盘键程：2.3mm-4.0mm；</w:t>
            </w:r>
          </w:p>
          <w:p w14:paraId="7354BF9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6.键盘按键压力：按键压力应在0.54N±0.14N；</w:t>
            </w:r>
          </w:p>
          <w:p w14:paraId="2590219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7.有线键盘连接线：≥1.5 米；</w:t>
            </w:r>
          </w:p>
          <w:p w14:paraId="19D8ABE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8.键盘颜色：黑色商务色系；</w:t>
            </w:r>
          </w:p>
          <w:p w14:paraId="31D4616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9.鼠标连接方式：有线；</w:t>
            </w:r>
          </w:p>
          <w:p w14:paraId="73D8B93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10.有线鼠标连接线：≥1.5米；</w:t>
            </w:r>
          </w:p>
          <w:p w14:paraId="38AA0AA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11.鼠标DPI分辨率：800-1600；</w:t>
            </w:r>
          </w:p>
          <w:p w14:paraId="0010408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12.鼠标颜色：黑色商务色系；</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13.鼠标其他要求：其它参数应符合 GB/T 26245 的相关规定；</w:t>
            </w:r>
          </w:p>
          <w:p w14:paraId="4EC9F60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★八、网络设备规格</w:t>
            </w:r>
          </w:p>
          <w:p w14:paraId="1400B29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1.有线网卡数量：≥1；</w:t>
            </w:r>
          </w:p>
          <w:p w14:paraId="40CD9EC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★九、外部接口规格</w:t>
            </w:r>
          </w:p>
          <w:p w14:paraId="61993AF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1.USB 接口数量：机箱前面板应提供不少于</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个USB 接口（含 2个USB3.0 及以上接口</w:t>
            </w:r>
            <w:r>
              <w:rPr>
                <w:rFonts w:hint="eastAsia" w:ascii="仿宋_GB2312" w:hAnsi="仿宋_GB2312" w:eastAsia="仿宋_GB2312" w:cs="仿宋_GB2312"/>
                <w:color w:val="auto"/>
                <w:sz w:val="24"/>
                <w:szCs w:val="24"/>
                <w:highlight w:val="none"/>
                <w:lang w:val="en-US" w:eastAsia="zh-CN"/>
              </w:rPr>
              <w:t>且USB接口额外支持关机状态下对外充电</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rPr>
              <w:t>2.视频接口数量：≥1；</w:t>
            </w:r>
          </w:p>
          <w:p w14:paraId="2612103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3.音频接口数量：≥1；</w:t>
            </w:r>
          </w:p>
          <w:p w14:paraId="1F7E66E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★十、整机基础规格</w:t>
            </w:r>
          </w:p>
          <w:p w14:paraId="5A3704B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1.整机外观：a) 产品表面不应有凹痕、划伤、裂缝、变形和污染等。表面涂层均匀，不应起泡、龟裂、脱落和磨损，金属零部件无锈蚀及其它机械损伤；b) 产品表面说明功能的文字、符号、标志，应清晰、端正、牢固；</w:t>
            </w:r>
          </w:p>
          <w:p w14:paraId="053464A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2.状态指示灯：在产品显著位置提供状态指示功能；</w:t>
            </w:r>
          </w:p>
          <w:p w14:paraId="2D44355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3.整机结构：a) 机箱应符合 GB/T 420</w:t>
            </w: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7FA75B8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4.机箱防护要求：机箱应符合 GB/T 4208 中 IP20 防护；</w:t>
            </w:r>
          </w:p>
          <w:p w14:paraId="2EC9C1A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5.整机噪音：产品工作在空闲状态下，产品的声功率级≤</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.5Bel；</w:t>
            </w:r>
          </w:p>
          <w:p w14:paraId="3635ED6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04B367D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7.整机能效限定值：产品能效限定值应达到 GB 28380-2012标准中能效等级 2 级及以上；</w:t>
            </w:r>
          </w:p>
          <w:p w14:paraId="3548A08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8.机身材质：塑料/金属等；</w:t>
            </w:r>
          </w:p>
          <w:p w14:paraId="21EA57B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9.机身颜色：黑色商务色系；</w:t>
            </w:r>
          </w:p>
          <w:p w14:paraId="52E30BD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10.机箱尺寸容量：机箱体积≤</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0L;</w:t>
            </w:r>
          </w:p>
          <w:p w14:paraId="1A1B400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★十一、CPU性能</w:t>
            </w:r>
          </w:p>
          <w:p w14:paraId="7FA7B0B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 物理核数：≥</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w:t>
            </w:r>
          </w:p>
          <w:p w14:paraId="478AC27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2.CPU 主频：≥2.7GHz；</w:t>
            </w:r>
          </w:p>
          <w:p w14:paraId="652433B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3.CPU 末级缓存容量：≥8MB；</w:t>
            </w:r>
          </w:p>
          <w:p w14:paraId="3C04438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4.CPU 支持的内存最高速率：≥2666MT/s；</w:t>
            </w:r>
          </w:p>
          <w:p w14:paraId="398D21C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★十二、内存性能</w:t>
            </w:r>
          </w:p>
          <w:p w14:paraId="11B3E8E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1.内存读写速率：≥2666MT/s；</w:t>
            </w:r>
          </w:p>
          <w:p w14:paraId="1A72EA2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★十三、显卡性能</w:t>
            </w:r>
          </w:p>
          <w:p w14:paraId="3395744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1.显示分辨率：≥1920*1080；</w:t>
            </w:r>
          </w:p>
          <w:p w14:paraId="45D0C59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2.显卡显示芯片核心频率：≥300MHz；</w:t>
            </w:r>
          </w:p>
          <w:p w14:paraId="3988C24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3.显存等效频率：≥1000MT/s；</w:t>
            </w:r>
          </w:p>
          <w:p w14:paraId="7BF367F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4.显卡可支持多屏同时显示数量：显卡应支持2块屏幕同时显示，分辨率应不低于1920*1080；</w:t>
            </w:r>
          </w:p>
          <w:p w14:paraId="35EF726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★十四、显示设备性能</w:t>
            </w:r>
          </w:p>
          <w:p w14:paraId="301456E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1.显示屏刷新率：≥</w:t>
            </w:r>
            <w:r>
              <w:rPr>
                <w:rFonts w:hint="eastAsia" w:ascii="仿宋_GB2312" w:hAnsi="仿宋_GB2312" w:eastAsia="仿宋_GB2312" w:cs="仿宋_GB2312"/>
                <w:color w:val="auto"/>
                <w:sz w:val="24"/>
                <w:szCs w:val="24"/>
                <w:lang w:val="en-US" w:eastAsia="zh-CN"/>
              </w:rPr>
              <w:t>90</w:t>
            </w:r>
            <w:r>
              <w:rPr>
                <w:rFonts w:hint="eastAsia" w:ascii="仿宋_GB2312" w:hAnsi="仿宋_GB2312" w:eastAsia="仿宋_GB2312" w:cs="仿宋_GB2312"/>
                <w:color w:val="auto"/>
                <w:sz w:val="24"/>
                <w:szCs w:val="24"/>
              </w:rPr>
              <w:t>Hz；</w:t>
            </w:r>
          </w:p>
          <w:p w14:paraId="7C29D8E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2.显示屏位深：≥8位；</w:t>
            </w:r>
          </w:p>
          <w:p w14:paraId="69F2D9F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3.显示屏色域：≥99%sRGB</w:t>
            </w:r>
            <w:r>
              <w:rPr>
                <w:rFonts w:hint="eastAsia" w:ascii="仿宋_GB2312" w:hAnsi="仿宋_GB2312" w:eastAsia="仿宋_GB2312" w:cs="仿宋_GB2312"/>
                <w:color w:val="auto"/>
                <w:sz w:val="24"/>
                <w:szCs w:val="24"/>
                <w:lang w:eastAsia="zh-CN"/>
              </w:rPr>
              <w:t>，≥90%DCI-P3；</w:t>
            </w:r>
          </w:p>
          <w:p w14:paraId="20411F6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4.显示屏色准：△E≤4；</w:t>
            </w:r>
          </w:p>
          <w:p w14:paraId="76EE2C7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5.显示屏响应时间：≤8ms；</w:t>
            </w:r>
          </w:p>
          <w:p w14:paraId="0B1995A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6.显示屏亮度：≥250尼特；</w:t>
            </w:r>
          </w:p>
          <w:p w14:paraId="01DE0D6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7.显示屏亮度一致性：≥70%；</w:t>
            </w:r>
          </w:p>
          <w:p w14:paraId="4B7275F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8.显示屏对比度：≥500：1；</w:t>
            </w:r>
          </w:p>
          <w:p w14:paraId="3D57143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9.显示屏其他参数：其它参数应符合 SJ/T 11292 的相关规定；</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lang w:eastAsia="zh-CN"/>
              </w:rPr>
              <w:t>★十五、网络设备性能</w:t>
            </w:r>
          </w:p>
          <w:p w14:paraId="4898737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1.有线网卡速率：最高速率应不低于1000Mbps，应支持10Mbps、100Mbps、1000Mbps 速率自适应；</w:t>
            </w:r>
          </w:p>
          <w:p w14:paraId="39D860A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★十六、主板功能</w:t>
            </w:r>
          </w:p>
          <w:p w14:paraId="3CCD1F1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1.内存扩展接口(板载内存不涉及)：≥2个；</w:t>
            </w:r>
          </w:p>
          <w:p w14:paraId="65360E7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2.主板USB瞬间过流保护：支持有瞬间过流保护功能；</w:t>
            </w:r>
          </w:p>
          <w:p w14:paraId="6106DBB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3.主板防静电保护：支持防静电保护功能；</w:t>
            </w:r>
          </w:p>
          <w:p w14:paraId="1956F2C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1696313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★十七、显卡功能</w:t>
            </w:r>
          </w:p>
          <w:p w14:paraId="512D183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1.显卡外接显示接口：显卡至少支持 VGA、HDMI、DVI、DP、Type-C 中 1 种显示接口，并与显示器接口相匹配；</w:t>
            </w:r>
          </w:p>
          <w:p w14:paraId="2940552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★十八、显示设备功能</w:t>
            </w:r>
          </w:p>
          <w:p w14:paraId="182A157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1.显示器接口：显示器应与显卡外接显示接口匹配；</w:t>
            </w:r>
          </w:p>
          <w:p w14:paraId="088E6D1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2.显示器支架：显示器应提供显示器支架；</w:t>
            </w:r>
          </w:p>
          <w:p w14:paraId="5862A9A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3.显示器参数调节：a)提供 OSD 选单按钮用于调节色彩、模式等；b)支持色温、亮度、对比度调节；</w:t>
            </w:r>
          </w:p>
          <w:p w14:paraId="4BB6F9E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★十九、存储功能</w:t>
            </w:r>
          </w:p>
          <w:p w14:paraId="029008D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1.存储功能：通过 SATA 固态存储/PCIe 固态存储/UFS 固态存储/SATA 硬磁盘等存储部件提供存储功能；</w:t>
            </w:r>
          </w:p>
          <w:p w14:paraId="0D406C2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★二十、网络设备功能</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1.网络功能：a)支持网络连接、网络开启/关闭功能；b)支持访问网络和数据交换功能；</w:t>
            </w:r>
          </w:p>
          <w:p w14:paraId="3312E35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2.数据传输：支持数据传输能力，并提供数据流量和异常日志记录功能；</w:t>
            </w:r>
          </w:p>
          <w:p w14:paraId="129A927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3.有线网卡接口类型：支持 RJ45 接口；</w:t>
            </w:r>
          </w:p>
          <w:p w14:paraId="50C142B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4.网络设备拆装：网络设备支持物理拆装，包括无线网卡和蓝牙模块等；</w:t>
            </w:r>
          </w:p>
          <w:p w14:paraId="4E4BDFD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★二十一、外部接口功能</w:t>
            </w:r>
          </w:p>
          <w:p w14:paraId="18DF76E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1.音频接口类型：支持 3.5mm 孔径 3 段式或 4 段式接口；</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2.视频接口类型：至少支持 VGA、HDMI、DVI、DP、Type-C中 1 种显示接口；</w:t>
            </w:r>
          </w:p>
          <w:p w14:paraId="0C937AA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3.HDMI、DP、Type-C 显示接口要求：若提供 HDMI 或 DP 或 Type-C 作为显示接口，应支持音频和视频同步输出；</w:t>
            </w:r>
          </w:p>
          <w:p w14:paraId="4FBC254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★二十二、电源功能</w:t>
            </w:r>
          </w:p>
          <w:p w14:paraId="793EF2A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1.电源线适配能力：电源适配器电线组件应符合 GB/T15934 的要求；</w:t>
            </w:r>
          </w:p>
          <w:p w14:paraId="1DEDD52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★二十三、操作系统及软件功能</w:t>
            </w:r>
          </w:p>
          <w:p w14:paraId="2A1BB01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1.中文信息处理要求：符合 GB 18030 的相关规定；</w:t>
            </w:r>
          </w:p>
          <w:p w14:paraId="3B738DE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2.操作系统备份及还原功能：支持操作系统备份及还原功能；</w:t>
            </w:r>
          </w:p>
          <w:p w14:paraId="33C733B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3.固件备份还原能力：支持备份及还原固件的功能；</w:t>
            </w:r>
          </w:p>
          <w:p w14:paraId="380A0CB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4.操作系统及驱动升级：支持通过网络、闪存盘等方式对操作系统、驱动进行升级；</w:t>
            </w:r>
          </w:p>
          <w:p w14:paraId="4AD2F6B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5.固件升级：支持通过网络、闪存盘等方式对固件进行升级；</w:t>
            </w:r>
          </w:p>
          <w:p w14:paraId="5E639D9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6.BIOS 支持关闭通讯接口：支持 BIOS 关闭以太网及 USB 接口；</w:t>
            </w:r>
          </w:p>
          <w:p w14:paraId="065B58C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7.固件查看信息：支持查看固件版本、内存信息、主板信息、处理器信息和系统时间信息等功能；</w:t>
            </w:r>
          </w:p>
          <w:p w14:paraId="47298E7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8.固件设置启动顺序：支持设置启动顺序功能，并按照设置的启动顺序启动；</w:t>
            </w:r>
          </w:p>
          <w:p w14:paraId="7942143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9.固件设置口令：支持设置口令、修改口令、验证口令功能；</w:t>
            </w:r>
          </w:p>
          <w:p w14:paraId="763752B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10.固件设置网络引导：支持网络引导启动和关闭功能；</w:t>
            </w:r>
          </w:p>
          <w:p w14:paraId="1E6317C2">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color w:val="auto"/>
                <w:sz w:val="24"/>
                <w:szCs w:val="24"/>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en-US" w:eastAsia="zh-CN"/>
              </w:rPr>
              <w:t>提供功能至少有文字处理、电子表格、演示文稿三大应用模块的办公软件，授权≥3年</w:t>
            </w:r>
          </w:p>
          <w:p w14:paraId="683EE90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★二十四、存储设备可靠性</w:t>
            </w:r>
          </w:p>
          <w:p w14:paraId="2D2CF77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1.固态存储寿命：TBW≥80TB（条件：512GB 硬盘容量）；</w:t>
            </w:r>
          </w:p>
          <w:p w14:paraId="64E9DAC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2.机械硬盘寿命：通电时间≥5万小时；</w:t>
            </w:r>
          </w:p>
          <w:p w14:paraId="3CBBC0B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★二十五、显示设备可靠性</w:t>
            </w:r>
          </w:p>
          <w:p w14:paraId="518E8F2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1.显示屏屏幕失效点：符合 GB/T 9813.2 的要求；</w:t>
            </w:r>
          </w:p>
          <w:p w14:paraId="7A237CF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★二十六、外设可靠性</w:t>
            </w:r>
          </w:p>
          <w:p w14:paraId="29E142B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1.键盘按键寿命：≥1000 万次；</w:t>
            </w:r>
          </w:p>
          <w:p w14:paraId="17FAE4B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2.鼠标按键寿命：≥500 万次；</w:t>
            </w:r>
          </w:p>
          <w:p w14:paraId="48BE604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3.键盘鼠标线材寿命：键盘鼠标所用线材经±60°弯折不低于 3000 次，功能、外观完好；</w:t>
            </w:r>
          </w:p>
          <w:p w14:paraId="11582A4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4.风扇寿命：≥4 万小时；</w:t>
            </w:r>
          </w:p>
          <w:p w14:paraId="52B31DD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★二十七、整机可靠性要求</w:t>
            </w:r>
          </w:p>
          <w:p w14:paraId="0390024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1.电磁兼容性要求的抗扰度：符合 GB/T 9254.2 的规定；</w:t>
            </w:r>
          </w:p>
          <w:p w14:paraId="678CEE0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2.环境条件要求的气候环境适应性：符合 GB/T 9813.1 中规定；</w:t>
            </w:r>
          </w:p>
          <w:p w14:paraId="0BB8ECB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3.环境条件要求的振动适应性：符合 GB/T 9813.1 中规定；</w:t>
            </w:r>
          </w:p>
          <w:p w14:paraId="286BD4C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4.环境条件要求的冲击适应性：符合 GB/T 9813.1 中规定；</w:t>
            </w:r>
          </w:p>
          <w:p w14:paraId="50E4854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5.环境条件要求的碰撞适应性：符合 GB/T 9813.1 中规定；</w:t>
            </w:r>
          </w:p>
          <w:p w14:paraId="422177D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6.环境条件要求的运输包装件跌落适应性：符合 GB/T 9813.1 中规定；</w:t>
            </w:r>
          </w:p>
          <w:p w14:paraId="589D1EE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7.MTBF 测试：MTBF(m1)≥</w:t>
            </w:r>
            <w:r>
              <w:rPr>
                <w:rFonts w:hint="eastAsia" w:ascii="仿宋_GB2312" w:hAnsi="仿宋_GB2312" w:eastAsia="仿宋_GB2312" w:cs="仿宋_GB2312"/>
                <w:color w:val="auto"/>
                <w:sz w:val="24"/>
                <w:szCs w:val="24"/>
                <w:highlight w:val="none"/>
                <w:lang w:val="en-US" w:eastAsia="zh-CN"/>
              </w:rPr>
              <w:t>99</w:t>
            </w:r>
            <w:r>
              <w:rPr>
                <w:rFonts w:hint="eastAsia" w:ascii="仿宋_GB2312" w:hAnsi="仿宋_GB2312" w:eastAsia="仿宋_GB2312" w:cs="仿宋_GB2312"/>
                <w:color w:val="auto"/>
                <w:sz w:val="24"/>
                <w:szCs w:val="24"/>
                <w:highlight w:val="none"/>
              </w:rPr>
              <w:t>万小时；</w:t>
            </w:r>
          </w:p>
          <w:p w14:paraId="34F753B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★二十八、兼容要求</w:t>
            </w:r>
          </w:p>
          <w:p w14:paraId="58BB61F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1.常用软件兼容：支持流式软件、版式软件、浏览器、邮件采购人端、解压软件、多媒体、图形图像处理等常用软件；</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2.数据库兼容：兼容 3 个及以上厂商的数据库产品；</w:t>
            </w:r>
          </w:p>
          <w:p w14:paraId="53FEAD8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3.中间件兼容：兼容 3 个及以上厂商中间件产品；</w:t>
            </w:r>
          </w:p>
          <w:p w14:paraId="67C171E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4.平台软件兼容：兼容 3 个及以上厂商云计算及大数据平台；</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lang w:eastAsia="zh-CN"/>
              </w:rPr>
              <w:t>★二十九、包装及运输要求</w:t>
            </w:r>
          </w:p>
          <w:p w14:paraId="44132D9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1.标志、包装、运输和贮存：符合 GB/T 9813.1 和商品包装政府采购需求标准的相关规定；</w:t>
            </w:r>
          </w:p>
          <w:p w14:paraId="4A84771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★三十、服务要求</w:t>
            </w:r>
          </w:p>
          <w:p w14:paraId="086A235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1.配置检查工具：供应商提供自检测试工具；</w:t>
            </w:r>
          </w:p>
          <w:p w14:paraId="21E10A1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5AFEE5D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3.服务周期：a) 设备停产后应继续提供质量保障服务（含备品备件），服务终止时间与最后一批设备交付时间间隔不低于</w:t>
            </w:r>
          </w:p>
          <w:p w14:paraId="236C8CA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 年；b) 产品停止服务时间应提前 1 年告知；c) 应明确产品发布日期；</w:t>
            </w:r>
          </w:p>
          <w:p w14:paraId="68A383A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4.预装操作系统：预装符合桌面操作系统政府采购需求标准的正版操作系统；</w:t>
            </w:r>
            <w:r>
              <w:rPr>
                <w:rFonts w:hint="eastAsia" w:ascii="仿宋_GB2312" w:hAnsi="仿宋_GB2312" w:eastAsia="仿宋_GB2312" w:cs="仿宋_GB2312"/>
                <w:b/>
                <w:bCs/>
                <w:color w:val="auto"/>
                <w:sz w:val="24"/>
                <w:szCs w:val="24"/>
              </w:rPr>
              <w:t>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5.培训服务：供应商提供培训材料、产品手册、培训视频等培训相关内容；</w:t>
            </w:r>
          </w:p>
          <w:p w14:paraId="7ECB141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6.典型问题解决手册：供应商提供典型问题解决说明文档或视频；</w:t>
            </w:r>
          </w:p>
          <w:p w14:paraId="1E7F541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7.厂家升级软件与扩容服务：供应商提供上门升级部件/软件与扩容的增值服务；</w:t>
            </w:r>
          </w:p>
          <w:p w14:paraId="5554AB0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8.整机质量服务要求：免费服务周期（含换件和维修）应不小于 3 年；</w:t>
            </w:r>
          </w:p>
          <w:p w14:paraId="5C70641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9.合格证书要求：供应商提供产品合格证；</w:t>
            </w:r>
          </w:p>
          <w:p w14:paraId="6D65269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10.开箱组装/使用指导要求：供应商提供开箱组装/使用指导；</w:t>
            </w:r>
          </w:p>
          <w:p w14:paraId="3C888C0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11.驱动下载服务要求：供应商提供驱动光盘或下载方式；</w:t>
            </w:r>
          </w:p>
          <w:p w14:paraId="036E776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12.兼容适配软件下载服务要求：供应商提供兼容适配软件下载渠道（光盘、网站）；</w:t>
            </w:r>
          </w:p>
          <w:p w14:paraId="5A1EA34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★三十一、供应链合规性</w:t>
            </w:r>
          </w:p>
          <w:p w14:paraId="626C06A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 产品部件保障：供应商保障产品主要部件，提供 6 年的备件服务能力（自购买之日起），或提供可兼容原设备的升级换代产品；</w:t>
            </w:r>
          </w:p>
          <w:p w14:paraId="1152B52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★三十二、供应链质量</w:t>
            </w:r>
          </w:p>
          <w:p w14:paraId="0CDB0DD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1.抗干扰性：当产品部件出现供应风险时，供应商应通知采购人并提供风险应对方案确保产品的服务保障；</w:t>
            </w:r>
          </w:p>
          <w:p w14:paraId="0E7EEEA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 供应能力证明：供应商承诺供应链稳定，确保产品的部件在产品服务周期内稳定供货；</w:t>
            </w:r>
          </w:p>
          <w:p w14:paraId="7EBD643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★三十三、关键部件安全</w:t>
            </w:r>
          </w:p>
          <w:p w14:paraId="31A3911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b/>
                <w:bCs/>
                <w:color w:val="auto"/>
                <w:sz w:val="24"/>
                <w:szCs w:val="24"/>
              </w:rPr>
            </w:pPr>
            <w:r>
              <w:rPr>
                <w:rFonts w:hint="eastAsia" w:ascii="仿宋_GB2312" w:hAnsi="仿宋_GB2312" w:eastAsia="仿宋_GB2312" w:cs="仿宋_GB2312"/>
                <w:color w:val="auto"/>
                <w:sz w:val="24"/>
                <w:szCs w:val="24"/>
              </w:rPr>
              <w:t>1.关键部件安全要求：CPU 和操作系统等关键部件应当符合安全可靠测评要求；</w:t>
            </w:r>
            <w:r>
              <w:rPr>
                <w:rFonts w:hint="eastAsia" w:ascii="仿宋_GB2312" w:hAnsi="仿宋_GB2312" w:eastAsia="仿宋_GB2312" w:cs="仿宋_GB2312"/>
                <w:b/>
                <w:bCs/>
                <w:color w:val="auto"/>
                <w:sz w:val="24"/>
                <w:szCs w:val="24"/>
              </w:rPr>
              <w:t>（通过政府有关部门指定的中国信息安全测评中心和国家保密科技测评中心网站查看安全可靠测评结果）；</w:t>
            </w:r>
          </w:p>
          <w:p w14:paraId="50A016C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注：投标人在填写《技术响应表》时，在“投标文件响应技术参数”明确给出所投</w:t>
            </w:r>
            <w:r>
              <w:rPr>
                <w:rFonts w:hint="eastAsia" w:ascii="仿宋_GB2312" w:hAnsi="仿宋_GB2312" w:eastAsia="仿宋_GB2312" w:cs="仿宋_GB2312"/>
                <w:b/>
                <w:bCs/>
                <w:color w:val="auto"/>
                <w:sz w:val="24"/>
                <w:szCs w:val="24"/>
                <w:lang w:val="en-US" w:eastAsia="zh-CN"/>
              </w:rPr>
              <w:t>计算机</w:t>
            </w:r>
            <w:r>
              <w:rPr>
                <w:rFonts w:hint="eastAsia" w:ascii="仿宋_GB2312" w:hAnsi="仿宋_GB2312" w:eastAsia="仿宋_GB2312" w:cs="仿宋_GB2312"/>
                <w:b/>
                <w:bCs/>
                <w:color w:val="auto"/>
                <w:sz w:val="24"/>
                <w:szCs w:val="24"/>
              </w:rPr>
              <w:t>“CPU型号”及“操作系统”名称，否则视为投标无效。</w:t>
            </w:r>
          </w:p>
          <w:p w14:paraId="673E7B2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★三十四、整机安全性要求</w:t>
            </w:r>
          </w:p>
          <w:p w14:paraId="22DB2E2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1.密码算法实现：CPU 芯片应符合 GM/T 0008 的相关规定，或芯片密码模块应符合 GB/T 37092或 GM/T 0028 的相关规定；（通过商用密码检测机构检测并经商用密码认证机构认证合格）</w:t>
            </w:r>
          </w:p>
          <w:p w14:paraId="2726A11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407ED5D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3.固件安全启动：支持固件安全启动功能，固件启动过程中只有通过启动校验才能正常启动；</w:t>
            </w:r>
          </w:p>
          <w:p w14:paraId="5CABAE28">
            <w:pPr>
              <w:keepNext w:val="0"/>
              <w:keepLines w:val="0"/>
              <w:pageBreakBefore w:val="0"/>
              <w:widowControl/>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4.限用物质的限量要求：符合 GB/T 26572 中规定；</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7A5A10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015A0C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2EAB538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8</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1A4600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主电源线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86130DE">
            <w:pPr>
              <w:keepNext w:val="0"/>
              <w:keepLines w:val="0"/>
              <w:pageBreakBefore w:val="0"/>
              <w:numPr>
                <w:ilvl w:val="0"/>
                <w:numId w:val="5"/>
              </w:numPr>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mm²，铜芯阻燃交联聚乙烯绝缘聚氯乙烯护套电力电缆</w:t>
            </w:r>
          </w:p>
          <w:p w14:paraId="7E1AFF28">
            <w:pPr>
              <w:keepNext w:val="0"/>
              <w:keepLines w:val="0"/>
              <w:pageBreakBefore w:val="0"/>
              <w:numPr>
                <w:ilvl w:val="0"/>
                <w:numId w:val="5"/>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额定电压0.6/1KV</w:t>
            </w:r>
          </w:p>
          <w:p w14:paraId="03F82406">
            <w:pPr>
              <w:keepNext w:val="0"/>
              <w:keepLines w:val="0"/>
              <w:pageBreakBefore w:val="0"/>
              <w:numPr>
                <w:ilvl w:val="0"/>
                <w:numId w:val="5"/>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导体电阻≤1.15Ω/km</w:t>
            </w:r>
          </w:p>
          <w:p w14:paraId="19ED2B4E">
            <w:pPr>
              <w:keepNext w:val="0"/>
              <w:keepLines w:val="0"/>
              <w:pageBreakBefore w:val="0"/>
              <w:numPr>
                <w:ilvl w:val="0"/>
                <w:numId w:val="5"/>
              </w:numPr>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电压试验3500V/5min不击穿。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43CA0A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30米</w:t>
            </w:r>
          </w:p>
        </w:tc>
      </w:tr>
      <w:tr w14:paraId="40B1D9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284FA7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9</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75B5D54E">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配电箱</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F8314E5">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lang w:val="en-US" w:eastAsia="zh-CN"/>
              </w:rPr>
              <w:t>20</w:t>
            </w:r>
            <w:r>
              <w:rPr>
                <w:rFonts w:hint="eastAsia" w:ascii="仿宋_GB2312" w:hAnsi="仿宋_GB2312" w:eastAsia="仿宋_GB2312" w:cs="仿宋_GB2312"/>
                <w:color w:val="auto"/>
                <w:sz w:val="24"/>
                <w:szCs w:val="24"/>
                <w:highlight w:val="none"/>
              </w:rPr>
              <w:t>KW，支持分步延时上电、远程设置、具有短路、过流、过压、过载、避雷、过温等保护特性。</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1181E8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0A8DB4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264EBF1">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10</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A1EBC5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网线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FDC17F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color w:val="auto"/>
                <w:sz w:val="24"/>
                <w:szCs w:val="24"/>
                <w:highlight w:val="none"/>
              </w:rPr>
            </w:pPr>
            <w:r>
              <w:rPr>
                <w:rFonts w:hint="eastAsia" w:ascii="仿宋_GB2312" w:hAnsi="仿宋_GB2312" w:eastAsia="仿宋_GB2312" w:cs="仿宋_GB2312"/>
                <w:b w:val="0"/>
                <w:bCs/>
                <w:color w:val="auto"/>
                <w:sz w:val="24"/>
                <w:szCs w:val="24"/>
                <w:highlight w:val="none"/>
              </w:rPr>
              <w:t>1．六类非屏蔽双绞线，纯铜芯，传输无衰减，采用PVC环保外皮，包装长度305米；</w:t>
            </w:r>
          </w:p>
          <w:p w14:paraId="7A064D03">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color w:val="auto"/>
                <w:sz w:val="24"/>
                <w:szCs w:val="24"/>
                <w:highlight w:val="none"/>
              </w:rPr>
              <w:t>2．芯数: 4*2含十字骨架；导体直径：0.57±0.05mm；外护套材质：PVC；外径：6.3±0.2mm； PVC外护套符合</w:t>
            </w:r>
            <w:r>
              <w:rPr>
                <w:rFonts w:hint="eastAsia" w:ascii="仿宋_GB2312" w:hAnsi="仿宋_GB2312" w:eastAsia="仿宋_GB2312" w:cs="仿宋_GB2312"/>
                <w:b w:val="0"/>
                <w:bCs/>
                <w:color w:val="auto"/>
                <w:sz w:val="24"/>
                <w:szCs w:val="24"/>
                <w:highlight w:val="none"/>
                <w:lang w:val="en-US" w:eastAsia="zh-CN"/>
              </w:rPr>
              <w:t>国标</w:t>
            </w:r>
            <w:r>
              <w:rPr>
                <w:rFonts w:hint="eastAsia" w:ascii="仿宋_GB2312" w:hAnsi="仿宋_GB2312" w:eastAsia="仿宋_GB2312" w:cs="仿宋_GB2312"/>
                <w:b w:val="0"/>
                <w:bCs/>
                <w:color w:val="auto"/>
                <w:sz w:val="24"/>
                <w:szCs w:val="24"/>
                <w:highlight w:val="none"/>
              </w:rPr>
              <w:t>相关规定。</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C53E93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1箱</w:t>
            </w:r>
          </w:p>
        </w:tc>
      </w:tr>
      <w:tr w14:paraId="16884E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B566A2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700C720E">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网络跳线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D8E7513">
            <w:pPr>
              <w:pStyle w:val="178"/>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RJ45超五类网络跳线（</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米）。</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394A40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38条</w:t>
            </w:r>
          </w:p>
        </w:tc>
      </w:tr>
      <w:tr w14:paraId="44CCA9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FBE501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B49BFB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内部电源线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C547C7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1.</w:t>
            </w: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2.5</w:t>
            </w:r>
            <w:r>
              <w:rPr>
                <w:rFonts w:hint="eastAsia" w:ascii="仿宋_GB2312" w:hAnsi="仿宋_GB2312" w:eastAsia="仿宋_GB2312" w:cs="仿宋_GB2312"/>
                <w:color w:val="auto"/>
                <w:sz w:val="24"/>
                <w:szCs w:val="24"/>
                <w:highlight w:val="none"/>
              </w:rPr>
              <w:t>mm²，铜芯阻燃交联聚乙烯绝缘聚氯乙烯护套电力电缆</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额定电压0.6/1KV</w:t>
            </w:r>
            <w:r>
              <w:rPr>
                <w:rFonts w:hint="eastAsia" w:ascii="仿宋_GB2312" w:hAnsi="仿宋_GB2312" w:eastAsia="仿宋_GB2312" w:cs="仿宋_GB2312"/>
                <w:color w:val="auto"/>
                <w:sz w:val="24"/>
                <w:szCs w:val="24"/>
                <w:highlight w:val="none"/>
                <w:lang w:eastAsia="zh-CN"/>
              </w:rPr>
              <w:t>；</w:t>
            </w:r>
          </w:p>
          <w:p w14:paraId="143406D7">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rPr>
              <w:t>导体电阻≤1.15Ω/km</w:t>
            </w:r>
            <w:r>
              <w:rPr>
                <w:rFonts w:hint="eastAsia" w:ascii="仿宋_GB2312" w:hAnsi="仿宋_GB2312" w:eastAsia="仿宋_GB2312" w:cs="仿宋_GB2312"/>
                <w:color w:val="auto"/>
                <w:sz w:val="24"/>
                <w:szCs w:val="24"/>
                <w:highlight w:val="none"/>
                <w:lang w:eastAsia="zh-CN"/>
              </w:rPr>
              <w:t>；</w:t>
            </w:r>
          </w:p>
          <w:p w14:paraId="5FD7F40C">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电压试验3500V/5min不击穿。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440E11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80米</w:t>
            </w:r>
          </w:p>
        </w:tc>
      </w:tr>
      <w:tr w14:paraId="5C7D69E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8FB687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9749AE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辅助材料及施工等</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DEA96F4">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含布线施工及设计，安装调试及培训、辅材等。按柳州市教育系统工程施工规范要求实施。</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C4726E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3FA4CC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6AC7011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bCs/>
                <w:color w:val="auto"/>
                <w:kern w:val="0"/>
                <w:sz w:val="24"/>
                <w:lang w:val="en-US" w:eastAsia="zh-CN" w:bidi="ar"/>
              </w:rPr>
              <w:t>（五）柳江实验高中户外全彩LED屏</w:t>
            </w:r>
          </w:p>
        </w:tc>
      </w:tr>
      <w:tr w14:paraId="02494C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E853D0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3CA0B5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室外全彩LED屏</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7F328A2">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1.屏体面积</w:t>
            </w:r>
            <w:r>
              <w:rPr>
                <w:rFonts w:hint="eastAsia" w:ascii="仿宋_GB2312" w:hAnsi="仿宋_GB2312" w:eastAsia="仿宋_GB2312" w:cs="仿宋_GB2312"/>
                <w:color w:val="auto"/>
                <w:sz w:val="24"/>
                <w:szCs w:val="24"/>
                <w:lang w:eastAsia="zh-CN"/>
              </w:rPr>
              <w:t>尺寸：长</w:t>
            </w:r>
            <w:r>
              <w:rPr>
                <w:rFonts w:hint="eastAsia" w:ascii="仿宋_GB2312" w:hAnsi="仿宋_GB2312" w:eastAsia="仿宋_GB2312" w:cs="仿宋_GB2312"/>
                <w:color w:val="auto"/>
                <w:sz w:val="24"/>
                <w:szCs w:val="24"/>
                <w:lang w:val="en-US" w:eastAsia="zh-CN"/>
              </w:rPr>
              <w:t>7.04米*高3.68米≈25.91平方米</w:t>
            </w:r>
          </w:p>
          <w:p w14:paraId="0686E8E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2.点间距≤4mm ，像素密度≤62500点/㎡</w:t>
            </w:r>
            <w:r>
              <w:rPr>
                <w:rFonts w:hint="eastAsia" w:ascii="仿宋_GB2312" w:hAnsi="仿宋_GB2312" w:eastAsia="仿宋_GB2312" w:cs="仿宋_GB2312"/>
                <w:color w:val="auto"/>
                <w:sz w:val="24"/>
                <w:szCs w:val="24"/>
                <w:lang w:eastAsia="zh-CN"/>
              </w:rPr>
              <w:t>；</w:t>
            </w:r>
          </w:p>
          <w:p w14:paraId="6447522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3.模组间相对错位均值≤0.1mm;平整度等级≤0. 5mm, 水平相对错位等级≤2%;垂直相对错位等级≤2%</w:t>
            </w:r>
            <w:r>
              <w:rPr>
                <w:rFonts w:hint="eastAsia" w:ascii="仿宋_GB2312" w:hAnsi="仿宋_GB2312" w:eastAsia="仿宋_GB2312" w:cs="仿宋_GB2312"/>
                <w:color w:val="auto"/>
                <w:sz w:val="24"/>
                <w:szCs w:val="24"/>
                <w:lang w:eastAsia="zh-CN"/>
              </w:rPr>
              <w:t>；</w:t>
            </w:r>
          </w:p>
          <w:p w14:paraId="6642F97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highlight w:val="none"/>
              </w:rPr>
              <w:t>亮度均匀性 ≥99%</w:t>
            </w:r>
            <w:r>
              <w:rPr>
                <w:rFonts w:hint="eastAsia" w:ascii="仿宋_GB2312" w:hAnsi="仿宋_GB2312" w:eastAsia="仿宋_GB2312" w:cs="仿宋_GB2312"/>
                <w:color w:val="auto"/>
                <w:sz w:val="24"/>
                <w:szCs w:val="24"/>
              </w:rPr>
              <w:t>,色度均匀性在±0.002CX, Cy之内，支持通过配套软件调节刷新率的设置选项，刷新率支持1920Hz-3840Hz,同时支持0～100%无极调节</w:t>
            </w:r>
            <w:r>
              <w:rPr>
                <w:rFonts w:hint="eastAsia" w:ascii="仿宋_GB2312" w:hAnsi="仿宋_GB2312" w:eastAsia="仿宋_GB2312" w:cs="仿宋_GB2312"/>
                <w:color w:val="auto"/>
                <w:sz w:val="24"/>
                <w:szCs w:val="24"/>
                <w:lang w:eastAsia="zh-CN"/>
              </w:rPr>
              <w:t>；</w:t>
            </w:r>
          </w:p>
          <w:p w14:paraId="4A77D56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5.抗电强度：在交流电源输入端与金属外框可触及的金属结构件(与保护接地接)间施加 50Hz基本正弦波、1500V(有效值)的测试电压，1min，测试期间应不发生绝缘击穿</w:t>
            </w:r>
            <w:r>
              <w:rPr>
                <w:rFonts w:hint="eastAsia" w:ascii="仿宋_GB2312" w:hAnsi="仿宋_GB2312" w:eastAsia="仿宋_GB2312" w:cs="仿宋_GB2312"/>
                <w:color w:val="auto"/>
                <w:sz w:val="24"/>
                <w:szCs w:val="24"/>
                <w:lang w:eastAsia="zh-CN"/>
              </w:rPr>
              <w:t>；</w:t>
            </w:r>
          </w:p>
          <w:p w14:paraId="066740F2">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6.最大亮度≥5800cd/㎡，支持单点亮度色度校正功能，校正后亮度损失&lt;8%；发光点中心距偏差≤1%；水平视角≥170°垂直视角≥170°；</w:t>
            </w:r>
          </w:p>
          <w:p w14:paraId="0EBA49D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7.支持PWM 灰阶控制技术提升低灰视觉效果；支持软件实现不同亮度情况下，灰度8-16bit任意设置 0-100%亮度时，8-16bits 任意灰度设直;支持低灰高亮：100%亮度时，16bit 灰度；70%亮度时，16 bit 灰度；50%亮度时，13 bit 灰度；20%亮度时，12bit 灰度；</w:t>
            </w:r>
          </w:p>
          <w:p w14:paraId="712E2F1E">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8.支持动态节能，带有智能节电功能、带电黑屏节电功能，开启智能节电功能比没有开启节能 45%以上。最大功耗≤880W/㎡；平均功耗≤ 295W/㎡；</w:t>
            </w:r>
          </w:p>
          <w:p w14:paraId="23B7E35D">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9.维护方式：支持前/后维护，支持磁吸固定方式，LED 显示屏支持不关屏热插拔抢修维护功能</w:t>
            </w:r>
            <w:r>
              <w:rPr>
                <w:rFonts w:hint="eastAsia" w:ascii="仿宋_GB2312" w:hAnsi="仿宋_GB2312" w:eastAsia="仿宋_GB2312" w:cs="仿宋_GB2312"/>
                <w:color w:val="auto"/>
                <w:sz w:val="24"/>
                <w:szCs w:val="24"/>
                <w:lang w:eastAsia="zh-CN"/>
              </w:rPr>
              <w:t>；</w:t>
            </w:r>
          </w:p>
          <w:p w14:paraId="4097DF4E">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10.屏体正面为亚黑处理，反光率≤2%，LED 显示屏 Color Space 覆盖率≥173% YUV(PLA)</w:t>
            </w:r>
          </w:p>
          <w:p w14:paraId="71FBCF44">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11.依据 GB/T4208-2017 国家标准，符合 IP65 防护等级</w:t>
            </w:r>
            <w:r>
              <w:rPr>
                <w:rFonts w:hint="eastAsia" w:ascii="仿宋_GB2312" w:hAnsi="仿宋_GB2312" w:eastAsia="仿宋_GB2312" w:cs="仿宋_GB2312"/>
                <w:color w:val="auto"/>
                <w:sz w:val="24"/>
                <w:szCs w:val="24"/>
                <w:lang w:eastAsia="zh-CN"/>
              </w:rPr>
              <w:t>；</w:t>
            </w:r>
          </w:p>
          <w:p w14:paraId="2DED988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12.按 GB 4943.1-2022 的规定进行，LED 显示屏应有保护接地端子，单个 LED 显示屏模组的接地电阻应不大于0.1Ω,多个拼接的 LED显示屏的金属外壳应与LED显示屏的钢架一起接地，且显示屏整体系统的接地电阻应不大于 1Ω</w:t>
            </w:r>
            <w:r>
              <w:rPr>
                <w:rFonts w:hint="eastAsia" w:ascii="仿宋_GB2312" w:hAnsi="仿宋_GB2312" w:eastAsia="仿宋_GB2312" w:cs="仿宋_GB2312"/>
                <w:color w:val="auto"/>
                <w:sz w:val="24"/>
                <w:szCs w:val="24"/>
                <w:lang w:eastAsia="zh-CN"/>
              </w:rPr>
              <w:t>；</w:t>
            </w:r>
          </w:p>
          <w:p w14:paraId="49BEF78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13.使用基本绝缘作为基本安全防护，</w:t>
            </w:r>
            <w:r>
              <w:rPr>
                <w:rFonts w:hint="eastAsia" w:ascii="仿宋_GB2312" w:hAnsi="仿宋_GB2312" w:eastAsia="仿宋_GB2312" w:cs="仿宋_GB2312"/>
                <w:color w:val="auto"/>
                <w:sz w:val="24"/>
                <w:szCs w:val="24"/>
                <w:highlight w:val="none"/>
              </w:rPr>
              <w:t>同时使用保护连接和保护接地作为附加安全防护，达到防电击保护</w:t>
            </w:r>
            <w:r>
              <w:rPr>
                <w:rFonts w:hint="eastAsia" w:ascii="仿宋_GB2312" w:hAnsi="仿宋_GB2312" w:eastAsia="仿宋_GB2312" w:cs="仿宋_GB2312"/>
                <w:color w:val="auto"/>
                <w:sz w:val="24"/>
                <w:szCs w:val="24"/>
              </w:rPr>
              <w:t>I类设备</w:t>
            </w:r>
            <w:r>
              <w:rPr>
                <w:rFonts w:hint="eastAsia" w:ascii="仿宋_GB2312" w:hAnsi="仿宋_GB2312" w:eastAsia="仿宋_GB2312" w:cs="仿宋_GB2312"/>
                <w:color w:val="auto"/>
                <w:sz w:val="24"/>
                <w:szCs w:val="24"/>
                <w:lang w:eastAsia="zh-CN"/>
              </w:rPr>
              <w:t>；</w:t>
            </w:r>
          </w:p>
          <w:p w14:paraId="273EE3E1">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14.依据GB4943.1-2022标准，套件(塑料面板、面罩)、塑胶件、PCB板电路板阻燃等级达到UL94 V-0等级；整机阻燃测试</w:t>
            </w:r>
            <w:r>
              <w:rPr>
                <w:rFonts w:hint="eastAsia" w:ascii="仿宋_GB2312" w:hAnsi="仿宋_GB2312" w:eastAsia="仿宋_GB2312" w:cs="仿宋_GB2312"/>
                <w:color w:val="auto"/>
                <w:sz w:val="24"/>
                <w:szCs w:val="24"/>
                <w:lang w:eastAsia="zh-CN"/>
              </w:rPr>
              <w:t>；</w:t>
            </w:r>
          </w:p>
          <w:p w14:paraId="50FBF74E">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15.温升：按GB4943.1-2022的规定进行，LED显示屏在满负荷工作30min后用测温计测试各可触及点温度，LED显示屏正常使用时在达到热平衡后，屏体结构的金属部分的温升≤25°C，绝缘材料温升≤25°C</w:t>
            </w:r>
            <w:r>
              <w:rPr>
                <w:rFonts w:hint="eastAsia" w:ascii="仿宋_GB2312" w:hAnsi="仿宋_GB2312" w:eastAsia="仿宋_GB2312" w:cs="仿宋_GB2312"/>
                <w:color w:val="auto"/>
                <w:sz w:val="24"/>
                <w:szCs w:val="24"/>
                <w:lang w:eastAsia="zh-CN"/>
              </w:rPr>
              <w:t>；</w:t>
            </w:r>
          </w:p>
          <w:p w14:paraId="13884A4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16.具有信号加密传输功能，支持控制器与屏体之间信号加密传输功能，防止网络恶意入侵。</w:t>
            </w:r>
          </w:p>
          <w:p w14:paraId="2E694C62">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17.保证安全性及稳定性保障，所供产品需通过防火等级评定，测试依据为BS476-7:1997(包含勘误 1):2014 的分级标准，评定等级不低于Class 2级</w:t>
            </w:r>
          </w:p>
          <w:p w14:paraId="55A9F2CD">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18.寿命典型值≥115000h</w:t>
            </w:r>
            <w:r>
              <w:rPr>
                <w:rFonts w:hint="eastAsia" w:ascii="仿宋_GB2312" w:hAnsi="仿宋_GB2312" w:eastAsia="仿宋_GB2312" w:cs="仿宋_GB2312"/>
                <w:color w:val="auto"/>
                <w:sz w:val="24"/>
                <w:szCs w:val="24"/>
                <w:lang w:eastAsia="zh-CN"/>
              </w:rPr>
              <w:t>；</w:t>
            </w:r>
          </w:p>
          <w:p w14:paraId="1ACE1211">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电流增益调节级别、电流增益：电流增益调节级别≥7位，电流增益调节范围1%～199%</w:t>
            </w:r>
          </w:p>
          <w:p w14:paraId="2C539ED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20、色域空间：LED显示屏ColorSpace覆盖率≥120%YIQ （NTSC）ED显示屏ColorSpace覆盖率≥172%YUV （PAL）</w:t>
            </w:r>
            <w:r>
              <w:rPr>
                <w:rFonts w:hint="eastAsia" w:ascii="仿宋_GB2312" w:hAnsi="仿宋_GB2312" w:eastAsia="仿宋_GB2312" w:cs="仿宋_GB2312"/>
                <w:color w:val="auto"/>
                <w:sz w:val="24"/>
                <w:szCs w:val="24"/>
                <w:lang w:eastAsia="zh-CN"/>
              </w:rPr>
              <w:t>；</w:t>
            </w:r>
          </w:p>
          <w:p w14:paraId="6A039669">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电源线柔韧性：拉力≥9kgf 信号衰减：≤202mV</w:t>
            </w:r>
            <w:r>
              <w:rPr>
                <w:rFonts w:hint="eastAsia" w:ascii="仿宋_GB2312" w:hAnsi="仿宋_GB2312" w:eastAsia="仿宋_GB2312" w:cs="仿宋_GB2312"/>
                <w:color w:val="auto"/>
                <w:sz w:val="24"/>
                <w:szCs w:val="24"/>
                <w:lang w:eastAsia="zh-CN"/>
              </w:rPr>
              <w:t>；</w:t>
            </w:r>
          </w:p>
          <w:p w14:paraId="09F9F2F2">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雾度：可见光投射比≥88%，因磨耗引起的雾度≤1.40%，抗磨性能符合标准中的技术要求</w:t>
            </w:r>
            <w:r>
              <w:rPr>
                <w:rFonts w:hint="eastAsia" w:ascii="仿宋_GB2312" w:hAnsi="仿宋_GB2312" w:eastAsia="仿宋_GB2312" w:cs="仿宋_GB2312"/>
                <w:color w:val="auto"/>
                <w:sz w:val="24"/>
                <w:szCs w:val="24"/>
                <w:lang w:eastAsia="zh-CN"/>
              </w:rPr>
              <w:t>；</w:t>
            </w:r>
          </w:p>
          <w:p w14:paraId="6DE448E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摩擦起电电压：≤105V；26,26,24 在专业测试环境中，测试距离=1m 声压级≤1.5dB</w:t>
            </w:r>
          </w:p>
          <w:p w14:paraId="767D342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 xml:space="preserve">LED显示屏能效：能效一级，能源效率≥3.1cd/w </w:t>
            </w:r>
            <w:r>
              <w:rPr>
                <w:rFonts w:hint="eastAsia" w:ascii="仿宋_GB2312" w:hAnsi="仿宋_GB2312" w:eastAsia="仿宋_GB2312" w:cs="仿宋_GB2312"/>
                <w:color w:val="auto"/>
                <w:sz w:val="24"/>
                <w:szCs w:val="24"/>
                <w:lang w:eastAsia="zh-CN"/>
              </w:rPr>
              <w:t>；</w:t>
            </w:r>
          </w:p>
          <w:p w14:paraId="1AA1B37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信噪比：LED显示屏画面信噪比≥58dB  表面硬度：具备划痕性能技术，表面硬度≥4H</w:t>
            </w:r>
          </w:p>
          <w:p w14:paraId="291FAF0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灯珠推力测试随机选择LED灯珠，在灯珠四侧以水平夹角45°的方向施加推力12N，灯珠未破碎或脱落</w:t>
            </w:r>
            <w:r>
              <w:rPr>
                <w:rFonts w:hint="eastAsia" w:ascii="仿宋_GB2312" w:hAnsi="仿宋_GB2312" w:eastAsia="仿宋_GB2312" w:cs="仿宋_GB2312"/>
                <w:color w:val="auto"/>
                <w:sz w:val="24"/>
                <w:szCs w:val="24"/>
                <w:lang w:eastAsia="zh-CN"/>
              </w:rPr>
              <w:t>；</w:t>
            </w:r>
          </w:p>
          <w:p w14:paraId="52F605B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HDR显示技术</w:t>
            </w:r>
            <w:r>
              <w:rPr>
                <w:rFonts w:hint="eastAsia" w:ascii="仿宋_GB2312" w:hAnsi="仿宋_GB2312" w:eastAsia="仿宋_GB2312" w:cs="仿宋_GB2312"/>
                <w:strike w:val="0"/>
                <w:color w:val="auto"/>
                <w:sz w:val="24"/>
                <w:szCs w:val="24"/>
                <w:lang w:eastAsia="zh-CN"/>
              </w:rPr>
              <w:t>，</w:t>
            </w:r>
            <w:r>
              <w:rPr>
                <w:rFonts w:hint="eastAsia" w:ascii="仿宋_GB2312" w:hAnsi="仿宋_GB2312" w:eastAsia="仿宋_GB2312" w:cs="仿宋_GB2312"/>
                <w:color w:val="auto"/>
                <w:sz w:val="24"/>
                <w:szCs w:val="24"/>
              </w:rPr>
              <w:t>支持高动态范围(HDR，High-DynamicRange)检测项目峰值亮度1000~1500、黑色亮度≤0.06cd/m</w:t>
            </w: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EOTF曲线拟合度0.7-1.</w:t>
            </w: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色域覆盖率≥88（相对DCI-P3色空间）、色域重合度≥55%）</w:t>
            </w:r>
            <w:r>
              <w:rPr>
                <w:rFonts w:hint="eastAsia" w:ascii="仿宋_GB2312" w:hAnsi="仿宋_GB2312" w:eastAsia="仿宋_GB2312" w:cs="仿宋_GB2312"/>
                <w:color w:val="auto"/>
                <w:sz w:val="24"/>
                <w:szCs w:val="24"/>
                <w:lang w:eastAsia="zh-CN"/>
              </w:rPr>
              <w:t>；</w:t>
            </w:r>
          </w:p>
          <w:p w14:paraId="16A86E0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自动Gamma矫正技术设置支持自动Gamma校正技术，通过构造非线性校正曲线和色坐标变换系数矩阵实现了显示效果的不断改善，各项重要指标如色彩还原性、色温调节范围、亮度均匀性、色度均匀性、刷新率、换帧频率等，均符合广电级标准</w:t>
            </w:r>
            <w:r>
              <w:rPr>
                <w:rFonts w:hint="eastAsia" w:ascii="仿宋_GB2312" w:hAnsi="仿宋_GB2312" w:eastAsia="仿宋_GB2312" w:cs="仿宋_GB2312"/>
                <w:color w:val="auto"/>
                <w:sz w:val="24"/>
                <w:szCs w:val="24"/>
                <w:lang w:eastAsia="zh-CN"/>
              </w:rPr>
              <w:t>；</w:t>
            </w:r>
          </w:p>
          <w:p w14:paraId="3173F61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29.</w:t>
            </w:r>
            <w:r>
              <w:rPr>
                <w:rFonts w:hint="eastAsia" w:ascii="仿宋_GB2312" w:hAnsi="仿宋_GB2312" w:eastAsia="仿宋_GB2312" w:cs="仿宋_GB2312"/>
                <w:color w:val="auto"/>
                <w:sz w:val="24"/>
                <w:szCs w:val="24"/>
              </w:rPr>
              <w:t>支持动态节能，带有智能节电功能、带电黑屏节电功能，开启智能节电功能比没有开启节能 45%以上。最大功耗≤880W/㎡；平均功耗≤ 295W/㎡</w:t>
            </w:r>
          </w:p>
          <w:p w14:paraId="23DDCAE1">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30.</w:t>
            </w:r>
            <w:r>
              <w:rPr>
                <w:rFonts w:hint="eastAsia" w:ascii="仿宋_GB2312" w:hAnsi="仿宋_GB2312" w:eastAsia="仿宋_GB2312" w:cs="仿宋_GB2312"/>
                <w:color w:val="auto"/>
                <w:sz w:val="24"/>
                <w:szCs w:val="24"/>
              </w:rPr>
              <w:t>电流增益调节级别≥8位，电流增益调节范围1%～199</w:t>
            </w:r>
            <w:r>
              <w:rPr>
                <w:rFonts w:hint="eastAsia" w:ascii="仿宋_GB2312" w:hAnsi="仿宋_GB2312" w:eastAsia="仿宋_GB2312" w:cs="仿宋_GB2312"/>
                <w:color w:val="auto"/>
                <w:sz w:val="24"/>
                <w:szCs w:val="24"/>
                <w:lang w:eastAsia="zh-CN"/>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7384A90">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25.91㎡</w:t>
            </w:r>
          </w:p>
        </w:tc>
      </w:tr>
      <w:tr w14:paraId="539BD5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26739F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279FA4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LED备用模组</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43B4404">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kern w:val="0"/>
                <w:sz w:val="24"/>
                <w:szCs w:val="24"/>
                <w:highlight w:val="none"/>
                <w:lang w:val="en-US" w:eastAsia="zh-CN"/>
              </w:rPr>
              <w:t>1.模组尺寸：320mm*160mm，与主LED屏同批次；</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417ADB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15张</w:t>
            </w:r>
          </w:p>
        </w:tc>
      </w:tr>
      <w:tr w14:paraId="75E179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B2E8B9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7202C4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LED电源</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AE12F44">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1.输入电压：200-240Vac,40-63Hz</w:t>
            </w:r>
          </w:p>
          <w:p w14:paraId="48B0E50E">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2.输出电流：40A/输出电压：5V</w:t>
            </w:r>
          </w:p>
          <w:p w14:paraId="77AA69C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3.泄漏电流：&lt;1ma（Vin：230）</w:t>
            </w:r>
          </w:p>
          <w:p w14:paraId="4341669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4.保护功能：输入欠压；过载保护；短路保护</w:t>
            </w:r>
          </w:p>
          <w:p w14:paraId="544FC2E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5.工作温度：-30~50℃/储存温度：-40~80℃</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4E84F8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135台</w:t>
            </w:r>
          </w:p>
        </w:tc>
      </w:tr>
      <w:tr w14:paraId="062932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6973233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D22F305">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接收卡</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474F6C2">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单卡最大带载 512×384像素，支持 24组 RGB 并行数据。采用12个HUB75接口，具有高稳定性和高可靠性，适用于多种环境的搭建</w:t>
            </w:r>
          </w:p>
          <w:p w14:paraId="056DA36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 xml:space="preserve">支持逐点亮色度校正，配合调试软件和校正软件，对每个灯点的亮度和色度进行校正。 </w:t>
            </w:r>
          </w:p>
          <w:p w14:paraId="2470709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支持普通修缝，可在对应调试软件上进行修缝，用来消除灯板与灯板、箱体与箱体之间的缝隙。</w:t>
            </w:r>
          </w:p>
          <w:p w14:paraId="39689FE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支持低延时，降低视频源在接收卡端的延迟，延迟低至1帧。</w:t>
            </w:r>
          </w:p>
          <w:p w14:paraId="5BFED62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支持配合支持 3D 功能的独立主控，在调试软件或独立主控的操作面板上开启 3D 功能，并设置 3D 参数，使画面显示 3D 效果</w:t>
            </w:r>
          </w:p>
          <w:p w14:paraId="639F663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支持四种级联方向（0°/90°/180°/270°）的画面进行切换。</w:t>
            </w:r>
          </w:p>
          <w:p w14:paraId="4D51929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支持异形构造，可轻松实现异形屏、球形屏等创意显示屏。</w:t>
            </w:r>
          </w:p>
          <w:p w14:paraId="1ACDAB8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支持误码率监测，配合对应版本的调试软件 ，监测接收卡间通讯时传输链路上的数据丢包情况。</w:t>
            </w:r>
          </w:p>
          <w:p w14:paraId="15D6D1B5">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支持固件程序回读，在对应版本软件上可以回读接收卡的固件程序并保存到本地。</w:t>
            </w:r>
          </w:p>
          <w:p w14:paraId="2D06FF44">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支持配置参数回读，在 调试软件上可以回读接收卡配置参数并保存到本地。</w:t>
            </w:r>
          </w:p>
          <w:p w14:paraId="22CDB7FC">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支持环路备份，利用冗余网口增加与发送设备之间的连接，增加设备之间级联的可靠性，当一路出现故障时可实现无缝切换至另一路，保障屏体正常显示。</w:t>
            </w:r>
          </w:p>
          <w:p w14:paraId="5845B02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支持双程序备份，接收卡出厂时保存了两份应用程序，以防程序更新异常导致的升级卡死。</w:t>
            </w:r>
          </w:p>
          <w:p w14:paraId="7D256AC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支持连接多功能卡。</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AC4E61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30张</w:t>
            </w:r>
          </w:p>
        </w:tc>
      </w:tr>
      <w:tr w14:paraId="40621DB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B0A236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5</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73C8B8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视频处理器</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6B42693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支持多路输入接口：包括但不限于1 路 DVI，1 路 HDMI，1 路 VGA，1 路 USB ，1 路 CVBS，以适用各种前端输入信号；</w:t>
            </w:r>
          </w:p>
          <w:p w14:paraId="29FF27B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发送卡和视频处理器二合一，减少系统连线，有效提升系统的稳定性及兼容性；</w:t>
            </w:r>
          </w:p>
          <w:p w14:paraId="26369C3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支持插入U盘播放，最大支持1920x1080@60Hz视频输入；</w:t>
            </w:r>
          </w:p>
          <w:p w14:paraId="7DB299D4">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设备前面板配备直观的 LCD 显示界面，可实时显示型号、ip地址、窗口及信号源的分辨率、网口的状态、屏幕大小及帧频、USB 连接或网线连接状态和屏体亮度等信息；</w:t>
            </w:r>
          </w:p>
          <w:p w14:paraId="129C2DD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支持配合多功能卡，实现对屏体电源的手动控制，自动控制，以及软件控制</w:t>
            </w:r>
          </w:p>
          <w:p w14:paraId="299455DD">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支持 DVI、HDMI 的输入分辨率自定义调节。</w:t>
            </w:r>
          </w:p>
          <w:p w14:paraId="074B75F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支持逐点亮度校正，可以对每个灯点的亮度和色度进行采集校正，有效消除色差，使整屏的亮度和色度达到高度均匀一致，提高显示屏的画质。</w:t>
            </w:r>
          </w:p>
          <w:p w14:paraId="5A2D4CC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支持通过设备旋转按钮实现快捷配屏和高级配屏功能点亮屏体；</w:t>
            </w:r>
          </w:p>
          <w:p w14:paraId="3CC4C8E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支持不少于 4个千兆网口输出，最大带载可达260万像素。</w:t>
            </w:r>
          </w:p>
          <w:p w14:paraId="47742561">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支持创建不少于6个用户场景作为模板保存，方便快速调用。</w:t>
            </w:r>
          </w:p>
          <w:p w14:paraId="19D750AE">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支持通过中控设备进行统一控制。</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3554988">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340003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857E20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6</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79DE468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多功能卡</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F71635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使用 RS232 串口或千兆网口通信；</w:t>
            </w:r>
          </w:p>
          <w:p w14:paraId="144800F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支持用网口级联在接收卡之间或最后；</w:t>
            </w:r>
          </w:p>
          <w:p w14:paraId="626D3C9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具有定时功能，可以替代定时器和延时器；</w:t>
            </w:r>
          </w:p>
          <w:p w14:paraId="14BA16A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支持板载温度检测；</w:t>
            </w:r>
          </w:p>
          <w:p w14:paraId="23654E3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支持板载湿度检测；</w:t>
            </w:r>
          </w:p>
          <w:p w14:paraId="111BFE4C">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支持音频输出；</w:t>
            </w:r>
          </w:p>
          <w:p w14:paraId="0396264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支持接 4 路光探头实现自动亮度调节；</w:t>
            </w:r>
          </w:p>
          <w:p w14:paraId="4371DB5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支持外接温湿度模块、烟雾模块、噪声、空气质量、亮度传感器；</w:t>
            </w:r>
          </w:p>
          <w:p w14:paraId="558D1ECA">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支持8路电源开关控制。</w:t>
            </w:r>
          </w:p>
          <w:p w14:paraId="1AFCC191">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具有定时功能，可以替代定时器和延时器。</w:t>
            </w:r>
          </w:p>
          <w:p w14:paraId="45529ED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支持多卡级联统一控制。</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8E3E675">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1张</w:t>
            </w:r>
          </w:p>
        </w:tc>
      </w:tr>
      <w:tr w14:paraId="14D7CA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268BEA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7</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4662B2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安全播放器</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0B90013">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val="en-US" w:eastAsia="zh-CN"/>
              </w:rPr>
              <w:t>1.</w:t>
            </w:r>
            <w:r>
              <w:rPr>
                <w:rFonts w:hint="eastAsia" w:ascii="仿宋_GB2312" w:hAnsi="仿宋_GB2312" w:eastAsia="仿宋_GB2312" w:cs="仿宋_GB2312"/>
                <w:color w:val="auto"/>
                <w:sz w:val="24"/>
                <w:szCs w:val="24"/>
              </w:rPr>
              <w:t>内容安全AI审核过滤模式:审核范围包括:涉黄(包括真人或者动漫)、血腥、敏感旗帜、敏感人脸、枪支、涉政言论(分裂、反动、邪教传播等)、网络赌博、网络招嫖、淫秽平台传播、低俗辱骂等。且支持素材黑名单、白名单管理，文件格式包括但不局限于图片、视频、gif、docx、xlsx、pptx、 pdf、txt。</w:t>
            </w:r>
          </w:p>
          <w:p w14:paraId="386A4B75">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szCs w:val="24"/>
                <w:lang w:val="en-US" w:eastAsia="zh-CN"/>
              </w:rPr>
              <w:t>★2.</w:t>
            </w:r>
            <w:r>
              <w:rPr>
                <w:rFonts w:hint="eastAsia" w:ascii="仿宋_GB2312" w:hAnsi="仿宋_GB2312" w:eastAsia="仿宋_GB2312" w:cs="仿宋_GB2312"/>
                <w:color w:val="auto"/>
                <w:sz w:val="24"/>
                <w:szCs w:val="24"/>
              </w:rPr>
              <w:t>数字水印加密防篡改模式:支持用户通过系统管理平台进行播放前的素材数字水印加密，一旦出现计划外播放内容(不论内容是否具有危害性)都视为违规素材不予播放,且加密素材特征采用国密加密存储。</w:t>
            </w:r>
          </w:p>
          <w:p w14:paraId="026EE18C">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该设备检测到不良内容时，应立刻将其替换成预置画面进行播放，且预置画面可自定义形式。</w:t>
            </w:r>
          </w:p>
          <w:p w14:paraId="578D90A1">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设备应具备延时播放能力，可实现毫秒级阻断，配置时间可自定0.5秒-10秒，避免违规信息播放;当出现违规视频、图像、文本信息时，防护反应时间应小于延时播放时间，避免违规信息播放。</w:t>
            </w:r>
          </w:p>
          <w:p w14:paraId="133B250E">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该设备具备存储、播放素材功能。</w:t>
            </w:r>
          </w:p>
          <w:p w14:paraId="4556325D">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rPr>
              <w:t>支持多种素材自由排版、分区显示;支持多种播放方式，按日按周、轮播、自定义等。</w:t>
            </w:r>
          </w:p>
          <w:p w14:paraId="7FDB7451">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7.</w:t>
            </w:r>
            <w:r>
              <w:rPr>
                <w:rFonts w:hint="eastAsia" w:ascii="仿宋_GB2312" w:hAnsi="仿宋_GB2312" w:eastAsia="仿宋_GB2312" w:cs="仿宋_GB2312"/>
                <w:color w:val="auto"/>
                <w:sz w:val="24"/>
                <w:szCs w:val="24"/>
              </w:rPr>
              <w:t>具备对输入源素材画中画与弹窗内容进行检测过滤。</w:t>
            </w:r>
          </w:p>
          <w:p w14:paraId="5F3E87F7">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该设备满足24小时不间断连续检测的需求。</w:t>
            </w:r>
          </w:p>
          <w:p w14:paraId="6BD24F27">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9.</w:t>
            </w:r>
            <w:r>
              <w:rPr>
                <w:rFonts w:hint="eastAsia" w:ascii="仿宋_GB2312" w:hAnsi="仿宋_GB2312" w:eastAsia="仿宋_GB2312" w:cs="仿宋_GB2312"/>
                <w:color w:val="auto"/>
                <w:sz w:val="24"/>
                <w:szCs w:val="24"/>
              </w:rPr>
              <w:t>该设备应支持本地边缘计算，无需联网。</w:t>
            </w:r>
          </w:p>
          <w:p w14:paraId="7D1616C9">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10.</w:t>
            </w:r>
            <w:r>
              <w:rPr>
                <w:rFonts w:hint="eastAsia" w:ascii="仿宋_GB2312" w:hAnsi="仿宋_GB2312" w:eastAsia="仿宋_GB2312" w:cs="仿宋_GB2312"/>
                <w:color w:val="auto"/>
                <w:sz w:val="24"/>
                <w:szCs w:val="24"/>
              </w:rPr>
              <w:t>该设备具备音频输入和输出，音视频同步播放并对内容进行检测过滤。</w:t>
            </w:r>
          </w:p>
          <w:p w14:paraId="5ACFC226">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11.</w:t>
            </w:r>
            <w:r>
              <w:rPr>
                <w:rFonts w:hint="eastAsia" w:ascii="仿宋_GB2312" w:hAnsi="仿宋_GB2312" w:eastAsia="仿宋_GB2312" w:cs="仿宋_GB2312"/>
                <w:color w:val="auto"/>
                <w:sz w:val="24"/>
                <w:szCs w:val="24"/>
              </w:rPr>
              <w:t>系统管理平台具备分级分权限管理功能，管理员可创建子账户并分配其权限。</w:t>
            </w:r>
          </w:p>
          <w:p w14:paraId="1C87A07B">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12.</w:t>
            </w:r>
            <w:r>
              <w:rPr>
                <w:rFonts w:hint="eastAsia" w:ascii="仿宋_GB2312" w:hAnsi="仿宋_GB2312" w:eastAsia="仿宋_GB2312" w:cs="仿宋_GB2312"/>
                <w:color w:val="auto"/>
                <w:sz w:val="24"/>
                <w:szCs w:val="24"/>
              </w:rPr>
              <w:t>支持上报系统数据至安全监管中心，并接收监管中心下发的操作指令。</w:t>
            </w:r>
          </w:p>
          <w:p w14:paraId="05E3D932">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13.</w:t>
            </w:r>
            <w:r>
              <w:rPr>
                <w:rFonts w:hint="eastAsia" w:ascii="仿宋_GB2312" w:hAnsi="仿宋_GB2312" w:eastAsia="仿宋_GB2312" w:cs="仿宋_GB2312"/>
                <w:color w:val="auto"/>
                <w:sz w:val="24"/>
                <w:szCs w:val="24"/>
              </w:rPr>
              <w:t>该设备具备Android、windows、Linux、IOS、统信UOS、银河麒麟KylinOS等包括但不限于主流操作系统的播放内容检测过滤。</w:t>
            </w:r>
          </w:p>
          <w:p w14:paraId="334D94EE">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14.</w:t>
            </w:r>
            <w:r>
              <w:rPr>
                <w:rFonts w:hint="eastAsia" w:ascii="仿宋_GB2312" w:hAnsi="仿宋_GB2312" w:eastAsia="仿宋_GB2312" w:cs="仿宋_GB2312"/>
                <w:color w:val="auto"/>
                <w:sz w:val="24"/>
                <w:szCs w:val="24"/>
              </w:rPr>
              <w:t>系统支持用户结合监管需求或当下时政热点等，自行导入敏感人脸至数据库，可单条或批量添加或删除管理。</w:t>
            </w:r>
          </w:p>
          <w:p w14:paraId="68A018E8">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15.</w:t>
            </w:r>
            <w:r>
              <w:rPr>
                <w:rFonts w:hint="eastAsia" w:ascii="仿宋_GB2312" w:hAnsi="仿宋_GB2312" w:eastAsia="仿宋_GB2312" w:cs="仿宋_GB2312"/>
                <w:color w:val="auto"/>
                <w:sz w:val="24"/>
                <w:szCs w:val="24"/>
              </w:rPr>
              <w:t>该设备的文字检测敏感词库应支持50000条以上，每个敏感词字数最高可支持20字，可单条或批量添加或删除管理。</w:t>
            </w:r>
          </w:p>
          <w:p w14:paraId="0E9774F6">
            <w:pPr>
              <w:pStyle w:val="73"/>
              <w:keepNext w:val="0"/>
              <w:keepLines w:val="0"/>
              <w:pageBreakBefore w:val="0"/>
              <w:widowControl/>
              <w:numPr>
                <w:ilvl w:val="0"/>
                <w:numId w:val="0"/>
              </w:numPr>
              <w:kinsoku/>
              <w:wordWrap/>
              <w:overflowPunct/>
              <w:topLinePunct w:val="0"/>
              <w:autoSpaceDE/>
              <w:autoSpaceDN/>
              <w:bidi w:val="0"/>
              <w:adjustRightInd w:val="0"/>
              <w:snapToGrid w:val="0"/>
              <w:spacing w:after="0" w:line="400" w:lineRule="atLeast"/>
              <w:ind w:left="0" w:leftChars="0" w:firstLine="0" w:firstLineChars="0"/>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kern w:val="0"/>
                <w:sz w:val="24"/>
                <w:szCs w:val="24"/>
                <w:lang w:val="en-US" w:eastAsia="zh-CN"/>
              </w:rPr>
              <w:t>★16.</w:t>
            </w:r>
            <w:r>
              <w:rPr>
                <w:rFonts w:hint="eastAsia" w:ascii="仿宋_GB2312" w:hAnsi="仿宋_GB2312" w:eastAsia="仿宋_GB2312" w:cs="仿宋_GB2312"/>
                <w:color w:val="auto"/>
                <w:sz w:val="24"/>
                <w:szCs w:val="24"/>
              </w:rPr>
              <w:t>可实时远程监控发布内容，对不健康显示内容无需人工介入可自动智能AI分析并及时报警提示并发送至工作人员微信、钉钉。</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FA51893">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24ABB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0477"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AD2D5F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8</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028220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计算机</w:t>
            </w:r>
            <w:r>
              <w:rPr>
                <w:rFonts w:hint="eastAsia" w:ascii="仿宋_GB2312" w:hAnsi="仿宋_GB2312" w:eastAsia="仿宋_GB2312" w:cs="仿宋_GB2312"/>
                <w:b/>
                <w:bCs/>
                <w:color w:val="auto"/>
                <w:sz w:val="24"/>
                <w:szCs w:val="24"/>
              </w:rPr>
              <w:t>（强制采购节能产品，详见采购需求说明第八点）</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732AA47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★一、CPU规格</w:t>
            </w:r>
          </w:p>
          <w:p w14:paraId="2417633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核8线程，主频≥2.7GHz，末级缓存≥8M，内存≥双通道DDR4-2666，热设计功耗≤70W，位宽≥64位；</w:t>
            </w:r>
          </w:p>
          <w:p w14:paraId="53BB00D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★二、内存规格</w:t>
            </w:r>
          </w:p>
          <w:p w14:paraId="55E4034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1.内存配置容量：≥16GB；</w:t>
            </w:r>
          </w:p>
          <w:p w14:paraId="2FEF69B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2.内存类型：支持 DDR4/LPDDR4/LPDDR4X及以上内存类型；</w:t>
            </w:r>
          </w:p>
          <w:p w14:paraId="55D6886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3.内存条配置数量（板载内存不涉及）：≥1；</w:t>
            </w:r>
          </w:p>
          <w:p w14:paraId="20B6129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★三、主板规格</w:t>
            </w:r>
          </w:p>
          <w:p w14:paraId="7748678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1.主板集成模块：集成资源扩展模块、计算处理模块、音频扩展模块等，主板的互联拓扑可通过处理器或交换电路实现；</w:t>
            </w:r>
          </w:p>
          <w:p w14:paraId="4E1047F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2.主板支持的 CPU 和内存情况：≥</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核8线程，主频≥2.7GHz，末级缓存≥8M，内存≥双通道DDR4-2666，热设计功耗≤70W，位宽≥64位；内存条数量≥</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w:t>
            </w:r>
          </w:p>
          <w:p w14:paraId="1D9AF12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3.主板其他内置接口：≥SATA接口*4，≥M.2接口*1，</w:t>
            </w:r>
            <w:r>
              <w:rPr>
                <w:rFonts w:hint="eastAsia" w:ascii="仿宋_GB2312" w:hAnsi="仿宋_GB2312" w:eastAsia="仿宋_GB2312" w:cs="仿宋_GB2312"/>
                <w:color w:val="auto"/>
                <w:sz w:val="24"/>
                <w:szCs w:val="24"/>
                <w:highlight w:val="none"/>
              </w:rPr>
              <w:t>≥USB接口*1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rPr>
              <w:t>，固态硬盘占用M.2接口*1，机械硬盘占用SATA接口*1</w:t>
            </w:r>
          </w:p>
          <w:p w14:paraId="6255C2C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4.单内存插槽最大可支持容量（板载内存不涉及）：≥16GB；</w:t>
            </w:r>
          </w:p>
          <w:p w14:paraId="49DDCD7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5.内存插槽满配时提供的最高内存总容量：≥64GB；</w:t>
            </w:r>
          </w:p>
          <w:p w14:paraId="7502DBC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★四、存储设备规格</w:t>
            </w:r>
          </w:p>
          <w:p w14:paraId="295E6D8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1.固态盘数量：≥1 个；</w:t>
            </w:r>
          </w:p>
          <w:p w14:paraId="608EBCA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2.固态存储容量：≥512GB；</w:t>
            </w:r>
          </w:p>
          <w:p w14:paraId="343ADA9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3.机械硬盘数量：≥1 个；</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4.机械硬盘总容量：≥1TB；</w:t>
            </w:r>
          </w:p>
          <w:p w14:paraId="3BF1722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5.机械硬盘转速：≥5400rpm；</w:t>
            </w:r>
          </w:p>
          <w:p w14:paraId="04D7F90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6.机械硬盘形态：3.5 英寸等；</w:t>
            </w:r>
          </w:p>
          <w:p w14:paraId="69BC4A8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7.固态存储形态：采用插卡或板载等形态，可选用符合M.2 或 2.5寸SATA或mSATA等标准的插卡形态；</w:t>
            </w:r>
          </w:p>
          <w:p w14:paraId="0273462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8.存储设备其他参数要求：a)固态盘应符合 SJ/T 11654 相关规定；b)机械硬盘准备时间应不大于 30s；侧面固定螺丝孔数量可为4孔或6孔；工作状态环境温度应满足 5℃~55℃；其它参数应符合 GB/T 12628 相关规定；</w:t>
            </w:r>
          </w:p>
          <w:p w14:paraId="7C0CFFA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★五、显卡规格</w:t>
            </w:r>
          </w:p>
          <w:p w14:paraId="169FBA4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1.显卡类型：独立显卡；</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2.独立显卡显存类型：显存类型为DDR3/DDR4/GDDR5 /GDDR6/LPDDR4；</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3.独立显卡显存位宽：显存位宽≥16 位；</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4.独立显卡显存容量：显存容量≥1GB；</w:t>
            </w:r>
          </w:p>
          <w:p w14:paraId="30F29D7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★六、显示设备规格</w:t>
            </w:r>
          </w:p>
          <w:p w14:paraId="7F9A3A2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1.显示屏屏占比：≥</w:t>
            </w:r>
            <w:r>
              <w:rPr>
                <w:rFonts w:hint="eastAsia" w:ascii="仿宋_GB2312" w:hAnsi="仿宋_GB2312" w:eastAsia="仿宋_GB2312" w:cs="仿宋_GB2312"/>
                <w:color w:val="auto"/>
                <w:sz w:val="24"/>
                <w:szCs w:val="24"/>
                <w:lang w:val="en-US" w:eastAsia="zh-CN"/>
              </w:rPr>
              <w:t>9</w:t>
            </w:r>
            <w:r>
              <w:rPr>
                <w:rFonts w:hint="eastAsia" w:ascii="仿宋_GB2312" w:hAnsi="仿宋_GB2312" w:eastAsia="仿宋_GB2312" w:cs="仿宋_GB2312"/>
                <w:color w:val="auto"/>
                <w:sz w:val="24"/>
                <w:szCs w:val="24"/>
              </w:rPr>
              <w:t>0%；</w:t>
            </w:r>
          </w:p>
          <w:p w14:paraId="6B16EA8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2.显示屏分辨率：≥1920*1080；</w:t>
            </w:r>
          </w:p>
          <w:p w14:paraId="0912671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3.显示屏尺寸：≥23英寸；</w:t>
            </w:r>
          </w:p>
          <w:p w14:paraId="4700374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4.显示屏屏幕比例：16:9；</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5.显示器外观颜色：黑色商务色系；</w:t>
            </w:r>
          </w:p>
          <w:p w14:paraId="324FFDC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rPr>
              <w:t>6.显示屏防蓝光：支持防蓝光模式，蓝光加权辐射亮度比应≤0.0012W/(·cd·sr)（瓦每坎特拉每球面度）</w:t>
            </w:r>
            <w:r>
              <w:rPr>
                <w:rFonts w:hint="eastAsia" w:ascii="仿宋_GB2312" w:hAnsi="仿宋_GB2312" w:eastAsia="仿宋_GB2312" w:cs="仿宋_GB2312"/>
                <w:color w:val="auto"/>
                <w:sz w:val="24"/>
                <w:szCs w:val="24"/>
                <w:highlight w:val="none"/>
              </w:rPr>
              <w:t>；</w:t>
            </w:r>
          </w:p>
          <w:p w14:paraId="3398BAC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7.显示屏低频闪：显示屏应支持低频闪≤-35dB；</w:t>
            </w:r>
          </w:p>
          <w:p w14:paraId="42427CB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8.显示屏防炫目：显示屏镜面反射率≤10%；</w:t>
            </w:r>
          </w:p>
          <w:p w14:paraId="3756251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★七、外设规格</w:t>
            </w:r>
          </w:p>
          <w:p w14:paraId="104C1C3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1.鼠标数量：≥1个；</w:t>
            </w:r>
          </w:p>
          <w:p w14:paraId="200AB8B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2.键盘数量：≥1个；</w:t>
            </w:r>
          </w:p>
          <w:p w14:paraId="521FCAE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3.键盘按键数目：≥10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键；</w:t>
            </w:r>
          </w:p>
          <w:p w14:paraId="3BA0F47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4.键盘连接方式：有线；</w:t>
            </w:r>
          </w:p>
          <w:p w14:paraId="3D61B54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5.键盘键程：2.3mm-4.0mm；</w:t>
            </w:r>
          </w:p>
          <w:p w14:paraId="2609E82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6.键盘按键压力：按键压力应在0.54N±0.14N；</w:t>
            </w:r>
          </w:p>
          <w:p w14:paraId="063F962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7.有线键盘连接线：≥1.5 米；</w:t>
            </w:r>
          </w:p>
          <w:p w14:paraId="5CD4C6E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8.键盘颜色：黑色商务色系；</w:t>
            </w:r>
          </w:p>
          <w:p w14:paraId="24A727A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9.鼠标连接方式：有线；</w:t>
            </w:r>
          </w:p>
          <w:p w14:paraId="4DCE9E8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10.有线鼠标连接线：≥1.5米；</w:t>
            </w:r>
          </w:p>
          <w:p w14:paraId="50E5AA0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11.鼠标DPI分辨率：800-1600；</w:t>
            </w:r>
          </w:p>
          <w:p w14:paraId="0A7333B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12.鼠标颜色：黑色商务色系；</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13.鼠标其他要求：其它参数应符合 GB/T 26245 的相关规定；</w:t>
            </w:r>
          </w:p>
          <w:p w14:paraId="351E1B8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★八、网络设备规格</w:t>
            </w:r>
          </w:p>
          <w:p w14:paraId="639D288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1.有线网卡数量：≥1；</w:t>
            </w:r>
          </w:p>
          <w:p w14:paraId="227EAA0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★九、外部接口规格</w:t>
            </w:r>
          </w:p>
          <w:p w14:paraId="4B3C6B4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1.USB 接口数量：机箱前面板应提供不少于</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个USB 接口（含 2个USB3.0 及以上接口</w:t>
            </w:r>
            <w:r>
              <w:rPr>
                <w:rFonts w:hint="eastAsia" w:ascii="仿宋_GB2312" w:hAnsi="仿宋_GB2312" w:eastAsia="仿宋_GB2312" w:cs="仿宋_GB2312"/>
                <w:color w:val="auto"/>
                <w:sz w:val="24"/>
                <w:szCs w:val="24"/>
                <w:highlight w:val="none"/>
                <w:lang w:val="en-US" w:eastAsia="zh-CN"/>
              </w:rPr>
              <w:t>且USB接口额外支持关机状态下对外充电</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2.视频接口数量：≥1；</w:t>
            </w:r>
          </w:p>
          <w:p w14:paraId="0813E77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3.音频接口数量：≥1；</w:t>
            </w:r>
          </w:p>
          <w:p w14:paraId="486964D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★十、整机基础规格</w:t>
            </w:r>
          </w:p>
          <w:p w14:paraId="462B8C1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1.整机外观：a) 产品表面不应有凹痕、划伤、裂缝、变形和污染等。表面涂层均匀，不应起泡、龟裂、脱落和磨损，金属零部件无锈蚀及其它机械损伤；b) 产品表面说明功能的文字、符号、标志，应清晰、端正、牢固；</w:t>
            </w:r>
          </w:p>
          <w:p w14:paraId="61EC5F2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2.状态指示灯：在产品显著位置提供状态指示功能；</w:t>
            </w:r>
          </w:p>
          <w:p w14:paraId="38BE3D3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3.整机结构：a) 机箱应符合 GB/T 420</w:t>
            </w: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7106CD9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4.机箱防护要求：机箱应符合 GB/T 4208 中 IP20 防护要求；</w:t>
            </w:r>
          </w:p>
          <w:p w14:paraId="1AFA5C9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5.整机噪音：产品工作在空闲状态下，产品的声功率级≤</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.5Bel；</w:t>
            </w:r>
          </w:p>
          <w:p w14:paraId="206F4C2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0BBBDE3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7.整机能效限定值：产品能效限定值应达到 GB 28380-2012标准中能效等级 2 级及以上；</w:t>
            </w:r>
          </w:p>
          <w:p w14:paraId="11780CC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8.机身材质：塑料/金属等；</w:t>
            </w:r>
          </w:p>
          <w:p w14:paraId="22916DC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9.机身颜色：黑色商务色系；</w:t>
            </w:r>
          </w:p>
          <w:p w14:paraId="15F9EDC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10.机箱尺寸容量：机箱体积≤</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0L;</w:t>
            </w:r>
          </w:p>
          <w:p w14:paraId="1B27F61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★十一、CPU性能</w:t>
            </w:r>
          </w:p>
          <w:p w14:paraId="7DEC791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 物理核数：≥</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w:t>
            </w:r>
          </w:p>
          <w:p w14:paraId="1937081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2.CPU 主频：≥2.7GHz；</w:t>
            </w:r>
          </w:p>
          <w:p w14:paraId="7C5B702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3.CPU 末级缓存容量：≥8MB；</w:t>
            </w:r>
          </w:p>
          <w:p w14:paraId="0C66C74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4.CPU 支持的内存最高速率：≥2666MT/s；</w:t>
            </w:r>
          </w:p>
          <w:p w14:paraId="4D9E70F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★十二、内存性能</w:t>
            </w:r>
          </w:p>
          <w:p w14:paraId="2B13E8A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1.内存读写速率：≥2666MT/s；</w:t>
            </w:r>
          </w:p>
          <w:p w14:paraId="56025D3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★十三、显卡性能</w:t>
            </w:r>
          </w:p>
          <w:p w14:paraId="0EC8F46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1.显示分辨率：≥1920*1080；</w:t>
            </w:r>
          </w:p>
          <w:p w14:paraId="6CD83C0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2.显卡显示芯片核心频率：≥300MHz；</w:t>
            </w:r>
          </w:p>
          <w:p w14:paraId="690DD82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3.显存等效频率：≥1000MT/s；</w:t>
            </w:r>
          </w:p>
          <w:p w14:paraId="7EA638D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4.显卡可支持多屏同时显示数量：显卡应支持2块屏幕同时显示，分辨率应不低于1920*1080；</w:t>
            </w:r>
          </w:p>
          <w:p w14:paraId="131FBB1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★十四、显示设备性能</w:t>
            </w:r>
          </w:p>
          <w:p w14:paraId="30AC57D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1.显示屏刷新率：≥</w:t>
            </w:r>
            <w:r>
              <w:rPr>
                <w:rFonts w:hint="eastAsia" w:ascii="仿宋_GB2312" w:hAnsi="仿宋_GB2312" w:eastAsia="仿宋_GB2312" w:cs="仿宋_GB2312"/>
                <w:color w:val="auto"/>
                <w:sz w:val="24"/>
                <w:szCs w:val="24"/>
                <w:lang w:val="en-US" w:eastAsia="zh-CN"/>
              </w:rPr>
              <w:t>90</w:t>
            </w:r>
            <w:r>
              <w:rPr>
                <w:rFonts w:hint="eastAsia" w:ascii="仿宋_GB2312" w:hAnsi="仿宋_GB2312" w:eastAsia="仿宋_GB2312" w:cs="仿宋_GB2312"/>
                <w:color w:val="auto"/>
                <w:sz w:val="24"/>
                <w:szCs w:val="24"/>
              </w:rPr>
              <w:t>Hz；</w:t>
            </w:r>
          </w:p>
          <w:p w14:paraId="4D7069A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2.显示屏位深：≥8位；</w:t>
            </w:r>
          </w:p>
          <w:p w14:paraId="2296B09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3.显示屏色域：≥99%sRGB</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≥90%DCI-P3</w:t>
            </w:r>
            <w:r>
              <w:rPr>
                <w:rFonts w:hint="eastAsia" w:ascii="仿宋_GB2312" w:hAnsi="仿宋_GB2312" w:eastAsia="仿宋_GB2312" w:cs="仿宋_GB2312"/>
                <w:color w:val="auto"/>
                <w:sz w:val="24"/>
                <w:szCs w:val="24"/>
                <w:lang w:eastAsia="zh-CN"/>
              </w:rPr>
              <w:t>；</w:t>
            </w:r>
          </w:p>
          <w:p w14:paraId="4E3CA18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4.显示屏色准：△E≤4；</w:t>
            </w:r>
          </w:p>
          <w:p w14:paraId="7F8A9E2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5.显示屏响应时间：≤8ms；</w:t>
            </w:r>
          </w:p>
          <w:p w14:paraId="72B8EE2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6.显示屏亮度：≥250尼特；</w:t>
            </w:r>
          </w:p>
          <w:p w14:paraId="4092975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7.显示屏亮度一致性：≥70%；</w:t>
            </w:r>
          </w:p>
          <w:p w14:paraId="593FD3B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8.显示屏对比度：≥500：1；</w:t>
            </w:r>
          </w:p>
          <w:p w14:paraId="23FDA8D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9.显示屏其他参数：其它参数应符合 SJ/T 11292 的相关规定；</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lang w:eastAsia="zh-CN"/>
              </w:rPr>
              <w:t>★十五、网络设备性能</w:t>
            </w:r>
          </w:p>
          <w:p w14:paraId="5BFA952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1.有线网卡速率：最高速率应不低于1000Mbps，应支持10Mbps、100Mbps、1000Mbps 速率自适应；</w:t>
            </w:r>
          </w:p>
          <w:p w14:paraId="2660435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★十六、主板功能</w:t>
            </w:r>
          </w:p>
          <w:p w14:paraId="4F75606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1.内存扩展接口(板载内存不涉及)：≥2个；</w:t>
            </w:r>
          </w:p>
          <w:p w14:paraId="37BDA2B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2.主板USB瞬间过流保护：支持有瞬间过流保护功能；</w:t>
            </w:r>
          </w:p>
          <w:p w14:paraId="17F8608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3.主板防静电保护：支持防静电保护功能；</w:t>
            </w:r>
          </w:p>
          <w:p w14:paraId="3290C15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1A0779A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★十七、显卡功能</w:t>
            </w:r>
          </w:p>
          <w:p w14:paraId="40CE365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1.显卡外接显示接口：显卡至少支持 VGA、HDMI、DVI、DP、Type-C 中 1 种显示接口，并与显示器接口相匹配；</w:t>
            </w:r>
          </w:p>
          <w:p w14:paraId="294C047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★十八、显示设备功能</w:t>
            </w:r>
          </w:p>
          <w:p w14:paraId="0079B60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1.显示器接口：显示器应与显卡外接显示接口匹配；</w:t>
            </w:r>
          </w:p>
          <w:p w14:paraId="446FE61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2.显示器支架：显示器应提供显示器支架；</w:t>
            </w:r>
          </w:p>
          <w:p w14:paraId="0F4DF52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3.显示器参数调节：a)提供 OSD 选单按钮用于调节色彩、模式等；b)支持色温、亮度、对比度调节；</w:t>
            </w:r>
          </w:p>
          <w:p w14:paraId="21D17D3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★十九、存储功能</w:t>
            </w:r>
          </w:p>
          <w:p w14:paraId="0F27D7B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1.存储功能：通过 SATA 固态存储/PCIe 固态存储/UFS 固态存储/SATA 硬磁盘等存储部件提供存储功能；</w:t>
            </w:r>
          </w:p>
          <w:p w14:paraId="6918D44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★二十、网络设备功能</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1.网络功能：a)支持网络连接、网络开启/关闭功能；b)支持访问网络和数据交换功能；</w:t>
            </w:r>
          </w:p>
          <w:p w14:paraId="2EC281B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2.数据传输：支持数据传输能力，并提供数据流量和异常日志记录功能；</w:t>
            </w:r>
          </w:p>
          <w:p w14:paraId="443838D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3.有线网卡接口类型：支持 RJ45 接口；</w:t>
            </w:r>
          </w:p>
          <w:p w14:paraId="513257B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4.网络设备拆装：网络设备支持物理拆装，包括无线网卡和蓝牙模块等；</w:t>
            </w:r>
          </w:p>
          <w:p w14:paraId="042FC5E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★二十一、外部接口功能</w:t>
            </w:r>
          </w:p>
          <w:p w14:paraId="1093330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1.音频接口类型：支持 3.5mm 孔径 3 段式或 4 段式接口；</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2.视频接口类型：至少支持 VGA、HDMI、DVI、DP、Type-C中 1 种显示接口；</w:t>
            </w:r>
          </w:p>
          <w:p w14:paraId="3E5A51F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3.HDMI、DP、Type-C 显示接口要求：若提供 HDMI 或 DP 或 Type-C 作为显示接口，应支持音频和视频同步输出；</w:t>
            </w:r>
          </w:p>
          <w:p w14:paraId="6C5A4AC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★二十二、电源功能</w:t>
            </w:r>
          </w:p>
          <w:p w14:paraId="0098C8F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1.电源线适配能力：电源适配器电线组件应符合 GB/T15934 的要求；</w:t>
            </w:r>
          </w:p>
          <w:p w14:paraId="0819C72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★二十三、操作系统及软件功能</w:t>
            </w:r>
          </w:p>
          <w:p w14:paraId="586EBA3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1.中文信息处理要求：符合 GB 18030 的相关规定；</w:t>
            </w:r>
          </w:p>
          <w:p w14:paraId="71C58D8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2.操作系统备份及还原功能：支持操作系统备份及还原功能；</w:t>
            </w:r>
          </w:p>
          <w:p w14:paraId="0E085E7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3.固件备份还原能力：支持备份及还原固件的功能；</w:t>
            </w:r>
          </w:p>
          <w:p w14:paraId="453151A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4.操作系统及驱动升级：支持通过网络、闪存盘等方式对操作系统、驱动进行升级；</w:t>
            </w:r>
          </w:p>
          <w:p w14:paraId="6BFA8A6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5.固件升级：支持通过网络、闪存盘等方式对固件进行升级；</w:t>
            </w:r>
          </w:p>
          <w:p w14:paraId="1136693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6.BIOS 支持关闭通讯接口：支持 BIOS 关闭以太网及 USB 接口；</w:t>
            </w:r>
          </w:p>
          <w:p w14:paraId="5E9EB50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7.固件查看信息：支持查看固件版本、内存信息、主板信息、处理器信息和系统时间信息等功能；</w:t>
            </w:r>
          </w:p>
          <w:p w14:paraId="50D3D62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8.固件设置启动顺序：支持设置启动顺序功能，并按照设置的启动顺序启动；</w:t>
            </w:r>
          </w:p>
          <w:p w14:paraId="0A80FB7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9.固件设置口令：支持设置口令、修改口令、验证口令功能；</w:t>
            </w:r>
          </w:p>
          <w:p w14:paraId="5E47B10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10.固件设置网络引导：支持网络引导启动和关闭功能；</w:t>
            </w:r>
          </w:p>
          <w:p w14:paraId="2205183B">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color w:val="auto"/>
                <w:sz w:val="24"/>
                <w:szCs w:val="24"/>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en-US" w:eastAsia="zh-CN"/>
              </w:rPr>
              <w:t>提供功能至少有文字处理、电子表格、演示文稿三大应用模块的办公软件，授权≥3年</w:t>
            </w:r>
          </w:p>
          <w:p w14:paraId="5CF9FC1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★二十四、存储设备可靠性</w:t>
            </w:r>
          </w:p>
          <w:p w14:paraId="163560F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1.固态存储寿命：TBW≥80TB（条件：512GB 硬盘容量）；</w:t>
            </w:r>
          </w:p>
          <w:p w14:paraId="2E09DE9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2.机械硬盘寿命：通电时间≥5万小时；</w:t>
            </w:r>
          </w:p>
          <w:p w14:paraId="64F3DCE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★二十五、显示设备可靠性</w:t>
            </w:r>
          </w:p>
          <w:p w14:paraId="662B6D8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1.显示屏屏幕失效点：符合 GB/T 9813.2 的要求；</w:t>
            </w:r>
          </w:p>
          <w:p w14:paraId="596864A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★二十六、外设可靠性</w:t>
            </w:r>
          </w:p>
          <w:p w14:paraId="2E27CA9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1.键盘按键寿命：≥1000 万次；</w:t>
            </w:r>
          </w:p>
          <w:p w14:paraId="262BE0E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2.鼠标按键寿命：≥500 万次；</w:t>
            </w:r>
          </w:p>
          <w:p w14:paraId="02FA490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3.键盘鼠标线材寿命：键盘鼠标所用线材经±60°弯折不低于 3000 次，功能、外观完好；</w:t>
            </w:r>
          </w:p>
          <w:p w14:paraId="2099D86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4.风扇寿命：≥4 万小时；</w:t>
            </w:r>
          </w:p>
          <w:p w14:paraId="67F97E0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★二十七、整机可靠性要求</w:t>
            </w:r>
          </w:p>
          <w:p w14:paraId="64531A0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1.电磁兼容性要求的抗扰度：符合 GB/T 9254.2 的规定；</w:t>
            </w:r>
          </w:p>
          <w:p w14:paraId="7BF9845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2.环境条件要求的气候环境适应性：符合 GB/T 9813.1 中规定；</w:t>
            </w:r>
          </w:p>
          <w:p w14:paraId="013874C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3.环境条件要求的振动适应性：符合 GB/T 9813.1 中规定；</w:t>
            </w:r>
          </w:p>
          <w:p w14:paraId="0414534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4.环境条件要求的冲击适应性：符合 GB/T 9813.1 中规定；</w:t>
            </w:r>
          </w:p>
          <w:p w14:paraId="77AD266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5.环境条件要求的碰撞适应性：符合 GB/T 9813.1 中规定；</w:t>
            </w:r>
          </w:p>
          <w:p w14:paraId="11E9C2B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6.环境条件要求的运输包装件跌落适应性：符合 GB/T 9813.1 中规定；</w:t>
            </w:r>
          </w:p>
          <w:p w14:paraId="747F053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7.MTBF 测试：MTBF(m1)≥</w:t>
            </w:r>
            <w:r>
              <w:rPr>
                <w:rFonts w:hint="eastAsia" w:ascii="仿宋_GB2312" w:hAnsi="仿宋_GB2312" w:eastAsia="仿宋_GB2312" w:cs="仿宋_GB2312"/>
                <w:color w:val="auto"/>
                <w:sz w:val="24"/>
                <w:szCs w:val="24"/>
                <w:highlight w:val="none"/>
                <w:lang w:val="en-US" w:eastAsia="zh-CN"/>
              </w:rPr>
              <w:t>99</w:t>
            </w:r>
            <w:r>
              <w:rPr>
                <w:rFonts w:hint="eastAsia" w:ascii="仿宋_GB2312" w:hAnsi="仿宋_GB2312" w:eastAsia="仿宋_GB2312" w:cs="仿宋_GB2312"/>
                <w:color w:val="auto"/>
                <w:sz w:val="24"/>
                <w:szCs w:val="24"/>
                <w:highlight w:val="none"/>
              </w:rPr>
              <w:t>万小时；</w:t>
            </w:r>
          </w:p>
          <w:p w14:paraId="420990A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★二十八、兼容要求</w:t>
            </w:r>
          </w:p>
          <w:p w14:paraId="7262168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1.常用软件兼容：支持流式软件、版式软件、浏览器、邮件采购人端、解压软件、多媒体、图形图像处理等常用软件；</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2.数据库兼容：兼容 3 个及以上厂商的数据库产品；</w:t>
            </w:r>
          </w:p>
          <w:p w14:paraId="61A33F4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3.中间件兼容：兼容 3 个及以上厂商中间件产品；</w:t>
            </w:r>
          </w:p>
          <w:p w14:paraId="66EC958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4.平台软件兼容：兼容 3 个及以上厂商云计算及大数据平台；</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lang w:eastAsia="zh-CN"/>
              </w:rPr>
              <w:t>★二十九、包装及运输要求</w:t>
            </w:r>
          </w:p>
          <w:p w14:paraId="7646018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1.标志、包装、运输和贮存：符合 GB/T 9813.1 和商品包装政府采购需求标准的相关规定；</w:t>
            </w:r>
          </w:p>
          <w:p w14:paraId="02050BB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★三十、服务要求</w:t>
            </w:r>
          </w:p>
          <w:p w14:paraId="596EFEE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1.配置检查工具：供应商提供自检测试工具；</w:t>
            </w:r>
          </w:p>
          <w:p w14:paraId="5B3E8FF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5284AEC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3.服务周期：a) 设备停产后应继续提供质量保障服务（含备品备件），服务终止时间与最后一批设备交付时间间隔不低于</w:t>
            </w:r>
          </w:p>
          <w:p w14:paraId="4E78E97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 年；b) 产品停止服务时间应提前 1 年告知；c) 应明确产品发布日期；</w:t>
            </w:r>
          </w:p>
          <w:p w14:paraId="0DBC446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4.预装操作系统：预装符合桌面操作系统政府采购需求标准的正版操作系统；</w:t>
            </w:r>
            <w:r>
              <w:rPr>
                <w:rFonts w:hint="eastAsia" w:ascii="仿宋_GB2312" w:hAnsi="仿宋_GB2312" w:eastAsia="仿宋_GB2312" w:cs="仿宋_GB2312"/>
                <w:b/>
                <w:bCs/>
                <w:color w:val="auto"/>
                <w:sz w:val="24"/>
                <w:szCs w:val="24"/>
              </w:rPr>
              <w:t>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5.培训服务：供应商提供培训材料、产品手册、培训视频等培训相关内容；</w:t>
            </w:r>
          </w:p>
          <w:p w14:paraId="0CE7A1E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6.典型问题解决手册：供应商提供典型问题解决说明文档或视频；</w:t>
            </w:r>
          </w:p>
          <w:p w14:paraId="4BB75A8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7.厂家升级软件与扩容服务：供应商提供上门升级部件/软件与扩容的增值服务；</w:t>
            </w:r>
          </w:p>
          <w:p w14:paraId="3AEE7C5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8.整机质量服务要求：免费服务周期（含换件和维修）应不小于 3 年；</w:t>
            </w:r>
          </w:p>
          <w:p w14:paraId="0C2604F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9.合格证书要求：供应商提供产品合格证；</w:t>
            </w:r>
          </w:p>
          <w:p w14:paraId="5C616B8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10.开箱组装/使用指导要求：供应商提供开箱组装/使用指导；</w:t>
            </w:r>
          </w:p>
          <w:p w14:paraId="1C0CEAE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11.驱动下载服务要求：供应商提供驱动光盘或下载方式；</w:t>
            </w:r>
          </w:p>
          <w:p w14:paraId="50817A0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12.兼容适配软件下载服务要求：供应商提供兼容适配软件下载渠道（光盘、网站）；</w:t>
            </w:r>
          </w:p>
          <w:p w14:paraId="1DDBCDA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★三十一、供应链合规性</w:t>
            </w:r>
          </w:p>
          <w:p w14:paraId="7796A98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 产品部件保障：供应商保障产品主要部件，提供 6 年的备件服务能力（自购买之日起），或提供可兼容原设备的升级换代产品；</w:t>
            </w:r>
          </w:p>
          <w:p w14:paraId="7615EEF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★三十二、供应链质量</w:t>
            </w:r>
          </w:p>
          <w:p w14:paraId="69295A7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1.抗干扰性：当产品部件出现供应风险时，供应商应通知采购人并提供风险应对方案确保产品的服务保障；</w:t>
            </w:r>
          </w:p>
          <w:p w14:paraId="471DA7D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 供应能力证明：供应商承诺供应链稳定，确保产品的部件在产品服务周期内稳定供货；</w:t>
            </w:r>
          </w:p>
          <w:p w14:paraId="5045E11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★三十三、关键部件安全</w:t>
            </w:r>
          </w:p>
          <w:p w14:paraId="158E9FE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b/>
                <w:bCs/>
                <w:color w:val="auto"/>
                <w:sz w:val="24"/>
                <w:szCs w:val="24"/>
              </w:rPr>
            </w:pPr>
            <w:r>
              <w:rPr>
                <w:rFonts w:hint="eastAsia" w:ascii="仿宋_GB2312" w:hAnsi="仿宋_GB2312" w:eastAsia="仿宋_GB2312" w:cs="仿宋_GB2312"/>
                <w:color w:val="auto"/>
                <w:sz w:val="24"/>
                <w:szCs w:val="24"/>
              </w:rPr>
              <w:t>1.关键部件安全要求：CPU 和操作系统等关键部件应当符合安全可靠测评要求；</w:t>
            </w:r>
            <w:r>
              <w:rPr>
                <w:rFonts w:hint="eastAsia" w:ascii="仿宋_GB2312" w:hAnsi="仿宋_GB2312" w:eastAsia="仿宋_GB2312" w:cs="仿宋_GB2312"/>
                <w:b/>
                <w:bCs/>
                <w:color w:val="auto"/>
                <w:sz w:val="24"/>
                <w:szCs w:val="24"/>
              </w:rPr>
              <w:t>（通过政府有关部门指定的中国信息安全测评中心和国家保密科技测评中心网站查看安全可靠测评结果）；</w:t>
            </w:r>
          </w:p>
          <w:p w14:paraId="1FCFA31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注：投标人在填写《技术响应表》时，在“投标文件响应技术参数”明确给出所投</w:t>
            </w:r>
            <w:r>
              <w:rPr>
                <w:rFonts w:hint="eastAsia" w:ascii="仿宋_GB2312" w:hAnsi="仿宋_GB2312" w:eastAsia="仿宋_GB2312" w:cs="仿宋_GB2312"/>
                <w:b/>
                <w:bCs/>
                <w:color w:val="auto"/>
                <w:sz w:val="24"/>
                <w:szCs w:val="24"/>
                <w:lang w:val="en-US" w:eastAsia="zh-CN"/>
              </w:rPr>
              <w:t>计算机</w:t>
            </w:r>
            <w:r>
              <w:rPr>
                <w:rFonts w:hint="eastAsia" w:ascii="仿宋_GB2312" w:hAnsi="仿宋_GB2312" w:eastAsia="仿宋_GB2312" w:cs="仿宋_GB2312"/>
                <w:b/>
                <w:bCs/>
                <w:color w:val="auto"/>
                <w:sz w:val="24"/>
                <w:szCs w:val="24"/>
              </w:rPr>
              <w:t>“CPU型号”及“操作系统”名称，否则视为投标无效。</w:t>
            </w:r>
          </w:p>
          <w:p w14:paraId="300311D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★三十四、整机安全性要求</w:t>
            </w:r>
          </w:p>
          <w:p w14:paraId="2098D1F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1.密码算法实现：CPU 芯片应符合 GM/T 0008 的相关规定，或芯片密码模块应符合 GB/T 37092或 GM/T 0028 的相关规定；（通过商用密码检测机构检测并经商用密码认证机构认证合格）</w:t>
            </w:r>
          </w:p>
          <w:p w14:paraId="3D0F2AB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5901DED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3.固件安全启动：支持固件安全启动功能，固件启动过程中只有通过启动校验才能正常启动；</w:t>
            </w:r>
          </w:p>
          <w:p w14:paraId="12A9D352">
            <w:pPr>
              <w:keepNext w:val="0"/>
              <w:keepLines w:val="0"/>
              <w:pageBreakBefore w:val="0"/>
              <w:widowControl/>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4.限用物质的限量要求：符合 GB/T 26572 中规定；</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72A7B6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497A5A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56B3AC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9</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75555D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配电箱</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E60822D">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50</w:t>
            </w:r>
            <w:r>
              <w:rPr>
                <w:rFonts w:hint="eastAsia" w:ascii="仿宋_GB2312" w:hAnsi="仿宋_GB2312" w:eastAsia="仿宋_GB2312" w:cs="仿宋_GB2312"/>
                <w:color w:val="auto"/>
                <w:sz w:val="24"/>
                <w:szCs w:val="24"/>
              </w:rPr>
              <w:t>KW，支持分步延时上电、远程设置、具有短路、过流、过压、过载、避雷、过温等保护特性。</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E8AE0C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468839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38C909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10</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0FC724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钢结构+包边</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197F252">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1.框体尺寸：</w:t>
            </w:r>
            <w:r>
              <w:rPr>
                <w:rFonts w:hint="eastAsia" w:ascii="仿宋_GB2312" w:hAnsi="仿宋_GB2312" w:eastAsia="仿宋_GB2312" w:cs="仿宋_GB2312"/>
                <w:i w:val="0"/>
                <w:iCs w:val="0"/>
                <w:color w:val="auto"/>
                <w:kern w:val="0"/>
                <w:sz w:val="24"/>
                <w:szCs w:val="24"/>
                <w:u w:val="none"/>
                <w:lang w:val="en-US" w:eastAsia="zh-CN" w:bidi="ar"/>
              </w:rPr>
              <w:t>≥</w:t>
            </w:r>
            <w:r>
              <w:rPr>
                <w:rFonts w:hint="eastAsia" w:ascii="仿宋_GB2312" w:hAnsi="仿宋_GB2312" w:eastAsia="仿宋_GB2312" w:cs="仿宋_GB2312"/>
                <w:color w:val="auto"/>
                <w:sz w:val="24"/>
                <w:szCs w:val="24"/>
                <w:lang w:val="en-US" w:eastAsia="zh-CN"/>
              </w:rPr>
              <w:t>7240</w:t>
            </w:r>
            <w:r>
              <w:rPr>
                <w:rFonts w:hint="eastAsia" w:ascii="仿宋_GB2312" w:hAnsi="仿宋_GB2312" w:eastAsia="仿宋_GB2312" w:cs="仿宋_GB2312"/>
                <w:color w:val="auto"/>
                <w:sz w:val="24"/>
                <w:szCs w:val="24"/>
              </w:rPr>
              <w:t>mm*</w:t>
            </w:r>
            <w:r>
              <w:rPr>
                <w:rFonts w:hint="eastAsia" w:ascii="仿宋_GB2312" w:hAnsi="仿宋_GB2312" w:eastAsia="仿宋_GB2312" w:cs="仿宋_GB2312"/>
                <w:color w:val="auto"/>
                <w:sz w:val="24"/>
                <w:szCs w:val="24"/>
                <w:lang w:val="en-US" w:eastAsia="zh-CN"/>
              </w:rPr>
              <w:t>3880</w:t>
            </w:r>
            <w:r>
              <w:rPr>
                <w:rFonts w:hint="eastAsia" w:ascii="仿宋_GB2312" w:hAnsi="仿宋_GB2312" w:eastAsia="仿宋_GB2312" w:cs="仿宋_GB2312"/>
                <w:color w:val="auto"/>
                <w:sz w:val="24"/>
                <w:szCs w:val="24"/>
              </w:rPr>
              <w:t>mm，</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含钢结构、定制包边。采用专用钢结构支架；</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3.按照国家钢结构设计规范，满足屏体安全承载需求制；</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lang w:eastAsia="zh-CN"/>
              </w:rPr>
              <w:t>显示屏采用支撑钢结构材料。</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5DAAEE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7D1868D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9E728E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11</w:t>
            </w:r>
          </w:p>
        </w:tc>
        <w:tc>
          <w:tcPr>
            <w:tcW w:w="628" w:type="pct"/>
            <w:tcBorders>
              <w:top w:val="single" w:color="auto" w:sz="4" w:space="0"/>
              <w:left w:val="single" w:color="auto" w:sz="4" w:space="0"/>
              <w:right w:val="single" w:color="auto" w:sz="4" w:space="0"/>
            </w:tcBorders>
            <w:shd w:val="clear" w:color="auto" w:fill="auto"/>
            <w:vAlign w:val="center"/>
          </w:tcPr>
          <w:p w14:paraId="68A92E4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制冷设备</w:t>
            </w:r>
            <w:r>
              <w:rPr>
                <w:rFonts w:hint="eastAsia" w:ascii="仿宋_GB2312" w:hAnsi="仿宋_GB2312" w:eastAsia="仿宋_GB2312" w:cs="仿宋_GB2312"/>
                <w:b/>
                <w:bCs/>
                <w:color w:val="auto"/>
                <w:sz w:val="24"/>
                <w:szCs w:val="24"/>
              </w:rPr>
              <w:t>（强制采购节能产品，详见采购需求说明第八点）</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9FD0181">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lang w:eastAsia="zh-CN"/>
              </w:rPr>
            </w:pPr>
            <w:r>
              <w:rPr>
                <w:rFonts w:hint="eastAsia" w:ascii="仿宋_GB2312" w:hAnsi="仿宋_GB2312" w:eastAsia="仿宋_GB2312" w:cs="仿宋_GB2312"/>
                <w:b w:val="0"/>
                <w:bCs w:val="0"/>
                <w:color w:val="auto"/>
                <w:sz w:val="24"/>
                <w:szCs w:val="24"/>
                <w:highlight w:val="none"/>
                <w:u w:val="none"/>
                <w:lang w:val="en-US" w:eastAsia="zh-CN"/>
              </w:rPr>
              <w:t>1.</w:t>
            </w:r>
            <w:r>
              <w:rPr>
                <w:rFonts w:hint="eastAsia" w:ascii="仿宋_GB2312" w:hAnsi="仿宋_GB2312" w:eastAsia="仿宋_GB2312" w:cs="仿宋_GB2312"/>
                <w:b w:val="0"/>
                <w:bCs w:val="0"/>
                <w:color w:val="auto"/>
                <w:sz w:val="24"/>
                <w:szCs w:val="24"/>
                <w:highlight w:val="none"/>
                <w:u w:val="none"/>
                <w:lang w:eastAsia="zh-CN"/>
              </w:rPr>
              <w:t>变频壁挂空调</w:t>
            </w:r>
          </w:p>
          <w:p w14:paraId="340243C4">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2</w:t>
            </w:r>
            <w:r>
              <w:rPr>
                <w:rFonts w:hint="eastAsia" w:ascii="仿宋_GB2312" w:hAnsi="仿宋_GB2312" w:eastAsia="仿宋_GB2312" w:cs="仿宋_GB2312"/>
                <w:b w:val="0"/>
                <w:bCs w:val="0"/>
                <w:color w:val="auto"/>
                <w:sz w:val="24"/>
                <w:szCs w:val="24"/>
                <w:highlight w:val="none"/>
                <w:u w:val="none"/>
              </w:rPr>
              <w:t>.匹数：</w:t>
            </w:r>
            <w:r>
              <w:rPr>
                <w:rFonts w:hint="eastAsia" w:ascii="仿宋_GB2312" w:hAnsi="仿宋_GB2312" w:eastAsia="仿宋_GB2312" w:cs="仿宋_GB2312"/>
                <w:b w:val="0"/>
                <w:bCs w:val="0"/>
                <w:color w:val="auto"/>
                <w:sz w:val="24"/>
                <w:szCs w:val="24"/>
                <w:highlight w:val="none"/>
                <w:u w:val="none"/>
                <w:lang w:val="en-US" w:eastAsia="zh-CN"/>
              </w:rPr>
              <w:t>2</w:t>
            </w:r>
            <w:r>
              <w:rPr>
                <w:rFonts w:hint="eastAsia" w:ascii="仿宋_GB2312" w:hAnsi="仿宋_GB2312" w:eastAsia="仿宋_GB2312" w:cs="仿宋_GB2312"/>
                <w:b w:val="0"/>
                <w:bCs w:val="0"/>
                <w:color w:val="auto"/>
                <w:sz w:val="24"/>
                <w:szCs w:val="24"/>
                <w:highlight w:val="none"/>
                <w:u w:val="none"/>
              </w:rPr>
              <w:t>匹</w:t>
            </w:r>
          </w:p>
          <w:p w14:paraId="2E7B9408">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3</w:t>
            </w:r>
            <w:r>
              <w:rPr>
                <w:rFonts w:hint="eastAsia" w:ascii="仿宋_GB2312" w:hAnsi="仿宋_GB2312" w:eastAsia="仿宋_GB2312" w:cs="仿宋_GB2312"/>
                <w:b w:val="0"/>
                <w:bCs w:val="0"/>
                <w:color w:val="auto"/>
                <w:sz w:val="24"/>
                <w:szCs w:val="24"/>
                <w:highlight w:val="none"/>
                <w:u w:val="none"/>
              </w:rPr>
              <w:t>.适用面积：22-30平方</w:t>
            </w:r>
          </w:p>
          <w:p w14:paraId="0B6B40BC">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4</w:t>
            </w:r>
            <w:r>
              <w:rPr>
                <w:rFonts w:hint="eastAsia" w:ascii="仿宋_GB2312" w:hAnsi="仿宋_GB2312" w:eastAsia="仿宋_GB2312" w:cs="仿宋_GB2312"/>
                <w:b w:val="0"/>
                <w:bCs w:val="0"/>
                <w:color w:val="auto"/>
                <w:sz w:val="24"/>
                <w:szCs w:val="24"/>
                <w:highlight w:val="none"/>
                <w:u w:val="none"/>
              </w:rPr>
              <w:t>.能效等级：</w:t>
            </w:r>
            <w:r>
              <w:rPr>
                <w:rFonts w:hint="eastAsia" w:ascii="仿宋_GB2312" w:hAnsi="仿宋_GB2312" w:eastAsia="仿宋_GB2312" w:cs="仿宋_GB2312"/>
                <w:color w:val="auto"/>
                <w:sz w:val="24"/>
                <w:szCs w:val="24"/>
                <w:lang w:val="en-US" w:eastAsia="zh-CN"/>
              </w:rPr>
              <w:t>不低于3级</w:t>
            </w:r>
            <w:r>
              <w:rPr>
                <w:rFonts w:hint="eastAsia" w:ascii="仿宋_GB2312" w:hAnsi="仿宋_GB2312" w:eastAsia="仿宋_GB2312" w:cs="仿宋_GB2312"/>
                <w:b w:val="0"/>
                <w:bCs w:val="0"/>
                <w:color w:val="auto"/>
                <w:sz w:val="24"/>
                <w:szCs w:val="24"/>
                <w:highlight w:val="none"/>
                <w:u w:val="none"/>
              </w:rPr>
              <w:t>，能效比：3.2</w:t>
            </w:r>
          </w:p>
          <w:p w14:paraId="469F9C3C">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5</w:t>
            </w:r>
            <w:r>
              <w:rPr>
                <w:rFonts w:hint="eastAsia" w:ascii="仿宋_GB2312" w:hAnsi="仿宋_GB2312" w:eastAsia="仿宋_GB2312" w:cs="仿宋_GB2312"/>
                <w:b w:val="0"/>
                <w:bCs w:val="0"/>
                <w:color w:val="auto"/>
                <w:sz w:val="24"/>
                <w:szCs w:val="24"/>
                <w:highlight w:val="none"/>
                <w:u w:val="none"/>
              </w:rPr>
              <w:t>.额定制冷量：5000W</w:t>
            </w:r>
          </w:p>
          <w:p w14:paraId="72813C07">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6</w:t>
            </w:r>
            <w:r>
              <w:rPr>
                <w:rFonts w:hint="eastAsia" w:ascii="仿宋_GB2312" w:hAnsi="仿宋_GB2312" w:eastAsia="仿宋_GB2312" w:cs="仿宋_GB2312"/>
                <w:b w:val="0"/>
                <w:bCs w:val="0"/>
                <w:color w:val="auto"/>
                <w:sz w:val="24"/>
                <w:szCs w:val="24"/>
                <w:highlight w:val="none"/>
                <w:u w:val="none"/>
              </w:rPr>
              <w:t>.工作制式：冷暖</w:t>
            </w:r>
          </w:p>
          <w:p w14:paraId="7F146ED8">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7</w:t>
            </w:r>
            <w:r>
              <w:rPr>
                <w:rFonts w:hint="eastAsia" w:ascii="仿宋_GB2312" w:hAnsi="仿宋_GB2312" w:eastAsia="仿宋_GB2312" w:cs="仿宋_GB2312"/>
                <w:b w:val="0"/>
                <w:bCs w:val="0"/>
                <w:color w:val="auto"/>
                <w:sz w:val="24"/>
                <w:szCs w:val="24"/>
                <w:highlight w:val="none"/>
                <w:u w:val="none"/>
              </w:rPr>
              <w:t>.电源规格：200V/50HZ</w:t>
            </w:r>
          </w:p>
          <w:p w14:paraId="02103EC3">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8</w:t>
            </w:r>
            <w:r>
              <w:rPr>
                <w:rFonts w:hint="eastAsia" w:ascii="仿宋_GB2312" w:hAnsi="仿宋_GB2312" w:eastAsia="仿宋_GB2312" w:cs="仿宋_GB2312"/>
                <w:b w:val="0"/>
                <w:bCs w:val="0"/>
                <w:color w:val="auto"/>
                <w:sz w:val="24"/>
                <w:szCs w:val="24"/>
                <w:highlight w:val="none"/>
                <w:u w:val="none"/>
              </w:rPr>
              <w:t>.最大输入功率：1500W</w:t>
            </w:r>
          </w:p>
          <w:p w14:paraId="05864EF7">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9</w:t>
            </w:r>
            <w:r>
              <w:rPr>
                <w:rFonts w:hint="eastAsia" w:ascii="仿宋_GB2312" w:hAnsi="仿宋_GB2312" w:eastAsia="仿宋_GB2312" w:cs="仿宋_GB2312"/>
                <w:b w:val="0"/>
                <w:bCs w:val="0"/>
                <w:color w:val="auto"/>
                <w:sz w:val="24"/>
                <w:szCs w:val="24"/>
                <w:highlight w:val="none"/>
                <w:u w:val="none"/>
              </w:rPr>
              <w:t>.最大输入电流：12A</w:t>
            </w:r>
          </w:p>
          <w:p w14:paraId="1EE1E0C5">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lang w:val="en-US" w:eastAsia="zh-CN"/>
              </w:rPr>
              <w:t>10</w:t>
            </w:r>
            <w:r>
              <w:rPr>
                <w:rFonts w:hint="eastAsia" w:ascii="仿宋_GB2312" w:hAnsi="仿宋_GB2312" w:eastAsia="仿宋_GB2312" w:cs="仿宋_GB2312"/>
                <w:b w:val="0"/>
                <w:bCs w:val="0"/>
                <w:color w:val="auto"/>
                <w:sz w:val="24"/>
                <w:szCs w:val="24"/>
                <w:highlight w:val="none"/>
                <w:u w:val="none"/>
              </w:rPr>
              <w:t>.运行噪音室内不超过：45分贝，运行噪音室外不超过：55分贝</w:t>
            </w:r>
          </w:p>
          <w:p w14:paraId="2955A27E">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highlight w:val="none"/>
                <w:u w:val="none"/>
              </w:rPr>
            </w:pPr>
            <w:r>
              <w:rPr>
                <w:rFonts w:hint="eastAsia" w:ascii="仿宋_GB2312" w:hAnsi="仿宋_GB2312" w:eastAsia="仿宋_GB2312" w:cs="仿宋_GB2312"/>
                <w:b w:val="0"/>
                <w:bCs w:val="0"/>
                <w:color w:val="auto"/>
                <w:sz w:val="24"/>
                <w:szCs w:val="24"/>
                <w:highlight w:val="none"/>
                <w:u w:val="none"/>
              </w:rPr>
              <w:t>1</w:t>
            </w:r>
            <w:r>
              <w:rPr>
                <w:rFonts w:hint="eastAsia" w:ascii="仿宋_GB2312" w:hAnsi="仿宋_GB2312" w:eastAsia="仿宋_GB2312" w:cs="仿宋_GB2312"/>
                <w:b w:val="0"/>
                <w:bCs w:val="0"/>
                <w:color w:val="auto"/>
                <w:sz w:val="24"/>
                <w:szCs w:val="24"/>
                <w:highlight w:val="none"/>
                <w:u w:val="none"/>
                <w:lang w:val="en-US" w:eastAsia="zh-CN"/>
              </w:rPr>
              <w:t>1</w:t>
            </w:r>
            <w:r>
              <w:rPr>
                <w:rFonts w:hint="eastAsia" w:ascii="仿宋_GB2312" w:hAnsi="仿宋_GB2312" w:eastAsia="仿宋_GB2312" w:cs="仿宋_GB2312"/>
                <w:b w:val="0"/>
                <w:bCs w:val="0"/>
                <w:color w:val="auto"/>
                <w:sz w:val="24"/>
                <w:szCs w:val="24"/>
                <w:highlight w:val="none"/>
                <w:u w:val="none"/>
              </w:rPr>
              <w:t>.循环风量不低于：900立方米/小时</w:t>
            </w:r>
          </w:p>
          <w:p w14:paraId="1B6018E9">
            <w:pPr>
              <w:keepNext w:val="0"/>
              <w:keepLines w:val="0"/>
              <w:pageBreakBefore w:val="0"/>
              <w:widowControl w:val="0"/>
              <w:kinsoku/>
              <w:wordWrap/>
              <w:overflowPunct/>
              <w:topLinePunct w:val="0"/>
              <w:autoSpaceDE/>
              <w:autoSpaceDN/>
              <w:bidi w:val="0"/>
              <w:adjustRightInd/>
              <w:snapToGrid w:val="0"/>
              <w:spacing w:line="400" w:lineRule="atLeast"/>
              <w:jc w:val="both"/>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highlight w:val="none"/>
                <w:u w:val="none"/>
              </w:rPr>
              <w:t>1</w:t>
            </w:r>
            <w:r>
              <w:rPr>
                <w:rFonts w:hint="eastAsia" w:ascii="仿宋_GB2312" w:hAnsi="仿宋_GB2312" w:eastAsia="仿宋_GB2312" w:cs="仿宋_GB2312"/>
                <w:b w:val="0"/>
                <w:bCs w:val="0"/>
                <w:color w:val="auto"/>
                <w:sz w:val="24"/>
                <w:szCs w:val="24"/>
                <w:highlight w:val="none"/>
                <w:u w:val="none"/>
                <w:lang w:val="en-US" w:eastAsia="zh-CN"/>
              </w:rPr>
              <w:t>2</w:t>
            </w:r>
            <w:r>
              <w:rPr>
                <w:rFonts w:hint="eastAsia" w:ascii="仿宋_GB2312" w:hAnsi="仿宋_GB2312" w:eastAsia="仿宋_GB2312" w:cs="仿宋_GB2312"/>
                <w:b w:val="0"/>
                <w:bCs w:val="0"/>
                <w:color w:val="auto"/>
                <w:sz w:val="24"/>
                <w:szCs w:val="24"/>
                <w:highlight w:val="none"/>
                <w:u w:val="none"/>
              </w:rPr>
              <w:t>.</w:t>
            </w:r>
            <w:r>
              <w:rPr>
                <w:rFonts w:hint="eastAsia" w:ascii="仿宋_GB2312" w:hAnsi="仿宋_GB2312" w:eastAsia="仿宋_GB2312" w:cs="仿宋_GB2312"/>
                <w:b w:val="0"/>
                <w:bCs w:val="0"/>
                <w:color w:val="auto"/>
                <w:sz w:val="24"/>
                <w:szCs w:val="24"/>
                <w:highlight w:val="none"/>
                <w:u w:val="none"/>
                <w:lang w:eastAsia="zh-CN"/>
              </w:rPr>
              <w:t>保修：≥5年</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3F90E77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2台</w:t>
            </w:r>
          </w:p>
        </w:tc>
      </w:tr>
      <w:tr w14:paraId="0FEC08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DD3DFD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34E28C5">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风机</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4E1945C">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1.尺寸：≥250mm*250mm</w:t>
            </w:r>
            <w:r>
              <w:rPr>
                <w:rFonts w:hint="eastAsia" w:ascii="仿宋_GB2312" w:hAnsi="仿宋_GB2312" w:eastAsia="仿宋_GB2312" w:cs="仿宋_GB2312"/>
                <w:color w:val="auto"/>
                <w:sz w:val="24"/>
                <w:lang w:eastAsia="zh-CN"/>
              </w:rPr>
              <w:t>；</w:t>
            </w:r>
          </w:p>
          <w:p w14:paraId="36F571B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2.产品功率：≥60W</w:t>
            </w:r>
            <w:r>
              <w:rPr>
                <w:rFonts w:hint="eastAsia" w:ascii="仿宋_GB2312" w:hAnsi="仿宋_GB2312" w:eastAsia="仿宋_GB2312" w:cs="仿宋_GB2312"/>
                <w:color w:val="auto"/>
                <w:sz w:val="24"/>
                <w:lang w:eastAsia="zh-CN"/>
              </w:rPr>
              <w:t>；</w:t>
            </w:r>
          </w:p>
          <w:p w14:paraId="322F964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rPr>
            </w:pPr>
            <w:r>
              <w:rPr>
                <w:rFonts w:hint="eastAsia" w:ascii="仿宋_GB2312" w:hAnsi="仿宋_GB2312" w:eastAsia="仿宋_GB2312" w:cs="仿宋_GB2312"/>
                <w:color w:val="auto"/>
                <w:sz w:val="24"/>
              </w:rPr>
              <w:t>3.电压：220V</w:t>
            </w:r>
            <w:r>
              <w:rPr>
                <w:rFonts w:hint="eastAsia" w:ascii="仿宋_GB2312" w:hAnsi="仿宋_GB2312" w:eastAsia="仿宋_GB2312" w:cs="仿宋_GB2312"/>
                <w:color w:val="auto"/>
                <w:sz w:val="24"/>
                <w:lang w:eastAsia="zh-CN"/>
              </w:rPr>
              <w:t>；</w:t>
            </w:r>
          </w:p>
          <w:p w14:paraId="2E35793F">
            <w:pPr>
              <w:keepNext w:val="0"/>
              <w:keepLines w:val="0"/>
              <w:pageBreakBefore w:val="0"/>
              <w:kinsoku/>
              <w:wordWrap/>
              <w:overflowPunct/>
              <w:topLinePunct w:val="0"/>
              <w:autoSpaceDE/>
              <w:autoSpaceDN/>
              <w:bidi w:val="0"/>
              <w:snapToGrid w:val="0"/>
              <w:spacing w:line="400" w:lineRule="atLeast"/>
              <w:jc w:val="both"/>
              <w:rPr>
                <w:rFonts w:hint="eastAsia" w:eastAsia="仿宋_GB2312"/>
                <w:color w:val="auto"/>
                <w:lang w:eastAsia="zh-CN"/>
              </w:rPr>
            </w:pPr>
            <w:r>
              <w:rPr>
                <w:rFonts w:hint="eastAsia" w:ascii="仿宋_GB2312" w:hAnsi="仿宋_GB2312" w:eastAsia="仿宋_GB2312" w:cs="仿宋_GB2312"/>
                <w:color w:val="auto"/>
                <w:sz w:val="24"/>
              </w:rPr>
              <w:t>4.强劲风量 高效换气</w:t>
            </w:r>
            <w:r>
              <w:rPr>
                <w:rFonts w:hint="eastAsia" w:ascii="仿宋_GB2312" w:hAnsi="仿宋_GB2312" w:eastAsia="仿宋_GB2312" w:cs="仿宋_GB2312"/>
                <w:color w:val="auto"/>
                <w:sz w:val="24"/>
                <w:lang w:eastAsia="zh-CN"/>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DB388D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6台</w:t>
            </w:r>
          </w:p>
        </w:tc>
      </w:tr>
      <w:tr w14:paraId="4FC76E0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BB48605">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FE4783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简易防水箱体</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EB54DED">
            <w:pPr>
              <w:keepNext w:val="0"/>
              <w:keepLines w:val="0"/>
              <w:pageBreakBefore w:val="0"/>
              <w:numPr>
                <w:ilvl w:val="0"/>
                <w:numId w:val="6"/>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定制箱体尺寸</w:t>
            </w:r>
          </w:p>
          <w:p w14:paraId="41370B9B">
            <w:pPr>
              <w:keepNext w:val="0"/>
              <w:keepLines w:val="0"/>
              <w:pageBreakBefore w:val="0"/>
              <w:numPr>
                <w:ilvl w:val="0"/>
                <w:numId w:val="6"/>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板材：冷轧钢板</w:t>
            </w:r>
          </w:p>
          <w:p w14:paraId="499806E3">
            <w:pPr>
              <w:keepNext w:val="0"/>
              <w:keepLines w:val="0"/>
              <w:pageBreakBefore w:val="0"/>
              <w:numPr>
                <w:ilvl w:val="0"/>
                <w:numId w:val="6"/>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颜色：黑色</w:t>
            </w:r>
          </w:p>
          <w:p w14:paraId="15729F27">
            <w:pPr>
              <w:keepNext w:val="0"/>
              <w:keepLines w:val="0"/>
              <w:pageBreakBefore w:val="0"/>
              <w:numPr>
                <w:ilvl w:val="0"/>
                <w:numId w:val="6"/>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配件：电源板、卡托、连接件</w:t>
            </w:r>
            <w:r>
              <w:rPr>
                <w:rFonts w:hint="eastAsia" w:ascii="仿宋_GB2312" w:hAnsi="仿宋_GB2312" w:eastAsia="仿宋_GB2312" w:cs="仿宋_GB2312"/>
                <w:color w:val="auto"/>
                <w:sz w:val="24"/>
                <w:szCs w:val="24"/>
                <w:lang w:eastAsia="zh-CN"/>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88AAD1D">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25.9㎡</w:t>
            </w:r>
          </w:p>
        </w:tc>
      </w:tr>
      <w:tr w14:paraId="7F07C3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E9AEC2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CB2565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网络跳线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CE83EF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RJ45超五类网络跳线（</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米）。</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DFCD00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30条</w:t>
            </w:r>
          </w:p>
        </w:tc>
      </w:tr>
      <w:tr w14:paraId="471039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4BCE7E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15</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DB604E1">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内部电源线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AE1B911">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lang w:val="en-US" w:eastAsia="zh-CN" w:bidi="ar-SA"/>
              </w:rPr>
              <w:t>1.</w:t>
            </w: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2.5</w:t>
            </w:r>
            <w:r>
              <w:rPr>
                <w:rFonts w:hint="eastAsia" w:ascii="仿宋_GB2312" w:hAnsi="仿宋_GB2312" w:eastAsia="仿宋_GB2312" w:cs="仿宋_GB2312"/>
                <w:color w:val="auto"/>
                <w:sz w:val="24"/>
                <w:szCs w:val="24"/>
                <w:highlight w:val="none"/>
              </w:rPr>
              <w:t>mm²，铜芯阻燃交联聚乙烯绝缘聚氯乙烯护套电力电缆</w:t>
            </w:r>
          </w:p>
          <w:p w14:paraId="477934FF">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2.</w:t>
            </w:r>
            <w:r>
              <w:rPr>
                <w:rFonts w:hint="eastAsia" w:ascii="仿宋_GB2312" w:hAnsi="仿宋_GB2312" w:eastAsia="仿宋_GB2312" w:cs="仿宋_GB2312"/>
                <w:color w:val="auto"/>
                <w:sz w:val="24"/>
                <w:szCs w:val="24"/>
                <w:highlight w:val="none"/>
              </w:rPr>
              <w:t>额定电压0.6/1KV</w:t>
            </w:r>
          </w:p>
          <w:p w14:paraId="701BC288">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3.</w:t>
            </w:r>
            <w:r>
              <w:rPr>
                <w:rFonts w:hint="eastAsia" w:ascii="仿宋_GB2312" w:hAnsi="仿宋_GB2312" w:eastAsia="仿宋_GB2312" w:cs="仿宋_GB2312"/>
                <w:color w:val="auto"/>
                <w:sz w:val="24"/>
                <w:szCs w:val="24"/>
                <w:highlight w:val="none"/>
              </w:rPr>
              <w:t>导体电阻≤1.15Ω/km</w:t>
            </w:r>
          </w:p>
          <w:p w14:paraId="4233C11D">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4.</w:t>
            </w:r>
            <w:r>
              <w:rPr>
                <w:rFonts w:hint="eastAsia" w:ascii="仿宋_GB2312" w:hAnsi="仿宋_GB2312" w:eastAsia="仿宋_GB2312" w:cs="仿宋_GB2312"/>
                <w:color w:val="auto"/>
                <w:sz w:val="24"/>
                <w:szCs w:val="24"/>
                <w:highlight w:val="none"/>
              </w:rPr>
              <w:t>电压试验3500V/5min不击穿。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0D5CD0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135米</w:t>
            </w:r>
          </w:p>
        </w:tc>
      </w:tr>
      <w:tr w14:paraId="559E16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555AA0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16</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B0B482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辅助材料及施工等</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8DD562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含布线施工及设计，安装调试及培训、辅材等。按柳州市教育系统工程施工规范要求实施。</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F21B1D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00BEF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7D6CB74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bCs/>
                <w:color w:val="auto"/>
                <w:kern w:val="0"/>
                <w:sz w:val="24"/>
                <w:lang w:val="en-US" w:eastAsia="zh-CN" w:bidi="ar"/>
              </w:rPr>
              <w:t>（六）柳江实验高中室内全彩LED屏</w:t>
            </w:r>
          </w:p>
        </w:tc>
      </w:tr>
      <w:tr w14:paraId="2DE083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6E7A0EA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4F9D9E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室内全彩LED屏</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3DFFA35">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1.点间距≤2.5mm；</w:t>
            </w:r>
          </w:p>
          <w:p w14:paraId="26C24588">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2.屏体面积尺寸：长6.4米*高2.72米≈17.41平方米，采用TOP型SMD封装的灯珠，1R1G1B；灯珠结构支持PPA碗杯结构、点胶封装、出光方式为单面发光；支持PCB平面结构，molding封装、切割、出光方式为五面发光；</w:t>
            </w:r>
          </w:p>
          <w:p w14:paraId="582BA0E2">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3.LED显示模组亮度均匀性≥99%（校正后）；</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4.LED显示模组的基色主波长的测量误差∆入D≤2n；</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5.依据SJ/T11281-2025第4.2.2测试，垂直≥177度，水平≥177度</w:t>
            </w:r>
          </w:p>
          <w:p w14:paraId="1C7CBE6B">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6.色温（K）：9300K，20—20000可调，调节步长100K，色温为6500K时，100%、75%、50%、25%四档电平白场调节色温误差≤±200K；色温为8500K时，100%、75%、50%、25%四档电平白场调节色温误差≤±100K；</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7.电流增益调节级别≥10位，电流增益调节范围1%-199%</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8.视觉舒适度(VICO指数)测试值在O≤VICO＜1,满足CSA035.2-2017标准量化分级1级，视觉舒适度等级为1级；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9.色度均匀性：±0.001(Cx,Cy之内)；</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10.对比度≥20000:1；</w:t>
            </w:r>
          </w:p>
          <w:p w14:paraId="0B75522D">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11.模组间隙≤0.01mm，拼接模组间隙≤0.01mm，像素中心距相对偏差等级Jx≤0.5%，垂直相对错位等级Cc≤0.5%，水平相对错位等级Cs≤0.5%；</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12.刷新率≥3840Hz；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13.NTSC 色域覆盖率≥125%，色域重合度≥99.3%；</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14.PCB 采用 FR-4 四层板同等级或更高材料，表面沉金处理，板厚≥1.58mm，铜厚≥0.8 盎司，TG≥148，PCB 板表面具备防潮/防尘/防静电/抗氧化，防霉等级≤1 级。采用抗消隐设计，无“毛毛虫”“鬼影”跟随现象，模组与HUB板采用排线连接，无级联，可直接插拔和热插拔；</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15.显示屏塑料面罩底壳应能通过550℃灼热丝试验要求，满足HB等级要求；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16.显示屏经蓝光危害检测结果为无危害；</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17.噪声测试（符合GB22337-2008社会生活环境噪声排放标准）屏前、屏后、屏左、屏右1m处，噪声声压≤3dB；</w:t>
            </w:r>
          </w:p>
          <w:p w14:paraId="1D664782">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18.符合CQC3158-2016(LED显示单元节能认证技术规范),具有智能节电和黑屏节电功能，节能模式节电60%以上；</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19.平均修复时间≤2分钟，平均无故障工作时间≥110000小时，支持7*24小时不间断工作；</w:t>
            </w:r>
          </w:p>
          <w:p w14:paraId="2B867147">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Chars="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20.LED显示屏所使用的各种材料和元器件，铅、汞、六价铬、多溴联苯、多溴二苯醚(十溴二苯醚除外)的含量不应超过0.1%,镉的含量不应超过0.01%；</w:t>
            </w:r>
          </w:p>
          <w:p w14:paraId="02E52307">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21.LED显示屏图像质量主观评价方法进行，运动图像清晰度、灰度表现力2（伪轮廓现象）主观感受满足图像质量好，评价优级；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22.采用印制板测试方法，IPC-TM-650 2.5.7D、IPC-TM-650 2.5.7.1.IPC-TM-6502.5.6B、IPC-TM-650 2.5.6.2AASTM D149 在工业用电频率时实心电绝缘材料的介电击穿电压与介电强度的试验方法，印刷板在经过湿热箱处理120h后进行测试，绝缘部分未被击穿；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23.采用 MC 多通道校正技术，消除屏体在不同灰阶下的麻点和色块问题，保证全灰阶显示均匀一致；</w:t>
            </w:r>
          </w:p>
          <w:p w14:paraId="68C4E7D1">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24.支持鬼影消除、低灰偏色补偿、去除坏点、毛毛虫消除、余辉消除、亮度缓慢变亮功能；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25.摩擦起电电压|V|≤100V;静电电压衰减期 (±1000-±100V）≤2S;</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26.具备20条以上可调节的γ校正曲线；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27.采用 MWFRFT 多层多参数智慧调节技术处理技术，打破传统单层 WFRFT 结构模式扩展为多层 MWFRFT 结构，提升大屏低灰刷新不足引起的闪烁问题；</w:t>
            </w:r>
          </w:p>
          <w:p w14:paraId="10FAE577">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28.模组采用4P接插头，免工具维护，具有防呆设置，避免线路接错的问题。采用集成hub接收卡控制，支持通讯状态监测，高灰度，高刷新；</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29.支持HDR信号显示，支持HDR高动态光照渲染技米。依据CESI/TS008-2019《HDR 显示认证技术规范》，支持高动态范围(HDR，Higi-Dynamic Range)检测项目峰值亮度1000-1500、黑色亮度≤0.05cd/m2.EOTF 曲线拟合度0.7-1.3.色域覆盖率≥90（相对DCILP3色空间）、色域重合度≥60%；</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30.支持模组级的 LED 灯防撞灯保护装</w:t>
            </w:r>
            <w:r>
              <w:rPr>
                <w:rFonts w:hint="eastAsia" w:ascii="仿宋_GB2312" w:hAnsi="仿宋_GB2312" w:eastAsia="仿宋_GB2312" w:cs="仿宋_GB2312"/>
                <w:i w:val="0"/>
                <w:iCs w:val="0"/>
                <w:strike w:val="0"/>
                <w:color w:val="auto"/>
                <w:kern w:val="0"/>
                <w:sz w:val="24"/>
                <w:szCs w:val="24"/>
                <w:u w:val="none"/>
                <w:lang w:val="en-US" w:eastAsia="zh-CN" w:bidi="ar"/>
              </w:rPr>
              <w:t>置</w:t>
            </w:r>
            <w:r>
              <w:rPr>
                <w:rFonts w:hint="eastAsia" w:ascii="仿宋_GB2312" w:hAnsi="仿宋_GB2312" w:eastAsia="仿宋_GB2312" w:cs="仿宋_GB2312"/>
                <w:i w:val="0"/>
                <w:iCs w:val="0"/>
                <w:color w:val="auto"/>
                <w:kern w:val="0"/>
                <w:sz w:val="24"/>
                <w:szCs w:val="24"/>
                <w:u w:val="none"/>
                <w:lang w:val="en-US" w:eastAsia="zh-CN" w:bidi="ar"/>
              </w:rPr>
              <w:t>；</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31.粒子尺寸＜75μm 的滑石粉，尘降量 600g/（㎡ ·d）， 自由降尘，试验时间8h，产品未发现尘沉积及侵入；</w:t>
            </w:r>
          </w:p>
          <w:p w14:paraId="72D6D61B">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32.电源插头或电源接入端子与外壳裸露金属部件之间绝缘电阻在正常大气条件下应≥500MΩ，湿热条件下应≥20MΩ;</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32.亮度调节支持手动/自动/远程调节；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33.通过灯管耐焊耐热测试：灯珠引脚无氧化,焊接正常,灯珠胶体正常,点亮正常；</w:t>
            </w:r>
          </w:p>
          <w:p w14:paraId="128CBAF7">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34.通过抗静电(ESD)测试:HBM模式:ESD＞2000V,灯珠点亮无异常；</w:t>
            </w:r>
          </w:p>
          <w:p w14:paraId="0FEFCEBE">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35.PCB板及塑胶底壳、面罩满足UL94 V-0级要求；</w:t>
            </w:r>
          </w:p>
          <w:p w14:paraId="098C9292">
            <w:pPr>
              <w:keepNext w:val="0"/>
              <w:keepLines w:val="0"/>
              <w:pageBreakBefore w:val="0"/>
              <w:widowControl/>
              <w:numPr>
                <w:ilvl w:val="0"/>
                <w:numId w:val="0"/>
              </w:numPr>
              <w:suppressLineNumbers w:val="0"/>
              <w:kinsoku/>
              <w:wordWrap/>
              <w:overflowPunct/>
              <w:topLinePunct w:val="0"/>
              <w:autoSpaceDE/>
              <w:autoSpaceDN/>
              <w:bidi w:val="0"/>
              <w:snapToGrid w:val="0"/>
              <w:spacing w:line="400" w:lineRule="atLeast"/>
              <w:ind w:left="0" w:leftChars="0" w:firstLine="0" w:firstLineChars="0"/>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36.</w:t>
            </w:r>
            <w:r>
              <w:rPr>
                <w:rFonts w:hint="eastAsia" w:ascii="仿宋_GB2312" w:hAnsi="仿宋_GB2312" w:eastAsia="仿宋_GB2312" w:cs="仿宋_GB2312"/>
                <w:color w:val="auto"/>
                <w:kern w:val="0"/>
                <w:sz w:val="24"/>
                <w:szCs w:val="24"/>
                <w:lang w:bidi="ar"/>
              </w:rPr>
              <w:t>功</w:t>
            </w:r>
            <w:r>
              <w:rPr>
                <w:rFonts w:hint="eastAsia" w:ascii="仿宋_GB2312" w:hAnsi="仿宋_GB2312" w:eastAsia="仿宋_GB2312" w:cs="仿宋_GB2312"/>
                <w:color w:val="auto"/>
                <w:kern w:val="0"/>
                <w:sz w:val="24"/>
                <w:szCs w:val="24"/>
                <w:lang w:eastAsia="zh-CN" w:bidi="ar"/>
              </w:rPr>
              <w:t>耗</w:t>
            </w:r>
            <w:r>
              <w:rPr>
                <w:rFonts w:hint="eastAsia" w:ascii="仿宋_GB2312" w:hAnsi="仿宋_GB2312" w:eastAsia="仿宋_GB2312" w:cs="仿宋_GB2312"/>
                <w:color w:val="auto"/>
                <w:kern w:val="0"/>
                <w:sz w:val="24"/>
                <w:szCs w:val="24"/>
                <w:lang w:bidi="ar"/>
              </w:rPr>
              <w:t>：最大功耗(W/㎡) 352 ，平均功率(W/㎡) 1</w:t>
            </w:r>
            <w:r>
              <w:rPr>
                <w:rFonts w:hint="eastAsia" w:ascii="仿宋_GB2312" w:hAnsi="仿宋_GB2312" w:eastAsia="仿宋_GB2312" w:cs="仿宋_GB2312"/>
                <w:color w:val="auto"/>
                <w:kern w:val="0"/>
                <w:sz w:val="24"/>
                <w:szCs w:val="24"/>
                <w:lang w:val="en-US" w:eastAsia="zh-CN" w:bidi="ar"/>
              </w:rPr>
              <w:t>2</w:t>
            </w:r>
            <w:r>
              <w:rPr>
                <w:rFonts w:hint="eastAsia" w:ascii="仿宋_GB2312" w:hAnsi="仿宋_GB2312" w:eastAsia="仿宋_GB2312" w:cs="仿宋_GB2312"/>
                <w:color w:val="auto"/>
                <w:kern w:val="0"/>
                <w:sz w:val="24"/>
                <w:szCs w:val="24"/>
                <w:lang w:bidi="ar"/>
              </w:rPr>
              <w:t>6</w:t>
            </w:r>
            <w:r>
              <w:rPr>
                <w:rFonts w:hint="eastAsia" w:ascii="仿宋_GB2312" w:hAnsi="仿宋_GB2312" w:eastAsia="仿宋_GB2312" w:cs="仿宋_GB2312"/>
                <w:color w:val="auto"/>
                <w:kern w:val="0"/>
                <w:sz w:val="24"/>
                <w:szCs w:val="24"/>
                <w:lang w:eastAsia="zh-CN" w:bidi="ar"/>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46007CD">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17.41㎡</w:t>
            </w:r>
          </w:p>
        </w:tc>
      </w:tr>
      <w:tr w14:paraId="73AE912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AF4358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CE7168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LED电源</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E86CA9D">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1.输入电压：200-240Vac,40-63Hz</w:t>
            </w:r>
          </w:p>
          <w:p w14:paraId="78169B6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2.输出电流：40A/输出电压：5V</w:t>
            </w:r>
          </w:p>
          <w:p w14:paraId="19337C2C">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3.泄漏电流：&lt;1ma（Vin：230）</w:t>
            </w:r>
          </w:p>
          <w:p w14:paraId="4EC32A1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4.保护功能：输入欠压；过载保护；短路保护</w:t>
            </w:r>
          </w:p>
          <w:p w14:paraId="4610E61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5.工作温度：-30~50℃/储存温度：-40~80℃</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E5EAE7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68台</w:t>
            </w:r>
          </w:p>
        </w:tc>
      </w:tr>
      <w:tr w14:paraId="6B750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10E3B80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72049A4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接收卡</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C59ED7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1.单卡最大带载 512×512像素，最多支持 </w:t>
            </w:r>
            <w:r>
              <w:rPr>
                <w:rFonts w:hint="eastAsia" w:ascii="仿宋_GB2312" w:hAnsi="仿宋_GB2312" w:eastAsia="仿宋_GB2312" w:cs="仿宋_GB2312"/>
                <w:color w:val="auto"/>
                <w:sz w:val="24"/>
                <w:szCs w:val="24"/>
                <w:lang w:val="en-US" w:eastAsia="zh-CN"/>
              </w:rPr>
              <w:t>24</w:t>
            </w:r>
            <w:r>
              <w:rPr>
                <w:rFonts w:hint="eastAsia" w:ascii="仿宋_GB2312" w:hAnsi="仿宋_GB2312" w:eastAsia="仿宋_GB2312" w:cs="仿宋_GB2312"/>
                <w:color w:val="auto"/>
                <w:sz w:val="24"/>
                <w:szCs w:val="24"/>
              </w:rPr>
              <w:t xml:space="preserve"> 组RGB 并行数据；</w:t>
            </w:r>
          </w:p>
          <w:p w14:paraId="1C3A8695">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2.采用 </w:t>
            </w:r>
            <w:r>
              <w:rPr>
                <w:rFonts w:hint="eastAsia" w:ascii="仿宋_GB2312" w:hAnsi="仿宋_GB2312" w:eastAsia="仿宋_GB2312" w:cs="仿宋_GB2312"/>
                <w:color w:val="auto"/>
                <w:sz w:val="24"/>
                <w:szCs w:val="24"/>
                <w:lang w:val="en-US" w:eastAsia="zh-CN"/>
              </w:rPr>
              <w:t>12</w:t>
            </w:r>
            <w:r>
              <w:rPr>
                <w:rFonts w:hint="eastAsia" w:ascii="仿宋_GB2312" w:hAnsi="仿宋_GB2312" w:eastAsia="仿宋_GB2312" w:cs="仿宋_GB2312"/>
                <w:color w:val="auto"/>
                <w:sz w:val="24"/>
                <w:szCs w:val="24"/>
              </w:rPr>
              <w:t>个标准HUB75接口，具有高稳定性和高可靠性，适用于多种环境的搭建；</w:t>
            </w:r>
          </w:p>
          <w:p w14:paraId="4605B19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3.支持逐点亮度校正，可以对每个灯点的亮度进行校正，使整屏的亮度达到高度均匀一致，提高显示屏的画质</w:t>
            </w:r>
          </w:p>
          <w:p w14:paraId="4E48CA8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4.快速亮暗线调节在调试软件上进行快速亮暗线调节，快速解决因箱体及模组拼接造成的显示屏亮暗线，调节过程中即时生效，简单易用。</w:t>
            </w:r>
          </w:p>
          <w:p w14:paraId="00D3D76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5.配合支持 3D 功能的独立主控，在软件或独立主控的操作面板上开启 3D 功能，并设置 3D 参数，使画面显示 3D 效果。</w:t>
            </w:r>
          </w:p>
          <w:p w14:paraId="1FCC881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6.支持Mapping功能开启，每个箱体上会显示数字，清楚</w:t>
            </w:r>
            <w:r>
              <w:rPr>
                <w:rFonts w:hint="eastAsia" w:ascii="仿宋_GB2312" w:hAnsi="仿宋_GB2312" w:eastAsia="仿宋_GB2312" w:cs="仿宋_GB2312"/>
                <w:color w:val="auto"/>
                <w:sz w:val="24"/>
                <w:szCs w:val="24"/>
                <w:lang w:val="en-US" w:eastAsia="zh-CN"/>
              </w:rPr>
              <w:t>显示</w:t>
            </w:r>
            <w:r>
              <w:rPr>
                <w:rFonts w:hint="eastAsia" w:ascii="仿宋_GB2312" w:hAnsi="仿宋_GB2312" w:eastAsia="仿宋_GB2312" w:cs="仿宋_GB2312"/>
                <w:color w:val="auto"/>
                <w:sz w:val="24"/>
                <w:szCs w:val="24"/>
              </w:rPr>
              <w:t>当前箱体是哪个网口下的哪张接收卡，直观的看到显示屏连接状况。</w:t>
            </w:r>
          </w:p>
          <w:p w14:paraId="30BFCAEC">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7.可以将指定图片设置为显示屏的开机、网线断开或无视频源信号时的画面或者最后一帧画面</w:t>
            </w:r>
          </w:p>
          <w:p w14:paraId="5AA0331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8.可以监测自身的温度和电压，无需其他外设，在软件上可以查看接收卡的温度和电压，检测发送设备与接收卡间或接收卡与接收卡间的网络通讯质量，记录错误包数，协助排除网络通讯隐患</w:t>
            </w:r>
          </w:p>
          <w:p w14:paraId="0CE2306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9.支持5pin 液晶模块，用于显示接收卡的温度、电压、单次运行时间和总运行时间。支持千兆网，可通过网线直接连接PC端进行调试和显示，无需发送卡</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350AD6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42张</w:t>
            </w:r>
          </w:p>
        </w:tc>
      </w:tr>
      <w:tr w14:paraId="62DA34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620AB24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752698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视频处理器</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0CE2535">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采用标准 19 英寸金属结构机箱，机箱为后挂耳结构，上盖无螺钉安装:外壳防护等级符合GB</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IT 4280-2017中IP20的要求;采用纯硬件 FPGA 架构设计、运行稳定、可靠、高效。</w:t>
            </w:r>
          </w:p>
          <w:p w14:paraId="001E70B2">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输入接口至少包括1路HDMI2.0+LOOP,2路HDMI1.3，1路USB3.0，最大可支持4096*2160@60HZ信号输入，支持选配1路3G-SDI（IN+LOOP）。</w:t>
            </w:r>
          </w:p>
          <w:p w14:paraId="25C03E45">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视频输出支持不少于</w:t>
            </w: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rPr>
              <w:t>路千兆网口输出，1路10G-OPT光口，最大带载可达</w:t>
            </w:r>
            <w:r>
              <w:rPr>
                <w:rFonts w:hint="eastAsia" w:ascii="仿宋_GB2312" w:hAnsi="仿宋_GB2312" w:eastAsia="仿宋_GB2312" w:cs="仿宋_GB2312"/>
                <w:color w:val="auto"/>
                <w:sz w:val="24"/>
                <w:szCs w:val="24"/>
                <w:lang w:val="en-US" w:eastAsia="zh-CN"/>
              </w:rPr>
              <w:t>390</w:t>
            </w:r>
            <w:r>
              <w:rPr>
                <w:rFonts w:hint="eastAsia" w:ascii="仿宋_GB2312" w:hAnsi="仿宋_GB2312" w:eastAsia="仿宋_GB2312" w:cs="仿宋_GB2312"/>
                <w:color w:val="auto"/>
                <w:sz w:val="24"/>
                <w:szCs w:val="24"/>
              </w:rPr>
              <w:t>万像素，最宽支持10240,最高8192。</w:t>
            </w:r>
          </w:p>
          <w:p w14:paraId="40CFF271">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音频输入支持视频口伴随音频输入及独立输入两种模式，音频输出支持网口扩展输出及3.5mm独立音频口输出；</w:t>
            </w:r>
          </w:p>
          <w:p w14:paraId="380C745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支持输入源备份功能，主源丢失下，无需人为操作可自动切换至备源显示，切换过程无黑屏；</w:t>
            </w:r>
          </w:p>
          <w:p w14:paraId="0F6AD99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可支持144HZ高帧率输入输出，输出支持插帧、抽帧、倍频（2倍频、3倍频、4倍频）功能，可将30HZ信号，倍频至120HZ输出；</w:t>
            </w:r>
          </w:p>
          <w:p w14:paraId="3E322DC6">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图层能力：最大可支持不少于6个2K图层或1个4K图层+2个2K图层，全部图层大小和位置可单独调节。4K接口输入2K信号，按2K图层计算图层资源；</w:t>
            </w:r>
          </w:p>
          <w:p w14:paraId="2314CE55">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通过上位机软件实现对显示屏的连接，控制，包括：输入源切换，窗口位置及大小调节，分辨率自定义等；软件端支持可视化呈现设备各接口实时状态，包括视频输入状态及分辨率、网口带载利用率、监控界面支持接收卡温度、电压、误码率、通讯状态等的检测；</w:t>
            </w:r>
          </w:p>
          <w:p w14:paraId="73A0DBC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支持U盘即插即播功能，最大支持4K级（3840*2160@60fps）图片和视频的流畅播放，播放列表计切换效果支持自定义编排，最多支持20余种图片切换特效，如：水波涟漪、镜头拉近、直接推出、立体翻转、百叶窗、左右擦除、上下擦除、立方体旋转、溶解转场、网格转场、扇扫转场、画卷转场、淡入淡出、旋转扭曲、心形转场、拉帘推出、透视三角、圆形消失、矩形弹跳、星形旋转等；</w:t>
            </w:r>
          </w:p>
          <w:p w14:paraId="0B90D0B4">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标配全彩液晶，搭配实体按键，极大的方便了设备整体状态的监控及设备功能的控制:设备功能按键及丝印信息采用全中文提示，项目上无需粘贴额外的标签纸加以区分，清晰直观;</w:t>
            </w:r>
          </w:p>
          <w:p w14:paraId="183483C1">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支持2种用户模式，标准模式和专业模式，满足不同角色对显示屏的分权管理，使用更加放心；</w:t>
            </w:r>
          </w:p>
          <w:p w14:paraId="53057650">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支持微信小程序快捷控制，包括亮度调节、输出画质调节、待机模式、画面冻结、场景切换、U盘播放等功能；</w:t>
            </w:r>
          </w:p>
          <w:p w14:paraId="0ABB4DC5">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支持平板对控制器进行快捷控制，包括亮度调节、图层布局调节、画面冻结、黑屏、场景切换、音量大小、OSD开关等功能；</w:t>
            </w:r>
          </w:p>
          <w:p w14:paraId="48C12CAE">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支持创建多个设备还原点，将当前设备的配屏，场景，输出等参数存储为还原点，当系统工作异常时，可根据还原点一键快速还原；</w:t>
            </w:r>
          </w:p>
          <w:p w14:paraId="0163B9BF">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支持控制设备白名单，可通过MAC地址限制控制设备，非白名单内设备无法控制设备，不允许对设备进行操作；</w:t>
            </w:r>
          </w:p>
          <w:p w14:paraId="6DCFBC1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MTBF≥150000小时，MTTR平均修复小于10分钟可用度大于 99%，整机寿命不小于150000小时。产品稳定性高、性能卓越、纯硬件结构，上电即可正常工作，无需做任何其它设置。</w:t>
            </w:r>
          </w:p>
          <w:p w14:paraId="0EE62329">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设备控制支持BS架构，可兼容多种操作系统包括但不限于：Windows、MAC OS、深度 Linux、银河麒麟、统信 UOS中标麒麟(NeoKylin)、优麒麟(UbuntuKylin)、凝思磐石、红旗 Linux 等;</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BA650A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324284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6E82F99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5</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163B9E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LED备用模组</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6D22E97">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1.模组尺寸：320mm*160mm，与主LED屏同批次；</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22359A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8张</w:t>
            </w:r>
          </w:p>
        </w:tc>
      </w:tr>
      <w:tr w14:paraId="278EE59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1D4E2A5">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6</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3E87A3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显示屏框架</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49F70C3">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1.框体尺寸：≥</w:t>
            </w:r>
            <w:r>
              <w:rPr>
                <w:rFonts w:hint="eastAsia" w:ascii="仿宋_GB2312" w:hAnsi="仿宋_GB2312" w:eastAsia="仿宋_GB2312" w:cs="仿宋_GB2312"/>
                <w:color w:val="auto"/>
                <w:sz w:val="24"/>
                <w:szCs w:val="24"/>
                <w:lang w:val="en-US" w:eastAsia="zh-CN"/>
              </w:rPr>
              <w:t>6500</w:t>
            </w:r>
            <w:r>
              <w:rPr>
                <w:rFonts w:hint="eastAsia" w:ascii="仿宋_GB2312" w:hAnsi="仿宋_GB2312" w:eastAsia="仿宋_GB2312" w:cs="仿宋_GB2312"/>
                <w:color w:val="auto"/>
                <w:sz w:val="24"/>
                <w:szCs w:val="24"/>
              </w:rPr>
              <w:t>mm*</w:t>
            </w:r>
            <w:r>
              <w:rPr>
                <w:rFonts w:hint="eastAsia" w:ascii="仿宋_GB2312" w:hAnsi="仿宋_GB2312" w:eastAsia="仿宋_GB2312" w:cs="仿宋_GB2312"/>
                <w:color w:val="auto"/>
                <w:sz w:val="24"/>
                <w:szCs w:val="24"/>
                <w:lang w:val="en-US" w:eastAsia="zh-CN"/>
              </w:rPr>
              <w:t>2820</w:t>
            </w:r>
            <w:r>
              <w:rPr>
                <w:rFonts w:hint="eastAsia" w:ascii="仿宋_GB2312" w:hAnsi="仿宋_GB2312" w:eastAsia="仿宋_GB2312" w:cs="仿宋_GB2312"/>
                <w:color w:val="auto"/>
                <w:sz w:val="24"/>
                <w:szCs w:val="24"/>
              </w:rPr>
              <w:t>mm，贴墙壁挂安装;</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含钢结构、定制包边。采用专用钢结构支架；</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3.按照国家钢结构设计规范，满足屏体安全承载需求制；</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lang w:eastAsia="zh-CN"/>
              </w:rPr>
              <w:t>显示屏采用支撑钢结构材料。</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710CA9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18.33㎡</w:t>
            </w:r>
          </w:p>
        </w:tc>
      </w:tr>
      <w:tr w14:paraId="466500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1A6C98E">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7</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E73CF37">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计算机</w:t>
            </w:r>
            <w:r>
              <w:rPr>
                <w:rFonts w:hint="eastAsia" w:ascii="仿宋_GB2312" w:hAnsi="仿宋_GB2312" w:eastAsia="仿宋_GB2312" w:cs="仿宋_GB2312"/>
                <w:b/>
                <w:bCs/>
                <w:color w:val="auto"/>
                <w:sz w:val="24"/>
                <w:szCs w:val="24"/>
              </w:rPr>
              <w:t>（强制采购节能产品，详见采购需求说明第八点</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top"/>
          </w:tcPr>
          <w:p w14:paraId="365C55B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★一、CPU规格</w:t>
            </w:r>
          </w:p>
          <w:p w14:paraId="0CF2042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核8线程，主频≥2.7GHz，末级缓存≥8M，内存≥双通道DDR4-2666，热设计功耗≤70W，位宽≥64位；</w:t>
            </w:r>
          </w:p>
          <w:p w14:paraId="68790F9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★二、内存规格</w:t>
            </w:r>
          </w:p>
          <w:p w14:paraId="71DAA63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1.内存配置容量：≥16GB；</w:t>
            </w:r>
          </w:p>
          <w:p w14:paraId="21E5021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2.内存类型：支持 DDR4/LPDDR4/LPDDR4X及以上内存类型；</w:t>
            </w:r>
          </w:p>
          <w:p w14:paraId="53B4226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3.内存条配置数量（板载内存不涉及）：≥1；</w:t>
            </w:r>
          </w:p>
          <w:p w14:paraId="4609830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★三、主板规格</w:t>
            </w:r>
          </w:p>
          <w:p w14:paraId="5DB49BC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1.主板集成模块：集成资源扩展模块、计算处理模块、音频扩展模块等，主板的互联拓扑可通过处理器或交换电路实现；</w:t>
            </w:r>
          </w:p>
          <w:p w14:paraId="6CA45E3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2.主板支持的 CPU 和内存情况：≥</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核8线程，主频≥2.7GHz，末级缓存≥8M，内存≥双通道DDR4-2666，热设计功耗≤70W，位宽≥64位；内存条数量≥</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w:t>
            </w:r>
          </w:p>
          <w:p w14:paraId="462432F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3.主板其他内置接口：≥SATA接口*4，≥M.2接口*1，</w:t>
            </w:r>
            <w:r>
              <w:rPr>
                <w:rFonts w:hint="eastAsia" w:ascii="仿宋_GB2312" w:hAnsi="仿宋_GB2312" w:eastAsia="仿宋_GB2312" w:cs="仿宋_GB2312"/>
                <w:color w:val="auto"/>
                <w:sz w:val="24"/>
                <w:szCs w:val="24"/>
                <w:highlight w:val="none"/>
              </w:rPr>
              <w:t>≥USB接口*1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rPr>
              <w:t>，固态硬盘占用M.2接口*1，机械硬盘占用SATA接口*1</w:t>
            </w:r>
          </w:p>
          <w:p w14:paraId="6964EB0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4.单内存插槽最大可支持容量（板载内存不涉及）：≥16GB；</w:t>
            </w:r>
          </w:p>
          <w:p w14:paraId="16A08CD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5.内存插槽满配时提供的最高内存总容量：≥64GB；</w:t>
            </w:r>
          </w:p>
          <w:p w14:paraId="408950C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★四、存储设备规格</w:t>
            </w:r>
          </w:p>
          <w:p w14:paraId="3229E9E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1.固态盘数量：≥1 个；</w:t>
            </w:r>
          </w:p>
          <w:p w14:paraId="60C24E0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2.固态存储容量：≥512GB；</w:t>
            </w:r>
          </w:p>
          <w:p w14:paraId="3ACB22A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3.机械硬盘数量：≥1 个；</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4.机械硬盘总容量：≥1TB；</w:t>
            </w:r>
          </w:p>
          <w:p w14:paraId="7783293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5.机械硬盘转速：≥5400rpm；</w:t>
            </w:r>
          </w:p>
          <w:p w14:paraId="4C20139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6.机械硬盘形态：3.5 英寸等；</w:t>
            </w:r>
          </w:p>
          <w:p w14:paraId="7711873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7.固态存储形态：采用插卡或板载等形态，可选用符合M.2 或 2.5寸SATA或mSATA等标准的插卡形态；</w:t>
            </w:r>
          </w:p>
          <w:p w14:paraId="61D6B97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8.存储设备其他参数要求：a)固态盘应符合 SJ/T 11654 相关规定；b)机械硬盘准备时间应不大于 30s；侧面固定螺丝孔数量可为4孔或6孔；工作状态环境温度应满足 5℃~55℃；其它参数应符合 GB/T 12628 相关规定；</w:t>
            </w:r>
          </w:p>
          <w:p w14:paraId="4D94637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★五、显卡规格</w:t>
            </w:r>
          </w:p>
          <w:p w14:paraId="240995D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1.显卡类型：独立显卡；</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2.独立显卡显存类型：显存类型为DDR3/DDR4/GDDR5 /GDDR6/LPDDR4；</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3.独立显卡显存位宽：显存位宽≥16 位；</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4.独立显卡显存容量：显存容量≥1GB；</w:t>
            </w:r>
          </w:p>
          <w:p w14:paraId="7C10D8C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★六、显示设备规格</w:t>
            </w:r>
          </w:p>
          <w:p w14:paraId="7C517ED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1.显示屏屏占比：≥</w:t>
            </w:r>
            <w:r>
              <w:rPr>
                <w:rFonts w:hint="eastAsia" w:ascii="仿宋_GB2312" w:hAnsi="仿宋_GB2312" w:eastAsia="仿宋_GB2312" w:cs="仿宋_GB2312"/>
                <w:color w:val="auto"/>
                <w:sz w:val="24"/>
                <w:szCs w:val="24"/>
                <w:lang w:val="en-US" w:eastAsia="zh-CN"/>
              </w:rPr>
              <w:t>9</w:t>
            </w:r>
            <w:r>
              <w:rPr>
                <w:rFonts w:hint="eastAsia" w:ascii="仿宋_GB2312" w:hAnsi="仿宋_GB2312" w:eastAsia="仿宋_GB2312" w:cs="仿宋_GB2312"/>
                <w:color w:val="auto"/>
                <w:sz w:val="24"/>
                <w:szCs w:val="24"/>
              </w:rPr>
              <w:t>0%；</w:t>
            </w:r>
          </w:p>
          <w:p w14:paraId="2CC7284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2.显示屏分辨率：≥1920*1080；</w:t>
            </w:r>
          </w:p>
          <w:p w14:paraId="05B1755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3.显示屏尺寸：≥23英寸；</w:t>
            </w:r>
          </w:p>
          <w:p w14:paraId="17DBE4D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4.显示屏屏幕比例：16:9；</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5.显示器外观颜色：黑色商务色系；</w:t>
            </w:r>
          </w:p>
          <w:p w14:paraId="76367AD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rPr>
              <w:t>6.显示屏防蓝光：支持防蓝光模式，蓝光加权辐射亮度比应≤0.0012W/(·cd·sr)（瓦每坎特拉每球面度）</w:t>
            </w:r>
            <w:r>
              <w:rPr>
                <w:rFonts w:hint="eastAsia" w:ascii="仿宋_GB2312" w:hAnsi="仿宋_GB2312" w:eastAsia="仿宋_GB2312" w:cs="仿宋_GB2312"/>
                <w:color w:val="auto"/>
                <w:sz w:val="24"/>
                <w:szCs w:val="24"/>
                <w:highlight w:val="none"/>
              </w:rPr>
              <w:t>；</w:t>
            </w:r>
          </w:p>
          <w:p w14:paraId="4183CC8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7.显示屏低频闪：显示屏应支持低频闪≤-35dB；</w:t>
            </w:r>
          </w:p>
          <w:p w14:paraId="2EE5DE2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8.显示屏防炫目：显示屏镜面反射率≤10%；</w:t>
            </w:r>
          </w:p>
          <w:p w14:paraId="4A38649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★七、外设规格</w:t>
            </w:r>
          </w:p>
          <w:p w14:paraId="0297C9F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1.鼠标数量：≥1个；</w:t>
            </w:r>
          </w:p>
          <w:p w14:paraId="0002794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2.键盘数量：≥1个；</w:t>
            </w:r>
          </w:p>
          <w:p w14:paraId="634CDDA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3.键盘按键数目：≥10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键；</w:t>
            </w:r>
          </w:p>
          <w:p w14:paraId="004EEF1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4.键盘连接方式：有线；</w:t>
            </w:r>
          </w:p>
          <w:p w14:paraId="6E71482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5.键盘键程：2.3mm-4.0mm；</w:t>
            </w:r>
          </w:p>
          <w:p w14:paraId="226FBC2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6.键盘按键压力：按键压力应在0.54N±0.14N；</w:t>
            </w:r>
          </w:p>
          <w:p w14:paraId="6583199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7.有线键盘连接线：≥1.5 米；</w:t>
            </w:r>
          </w:p>
          <w:p w14:paraId="26EE31A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8.键盘颜色：黑色商务色系；</w:t>
            </w:r>
          </w:p>
          <w:p w14:paraId="29CC58C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9.鼠标连接方式：有线；</w:t>
            </w:r>
          </w:p>
          <w:p w14:paraId="0469700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10.有线鼠标连接线：≥1.5米；</w:t>
            </w:r>
          </w:p>
          <w:p w14:paraId="5ECC28C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11.鼠标DPI分辨率：800-1600；</w:t>
            </w:r>
          </w:p>
          <w:p w14:paraId="76FFD8B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12.鼠标颜色：黑色商务色系；</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13.鼠标其他要求：其它参数应符合 GB/T 26245 的相关规定；</w:t>
            </w:r>
          </w:p>
          <w:p w14:paraId="62DDDEB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★八、网络设备规格</w:t>
            </w:r>
          </w:p>
          <w:p w14:paraId="12A06B9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1.有线网卡数量：≥1；</w:t>
            </w:r>
          </w:p>
          <w:p w14:paraId="2D89F75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★九、外部接口规格</w:t>
            </w:r>
          </w:p>
          <w:p w14:paraId="50D2527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1.USB 接口数量：机箱前面板应提供不少于</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个USB 接口（含 2个USB3.0 及以上接口</w:t>
            </w:r>
            <w:r>
              <w:rPr>
                <w:rFonts w:hint="eastAsia" w:ascii="仿宋_GB2312" w:hAnsi="仿宋_GB2312" w:eastAsia="仿宋_GB2312" w:cs="仿宋_GB2312"/>
                <w:color w:val="auto"/>
                <w:sz w:val="24"/>
                <w:szCs w:val="24"/>
                <w:highlight w:val="none"/>
                <w:lang w:val="en-US" w:eastAsia="zh-CN"/>
              </w:rPr>
              <w:t>且USB接口额外支持关机状态下对外充电</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2.视频接口数量：≥1；</w:t>
            </w:r>
          </w:p>
          <w:p w14:paraId="57AE5D0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3.音频接口数量：≥1；</w:t>
            </w:r>
          </w:p>
          <w:p w14:paraId="54DADB9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★十、整机基础规格</w:t>
            </w:r>
          </w:p>
          <w:p w14:paraId="449657D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1.整机外观：a) 产品表面不应有凹痕、划伤、裂缝、变形和污染等。表面涂层均匀，不应起泡、龟裂、脱落和磨损，金属零部件无锈蚀及其它机械损伤；b) 产品表面说明功能的文字、符号、标志，应清晰、端正、牢固；</w:t>
            </w:r>
          </w:p>
          <w:p w14:paraId="78A1A8A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2.状态指示灯：在产品显著位置提供状态指示功能；</w:t>
            </w:r>
          </w:p>
          <w:p w14:paraId="1CAEF51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3.整机结构：a) 机箱应符合 GB/T 420</w:t>
            </w: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11CB7C9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4.机箱防护要求：机箱应符合 GB/T 4208 中 IP20 防护要求；</w:t>
            </w:r>
          </w:p>
          <w:p w14:paraId="009B63E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5.整机噪音：产品工作在空闲状态下，产品的声功率级≤</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.5Bel；</w:t>
            </w:r>
          </w:p>
          <w:p w14:paraId="69C5919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382CDE3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7.整机能效限定值：产品能效限定值应达到 GB 28380-2012标准中能效等级 2 级及以上；</w:t>
            </w:r>
          </w:p>
          <w:p w14:paraId="3794E40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8.机身材质：塑料/金属等；</w:t>
            </w:r>
          </w:p>
          <w:p w14:paraId="08865C7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9.机身颜色：黑色商务色系；</w:t>
            </w:r>
          </w:p>
          <w:p w14:paraId="47DF5E2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10.机箱尺寸容量：机箱体积≤</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0L;</w:t>
            </w:r>
          </w:p>
          <w:p w14:paraId="0427DB3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★十一、CPU性能</w:t>
            </w:r>
          </w:p>
          <w:p w14:paraId="4C2902B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 物理核数：≥</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w:t>
            </w:r>
          </w:p>
          <w:p w14:paraId="594DF04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2.CPU 主频：≥2.7GHz；</w:t>
            </w:r>
          </w:p>
          <w:p w14:paraId="0791CE9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3.CPU 末级缓存容量：≥8MB；</w:t>
            </w:r>
          </w:p>
          <w:p w14:paraId="6DEE1F5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4.CPU 支持的内存最高速率：≥2666MT/s；</w:t>
            </w:r>
          </w:p>
          <w:p w14:paraId="4016B82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★十二、内存性能</w:t>
            </w:r>
          </w:p>
          <w:p w14:paraId="74CF9BA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1.内存读写速率：≥2666MT/s；</w:t>
            </w:r>
          </w:p>
          <w:p w14:paraId="4C0A37B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★十三、显卡性能</w:t>
            </w:r>
          </w:p>
          <w:p w14:paraId="1F7451C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1.显示分辨率：≥1920*1080；</w:t>
            </w:r>
          </w:p>
          <w:p w14:paraId="6FB7CCA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2.显卡显示芯片核心频率：≥300MHz；</w:t>
            </w:r>
          </w:p>
          <w:p w14:paraId="77E762D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3.显存等效频率：≥1000MT/s；</w:t>
            </w:r>
          </w:p>
          <w:p w14:paraId="67C198D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4.显卡可支持多屏同时显示数量：显卡应支持2块屏幕同时显示，分辨率应不低于1920*1080；</w:t>
            </w:r>
          </w:p>
          <w:p w14:paraId="15BE8DE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★十四、显示设备性能</w:t>
            </w:r>
          </w:p>
          <w:p w14:paraId="0CC8DBE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1.显示屏刷新率：≥</w:t>
            </w:r>
            <w:r>
              <w:rPr>
                <w:rFonts w:hint="eastAsia" w:ascii="仿宋_GB2312" w:hAnsi="仿宋_GB2312" w:eastAsia="仿宋_GB2312" w:cs="仿宋_GB2312"/>
                <w:color w:val="auto"/>
                <w:sz w:val="24"/>
                <w:szCs w:val="24"/>
                <w:lang w:val="en-US" w:eastAsia="zh-CN"/>
              </w:rPr>
              <w:t>90</w:t>
            </w:r>
            <w:r>
              <w:rPr>
                <w:rFonts w:hint="eastAsia" w:ascii="仿宋_GB2312" w:hAnsi="仿宋_GB2312" w:eastAsia="仿宋_GB2312" w:cs="仿宋_GB2312"/>
                <w:color w:val="auto"/>
                <w:sz w:val="24"/>
                <w:szCs w:val="24"/>
              </w:rPr>
              <w:t>Hz；</w:t>
            </w:r>
          </w:p>
          <w:p w14:paraId="2A0EDB9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2.显示屏位深：≥8位；</w:t>
            </w:r>
          </w:p>
          <w:p w14:paraId="50E78E5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3.显示屏色域：≥99%</w:t>
            </w:r>
            <w:r>
              <w:rPr>
                <w:rFonts w:hint="eastAsia" w:ascii="仿宋_GB2312" w:hAnsi="仿宋_GB2312" w:eastAsia="仿宋_GB2312" w:cs="仿宋_GB2312"/>
                <w:color w:val="auto"/>
                <w:sz w:val="24"/>
                <w:szCs w:val="24"/>
                <w:lang w:val="en-US" w:eastAsia="zh-CN"/>
              </w:rPr>
              <w:t>s</w:t>
            </w:r>
            <w:r>
              <w:rPr>
                <w:rFonts w:hint="eastAsia" w:ascii="仿宋_GB2312" w:hAnsi="仿宋_GB2312" w:eastAsia="仿宋_GB2312" w:cs="仿宋_GB2312"/>
                <w:color w:val="auto"/>
                <w:sz w:val="24"/>
                <w:szCs w:val="24"/>
              </w:rPr>
              <w:t>RGB，≥90%DCI-P3</w:t>
            </w:r>
            <w:r>
              <w:rPr>
                <w:rFonts w:hint="eastAsia" w:ascii="仿宋_GB2312" w:hAnsi="仿宋_GB2312" w:eastAsia="仿宋_GB2312" w:cs="仿宋_GB2312"/>
                <w:color w:val="auto"/>
                <w:sz w:val="24"/>
                <w:szCs w:val="24"/>
                <w:lang w:eastAsia="zh-CN"/>
              </w:rPr>
              <w:t>；</w:t>
            </w:r>
          </w:p>
          <w:p w14:paraId="493CED0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；4.显示屏色准：△E≤4；</w:t>
            </w:r>
          </w:p>
          <w:p w14:paraId="007087F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5.显示屏响应时间：≤8ms；</w:t>
            </w:r>
          </w:p>
          <w:p w14:paraId="45B82F7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6.显示屏亮度：≥250尼特；</w:t>
            </w:r>
          </w:p>
          <w:p w14:paraId="257B9C3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7.显示屏亮度一致性：≥70%；</w:t>
            </w:r>
          </w:p>
          <w:p w14:paraId="6D43A57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8.显示屏对比度：≥500：1；</w:t>
            </w:r>
          </w:p>
          <w:p w14:paraId="72E6DE4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9.显示屏其他参数：其它参数应符合 SJ/T 11292 的相关规定；</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lang w:eastAsia="zh-CN"/>
              </w:rPr>
              <w:t>★十五、网络设备性能</w:t>
            </w:r>
          </w:p>
          <w:p w14:paraId="635400A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1.有线网卡速率：最高速率应不低于1000Mbps，应支持10Mbps、100Mbps、1000Mbps 速率自适应；</w:t>
            </w:r>
          </w:p>
          <w:p w14:paraId="37FB418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★十六、主板功能</w:t>
            </w:r>
          </w:p>
          <w:p w14:paraId="696D9BF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1.内存扩展接口(板载内存不涉及)：≥2个；</w:t>
            </w:r>
          </w:p>
          <w:p w14:paraId="4439D70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2.主板USB瞬间过流保护：支持有瞬间过流保护功能；</w:t>
            </w:r>
          </w:p>
          <w:p w14:paraId="2889AF8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3.主板防静电保护：支持防静电保护功能；</w:t>
            </w:r>
          </w:p>
          <w:p w14:paraId="4CDE3C75">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5B34D6E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★十七、显卡功能</w:t>
            </w:r>
          </w:p>
          <w:p w14:paraId="594C5C4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1.显卡外接显示接口：显卡至少支持 VGA、HDMI、DVI、DP、Type-C 中 1 种显示接口，并与显示器接口相匹配；</w:t>
            </w:r>
          </w:p>
          <w:p w14:paraId="5026AEC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★十八、显示设备功能</w:t>
            </w:r>
          </w:p>
          <w:p w14:paraId="434F3AC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1.显示器接口：显示器应与显卡外接显示接口匹配；</w:t>
            </w:r>
          </w:p>
          <w:p w14:paraId="431738D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2.显示器支架：显示器应提供显示器支架；</w:t>
            </w:r>
          </w:p>
          <w:p w14:paraId="4C23A18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3.显示器参数调节：a)提供 OSD 选单按钮用于调节色彩、模式等；b)支持色温、亮度、对比度调节；</w:t>
            </w:r>
          </w:p>
          <w:p w14:paraId="4F9A7D0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★十九、存储功能</w:t>
            </w:r>
          </w:p>
          <w:p w14:paraId="7DBC30E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1.存储功能：通过 SATA 固态存储/PCIe 固态存储/UFS 固态存储/SATA 硬磁盘等存储部件提供存储功能；</w:t>
            </w:r>
          </w:p>
          <w:p w14:paraId="097AEFF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★二十、网络设备功能</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1.网络功能：a)支持网络连接、网络开启/关闭功能；b)支持访问网络和数据交换功能；</w:t>
            </w:r>
          </w:p>
          <w:p w14:paraId="7765065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2.数据传输：支持数据传输能力，并提供数据流量和异常日志记录功能；</w:t>
            </w:r>
          </w:p>
          <w:p w14:paraId="1F8BECE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3.有线网卡接口类型：支持 RJ45 接口；</w:t>
            </w:r>
          </w:p>
          <w:p w14:paraId="230BC56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4.网络设备拆装：网络设备支持物理拆装，包括无线网卡和蓝牙模块等；</w:t>
            </w:r>
          </w:p>
          <w:p w14:paraId="5156DB4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★二十一、外部接口功能</w:t>
            </w:r>
          </w:p>
          <w:p w14:paraId="134A40D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1.音频接口类型：支持 3.5mm 孔径 3 段式或 4 段式接口；</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2.视频接口类型：至少支持 VGA、HDMI、DVI、DP、Type-C中 1 种显示接口；</w:t>
            </w:r>
          </w:p>
          <w:p w14:paraId="3937421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3.HDMI、DP、Type-C 显示接口要求：若提供 HDMI 或 DP 或 Type-C 作为显示接口，应支持音频和视频同步输出；</w:t>
            </w:r>
          </w:p>
          <w:p w14:paraId="3203502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★二十二、电源功能</w:t>
            </w:r>
          </w:p>
          <w:p w14:paraId="343E639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1.电源线适配能力：电源适配器电线组件应符合 GB/T15934 的要求；</w:t>
            </w:r>
          </w:p>
          <w:p w14:paraId="2A64F44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★二十三、操作系统及软件功能</w:t>
            </w:r>
          </w:p>
          <w:p w14:paraId="0290805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1.中文信息处理要求：符合 GB 18030 的相关规定；</w:t>
            </w:r>
          </w:p>
          <w:p w14:paraId="4CD4CF8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2.操作系统备份及还原功能：支持操作系统备份及还原功能；</w:t>
            </w:r>
          </w:p>
          <w:p w14:paraId="00949E8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3.固件备份还原能力：支持备份及还原固件的功能；</w:t>
            </w:r>
          </w:p>
          <w:p w14:paraId="271AE35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4.操作系统及驱动升级：支持通过网络、闪存盘等方式对操作系统、驱动进行升级；</w:t>
            </w:r>
          </w:p>
          <w:p w14:paraId="5BD1494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5.固件升级：支持通过网络、闪存盘等方式对固件进行升级；</w:t>
            </w:r>
          </w:p>
          <w:p w14:paraId="6781E85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6.BIOS 支持关闭通讯接口：支持 BIOS 关闭以太网及 USB 接口；</w:t>
            </w:r>
          </w:p>
          <w:p w14:paraId="5D6F4EC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7.固件查看信息：支持查看固件版本、内存信息、主板信息、处理器信息和系统时间信息等功能；</w:t>
            </w:r>
          </w:p>
          <w:p w14:paraId="54EE1B8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8.固件设置启动顺序：支持设置启动顺序功能，并按照设置的启动顺序启动；</w:t>
            </w:r>
          </w:p>
          <w:p w14:paraId="5A84177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9.固件设置口令：支持设置口令、修改口令、验证口令功能；</w:t>
            </w:r>
          </w:p>
          <w:p w14:paraId="21B8AEA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10.固件设置网络引导：支持网络引导启动和关闭功能；</w:t>
            </w:r>
          </w:p>
          <w:p w14:paraId="302B5401">
            <w:pPr>
              <w:keepNext w:val="0"/>
              <w:keepLines w:val="0"/>
              <w:pageBreakBefore w:val="0"/>
              <w:kinsoku/>
              <w:wordWrap/>
              <w:overflowPunct/>
              <w:topLinePunct w:val="0"/>
              <w:autoSpaceDE/>
              <w:autoSpaceDN/>
              <w:bidi w:val="0"/>
              <w:snapToGrid w:val="0"/>
              <w:spacing w:line="400" w:lineRule="atLeast"/>
              <w:rPr>
                <w:rFonts w:hint="eastAsia" w:ascii="仿宋_GB2312" w:hAnsi="仿宋_GB2312" w:eastAsia="仿宋_GB2312" w:cs="仿宋_GB2312"/>
                <w:strike/>
                <w:color w:val="auto"/>
                <w:sz w:val="24"/>
                <w:szCs w:val="24"/>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en-US" w:eastAsia="zh-CN"/>
              </w:rPr>
              <w:t>提供功能至少有文字处理、电子表格、演示文稿三大应用模块的办公软件，授权≥3年</w:t>
            </w:r>
          </w:p>
          <w:p w14:paraId="2DAB5D9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★二十四、存储设备可靠性</w:t>
            </w:r>
          </w:p>
          <w:p w14:paraId="2E3997B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1.固态存储寿命：TBW≥80TB（条件：512GB 硬盘容量）；</w:t>
            </w:r>
          </w:p>
          <w:p w14:paraId="576E71E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2.机械硬盘寿命：通电时间≥5万小时；</w:t>
            </w:r>
          </w:p>
          <w:p w14:paraId="2E7B59C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★二十五、显示设备可靠性</w:t>
            </w:r>
          </w:p>
          <w:p w14:paraId="48D63DB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1.显示屏屏幕失效点：符合 GB/T 9813.2 的要求；</w:t>
            </w:r>
          </w:p>
          <w:p w14:paraId="295E280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★二十六、外设可靠性</w:t>
            </w:r>
          </w:p>
          <w:p w14:paraId="061E594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1.键盘按键寿命：≥1000 万次；</w:t>
            </w:r>
          </w:p>
          <w:p w14:paraId="336F169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2.鼠标按键寿命：≥500 万次；</w:t>
            </w:r>
          </w:p>
          <w:p w14:paraId="7C6874C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3.键盘鼠标线材寿命：键盘鼠标所用线材经±60°弯折不低于 3000 次，功能、外观完好；</w:t>
            </w:r>
          </w:p>
          <w:p w14:paraId="6A773B37">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4.风扇寿命：≥4 万小时；</w:t>
            </w:r>
          </w:p>
          <w:p w14:paraId="3DE41E4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★二十七、整机可靠性要求</w:t>
            </w:r>
          </w:p>
          <w:p w14:paraId="4AA138D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1.电磁兼容性要求的抗扰度：符合 GB/T 9254.2 的规定；</w:t>
            </w:r>
          </w:p>
          <w:p w14:paraId="24B2C91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2.环境条件要求的气候环境适应性：符合 GB/T 9813.1 中规定；</w:t>
            </w:r>
          </w:p>
          <w:p w14:paraId="29A9E5E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3.环境条件要求的振动适应性：符合 GB/T 9813.1 中规定；</w:t>
            </w:r>
          </w:p>
          <w:p w14:paraId="18864D5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4.环境条件要求的冲击适应性：符合 GB/T 9813.1 中规定；</w:t>
            </w:r>
          </w:p>
          <w:p w14:paraId="422307E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5.环境条件要求的碰撞适应性：符合 GB/T 9813.1 中规定；</w:t>
            </w:r>
          </w:p>
          <w:p w14:paraId="069A727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6.环境条件要求的运输包装件跌落适应性：符合 GB/T 9813.1 中规定；</w:t>
            </w:r>
          </w:p>
          <w:p w14:paraId="388B0A4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7.MTBF 测试：MTBF(m1)≥</w:t>
            </w:r>
            <w:r>
              <w:rPr>
                <w:rFonts w:hint="eastAsia" w:ascii="仿宋_GB2312" w:hAnsi="仿宋_GB2312" w:eastAsia="仿宋_GB2312" w:cs="仿宋_GB2312"/>
                <w:color w:val="auto"/>
                <w:sz w:val="24"/>
                <w:szCs w:val="24"/>
                <w:highlight w:val="none"/>
                <w:lang w:val="en-US" w:eastAsia="zh-CN"/>
              </w:rPr>
              <w:t>99</w:t>
            </w:r>
            <w:r>
              <w:rPr>
                <w:rFonts w:hint="eastAsia" w:ascii="仿宋_GB2312" w:hAnsi="仿宋_GB2312" w:eastAsia="仿宋_GB2312" w:cs="仿宋_GB2312"/>
                <w:color w:val="auto"/>
                <w:sz w:val="24"/>
                <w:szCs w:val="24"/>
                <w:highlight w:val="none"/>
              </w:rPr>
              <w:t>万小时；</w:t>
            </w:r>
          </w:p>
          <w:p w14:paraId="57AF3A9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★二十八、兼容要求</w:t>
            </w:r>
          </w:p>
          <w:p w14:paraId="65F9C37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1.常用软件兼容：支持流式软件、版式软件、浏览器、邮件采购人端、解压软件、多媒体、图形图像处理等常用软件；</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2.数据库兼容：兼容 3 个及以上厂商的数据库产品；</w:t>
            </w:r>
          </w:p>
          <w:p w14:paraId="1347110A">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3.中间件兼容：兼容 3 个及以上厂商中间件产品；</w:t>
            </w:r>
          </w:p>
          <w:p w14:paraId="211DAE7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4.平台软件兼容：兼容 3 个及以上厂商云计算及大数据平台；</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lang w:eastAsia="zh-CN"/>
              </w:rPr>
              <w:t>★二十九、包装及运输要求</w:t>
            </w:r>
          </w:p>
          <w:p w14:paraId="11BAA5A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1.标志、包装、运输和贮存：符合 GB/T 9813.1 和商品包装政府采购需求标准的相关规定；</w:t>
            </w:r>
          </w:p>
          <w:p w14:paraId="1ADBF44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★三十、服务要求</w:t>
            </w:r>
          </w:p>
          <w:p w14:paraId="214E75CE">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1.配置检查工具：供应商提供自检测试工具；</w:t>
            </w:r>
          </w:p>
          <w:p w14:paraId="77E7ABD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3A6C588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3.服务周期：a) 设备停产后应继续提供质量保障服务（含备品备件），服务终止时间与最后一批设备交付时间间隔不低于6 年；b) 产品停止服务时间应提前 1 年告知；c) 应明确产品发布日期；</w:t>
            </w:r>
          </w:p>
          <w:p w14:paraId="34EB35B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5.培训服务：供应商提供培训材料、产品手册、培训视频等培训相关内容；</w:t>
            </w:r>
          </w:p>
          <w:p w14:paraId="1312504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6.典型问题解决手册：供应商提供典型问题解决说明文档或视频；</w:t>
            </w:r>
          </w:p>
          <w:p w14:paraId="46EC8828">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7.厂家升级软件与扩容服务：供应商提供上门升级部件/软件与扩容的增值服务；</w:t>
            </w:r>
          </w:p>
          <w:p w14:paraId="219F3AD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8.整机质量服务要求：免费服务周期（含换件和维修）应不小于 3 年；</w:t>
            </w:r>
          </w:p>
          <w:p w14:paraId="46E3124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9.合格证书要求：供应商提供产品合格证；</w:t>
            </w:r>
          </w:p>
          <w:p w14:paraId="1EFCAB4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10.开箱组装/使用指导要求：供应商提供开箱组装/使用指导；</w:t>
            </w:r>
          </w:p>
          <w:p w14:paraId="6FE91200">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11.驱动下载服务要求：供应商提供驱动光盘或下载方式；</w:t>
            </w:r>
          </w:p>
          <w:p w14:paraId="6DF8DBD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12.兼容适配软件下载服务要求：供应商提供兼容适配软件下载渠道（光盘、网站）；</w:t>
            </w:r>
          </w:p>
          <w:p w14:paraId="3407DBF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★三十一、供应链合规性</w:t>
            </w:r>
          </w:p>
          <w:p w14:paraId="0E2163A4">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 产品部件保障：供应商保障产品主要部件，提供 6 年的备件服务能力（自购买之日起），或提供可兼容原设备的升级换代产品；</w:t>
            </w:r>
          </w:p>
          <w:p w14:paraId="1FD971F3">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★三十二、供应链质量</w:t>
            </w:r>
          </w:p>
          <w:p w14:paraId="02EAA0D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1.抗干扰性：当产品部件出现供应风险时，供应商应通知采购人并提供风险应对方案确保产品的服务保障；</w:t>
            </w:r>
          </w:p>
          <w:p w14:paraId="2FB36636">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 供应能力证明：供应商承诺供应链稳定，确保产品的部件在产品服务周期内稳定供货；</w:t>
            </w:r>
          </w:p>
          <w:p w14:paraId="122F561F">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★三十三、关键部件安全</w:t>
            </w:r>
          </w:p>
          <w:p w14:paraId="56E9AA2D">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b/>
                <w:bCs/>
                <w:color w:val="auto"/>
                <w:sz w:val="24"/>
                <w:szCs w:val="24"/>
              </w:rPr>
            </w:pPr>
            <w:r>
              <w:rPr>
                <w:rFonts w:hint="eastAsia" w:ascii="仿宋_GB2312" w:hAnsi="仿宋_GB2312" w:eastAsia="仿宋_GB2312" w:cs="仿宋_GB2312"/>
                <w:color w:val="auto"/>
                <w:sz w:val="24"/>
                <w:szCs w:val="24"/>
              </w:rPr>
              <w:t>1.关键部件安全要求：CPU 和操作系统等关键部件应当符合安全可靠测评要求；</w:t>
            </w:r>
            <w:r>
              <w:rPr>
                <w:rFonts w:hint="eastAsia" w:ascii="仿宋_GB2312" w:hAnsi="仿宋_GB2312" w:eastAsia="仿宋_GB2312" w:cs="仿宋_GB2312"/>
                <w:b/>
                <w:bCs/>
                <w:color w:val="auto"/>
                <w:sz w:val="24"/>
                <w:szCs w:val="24"/>
              </w:rPr>
              <w:t>（通过政府有关部门指定的中国信息安全测评中心和国家保密科技测评中心网站查看安全可靠测评结果）；</w:t>
            </w:r>
          </w:p>
          <w:p w14:paraId="61CA181C">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注：投标人在填写《技术响应表》时，在“投标文件响应技术参数”明确给出所投</w:t>
            </w:r>
            <w:r>
              <w:rPr>
                <w:rFonts w:hint="eastAsia" w:ascii="仿宋_GB2312" w:hAnsi="仿宋_GB2312" w:eastAsia="仿宋_GB2312" w:cs="仿宋_GB2312"/>
                <w:b/>
                <w:bCs/>
                <w:color w:val="auto"/>
                <w:sz w:val="24"/>
                <w:szCs w:val="24"/>
                <w:lang w:val="en-US" w:eastAsia="zh-CN"/>
              </w:rPr>
              <w:t>计算机</w:t>
            </w:r>
            <w:r>
              <w:rPr>
                <w:rFonts w:hint="eastAsia" w:ascii="仿宋_GB2312" w:hAnsi="仿宋_GB2312" w:eastAsia="仿宋_GB2312" w:cs="仿宋_GB2312"/>
                <w:b/>
                <w:bCs/>
                <w:color w:val="auto"/>
                <w:sz w:val="24"/>
                <w:szCs w:val="24"/>
              </w:rPr>
              <w:t>“CPU型号”及“操作系统”名称，否则视为投标无效。</w:t>
            </w:r>
          </w:p>
          <w:p w14:paraId="082CFE51">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★三十四、整机安全性要求</w:t>
            </w:r>
          </w:p>
          <w:p w14:paraId="5DD9F182">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1.密码算法实现：CPU 芯片应符合 GM/T 0008 的相关规定，或芯片密码模块应符合 GB/T 37092或 GM/T 0028 的相关规定；（通过商用密码检测机构检测并经商用密码认证机构认证合格）</w:t>
            </w:r>
          </w:p>
          <w:p w14:paraId="52FB1A4B">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4619AE69">
            <w:pPr>
              <w:keepNext w:val="0"/>
              <w:keepLines w:val="0"/>
              <w:pageBreakBefore w:val="0"/>
              <w:widowControl/>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3.固件安全启动：支持固件安全启动功能，固件启动过程中只有通过启动校验才能正常启动；</w:t>
            </w:r>
          </w:p>
          <w:p w14:paraId="728D89C5">
            <w:pPr>
              <w:keepNext w:val="0"/>
              <w:keepLines w:val="0"/>
              <w:pageBreakBefore w:val="0"/>
              <w:widowControl/>
              <w:kinsoku/>
              <w:wordWrap/>
              <w:overflowPunct/>
              <w:topLinePunct w:val="0"/>
              <w:autoSpaceDE/>
              <w:autoSpaceDN/>
              <w:bidi w:val="0"/>
              <w:snapToGrid w:val="0"/>
              <w:spacing w:line="400" w:lineRule="atLeast"/>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color w:val="auto"/>
                <w:sz w:val="24"/>
                <w:szCs w:val="24"/>
              </w:rPr>
              <w:t>4.限用物质的限量要求：符合 GB/T 26572 中规定</w:t>
            </w:r>
            <w:r>
              <w:rPr>
                <w:rFonts w:hint="eastAsia" w:ascii="仿宋_GB2312" w:hAnsi="仿宋_GB2312" w:eastAsia="仿宋_GB2312" w:cs="仿宋_GB2312"/>
                <w:color w:val="auto"/>
                <w:sz w:val="24"/>
                <w:szCs w:val="24"/>
                <w:lang w:eastAsia="zh-CN"/>
              </w:rPr>
              <w:t>。</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DB1ADA3">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020652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3DC41E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8</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3FCFF7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配电箱</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379322C">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20KW</w:t>
            </w:r>
            <w:r>
              <w:rPr>
                <w:rFonts w:hint="eastAsia" w:ascii="仿宋_GB2312" w:hAnsi="仿宋_GB2312" w:eastAsia="仿宋_GB2312" w:cs="仿宋_GB2312"/>
                <w:color w:val="auto"/>
                <w:sz w:val="24"/>
                <w:szCs w:val="24"/>
              </w:rPr>
              <w:t>配电箱具备过压、过流、短路、断路以及漏电保护措施。</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3AA174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23F61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2CAB5F41">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9</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0D96D5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主电源线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6048BEC">
            <w:pPr>
              <w:keepNext w:val="0"/>
              <w:keepLines w:val="0"/>
              <w:pageBreakBefore w:val="0"/>
              <w:numPr>
                <w:ilvl w:val="0"/>
                <w:numId w:val="7"/>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YJV</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rPr>
              <w:t>mm²，铜芯阻燃交联聚乙烯绝缘聚氯乙烯护套电力电缆</w:t>
            </w:r>
          </w:p>
          <w:p w14:paraId="681D974D">
            <w:pPr>
              <w:keepNext w:val="0"/>
              <w:keepLines w:val="0"/>
              <w:pageBreakBefore w:val="0"/>
              <w:numPr>
                <w:ilvl w:val="0"/>
                <w:numId w:val="7"/>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额定电压0.6/1KV</w:t>
            </w:r>
          </w:p>
          <w:p w14:paraId="0FEDFC97">
            <w:pPr>
              <w:keepNext w:val="0"/>
              <w:keepLines w:val="0"/>
              <w:pageBreakBefore w:val="0"/>
              <w:numPr>
                <w:ilvl w:val="0"/>
                <w:numId w:val="7"/>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导体电阻≤1.15Ω/km</w:t>
            </w:r>
          </w:p>
          <w:p w14:paraId="151E76AB">
            <w:pPr>
              <w:keepNext w:val="0"/>
              <w:keepLines w:val="0"/>
              <w:pageBreakBefore w:val="0"/>
              <w:numPr>
                <w:ilvl w:val="0"/>
                <w:numId w:val="7"/>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电压试验3500V/5min不击穿。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387D7F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30米</w:t>
            </w:r>
          </w:p>
        </w:tc>
      </w:tr>
      <w:tr w14:paraId="511744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41B162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10</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1E5D5E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网线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4C4B218">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1．六类非屏蔽双绞线，纯铜芯，传输无衰减，采用PVC环保外皮，包装长度305米；</w:t>
            </w:r>
          </w:p>
          <w:p w14:paraId="7D297A6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2．芯数: 4*2含十字骨架；导体直径：0.57±0.05mm；外护套材质：PVC；外径：6.3±0.2mm； PVC外护套符合</w:t>
            </w:r>
            <w:r>
              <w:rPr>
                <w:rFonts w:hint="eastAsia" w:ascii="仿宋_GB2312" w:hAnsi="仿宋_GB2312" w:eastAsia="仿宋_GB2312" w:cs="仿宋_GB2312"/>
                <w:color w:val="auto"/>
                <w:sz w:val="24"/>
                <w:szCs w:val="24"/>
                <w:lang w:val="en-US" w:eastAsia="zh-CN"/>
              </w:rPr>
              <w:t>国标</w:t>
            </w:r>
            <w:r>
              <w:rPr>
                <w:rFonts w:hint="eastAsia" w:ascii="仿宋_GB2312" w:hAnsi="仿宋_GB2312" w:eastAsia="仿宋_GB2312" w:cs="仿宋_GB2312"/>
                <w:color w:val="auto"/>
                <w:sz w:val="24"/>
                <w:szCs w:val="24"/>
              </w:rPr>
              <w:t>相关规定。</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92AE50E">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1箱</w:t>
            </w:r>
          </w:p>
        </w:tc>
      </w:tr>
      <w:tr w14:paraId="707BA4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D2AFAA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AA4806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网络跳线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5DF8A2C5">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RJ45超五类网络跳线（</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米）。</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27A1C2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42条</w:t>
            </w:r>
          </w:p>
        </w:tc>
      </w:tr>
      <w:tr w14:paraId="3175AD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2BB385E5">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4DCEB6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内部电源线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0113C5D7">
            <w:pPr>
              <w:keepNext w:val="0"/>
              <w:keepLines w:val="0"/>
              <w:pageBreakBefore w:val="0"/>
              <w:numPr>
                <w:ilvl w:val="0"/>
                <w:numId w:val="8"/>
              </w:numPr>
              <w:kinsoku/>
              <w:wordWrap/>
              <w:overflowPunct/>
              <w:topLinePunct w:val="0"/>
              <w:autoSpaceDE/>
              <w:autoSpaceDN/>
              <w:bidi w:val="0"/>
              <w:snapToGrid w:val="0"/>
              <w:spacing w:line="400" w:lineRule="atLeas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YJV</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2.5</w:t>
            </w:r>
            <w:r>
              <w:rPr>
                <w:rFonts w:hint="eastAsia" w:ascii="仿宋_GB2312" w:hAnsi="仿宋_GB2312" w:eastAsia="仿宋_GB2312" w:cs="仿宋_GB2312"/>
                <w:color w:val="auto"/>
                <w:sz w:val="24"/>
                <w:szCs w:val="24"/>
              </w:rPr>
              <w:t>mm²，铜芯阻燃交联聚乙烯绝缘聚氯乙烯护套电力电缆</w:t>
            </w:r>
          </w:p>
          <w:p w14:paraId="39962BEA">
            <w:pPr>
              <w:keepNext w:val="0"/>
              <w:keepLines w:val="0"/>
              <w:pageBreakBefore w:val="0"/>
              <w:numPr>
                <w:ilvl w:val="0"/>
                <w:numId w:val="8"/>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额定电压0.6/1KV</w:t>
            </w:r>
          </w:p>
          <w:p w14:paraId="2313D335">
            <w:pPr>
              <w:keepNext w:val="0"/>
              <w:keepLines w:val="0"/>
              <w:pageBreakBefore w:val="0"/>
              <w:numPr>
                <w:ilvl w:val="0"/>
                <w:numId w:val="8"/>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导体电阻≤1.15Ω/km</w:t>
            </w:r>
          </w:p>
          <w:p w14:paraId="39C4D973">
            <w:pPr>
              <w:keepNext w:val="0"/>
              <w:keepLines w:val="0"/>
              <w:pageBreakBefore w:val="0"/>
              <w:numPr>
                <w:ilvl w:val="0"/>
                <w:numId w:val="8"/>
              </w:numPr>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电压试验3500V/5min不击穿。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50B41AD">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szCs w:val="24"/>
                <w:lang w:val="en-US" w:eastAsia="zh-CN" w:bidi="ar"/>
              </w:rPr>
            </w:pPr>
            <w:r>
              <w:rPr>
                <w:rFonts w:hint="eastAsia" w:ascii="仿宋_GB2312" w:hAnsi="仿宋_GB2312" w:eastAsia="仿宋_GB2312" w:cs="仿宋_GB2312"/>
                <w:b w:val="0"/>
                <w:bCs w:val="0"/>
                <w:color w:val="auto"/>
                <w:kern w:val="0"/>
                <w:sz w:val="24"/>
                <w:lang w:val="en-US" w:eastAsia="zh-CN" w:bidi="ar"/>
              </w:rPr>
              <w:t>90米</w:t>
            </w:r>
          </w:p>
        </w:tc>
      </w:tr>
      <w:tr w14:paraId="10A835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46F4E1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A6D4C8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辅助材料及施工等</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1F5F54B">
            <w:pPr>
              <w:keepNext w:val="0"/>
              <w:keepLines w:val="0"/>
              <w:pageBreakBefore w:val="0"/>
              <w:kinsoku/>
              <w:wordWrap/>
              <w:overflowPunct/>
              <w:topLinePunct w:val="0"/>
              <w:autoSpaceDE/>
              <w:autoSpaceDN/>
              <w:bidi w:val="0"/>
              <w:snapToGrid w:val="0"/>
              <w:spacing w:line="400" w:lineRule="atLeas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含布线施工及设计，安装调试及培训、辅材等。按柳州市教育系统工程施工规范要求实施。</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3E96F52">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4462C57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164563E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bCs/>
                <w:color w:val="auto"/>
                <w:kern w:val="0"/>
                <w:sz w:val="24"/>
                <w:lang w:val="en-US" w:eastAsia="zh-CN" w:bidi="ar"/>
              </w:rPr>
              <w:t>（七）柳州高级中学(高新校区)报告厅扩声系统</w:t>
            </w:r>
          </w:p>
        </w:tc>
      </w:tr>
      <w:tr w14:paraId="4B58CE4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6E5CD9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0ABDB2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线阵列音箱</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92E45B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两分频线阵音箱 ，箱体全部采用胶合板材，表面喷涂黑色聚脲漆，箱体采用机械式快速释放插销，实现箱体与箱体之间的快速连接，箱体采用三点悬挂，悬挂可调角度0º、2º、4º、6º、8º、10º；金属防护网，8mm六边形透声孔，内衬防尘透声网。</w:t>
            </w:r>
          </w:p>
          <w:p w14:paraId="3DA73F8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不小于1×10"低频驱动单元；</w:t>
            </w:r>
          </w:p>
          <w:p w14:paraId="0774E472">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3</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不小于1×2"高驱动单元；</w:t>
            </w:r>
          </w:p>
          <w:p w14:paraId="1063715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额定功率(RMS)不小于300W/8Ω；</w:t>
            </w:r>
          </w:p>
          <w:p w14:paraId="7D169A92">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5</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特性灵敏度不小于99dB；</w:t>
            </w:r>
          </w:p>
          <w:p w14:paraId="7B5E7CEE">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6</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最大声压级不小于129dB</w:t>
            </w:r>
          </w:p>
          <w:p w14:paraId="2DC94DE6">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7</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额定频率范围（-10dB）60Hz-20KHz；</w:t>
            </w:r>
          </w:p>
          <w:p w14:paraId="441C609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val="en-US" w:eastAsia="zh-CN"/>
              </w:rPr>
              <w:t>8</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覆盖角度(H×V)：100°×10°；</w:t>
            </w:r>
          </w:p>
          <w:p w14:paraId="0DB8C9E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ascii="仿宋_GB2312" w:eastAsia="仿宋_GB2312"/>
                <w:b/>
                <w:bCs/>
                <w:color w:val="auto"/>
                <w:sz w:val="24"/>
              </w:rPr>
              <w:t>★</w:t>
            </w:r>
            <w:r>
              <w:rPr>
                <w:rFonts w:hint="eastAsia" w:ascii="仿宋_GB2312" w:hAnsi="仿宋_GB2312" w:eastAsia="仿宋_GB2312" w:cs="仿宋_GB2312"/>
                <w:color w:val="auto"/>
                <w:sz w:val="24"/>
                <w:szCs w:val="24"/>
                <w:highlight w:val="none"/>
                <w:lang w:val="en-US" w:eastAsia="zh-CN"/>
              </w:rPr>
              <w:t>9</w:t>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highlight w:val="none"/>
              </w:rPr>
              <w:t>高音采用波阵面修正技术的平面波或线阵号筒/号角技术</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C538CB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8只</w:t>
            </w:r>
          </w:p>
        </w:tc>
      </w:tr>
      <w:tr w14:paraId="540DE8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21"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39C98E0">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F0DE6FB">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线阵列低音音箱</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976867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1.</w:t>
            </w:r>
            <w:r>
              <w:rPr>
                <w:rFonts w:hint="eastAsia" w:ascii="仿宋_GB2312" w:hAnsi="仿宋_GB2312" w:eastAsia="仿宋_GB2312" w:cs="仿宋_GB2312"/>
                <w:color w:val="auto"/>
                <w:sz w:val="24"/>
                <w:szCs w:val="24"/>
                <w:highlight w:val="none"/>
              </w:rPr>
              <w:t>线阵低音音箱 ，箱体全部采用木工板制作，表面喷涂黑色水性聚脲漆，低音采用长冲程大功率单元，箱体采用机械式快速释放插销，实现箱体与箱体之间的快速连接，箱体采用三点悬挂系统，金属防护网，8mm六边形透声孔，内衬防尘透声网。</w:t>
            </w:r>
          </w:p>
          <w:p w14:paraId="0E0A41D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2.</w:t>
            </w:r>
            <w:r>
              <w:rPr>
                <w:rFonts w:hint="eastAsia" w:ascii="仿宋_GB2312" w:hAnsi="仿宋_GB2312" w:eastAsia="仿宋_GB2312" w:cs="仿宋_GB2312"/>
                <w:color w:val="auto"/>
                <w:sz w:val="24"/>
                <w:szCs w:val="24"/>
                <w:highlight w:val="none"/>
              </w:rPr>
              <w:t>不小于1×18"低频驱动单元；</w:t>
            </w:r>
          </w:p>
          <w:p w14:paraId="0B3CDB5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3.</w:t>
            </w:r>
            <w:r>
              <w:rPr>
                <w:rFonts w:hint="eastAsia" w:ascii="仿宋_GB2312" w:hAnsi="仿宋_GB2312" w:eastAsia="仿宋_GB2312" w:cs="仿宋_GB2312"/>
                <w:color w:val="auto"/>
                <w:sz w:val="24"/>
                <w:szCs w:val="24"/>
                <w:highlight w:val="none"/>
              </w:rPr>
              <w:t>额定功率(RMS)不小于800W/8Ω；</w:t>
            </w:r>
          </w:p>
          <w:p w14:paraId="6A80432E">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4.</w:t>
            </w:r>
            <w:r>
              <w:rPr>
                <w:rFonts w:hint="eastAsia" w:ascii="仿宋_GB2312" w:hAnsi="仿宋_GB2312" w:eastAsia="仿宋_GB2312" w:cs="仿宋_GB2312"/>
                <w:color w:val="auto"/>
                <w:sz w:val="24"/>
                <w:szCs w:val="24"/>
                <w:highlight w:val="none"/>
              </w:rPr>
              <w:t>特性灵敏度不小于99dB；</w:t>
            </w:r>
          </w:p>
          <w:p w14:paraId="5DD8FA2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lang w:eastAsia="zh-CN"/>
              </w:rPr>
              <w:t>5.</w:t>
            </w:r>
            <w:r>
              <w:rPr>
                <w:rFonts w:hint="eastAsia" w:ascii="仿宋_GB2312" w:hAnsi="仿宋_GB2312" w:eastAsia="仿宋_GB2312" w:cs="仿宋_GB2312"/>
                <w:color w:val="auto"/>
                <w:sz w:val="24"/>
                <w:szCs w:val="24"/>
                <w:highlight w:val="none"/>
              </w:rPr>
              <w:t>最大声压级不小于134dB；</w:t>
            </w:r>
          </w:p>
          <w:p w14:paraId="6337720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lang w:eastAsia="zh-CN"/>
              </w:rPr>
              <w:t>6.</w:t>
            </w:r>
            <w:r>
              <w:rPr>
                <w:rFonts w:hint="eastAsia" w:ascii="仿宋_GB2312" w:hAnsi="仿宋_GB2312" w:eastAsia="仿宋_GB2312" w:cs="仿宋_GB2312"/>
                <w:color w:val="auto"/>
                <w:sz w:val="24"/>
                <w:szCs w:val="24"/>
                <w:highlight w:val="none"/>
              </w:rPr>
              <w:t>额定频率范围（-10dB）：40-500Hz；</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08E2927">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2只</w:t>
            </w:r>
          </w:p>
        </w:tc>
      </w:tr>
      <w:tr w14:paraId="027D60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4B753AB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8C13A5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功率放大器（一）</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05405F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ascii="仿宋_GB2312" w:eastAsia="仿宋_GB2312"/>
                <w:b/>
                <w:bCs/>
                <w:color w:val="auto"/>
                <w:sz w:val="24"/>
              </w:rPr>
              <w:t>★</w:t>
            </w:r>
            <w:r>
              <w:rPr>
                <w:rFonts w:hint="eastAsia" w:ascii="仿宋_GB2312" w:hAnsi="仿宋_GB2312" w:eastAsia="仿宋_GB2312" w:cs="仿宋_GB2312"/>
                <w:color w:val="auto"/>
                <w:sz w:val="24"/>
                <w:szCs w:val="24"/>
              </w:rPr>
              <w:t>1.本机基于网络与物联运维平台进行深度互联互通，并进行数字平台化集中管控作业；基于物联运维Web平台自动化执行访问业务功能，实时生成工作链路拓扑图，可视化链路中本机图标可一键进入执行对本机深度管控业务；基于物联运维Web平台执行多项业务功能的实时交互，包括但不限于调整本机增益、噪声门、延时、均衡、压限、信号路由等；基于物联运维Web平台执行多项数据的监测监控，包括但不限于本机电压、电流、温度、音频信号、上线/离线时间、故障报警等工作状态；基于物联运维Web平台自动识别本机型号，执行修改本机名称和ID以及固件升级，必须保证</w:t>
            </w:r>
            <w:r>
              <w:rPr>
                <w:rFonts w:hint="eastAsia" w:ascii="仿宋_GB2312" w:hAnsi="仿宋_GB2312" w:eastAsia="仿宋_GB2312" w:cs="仿宋_GB2312"/>
                <w:color w:val="auto"/>
                <w:sz w:val="24"/>
                <w:szCs w:val="24"/>
                <w:lang w:eastAsia="zh-CN"/>
              </w:rPr>
              <w:t>能</w:t>
            </w:r>
            <w:r>
              <w:rPr>
                <w:rFonts w:hint="eastAsia" w:ascii="仿宋_GB2312" w:hAnsi="仿宋_GB2312" w:eastAsia="仿宋_GB2312" w:cs="仿宋_GB2312"/>
                <w:color w:val="auto"/>
                <w:sz w:val="24"/>
                <w:szCs w:val="24"/>
              </w:rPr>
              <w:t>接入（智慧物联管理平台）实现以上全部管控和监测功能，验收时</w:t>
            </w:r>
            <w:r>
              <w:rPr>
                <w:rFonts w:hint="eastAsia" w:ascii="仿宋_GB2312" w:hAnsi="仿宋_GB2312" w:eastAsia="仿宋_GB2312" w:cs="仿宋_GB2312"/>
                <w:color w:val="auto"/>
                <w:sz w:val="24"/>
                <w:szCs w:val="24"/>
                <w:lang w:val="en-US" w:eastAsia="zh-CN"/>
              </w:rPr>
              <w:t>免费提供</w:t>
            </w:r>
            <w:r>
              <w:rPr>
                <w:rFonts w:hint="eastAsia" w:ascii="仿宋_GB2312" w:hAnsi="仿宋_GB2312" w:eastAsia="仿宋_GB2312" w:cs="仿宋_GB2312"/>
                <w:color w:val="auto"/>
                <w:sz w:val="24"/>
                <w:szCs w:val="24"/>
              </w:rPr>
              <w:t>智慧物联管理平台</w:t>
            </w:r>
            <w:r>
              <w:rPr>
                <w:rFonts w:hint="eastAsia" w:ascii="仿宋_GB2312" w:hAnsi="仿宋_GB2312" w:eastAsia="仿宋_GB2312" w:cs="仿宋_GB2312"/>
                <w:color w:val="auto"/>
                <w:sz w:val="24"/>
                <w:szCs w:val="24"/>
                <w:lang w:val="en-US" w:eastAsia="zh-CN"/>
              </w:rPr>
              <w:t>测试本设备的各项物联功能，</w:t>
            </w:r>
            <w:r>
              <w:rPr>
                <w:rFonts w:hint="eastAsia" w:ascii="仿宋_GB2312" w:hAnsi="仿宋_GB2312" w:eastAsia="仿宋_GB2312" w:cs="仿宋_GB2312"/>
                <w:color w:val="auto"/>
                <w:sz w:val="24"/>
                <w:szCs w:val="24"/>
              </w:rPr>
              <w:t>逐项核对；</w:t>
            </w:r>
          </w:p>
          <w:p w14:paraId="5518A8D8">
            <w:pPr>
              <w:keepNext w:val="0"/>
              <w:keepLines w:val="0"/>
              <w:pageBreakBefore w:val="0"/>
              <w:numPr>
                <w:ilvl w:val="-1"/>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DSP功能：</w:t>
            </w:r>
          </w:p>
          <w:p w14:paraId="46ACBDD6">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1"/>
                <w:szCs w:val="21"/>
              </w:rPr>
              <w:t>◆</w:t>
            </w:r>
            <w:r>
              <w:rPr>
                <w:rFonts w:hint="eastAsia" w:ascii="仿宋_GB2312" w:hAnsi="仿宋_GB2312" w:eastAsia="仿宋_GB2312" w:cs="仿宋_GB2312"/>
                <w:color w:val="auto"/>
                <w:sz w:val="24"/>
                <w:szCs w:val="24"/>
              </w:rPr>
              <w:t>（1）内置DSP模块，可通过电脑软件调试处理音效、智能化网络监测功放和DSP的工作状态；支持矩阵混音；</w:t>
            </w:r>
            <w:r>
              <w:rPr>
                <w:rFonts w:hint="eastAsia" w:ascii="仿宋_GB2312" w:hAnsi="仿宋_GB2312" w:eastAsia="仿宋_GB2312" w:cs="仿宋_GB2312"/>
                <w:color w:val="auto"/>
                <w:sz w:val="24"/>
                <w:szCs w:val="24"/>
                <w:highlight w:val="yellow"/>
                <w:u w:val="wave"/>
              </w:rPr>
              <w:t>≥2</w:t>
            </w:r>
            <w:r>
              <w:rPr>
                <w:rFonts w:hint="eastAsia" w:ascii="仿宋_GB2312" w:hAnsi="仿宋_GB2312" w:eastAsia="仿宋_GB2312" w:cs="仿宋_GB2312"/>
                <w:color w:val="auto"/>
                <w:sz w:val="24"/>
                <w:szCs w:val="24"/>
                <w:highlight w:val="yellow"/>
                <w:u w:val="wave"/>
                <w:lang w:val="en-US" w:eastAsia="zh-CN"/>
              </w:rPr>
              <w:t>4</w:t>
            </w:r>
            <w:r>
              <w:rPr>
                <w:rFonts w:hint="eastAsia" w:ascii="仿宋_GB2312" w:hAnsi="仿宋_GB2312" w:eastAsia="仿宋_GB2312" w:cs="仿宋_GB2312"/>
                <w:color w:val="auto"/>
                <w:sz w:val="24"/>
                <w:szCs w:val="24"/>
                <w:highlight w:val="yellow"/>
                <w:u w:val="wave"/>
              </w:rPr>
              <w:t>个用户程序保存和调用</w:t>
            </w:r>
            <w:r>
              <w:rPr>
                <w:rFonts w:hint="eastAsia" w:ascii="仿宋_GB2312" w:hAnsi="仿宋_GB2312" w:eastAsia="仿宋_GB2312" w:cs="仿宋_GB2312"/>
                <w:color w:val="auto"/>
                <w:sz w:val="24"/>
                <w:szCs w:val="24"/>
                <w:u w:val="wave"/>
              </w:rPr>
              <w:t>，</w:t>
            </w:r>
            <w:r>
              <w:rPr>
                <w:rFonts w:hint="eastAsia" w:ascii="仿宋_GB2312" w:hAnsi="仿宋_GB2312" w:eastAsia="仿宋_GB2312" w:cs="仿宋_GB2312"/>
                <w:color w:val="auto"/>
                <w:sz w:val="24"/>
                <w:szCs w:val="24"/>
              </w:rPr>
              <w:t>可从设备导出至电脑或从电脑导入至设备；可对设备参数进行锁定和解锁；具备物联网运维管理平台接入功能。</w:t>
            </w:r>
          </w:p>
          <w:p w14:paraId="51F455D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输入通道具有静音、增益、噪声门、延时相位、分频和均衡功能；输入/输出增益微调:-80dB～+12dB，步进≤0.2dB；输入噪声门:-120dB～0dB可调，步进≤0.5dB；输入分频器至少具有高通和低通2个滤波器:频率20-20000Hz可调，步进1Hz:至少具备巴特沃斯、宁克、贝塞尔三种类型选择，至少具有6dB\12dB\18dB\24dB\30dB\36dB\42dB\48dB共8种斜率选择，支持直通功能；输入至少具备7段参量均衡，均衡频率 20-20000Hz可调，步进≤1Hz，增益-20dB ～+15dB 可调，步进≤0.1dB，Q值 0.404-28.852可调，至少具有E0、高架、低架、全通</w:t>
            </w: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全通2共5种均衡类型选择，至少具有直通/全直通/复位功能。</w:t>
            </w:r>
          </w:p>
          <w:p w14:paraId="62F7C90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输出通道至少具有静音、增益、延时、相位、分频、均衡和压限功能；输出分频器至少具有高通和低通2个滤波器:频率20-20000Hz可调，步进≤1Hz，至少具有巴特沃斯、宁克、贝塞尔三种类型选择，至少具有6dB\12dB\18dB\24dB\30dB\36dB\42dB\48dB共8种斜率选择，支持直通功能；输出至少具备7段参量均衡，均衡频率20-20000Hz可调，步进≤1Hz;增益-20dB～+15dB可调，步进～0.1dB:Q值0.404-28.852可调，至少具有EQ.高架、低架、全通</w:t>
            </w: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全通2共5种均衡类型选择，具有直通/全直通/复位功能，输出压限:阀值-40dBu～20dBu，步进≤1dBu。</w:t>
            </w:r>
          </w:p>
          <w:p w14:paraId="601D562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3.本机内置软启动，短路、过载、直流、过热保护、变压器过热保护和DC飘移等多重检测保护装置；具备(电源、信号、削峰、保护、桥接)LED工作状态指示灯。</w:t>
            </w:r>
          </w:p>
          <w:p w14:paraId="3110627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4.输出功率：≥2x700W/8Ω 2x1050W/4Ω；桥接：2100W/8Ω；</w:t>
            </w:r>
          </w:p>
          <w:p w14:paraId="4FC8C0D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5.总谐波失真(1KHz)：≤0.2%；</w:t>
            </w:r>
          </w:p>
          <w:p w14:paraId="2032CCD5">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6.信噪比(A计权)：≥100dB；</w:t>
            </w:r>
          </w:p>
          <w:p w14:paraId="5A14A9D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7.串音衰减(1kHz)：≥70dB；</w:t>
            </w:r>
          </w:p>
          <w:p w14:paraId="5B535A8E">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8.频率响应：20Hz-20kHz；</w:t>
            </w:r>
          </w:p>
          <w:p w14:paraId="0E03DA6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9.输入阻抗：平衡≥20KΩ  非平衡≥10KΩ；</w:t>
            </w:r>
          </w:p>
          <w:p w14:paraId="0A90387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10.增益差：≤1dB；</w:t>
            </w:r>
          </w:p>
          <w:p w14:paraId="4794FEB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11.阻尼系数：≥250（8Ω，20-200Hz)；</w:t>
            </w:r>
          </w:p>
          <w:p w14:paraId="0C1BB38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12.耐压测试：对电源端子与金属外壳之间进行测试:高压≥1</w:t>
            </w:r>
            <w:r>
              <w:rPr>
                <w:rFonts w:hint="eastAsia" w:ascii="仿宋_GB2312" w:hAnsi="仿宋_GB2312" w:eastAsia="仿宋_GB2312" w:cs="仿宋_GB2312"/>
                <w:color w:val="auto"/>
                <w:sz w:val="24"/>
                <w:szCs w:val="24"/>
                <w:lang w:val="en-US" w:eastAsia="zh-CN"/>
              </w:rPr>
              <w:t>0</w:t>
            </w:r>
            <w:r>
              <w:rPr>
                <w:rFonts w:hint="eastAsia" w:ascii="仿宋_GB2312" w:hAnsi="仿宋_GB2312" w:eastAsia="仿宋_GB2312" w:cs="仿宋_GB2312"/>
                <w:color w:val="auto"/>
                <w:sz w:val="24"/>
                <w:szCs w:val="24"/>
              </w:rPr>
              <w:t>00V AC(10mA)冲击 60s，无飞弧，无击穿。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483F4BC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2台</w:t>
            </w:r>
          </w:p>
        </w:tc>
      </w:tr>
      <w:tr w14:paraId="32DD88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CB5E24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4</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0B383D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宋体"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功率放大器</w:t>
            </w:r>
            <w:r>
              <w:rPr>
                <w:rFonts w:hint="eastAsia" w:ascii="仿宋_GB2312" w:hAnsi="仿宋_GB2312" w:eastAsia="仿宋_GB2312" w:cs="仿宋_GB2312"/>
                <w:color w:val="auto"/>
                <w:lang w:eastAsia="zh-CN"/>
              </w:rPr>
              <w:t>（二）</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19260B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本机基于网络与物联运维平台进行深度互联互通，并进行数字平台化集中管控作业；基于物联运维Web平台自动化执行访问业务功能，实时生成工作链路拓扑图，可视化链路中本机图标可一键进入执行对本机深度管控业务；基于物联运维Web平台执行多项业务功能的实时交互，包括但不限于调整本机增益、噪声门、延时、均衡、压限、信号路由等；基于物联运维Web平台执行多项数据的监测监控，包括但不限于本机电压、电流、温度、音频信号、上线/离线时间、故障报警等工作状态；基于物联运维Web平台自动识别本机型号，执行修改本机名称和ID以及固件升级，必须</w:t>
            </w:r>
            <w:r>
              <w:rPr>
                <w:rFonts w:hint="eastAsia" w:ascii="仿宋_GB2312" w:hAnsi="仿宋_GB2312" w:eastAsia="仿宋_GB2312" w:cs="仿宋_GB2312"/>
                <w:color w:val="auto"/>
                <w:sz w:val="24"/>
                <w:szCs w:val="24"/>
                <w:lang w:eastAsia="zh-CN"/>
              </w:rPr>
              <w:t>能</w:t>
            </w:r>
            <w:r>
              <w:rPr>
                <w:rFonts w:hint="eastAsia" w:ascii="仿宋_GB2312" w:hAnsi="仿宋_GB2312" w:eastAsia="仿宋_GB2312" w:cs="仿宋_GB2312"/>
                <w:color w:val="auto"/>
                <w:sz w:val="24"/>
                <w:szCs w:val="24"/>
              </w:rPr>
              <w:t>保证接入（智慧物联管理平台）实现以上全部管控和监测功能，验收时</w:t>
            </w:r>
            <w:r>
              <w:rPr>
                <w:rFonts w:hint="eastAsia" w:ascii="仿宋_GB2312" w:hAnsi="仿宋_GB2312" w:eastAsia="仿宋_GB2312" w:cs="仿宋_GB2312"/>
                <w:color w:val="auto"/>
                <w:sz w:val="24"/>
                <w:szCs w:val="24"/>
                <w:lang w:val="en-US" w:eastAsia="zh-CN"/>
              </w:rPr>
              <w:t>免费提供</w:t>
            </w:r>
            <w:r>
              <w:rPr>
                <w:rFonts w:hint="eastAsia" w:ascii="仿宋_GB2312" w:hAnsi="仿宋_GB2312" w:eastAsia="仿宋_GB2312" w:cs="仿宋_GB2312"/>
                <w:color w:val="auto"/>
                <w:sz w:val="24"/>
                <w:szCs w:val="24"/>
              </w:rPr>
              <w:t>智慧物联管理平台</w:t>
            </w:r>
            <w:r>
              <w:rPr>
                <w:rFonts w:hint="eastAsia" w:ascii="仿宋_GB2312" w:hAnsi="仿宋_GB2312" w:eastAsia="仿宋_GB2312" w:cs="仿宋_GB2312"/>
                <w:color w:val="auto"/>
                <w:sz w:val="24"/>
                <w:szCs w:val="24"/>
                <w:lang w:val="en-US" w:eastAsia="zh-CN"/>
              </w:rPr>
              <w:t>测试本设备的各项物联功能，</w:t>
            </w:r>
            <w:r>
              <w:rPr>
                <w:rFonts w:hint="eastAsia" w:ascii="仿宋_GB2312" w:hAnsi="仿宋_GB2312" w:eastAsia="仿宋_GB2312" w:cs="仿宋_GB2312"/>
                <w:color w:val="auto"/>
                <w:sz w:val="24"/>
                <w:szCs w:val="24"/>
              </w:rPr>
              <w:t>逐项核对；</w:t>
            </w:r>
          </w:p>
          <w:p w14:paraId="518B4FE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ascii="仿宋_GB2312" w:eastAsia="仿宋_GB2312"/>
                <w:b/>
                <w:bCs/>
                <w:color w:val="auto"/>
                <w:sz w:val="24"/>
              </w:rPr>
              <w:t>★</w:t>
            </w:r>
            <w:r>
              <w:rPr>
                <w:rFonts w:hint="eastAsia" w:ascii="仿宋_GB2312" w:hAnsi="仿宋_GB2312" w:eastAsia="仿宋_GB2312" w:cs="仿宋_GB2312"/>
                <w:color w:val="auto"/>
                <w:sz w:val="24"/>
                <w:szCs w:val="24"/>
              </w:rPr>
              <w:t>2.DSP功能：（1）内置DSP模块，可通过电脑软件调试处理音效、智能化网络监测功放和DSP的工作状态；支持矩阵混音；≥2</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个用户程序保存和调用，可从设备导出至电脑或从电脑导入至设备；可对设备参数进行锁定和解锁；具备物联网运维管理平台接入功能。</w:t>
            </w:r>
          </w:p>
          <w:p w14:paraId="7928006E">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输入通道具有静音、增益、噪声门、延时相位、分频和均衡功能；输入/输出增益微调:-80dB～+12dB，步进≤0.2dB；输入噪声门:-120dB～0dB可调，步进≤0.5dB；输入分频器至少具有高通和低通2个滤波器:频率20-20000Hz可调，步进1Hz:至少具备巴特沃斯、宁克、贝塞尔三种类型选择，至少具有6dB\12dB\18dB\24dB\30dB\36dB\42dB\48dB共8种斜率选择，支持直通功能；输入至少具备7段参量均衡，均衡频率 20-20000Hz可调，步进≤1Hz，增益-20dB ～+15dB 可调，步进≤0.1dB，Q值 0.404-28.852可调，至少具有E0、高架、低架、全通</w:t>
            </w: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全通2共5种均衡类型选择，至少具有直通/全直通/复位功能。</w:t>
            </w:r>
          </w:p>
          <w:p w14:paraId="55F32F5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输出通道至少具有静音、增益、延时、相位、分频、均衡和压限功能；输出分频器至少具有高通和低通2个滤波器:频率20-20000Hz可调，步进≤1Hz，至少具有巴特沃斯、宁克、贝塞尔三种类型选择，至少具有6dB\12dB\18dB\24dB\30dB\36dB\42dB\48dB共8种斜率选择，支持直通功能；输出至少具备7段参量均衡，均衡频率20-20000Hz可调，步进≤1Hz;增益-20dB～+15dB可调，步进～0.1dB:Q值0.404-28.852可调，至少具有EQ.高架、低架、全通</w:t>
            </w: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全通2共5种均衡类型选择，具有直通/全直通/复位功能，输出压限:阀值-40dBu～20dBu，步进≤1dBu。</w:t>
            </w:r>
          </w:p>
          <w:p w14:paraId="6FE999D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3.本机内置软启动，短路、过载、直流、过热保护、变压器过热保护和DC飘移等多重检测保护装置；具备(电源、信号、削峰、保护、桥接)LED工作状态指示灯。</w:t>
            </w:r>
          </w:p>
          <w:p w14:paraId="1E2C0CA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4.输出功率：≥2×1200W/8Ω，2×1800W/4Ω，桥接1×3600W/8Ω；；</w:t>
            </w:r>
          </w:p>
          <w:p w14:paraId="6ACF1796">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5.总谐波失真(1KHz)：≤0.2%；</w:t>
            </w:r>
          </w:p>
          <w:p w14:paraId="3C87081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6.信噪比(A计权)：≥100dB；</w:t>
            </w:r>
          </w:p>
          <w:p w14:paraId="2576BF9E">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7.串音衰减(1kHz)：≥70dB；</w:t>
            </w:r>
          </w:p>
          <w:p w14:paraId="2EA552A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8.频率响应：20Hz-20kHz；</w:t>
            </w:r>
          </w:p>
          <w:p w14:paraId="2E9BE33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9.输入阻抗：平衡≥20KΩ  非平衡≥10KΩ；</w:t>
            </w:r>
          </w:p>
          <w:p w14:paraId="2AAC956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10.增益差：≤1dB；</w:t>
            </w:r>
          </w:p>
          <w:p w14:paraId="7D28149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11.阻尼系数：≥250（8Ω，20-200Hz)；</w:t>
            </w:r>
          </w:p>
          <w:p w14:paraId="36A93FF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12.耐压测试：对电源端子与金属外壳之间进行测试:高压≥1</w:t>
            </w:r>
            <w:r>
              <w:rPr>
                <w:rFonts w:hint="eastAsia" w:ascii="仿宋_GB2312" w:hAnsi="仿宋_GB2312" w:eastAsia="仿宋_GB2312" w:cs="仿宋_GB2312"/>
                <w:color w:val="auto"/>
                <w:sz w:val="24"/>
                <w:szCs w:val="24"/>
                <w:lang w:val="en-US" w:eastAsia="zh-CN"/>
              </w:rPr>
              <w:t>0</w:t>
            </w:r>
            <w:r>
              <w:rPr>
                <w:rFonts w:hint="eastAsia" w:ascii="仿宋_GB2312" w:hAnsi="仿宋_GB2312" w:eastAsia="仿宋_GB2312" w:cs="仿宋_GB2312"/>
                <w:color w:val="auto"/>
                <w:sz w:val="24"/>
                <w:szCs w:val="24"/>
              </w:rPr>
              <w:t>00V AC(10mA)冲击 60s，无飞弧，无击穿。</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1AE0EB4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4A547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D72801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5</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2728C58A">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数字音频处理器</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FEBE378">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1.4进8出数字音频处理器</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2.采用24位DSP技术，高性能AD/DA编解码器，采样率 96kHz；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3.灵活组合的输入输出，多种分频模式；</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4.输入输出音量调节，范围从-80dB到+12dB，最小步进0.1dB；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5.每个输入通道有9段参量均衡(PEQ)，每个输出通道有15段参量均衡(PEQ)，每段均有有参量，低架和高架等多种EQ类型选择；</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6.输出具备高通和低通滤波器，每个滤波器有多种斜率和类型供选择；</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7.每个输入/输出通道可设置最长延时达1200.00ms；</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8.每个输出通道带相位反转功能；通道复制功能，令调节更省便；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9.输入输出增益：-80dB～+12dB可调，歩进0.1dB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10.压限阈值-40dBu～+20dBu可调，歩进0.5dBu；启动时间0.3ms～200ms可调，释放时间50ms～5000ms可调</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11.多通道链接功能，可同时设置多个通道参数；</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12.直观友好的用户界面，USB，RS485等多种方式与上位机连接</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13.总谐波失真(1kHz)：≤0.1%；</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14.信噪比(A计权)：≥105dB；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 xml:space="preserve">15.频率响应：20Hz～20kHz （±0.5dB） </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16.最大输入电平：≥16dBu；</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17.最大输出电平：≥16dBu</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18.最大增益：≥20dB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19.底噪：≤-85dBu</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1832AC3">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23E13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6F2F2DE4">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6</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0FF3B50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数字调音台</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8152354">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1.10路模拟输入（6路Mic，2组RCA）；</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2.7寸电容触摸屏1024x600分辨率</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3.9个100mm电动推子</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4.中英文界面随时切换无需重启</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5.内置USB录音、放音功能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6.USB播放器可以识别中文歌曲名</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7.内置6个通道独立的反馈抑制器</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8.集成音箱管理器</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9.开放第三方控制协议 TCP/IP、RS-232控制指令</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10.带2个DCA</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11.触摸屏全功能控制，实时数据同步</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12.支持多个终端同时控制</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13.内置1个效果器模块</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14.可通过网络或者USB电子盘升级固件</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15.每个输入通道具有4段参量均衡、噪声门、反馈抑制器、高低通、压缩、反相</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16.每个输出通道具有8段参量均衡、高低通、压缩、反相</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17.输出通道L/R、4BUS、HeadPhone(L/R)</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18.4个BUS混音总线可选择推子前、推子后（PRE/POST）</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19.支持100组场景预设功能，可从USB存储器或电脑导出、导入，便于数据备份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20.100个PEQ模式存储</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21.内置信号发生器：正弦波、粉红噪声、白噪声</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22.通道参数拷贝功能，相同的通道快速复制数据</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23.接线方式：平衡式输入、输出卡侬</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24.8个推子编组、4个静音编组</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25.通道名称可自定义</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26.3个自定义快捷键</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27.频率响应：20Hz～20kHz（-1.6dB，+0.2dB）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28.总谐波失真：≤0.2%@4dBu，20Hz～20kHz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29.信噪比：≥100dB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30.最大输入电平：≥14dBu</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31.最大输出电平：≥14dBu</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32.串音（1KHz）：≤-99dB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33.增益：≥65dB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bCs/>
                <w:color w:val="auto"/>
                <w:sz w:val="21"/>
                <w:szCs w:val="21"/>
                <w:lang w:val="en-US" w:eastAsia="zh-CN"/>
              </w:rPr>
              <w:t>◆</w:t>
            </w:r>
            <w:r>
              <w:rPr>
                <w:rFonts w:hint="eastAsia" w:ascii="仿宋_GB2312" w:hAnsi="仿宋_GB2312" w:eastAsia="仿宋_GB2312" w:cs="仿宋_GB2312"/>
                <w:i w:val="0"/>
                <w:iCs w:val="0"/>
                <w:color w:val="auto"/>
                <w:kern w:val="0"/>
                <w:sz w:val="24"/>
                <w:szCs w:val="24"/>
                <w:u w:val="none"/>
                <w:lang w:val="en-US" w:eastAsia="zh-CN" w:bidi="ar"/>
              </w:rPr>
              <w:t>34.安全抗电强度：对电源端子与金属外壳之间进行测试</w:t>
            </w:r>
            <w:r>
              <w:rPr>
                <w:rFonts w:hint="eastAsia" w:ascii="仿宋_GB2312" w:hAnsi="仿宋_GB2312" w:eastAsia="仿宋_GB2312" w:cs="仿宋_GB2312"/>
                <w:i w:val="0"/>
                <w:iCs w:val="0"/>
                <w:color w:val="auto"/>
                <w:kern w:val="0"/>
                <w:sz w:val="24"/>
                <w:szCs w:val="24"/>
                <w:highlight w:val="yellow"/>
                <w:u w:val="none"/>
                <w:lang w:val="en-US" w:eastAsia="zh-CN" w:bidi="ar"/>
              </w:rPr>
              <w:t>:</w:t>
            </w:r>
            <w:r>
              <w:rPr>
                <w:rFonts w:hint="eastAsia" w:ascii="仿宋_GB2312" w:hAnsi="仿宋_GB2312" w:eastAsia="仿宋_GB2312" w:cs="仿宋_GB2312"/>
                <w:i w:val="0"/>
                <w:iCs w:val="0"/>
                <w:color w:val="auto"/>
                <w:kern w:val="0"/>
                <w:sz w:val="24"/>
                <w:szCs w:val="24"/>
                <w:highlight w:val="yellow"/>
                <w:u w:val="wave"/>
                <w:lang w:val="en-US" w:eastAsia="zh-CN" w:bidi="ar"/>
              </w:rPr>
              <w:t>≥1000V DC(10mA)冲击(60s)</w:t>
            </w:r>
            <w:r>
              <w:rPr>
                <w:rFonts w:hint="eastAsia" w:ascii="仿宋_GB2312" w:hAnsi="仿宋_GB2312" w:eastAsia="仿宋_GB2312" w:cs="仿宋_GB2312"/>
                <w:i w:val="0"/>
                <w:iCs w:val="0"/>
                <w:color w:val="auto"/>
                <w:kern w:val="0"/>
                <w:sz w:val="24"/>
                <w:szCs w:val="24"/>
                <w:u w:val="none"/>
                <w:lang w:val="en-US" w:eastAsia="zh-CN" w:bidi="ar"/>
              </w:rPr>
              <w:t>，无飞弧，无击穿；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bCs/>
                <w:color w:val="auto"/>
                <w:sz w:val="21"/>
                <w:szCs w:val="21"/>
                <w:lang w:val="en-US" w:eastAsia="zh-CN"/>
              </w:rPr>
              <w:t>◆</w:t>
            </w:r>
            <w:r>
              <w:rPr>
                <w:rFonts w:hint="eastAsia" w:ascii="仿宋_GB2312" w:hAnsi="仿宋_GB2312" w:eastAsia="仿宋_GB2312" w:cs="仿宋_GB2312"/>
                <w:i w:val="0"/>
                <w:iCs w:val="0"/>
                <w:color w:val="auto"/>
                <w:kern w:val="0"/>
                <w:sz w:val="24"/>
                <w:szCs w:val="24"/>
                <w:u w:val="none"/>
                <w:lang w:val="en-US" w:eastAsia="zh-CN" w:bidi="ar"/>
              </w:rPr>
              <w:t>35.满足GB/T2423.2-2008《电工电子产品环境试验 第2部分：试验方法 试验B：高温》及GB/T2423.1-2008《电工电子产品环境试验 第2部分：试验方法 试验A： 低温》中的条件和方法对调音台进行高、低温测试:</w:t>
            </w:r>
            <w:r>
              <w:rPr>
                <w:rFonts w:hint="eastAsia" w:ascii="仿宋_GB2312" w:hAnsi="仿宋_GB2312" w:eastAsia="仿宋_GB2312" w:cs="仿宋_GB2312"/>
                <w:i w:val="0"/>
                <w:iCs w:val="0"/>
                <w:color w:val="auto"/>
                <w:kern w:val="0"/>
                <w:sz w:val="24"/>
                <w:szCs w:val="24"/>
                <w:highlight w:val="yellow"/>
                <w:u w:val="wave"/>
                <w:lang w:val="en-US" w:eastAsia="zh-CN" w:bidi="ar"/>
              </w:rPr>
              <w:t>高温≥43℃</w:t>
            </w:r>
            <w:r>
              <w:rPr>
                <w:rFonts w:hint="eastAsia" w:ascii="仿宋_GB2312" w:hAnsi="仿宋_GB2312" w:eastAsia="仿宋_GB2312" w:cs="仿宋_GB2312"/>
                <w:i w:val="0"/>
                <w:iCs w:val="0"/>
                <w:color w:val="auto"/>
                <w:kern w:val="0"/>
                <w:sz w:val="24"/>
                <w:szCs w:val="24"/>
                <w:u w:val="none"/>
                <w:lang w:val="en-US" w:eastAsia="zh-CN" w:bidi="ar"/>
              </w:rPr>
              <w:t>，低温≤-8℃，测试时间:2小时。</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792DCE5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6A1BC9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67CF5E8">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7</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4DDFBF3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电源时序器</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0AF2E5B">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kern w:val="0"/>
                <w:sz w:val="24"/>
                <w:szCs w:val="24"/>
                <w:lang w:bidi="ar"/>
              </w:rPr>
              <w:t>★</w:t>
            </w:r>
            <w:r>
              <w:rPr>
                <w:rFonts w:hint="eastAsia" w:ascii="仿宋_GB2312" w:hAnsi="仿宋_GB2312" w:eastAsia="仿宋_GB2312" w:cs="仿宋_GB2312"/>
                <w:i w:val="0"/>
                <w:iCs w:val="0"/>
                <w:color w:val="auto"/>
                <w:kern w:val="0"/>
                <w:sz w:val="24"/>
                <w:szCs w:val="24"/>
                <w:u w:val="none"/>
                <w:lang w:val="en-US" w:eastAsia="zh-CN" w:bidi="ar"/>
              </w:rPr>
              <w:t>1.具备80A空气开关，具有漏电保护功能；面板带USB接口, USB接口具备5V直流电源输出（允许误差±1V）；电源电压LED数码管实时显示；每一路交流输出电源具有独立按键及对应的LED指示灯；控制功能：RS232控制、凤凰控制口、单机控制、多机联机控制、远程控制；输出通道：≥14路独立220V（20A）交流电源输出通道，</w:t>
            </w:r>
            <w:r>
              <w:rPr>
                <w:rFonts w:hint="eastAsia" w:ascii="仿宋_GB2312" w:hAnsi="仿宋_GB2312" w:eastAsia="仿宋_GB2312" w:cs="仿宋_GB2312"/>
                <w:i w:val="0"/>
                <w:iCs w:val="0"/>
                <w:color w:val="auto"/>
                <w:kern w:val="0"/>
                <w:sz w:val="24"/>
                <w:szCs w:val="24"/>
                <w:highlight w:val="yellow"/>
                <w:u w:val="wave"/>
                <w:lang w:val="en-US" w:eastAsia="zh-CN" w:bidi="ar"/>
              </w:rPr>
              <w:t>≥5路12V直流电源输出通道（直流电流≥1.2A）</w:t>
            </w:r>
            <w:r>
              <w:rPr>
                <w:rFonts w:hint="eastAsia" w:ascii="仿宋_GB2312" w:hAnsi="仿宋_GB2312" w:eastAsia="仿宋_GB2312" w:cs="仿宋_GB2312"/>
                <w:i w:val="0"/>
                <w:iCs w:val="0"/>
                <w:color w:val="auto"/>
                <w:kern w:val="0"/>
                <w:sz w:val="24"/>
                <w:szCs w:val="24"/>
                <w:u w:val="none"/>
                <w:lang w:val="en-US" w:eastAsia="zh-CN" w:bidi="ar"/>
              </w:rPr>
              <w:t>；时序开关频率(延迟时间)：每1步≥0.5秒；</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color w:val="auto"/>
                <w:kern w:val="0"/>
                <w:sz w:val="24"/>
                <w:szCs w:val="24"/>
                <w:lang w:bidi="ar"/>
              </w:rPr>
              <w:t>★</w:t>
            </w:r>
            <w:r>
              <w:rPr>
                <w:rFonts w:hint="eastAsia" w:ascii="仿宋_GB2312" w:hAnsi="仿宋_GB2312" w:eastAsia="仿宋_GB2312" w:cs="仿宋_GB2312"/>
                <w:i w:val="0"/>
                <w:iCs w:val="0"/>
                <w:color w:val="auto"/>
                <w:kern w:val="0"/>
                <w:sz w:val="24"/>
                <w:szCs w:val="24"/>
                <w:u w:val="none"/>
                <w:lang w:val="en-US" w:eastAsia="zh-CN" w:bidi="ar"/>
              </w:rPr>
              <w:t>2.抗电强度：对电源L-机壳之间进行测试：符合1500VAC,(1min)应无飞弧或击穿；对电源L-输入口之间、电源-L输出口之间进行测试：符合1500VAC，（1min）应无飞弧或击穿；接地电阻：外壳（远端）对电线插头接地端接地电阻</w:t>
            </w:r>
            <w:r>
              <w:rPr>
                <w:rFonts w:hint="eastAsia" w:ascii="仿宋_GB2312" w:hAnsi="仿宋_GB2312" w:eastAsia="仿宋_GB2312" w:cs="仿宋_GB2312"/>
                <w:i w:val="0"/>
                <w:iCs w:val="0"/>
                <w:color w:val="auto"/>
                <w:kern w:val="0"/>
                <w:sz w:val="24"/>
                <w:szCs w:val="24"/>
                <w:highlight w:val="yellow"/>
                <w:u w:val="wave"/>
                <w:lang w:val="en-US" w:eastAsia="zh-CN" w:bidi="ar"/>
              </w:rPr>
              <w:t>≤0.2Ω（25A60s）</w:t>
            </w:r>
            <w:r>
              <w:rPr>
                <w:rFonts w:hint="eastAsia" w:ascii="仿宋_GB2312" w:hAnsi="仿宋_GB2312" w:eastAsia="仿宋_GB2312" w:cs="仿宋_GB2312"/>
                <w:i w:val="0"/>
                <w:iCs w:val="0"/>
                <w:color w:val="auto"/>
                <w:kern w:val="0"/>
                <w:sz w:val="24"/>
                <w:szCs w:val="24"/>
                <w:u w:val="wave"/>
                <w:lang w:val="en-US" w:eastAsia="zh-CN" w:bidi="ar"/>
              </w:rPr>
              <w:t>；</w:t>
            </w:r>
            <w:r>
              <w:rPr>
                <w:rFonts w:hint="eastAsia" w:ascii="仿宋_GB2312" w:hAnsi="仿宋_GB2312" w:eastAsia="仿宋_GB2312" w:cs="仿宋_GB2312"/>
                <w:i w:val="0"/>
                <w:iCs w:val="0"/>
                <w:color w:val="auto"/>
                <w:kern w:val="0"/>
                <w:sz w:val="24"/>
                <w:szCs w:val="24"/>
                <w:u w:val="wav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机内须采用双电源独立供电，6路12V/1.1A直流输出电源由1个环形变压器分6组≥16V/1.6A交流输出给6个全桥整流器配合相关电路形成6路独立的直流输出电源，为其它音响设备提供稳定干净的直流电源；本机工作电源由1个独立变压器分3组交流输出给3个全桥整流器配合相关电路组成。</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本机80A空气开关输出给主板的主电源线≥10平方毫米，具备≥13个交流输出继电器，继电器负载量≥250V/40A(交流)，后面板具备≥13个多用交流输出插座和6个圆形直流输出插座，至少具备1个凤凰控制接口、1个RS232控制接口、1组（2个双芯6.35插座）级联控制接口。</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5.电压范围：AC220V±10%；</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D147956">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52A6796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779C09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8</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E2A4F0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线阵音箱吊架</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673234C4">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1.铁质，三点吊挂，满足线阵音箱吊装需求。</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7289C8C">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2套</w:t>
            </w:r>
          </w:p>
        </w:tc>
      </w:tr>
      <w:tr w14:paraId="1040F9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636E47E">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9</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73300343">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2芯工程音箱线缆</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2D29F623">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1.2芯专业舞台音响工程线，导体材料选用无氧铜；</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2.外部绝缘采用ROHS聚氯乙烯塑料，内部芯线绝缘材料采用合成PE；</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3.两芯绞合成缆：2×2.5mm²，单芯组成：285支直径为0.1mm无氧铜+5支抗干扰神经线构成；</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4.护套采用弹性体材料，结构圆整，电缆外观光滑、圆整，手感柔软；</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5.用于室内各种音响设备连接，移动布线或固定布线均可。</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5797EAAB">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300米</w:t>
            </w:r>
          </w:p>
        </w:tc>
      </w:tr>
      <w:tr w14:paraId="4B5B76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7E875DF9">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10</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51FEB19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音频连接线</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C7DE05B">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1.双芯屏蔽音频线，导体材料选用无氧铜；</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2.外部绝缘采用聚氯乙烯塑料，内部芯线绝缘材料采用合成PE；</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3.两芯绞合成缆：2×40支，单芯组成：40支直径为0.1mm无氧铜，屏蔽采用铝箔纵包+128根单丝直径0.1mm的无氧铜线编织构成；</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4.护套采用弹性体材料，结构圆整，电缆外观光滑、圆整，手感柔软，成品外径约6.2㎜；</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5.用于室内各种音响设备连接，移动布线或固定布线均可。</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8CD021D">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200米</w:t>
            </w:r>
          </w:p>
        </w:tc>
      </w:tr>
      <w:tr w14:paraId="0F6F1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647A3AD6">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3CE578BF">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机柜</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395D7393">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1.42U服务器机柜；</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2.尺寸：600mm(宽)*800mm(长)*2045mm(高)（宽长高允许误差偏离值±5mm）；</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3.表面防静电喷涂采用高硬度粉面；防护等级设计满足IP20等级；黑色，网孔前后门。</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6FB8A899">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1个</w:t>
            </w:r>
          </w:p>
        </w:tc>
      </w:tr>
      <w:tr w14:paraId="0C470B3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095684A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12</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8B06AA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辅材</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1AE6CDD0">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安装固定架、五金件、接头、胶布、焊锡、套管等</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0FC35FD4">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03058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22C7594D">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13</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674257C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施工</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42B89451">
            <w:pPr>
              <w:keepNext w:val="0"/>
              <w:keepLines w:val="0"/>
              <w:pageBreakBefore w:val="0"/>
              <w:widowControl/>
              <w:suppressLineNumbers w:val="0"/>
              <w:kinsoku/>
              <w:wordWrap/>
              <w:overflowPunct/>
              <w:topLinePunct w:val="0"/>
              <w:autoSpaceDE/>
              <w:autoSpaceDN/>
              <w:bidi w:val="0"/>
              <w:snapToGrid w:val="0"/>
              <w:spacing w:line="400" w:lineRule="atLeas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含布线施工及设计，安装调试及培训等，按柳州市教育系统工程施工规范要求实施。</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3C6D049F">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leftChars="0" w:right="0" w:rightChars="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6C0A24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5000" w:type="pct"/>
            <w:gridSpan w:val="4"/>
            <w:tcBorders>
              <w:top w:val="single" w:color="auto" w:sz="4" w:space="0"/>
              <w:left w:val="single" w:color="auto" w:sz="4" w:space="0"/>
              <w:bottom w:val="single" w:color="auto" w:sz="4" w:space="0"/>
              <w:right w:val="single" w:color="auto" w:sz="4" w:space="0"/>
            </w:tcBorders>
            <w:shd w:val="clear" w:color="auto" w:fill="auto"/>
            <w:vAlign w:val="center"/>
          </w:tcPr>
          <w:p w14:paraId="5F3F8C81">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bCs/>
                <w:color w:val="auto"/>
                <w:kern w:val="0"/>
                <w:sz w:val="24"/>
                <w:lang w:val="en-US" w:eastAsia="zh-CN" w:bidi="ar"/>
              </w:rPr>
              <w:t>（八）局属学校考试卷高速扫描仪</w:t>
            </w:r>
          </w:p>
        </w:tc>
      </w:tr>
      <w:tr w14:paraId="3B5CE9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254" w:type="pct"/>
            <w:tcBorders>
              <w:top w:val="single" w:color="auto" w:sz="4" w:space="0"/>
              <w:left w:val="single" w:color="auto" w:sz="4" w:space="0"/>
              <w:bottom w:val="single" w:color="auto" w:sz="4" w:space="0"/>
              <w:right w:val="single" w:color="auto" w:sz="4" w:space="0"/>
            </w:tcBorders>
            <w:shd w:val="clear" w:color="auto" w:fill="auto"/>
            <w:vAlign w:val="center"/>
          </w:tcPr>
          <w:p w14:paraId="31F30E12">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w:t>
            </w:r>
          </w:p>
        </w:tc>
        <w:tc>
          <w:tcPr>
            <w:tcW w:w="628" w:type="pct"/>
            <w:tcBorders>
              <w:top w:val="single" w:color="auto" w:sz="4" w:space="0"/>
              <w:left w:val="single" w:color="auto" w:sz="4" w:space="0"/>
              <w:bottom w:val="single" w:color="auto" w:sz="4" w:space="0"/>
              <w:right w:val="single" w:color="auto" w:sz="4" w:space="0"/>
            </w:tcBorders>
            <w:shd w:val="clear" w:color="auto" w:fill="auto"/>
            <w:vAlign w:val="center"/>
          </w:tcPr>
          <w:p w14:paraId="11841F2C">
            <w:pPr>
              <w:pStyle w:val="27"/>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高速扫描仪</w:t>
            </w:r>
          </w:p>
        </w:tc>
        <w:tc>
          <w:tcPr>
            <w:tcW w:w="3660" w:type="pct"/>
            <w:tcBorders>
              <w:top w:val="single" w:color="auto" w:sz="4" w:space="0"/>
              <w:left w:val="single" w:color="auto" w:sz="4" w:space="0"/>
              <w:bottom w:val="single" w:color="auto" w:sz="4" w:space="0"/>
              <w:right w:val="single" w:color="auto" w:sz="4" w:space="0"/>
            </w:tcBorders>
            <w:shd w:val="clear" w:color="auto" w:fill="auto"/>
            <w:vAlign w:val="center"/>
          </w:tcPr>
          <w:p w14:paraId="71B4220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1.幅面：A3</w:t>
            </w:r>
          </w:p>
          <w:p w14:paraId="498B66D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0"/>
                <w:sz w:val="24"/>
                <w:szCs w:val="24"/>
                <w:lang w:bidi="ar"/>
              </w:rPr>
              <w:t>★</w:t>
            </w:r>
            <w:r>
              <w:rPr>
                <w:rFonts w:hint="eastAsia" w:ascii="仿宋_GB2312" w:hAnsi="仿宋_GB2312" w:eastAsia="仿宋_GB2312" w:cs="仿宋_GB2312"/>
                <w:color w:val="auto"/>
                <w:sz w:val="24"/>
                <w:szCs w:val="24"/>
                <w:lang w:val="en-US" w:eastAsia="zh-CN"/>
              </w:rPr>
              <w:t>2.扫描速度≥：95ppm/190ipm（200dpi模式下黑白彩色同速）</w:t>
            </w:r>
          </w:p>
          <w:p w14:paraId="0F6E691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3.图像传感器</w:t>
            </w:r>
            <w:r>
              <w:rPr>
                <w:rFonts w:hint="eastAsia" w:ascii="仿宋_GB2312" w:hAnsi="仿宋_GB2312" w:eastAsia="仿宋_GB2312" w:cs="仿宋_GB2312"/>
                <w:color w:val="auto"/>
                <w:sz w:val="24"/>
                <w:szCs w:val="24"/>
                <w:lang w:val="en-US" w:eastAsia="zh-CN"/>
              </w:rPr>
              <w:tab/>
            </w:r>
            <w:r>
              <w:rPr>
                <w:rFonts w:hint="eastAsia" w:ascii="仿宋_GB2312" w:hAnsi="仿宋_GB2312" w:eastAsia="仿宋_GB2312" w:cs="仿宋_GB2312"/>
                <w:color w:val="auto"/>
                <w:sz w:val="24"/>
                <w:szCs w:val="24"/>
                <w:lang w:val="en-US" w:eastAsia="zh-CN"/>
              </w:rPr>
              <w:t>：CIS</w:t>
            </w:r>
          </w:p>
          <w:p w14:paraId="69A10F6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4.光源：LED(R/G/B)</w:t>
            </w:r>
          </w:p>
          <w:p w14:paraId="0ECF84A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5.扫描分辨率：1-600dpi,1dpi步进可调</w:t>
            </w:r>
          </w:p>
          <w:p w14:paraId="7758839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6.光学分辨率：300dpi/600dpi</w:t>
            </w:r>
          </w:p>
          <w:p w14:paraId="10E18592">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0"/>
                <w:sz w:val="24"/>
                <w:szCs w:val="24"/>
                <w:lang w:bidi="ar"/>
              </w:rPr>
              <w:t>★</w:t>
            </w:r>
            <w:r>
              <w:rPr>
                <w:rFonts w:hint="eastAsia" w:ascii="仿宋_GB2312" w:hAnsi="仿宋_GB2312" w:eastAsia="仿宋_GB2312" w:cs="仿宋_GB2312"/>
                <w:color w:val="auto"/>
                <w:sz w:val="24"/>
                <w:szCs w:val="24"/>
                <w:lang w:val="en-US" w:eastAsia="zh-CN"/>
              </w:rPr>
              <w:t>7.送稿器容纸量：≥500张（A4:70g/㎡）</w:t>
            </w:r>
          </w:p>
          <w:p w14:paraId="62A2179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8.进纸方式：自动进纸；U型通道（下进纸，上出纸）</w:t>
            </w:r>
          </w:p>
          <w:p w14:paraId="63F32CF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9.扫描面：单面/双面</w:t>
            </w:r>
          </w:p>
          <w:p w14:paraId="48BE03FD">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10.介质尺寸：宽度：48-305mm，长度：80-1000mm</w:t>
            </w:r>
          </w:p>
          <w:p w14:paraId="6F880ECA">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11.介质厚度或重量：0.06-0.15mm；40g-157g/㎡</w:t>
            </w:r>
          </w:p>
          <w:p w14:paraId="65CA7795">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12.扫描模式：灰度，彩色，黑白，自动颜色识别</w:t>
            </w:r>
          </w:p>
          <w:p w14:paraId="72E9B0A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13.图像输出格式：JPEG/TIFF/BMP/PDF/PNG/双层PDF/OFD</w:t>
            </w:r>
          </w:p>
          <w:p w14:paraId="54F6FFD5">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14.图像处理器：采用GPU片上图像处理单元</w:t>
            </w:r>
          </w:p>
          <w:p w14:paraId="4CF802E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15.内置操作系统：安卓操作系统</w:t>
            </w:r>
          </w:p>
          <w:p w14:paraId="26C9385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16.支持接口：USB3.0*1 Type B;TYPE-C扩展触摸屏、显示屏（免PC操作）</w:t>
            </w:r>
          </w:p>
          <w:p w14:paraId="69F14DD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17.网络模块(配屏应用）：WIFI 2.4G\5G双频兼容</w:t>
            </w:r>
          </w:p>
          <w:p w14:paraId="343CF56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图像处理功能：自适应幅面，对折，跳过空白页，正反面交换，图像拆分，亮度/对比度/伽玛，锐化与模糊，多流输出，消除黑框，自动纠偏，多流输出除红，答题卡除红，穿孔移除，噪点优化，背景移除，尺寸检测，待纸扫描模式自动文本方向识别，连续/指定页数扫描，图像旋转等；</w:t>
            </w:r>
          </w:p>
          <w:p w14:paraId="1DE30CB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19.其他有用功能：超声波双张检测功能，订书钉检测功能，重要走纸技术：强、中、弱分离三种分纸模式，以适应多种纸张稳定走纸。计数功能，歪斜检测，休眠时间设置(配屏应用）</w:t>
            </w:r>
          </w:p>
          <w:p w14:paraId="4EA6BE4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20.颜色模式：彩色/灰度</w:t>
            </w:r>
          </w:p>
          <w:p w14:paraId="4BD1452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21.分辨率模式：150dpi/200dpi/300dpi</w:t>
            </w:r>
          </w:p>
          <w:p w14:paraId="0900AFC7">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22.图像格式：JPEG/TIFF</w:t>
            </w:r>
          </w:p>
          <w:p w14:paraId="3BDAAD9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23.扫描模式：单面/双面</w:t>
            </w:r>
          </w:p>
          <w:p w14:paraId="61F3F50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24.图像处理功能：裁切纠偏，双张检测，跳过空白页，折角填充，AB面翻转，折角检测，亮度/对比度/伽玛，去除背景色，文稿方向调整，特定样张MARK方向矫正，图片旋转</w:t>
            </w:r>
          </w:p>
          <w:p w14:paraId="1495920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25.传输模式：U盘/FTP/SMB/Http</w:t>
            </w:r>
          </w:p>
          <w:p w14:paraId="39F56BB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26.待纸扫描模式：可设置待纸时间</w:t>
            </w:r>
          </w:p>
          <w:p w14:paraId="7FC88A5C">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27.维护功能：设备使用统计，日志上报，文件清理，休眠时间设置，WIFI设置</w:t>
            </w:r>
          </w:p>
          <w:p w14:paraId="006D3F6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28.支持驱动：TWAIN、SANE</w:t>
            </w:r>
          </w:p>
          <w:p w14:paraId="127FCA3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kern w:val="0"/>
                <w:sz w:val="24"/>
                <w:szCs w:val="24"/>
                <w:lang w:bidi="ar"/>
              </w:rPr>
              <w:t>★</w:t>
            </w:r>
            <w:r>
              <w:rPr>
                <w:rFonts w:hint="eastAsia" w:ascii="仿宋_GB2312" w:hAnsi="仿宋_GB2312" w:eastAsia="仿宋_GB2312" w:cs="仿宋_GB2312"/>
                <w:color w:val="auto"/>
                <w:sz w:val="24"/>
                <w:szCs w:val="24"/>
                <w:lang w:val="en-US" w:eastAsia="zh-CN"/>
              </w:rPr>
              <w:t>29.*支持操作系统：windows7.windows8.windows10.UOS、银河麒麟、中标麒麟等国产操作系统</w:t>
            </w:r>
          </w:p>
          <w:p w14:paraId="5FAF713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30.电源：AC220-240V 50/60Hz  2.1A</w:t>
            </w:r>
          </w:p>
          <w:p w14:paraId="4B4D44DB">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31.能耗：工作状态：70W； 待机模式：&lt;0.5W；低功耗模式：5W</w:t>
            </w:r>
          </w:p>
          <w:p w14:paraId="70D7444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32.尺寸（长*宽*高）：≥530*480*320mm</w:t>
            </w:r>
          </w:p>
          <w:p w14:paraId="3CB40C33">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33.操作环境：温度：0℃-40℃，湿度：20%RH-85%RH</w:t>
            </w:r>
          </w:p>
          <w:p w14:paraId="5C2574EF">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34.国产品牌：国产品牌非OEM</w:t>
            </w:r>
          </w:p>
          <w:p w14:paraId="25FF4F83">
            <w:pPr>
              <w:keepNext w:val="0"/>
              <w:keepLines w:val="0"/>
              <w:pageBreakBefore w:val="0"/>
              <w:suppressLineNumbers w:val="0"/>
              <w:kinsoku/>
              <w:wordWrap/>
              <w:overflowPunct/>
              <w:topLinePunct w:val="0"/>
              <w:autoSpaceDE/>
              <w:autoSpaceDN/>
              <w:bidi w:val="0"/>
              <w:snapToGrid w:val="0"/>
              <w:spacing w:before="0" w:beforeAutospacing="0" w:after="0" w:afterAutospacing="0" w:line="400" w:lineRule="atLeast"/>
              <w:ind w:left="0" w:right="0"/>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35.产品认证：CCC、节能</w:t>
            </w:r>
          </w:p>
        </w:tc>
        <w:tc>
          <w:tcPr>
            <w:tcW w:w="456" w:type="pct"/>
            <w:tcBorders>
              <w:top w:val="single" w:color="auto" w:sz="4" w:space="0"/>
              <w:left w:val="single" w:color="auto" w:sz="4" w:space="0"/>
              <w:bottom w:val="single" w:color="auto" w:sz="4" w:space="0"/>
              <w:right w:val="single" w:color="auto" w:sz="4" w:space="0"/>
            </w:tcBorders>
            <w:shd w:val="clear" w:color="auto" w:fill="auto"/>
            <w:vAlign w:val="center"/>
          </w:tcPr>
          <w:p w14:paraId="292E025A">
            <w:pPr>
              <w:keepNext w:val="0"/>
              <w:keepLines w:val="0"/>
              <w:pageBreakBefore w:val="0"/>
              <w:widowControl/>
              <w:suppressLineNumbers w:val="0"/>
              <w:kinsoku/>
              <w:wordWrap/>
              <w:overflowPunct/>
              <w:topLinePunct w:val="0"/>
              <w:autoSpaceDE/>
              <w:autoSpaceDN/>
              <w:bidi w:val="0"/>
              <w:snapToGrid w:val="0"/>
              <w:spacing w:before="0" w:beforeAutospacing="0" w:after="0" w:afterAutospacing="0" w:line="400" w:lineRule="atLeas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18台</w:t>
            </w:r>
          </w:p>
        </w:tc>
      </w:tr>
    </w:tbl>
    <w:p w14:paraId="40667348">
      <w:pPr>
        <w:spacing w:line="380" w:lineRule="exact"/>
        <w:ind w:right="-330" w:rightChars="-157"/>
        <w:rPr>
          <w:rFonts w:hint="eastAsia" w:ascii="仿宋_GB2312" w:eastAsia="仿宋_GB2312"/>
          <w:b/>
          <w:bCs/>
          <w:color w:val="000000"/>
          <w:sz w:val="24"/>
        </w:rPr>
      </w:pPr>
    </w:p>
    <w:bookmarkEnd w:id="24"/>
    <w:p w14:paraId="2988A9CC">
      <w:pPr>
        <w:adjustRightInd w:val="0"/>
        <w:spacing w:line="276" w:lineRule="auto"/>
        <w:rPr>
          <w:rFonts w:ascii="仿宋_GB2312" w:eastAsia="仿宋_GB2312"/>
          <w:b/>
          <w:bCs/>
          <w:sz w:val="24"/>
        </w:rPr>
      </w:pPr>
    </w:p>
    <w:tbl>
      <w:tblPr>
        <w:tblStyle w:val="48"/>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60"/>
        <w:gridCol w:w="7763"/>
      </w:tblGrid>
      <w:tr w14:paraId="02EDD75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304" w:type="dxa"/>
            <w:gridSpan w:val="3"/>
            <w:vAlign w:val="center"/>
          </w:tcPr>
          <w:p w14:paraId="7AE6CA5A">
            <w:pPr>
              <w:spacing w:line="276" w:lineRule="auto"/>
              <w:ind w:left="420" w:hanging="420"/>
              <w:jc w:val="left"/>
              <w:rPr>
                <w:rFonts w:hint="eastAsia" w:ascii="仿宋_GB2312" w:hAnsi="宋体" w:eastAsia="仿宋_GB2312"/>
                <w:sz w:val="24"/>
              </w:rPr>
            </w:pPr>
            <w:r>
              <w:rPr>
                <w:rFonts w:ascii="仿宋_GB2312" w:hAnsi="宋体" w:eastAsia="仿宋_GB2312" w:cs="宋体"/>
                <w:b/>
                <w:kern w:val="0"/>
                <w:sz w:val="24"/>
              </w:rPr>
              <w:t>★</w:t>
            </w:r>
            <w:r>
              <w:rPr>
                <w:rFonts w:hint="eastAsia" w:ascii="仿宋_GB2312" w:hAnsi="宋体" w:eastAsia="仿宋_GB2312"/>
                <w:b/>
                <w:sz w:val="24"/>
              </w:rPr>
              <w:t>二、商务要求</w:t>
            </w:r>
          </w:p>
        </w:tc>
      </w:tr>
      <w:tr w14:paraId="2A6290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6F351B94">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基本要求</w:t>
            </w:r>
          </w:p>
        </w:tc>
        <w:tc>
          <w:tcPr>
            <w:tcW w:w="7763" w:type="dxa"/>
            <w:vAlign w:val="center"/>
          </w:tcPr>
          <w:p w14:paraId="09557508">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2.投标人应保证投标产品涉及到的知识产权和所提供的相关技术资料是合法取得，不会因为采购人的使用而被责令停止使用、追偿或要求赔偿损失，如出现此情况，一切经济和法律责任均由投标人承担；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tc>
      </w:tr>
      <w:tr w14:paraId="36B6C3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35E08D16">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质量保证期</w:t>
            </w:r>
          </w:p>
        </w:tc>
        <w:tc>
          <w:tcPr>
            <w:tcW w:w="7763" w:type="dxa"/>
            <w:vAlign w:val="center"/>
          </w:tcPr>
          <w:p w14:paraId="2F3C3377">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质保期从交货、安装调试完毕，产品验收合格之日起计算，</w:t>
            </w:r>
            <w:r>
              <w:rPr>
                <w:rFonts w:hint="eastAsia" w:ascii="仿宋_GB2312" w:hAnsi="仿宋_GB2312" w:eastAsia="仿宋_GB2312" w:cs="仿宋_GB2312"/>
                <w:bCs/>
                <w:color w:val="000000"/>
                <w:sz w:val="24"/>
                <w:highlight w:val="none"/>
              </w:rPr>
              <w:t>提供硬件免费质保和免费升级不少于3年，软件免费质保和免费升级不少于1年。</w:t>
            </w:r>
            <w:r>
              <w:rPr>
                <w:rFonts w:hint="eastAsia" w:ascii="仿宋_GB2312" w:hAnsi="仿宋_GB2312" w:eastAsia="仿宋_GB2312" w:cs="仿宋_GB2312"/>
                <w:bCs/>
                <w:color w:val="000000"/>
                <w:sz w:val="24"/>
                <w:highlight w:val="none"/>
                <w:lang w:eastAsia="zh-CN"/>
              </w:rPr>
              <w:t>（采购需求一、项目技术规格参数及要求中另有要求的按采购需求要求执行）</w:t>
            </w:r>
            <w:r>
              <w:rPr>
                <w:rFonts w:hint="eastAsia" w:ascii="仿宋_GB2312" w:hAnsi="仿宋_GB2312" w:eastAsia="仿宋_GB2312" w:cs="仿宋_GB2312"/>
                <w:bCs/>
                <w:color w:val="000000"/>
                <w:sz w:val="24"/>
              </w:rPr>
              <w:t>在质保期内因质量问题由中标人无条件更换，费用由中标人负责。超过质保期的另行协商，其余按投标人提交的售后服务承诺书执行。</w:t>
            </w:r>
          </w:p>
        </w:tc>
      </w:tr>
      <w:tr w14:paraId="38574D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1C6C5D89">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售后服务要求</w:t>
            </w:r>
          </w:p>
        </w:tc>
        <w:tc>
          <w:tcPr>
            <w:tcW w:w="7763" w:type="dxa"/>
            <w:vAlign w:val="center"/>
          </w:tcPr>
          <w:p w14:paraId="7B76C7F0">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1.投标产品必须是按厂家标准配置的整套全新产品，按国家规定实行“三包”，免费送货上门、免费安装调试（附安装说明书）及人员培训，培训后采购人可熟悉基本操作；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2.故障处理 ：提供7*24小时维修服务，并提供售后服务电话，出现故障应在接到故障通知起</w:t>
            </w:r>
            <w:r>
              <w:rPr>
                <w:rFonts w:hint="eastAsia" w:ascii="仿宋_GB2312" w:hAnsi="仿宋_GB2312" w:eastAsia="仿宋_GB2312" w:cs="仿宋_GB2312"/>
                <w:bCs/>
                <w:color w:val="000000"/>
                <w:sz w:val="24"/>
                <w:lang w:val="en-US" w:eastAsia="zh-CN"/>
              </w:rPr>
              <w:t>2</w:t>
            </w:r>
            <w:r>
              <w:rPr>
                <w:rFonts w:ascii="仿宋_GB2312" w:hAnsi="仿宋_GB2312" w:eastAsia="仿宋_GB2312" w:cs="仿宋_GB2312"/>
                <w:bCs/>
                <w:color w:val="000000"/>
                <w:sz w:val="24"/>
              </w:rPr>
              <w:t>小时内响应，一般问题</w:t>
            </w:r>
            <w:r>
              <w:rPr>
                <w:rFonts w:hint="eastAsia" w:ascii="仿宋_GB2312" w:hAnsi="仿宋_GB2312" w:eastAsia="仿宋_GB2312" w:cs="仿宋_GB2312"/>
                <w:bCs/>
                <w:color w:val="000000"/>
                <w:sz w:val="24"/>
                <w:lang w:val="en-US" w:eastAsia="zh-CN"/>
              </w:rPr>
              <w:t>4</w:t>
            </w:r>
            <w:r>
              <w:rPr>
                <w:rFonts w:ascii="仿宋_GB2312" w:hAnsi="仿宋_GB2312" w:eastAsia="仿宋_GB2312" w:cs="仿宋_GB2312"/>
                <w:bCs/>
                <w:color w:val="000000"/>
                <w:sz w:val="24"/>
              </w:rPr>
              <w:t>小时内通过远程方式解决；遇到大的问题，在接到报修通知后</w:t>
            </w:r>
            <w:r>
              <w:rPr>
                <w:rFonts w:hint="eastAsia" w:ascii="仿宋_GB2312" w:hAnsi="仿宋_GB2312" w:eastAsia="仿宋_GB2312" w:cs="仿宋_GB2312"/>
                <w:bCs/>
                <w:color w:val="000000"/>
                <w:sz w:val="24"/>
                <w:lang w:val="en-US" w:eastAsia="zh-CN"/>
              </w:rPr>
              <w:t>8</w:t>
            </w:r>
            <w:r>
              <w:rPr>
                <w:rFonts w:ascii="仿宋_GB2312" w:hAnsi="仿宋_GB2312" w:eastAsia="仿宋_GB2312" w:cs="仿宋_GB2312"/>
                <w:bCs/>
                <w:color w:val="000000"/>
                <w:sz w:val="24"/>
              </w:rPr>
              <w:t>小时内派技术人员到达现场维修，故障修复时限不超过</w:t>
            </w:r>
            <w:r>
              <w:rPr>
                <w:rFonts w:hint="eastAsia" w:ascii="仿宋_GB2312" w:hAnsi="仿宋_GB2312" w:eastAsia="仿宋_GB2312" w:cs="仿宋_GB2312"/>
                <w:bCs/>
                <w:color w:val="000000"/>
                <w:sz w:val="24"/>
                <w:lang w:val="en-US" w:eastAsia="zh-CN"/>
              </w:rPr>
              <w:t>48</w:t>
            </w:r>
            <w:r>
              <w:rPr>
                <w:rFonts w:ascii="仿宋_GB2312" w:hAnsi="仿宋_GB2312" w:eastAsia="仿宋_GB2312" w:cs="仿宋_GB2312"/>
                <w:bCs/>
                <w:color w:val="000000"/>
                <w:sz w:val="24"/>
              </w:rPr>
              <w:t>小时,如超过时限无法排除故障，免费提供同等质量的产品作为备用品供采购人使用，直到修复完成</w:t>
            </w:r>
            <w:r>
              <w:rPr>
                <w:rFonts w:hint="eastAsia" w:ascii="仿宋_GB2312" w:hAnsi="仿宋_GB2312" w:eastAsia="仿宋_GB2312" w:cs="仿宋_GB2312"/>
                <w:bCs/>
                <w:color w:val="000000"/>
                <w:sz w:val="24"/>
                <w:lang w:eastAsia="zh-CN"/>
              </w:rPr>
              <w:t>；采购需求一、项目技术规格参数及要求中另有要求的按采购需求要求执行</w:t>
            </w:r>
            <w:r>
              <w:rPr>
                <w:rFonts w:ascii="仿宋_GB2312" w:hAnsi="仿宋_GB2312" w:eastAsia="仿宋_GB2312" w:cs="仿宋_GB2312"/>
                <w:bCs/>
                <w:color w:val="000000"/>
                <w:sz w:val="24"/>
              </w:rPr>
              <w:t>。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3.质量保证期内免费提供维修服务（含人工费、配件费、差旅费等各项费用），所更换的所有零配件全部使用原厂配件；保修期以外一律按投标文件承诺的优惠价收费，提供终身上门维修服务。</w:t>
            </w:r>
          </w:p>
        </w:tc>
      </w:tr>
      <w:tr w14:paraId="0401D1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583547F9">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交货时间及地点</w:t>
            </w:r>
          </w:p>
        </w:tc>
        <w:tc>
          <w:tcPr>
            <w:tcW w:w="7763" w:type="dxa"/>
            <w:vAlign w:val="center"/>
          </w:tcPr>
          <w:p w14:paraId="440DAAFA">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1.交货时间：自签订合同之日起30日内安装调试完毕，验收合格并交付使用；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2.交货地点：采购人指定柳州市内地点。</w:t>
            </w:r>
          </w:p>
        </w:tc>
      </w:tr>
      <w:tr w14:paraId="79B3C7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451A800C">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付款方式</w:t>
            </w:r>
          </w:p>
        </w:tc>
        <w:tc>
          <w:tcPr>
            <w:tcW w:w="7763" w:type="dxa"/>
            <w:vAlign w:val="center"/>
          </w:tcPr>
          <w:p w14:paraId="4395C3AB">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财政性资金按财政国库集中支付规定程序办理。本项目无预付款，货物全部到货完毕，货物验收合格之日起</w:t>
            </w:r>
            <w:r>
              <w:rPr>
                <w:rFonts w:hint="eastAsia" w:ascii="仿宋_GB2312" w:hAnsi="仿宋_GB2312" w:eastAsia="仿宋_GB2312" w:cs="仿宋_GB2312"/>
                <w:bCs/>
                <w:color w:val="000000"/>
                <w:sz w:val="24"/>
                <w:lang w:val="en-US" w:eastAsia="zh-CN"/>
              </w:rPr>
              <w:t>10</w:t>
            </w:r>
            <w:r>
              <w:rPr>
                <w:rFonts w:ascii="仿宋_GB2312" w:hAnsi="仿宋_GB2312" w:eastAsia="仿宋_GB2312" w:cs="仿宋_GB2312"/>
                <w:bCs/>
                <w:color w:val="000000"/>
                <w:sz w:val="24"/>
              </w:rPr>
              <w:t>个工作日内，支付合同价款的</w:t>
            </w:r>
            <w:r>
              <w:rPr>
                <w:rFonts w:hint="eastAsia" w:ascii="仿宋_GB2312" w:hAnsi="仿宋_GB2312" w:eastAsia="仿宋_GB2312" w:cs="仿宋_GB2312"/>
                <w:bCs/>
                <w:color w:val="000000"/>
                <w:sz w:val="24"/>
                <w:lang w:val="en-US" w:eastAsia="zh-CN"/>
              </w:rPr>
              <w:t>40</w:t>
            </w:r>
            <w:r>
              <w:rPr>
                <w:rFonts w:ascii="仿宋_GB2312" w:hAnsi="仿宋_GB2312" w:eastAsia="仿宋_GB2312" w:cs="仿宋_GB2312"/>
                <w:bCs/>
                <w:color w:val="000000"/>
                <w:sz w:val="24"/>
              </w:rPr>
              <w:t>%；全部安装、调试完毕，项目整体交付使用并通过最终验收合格</w:t>
            </w:r>
            <w:r>
              <w:rPr>
                <w:rFonts w:hint="eastAsia" w:ascii="仿宋_GB2312" w:hAnsi="仿宋_GB2312" w:eastAsia="仿宋_GB2312" w:cs="仿宋_GB2312"/>
                <w:bCs/>
                <w:color w:val="000000"/>
                <w:sz w:val="24"/>
                <w:lang w:val="en-US" w:eastAsia="zh-CN"/>
              </w:rPr>
              <w:t>10</w:t>
            </w:r>
            <w:r>
              <w:rPr>
                <w:rFonts w:ascii="仿宋_GB2312" w:hAnsi="仿宋_GB2312" w:eastAsia="仿宋_GB2312" w:cs="仿宋_GB2312"/>
                <w:bCs/>
                <w:color w:val="000000"/>
                <w:sz w:val="24"/>
              </w:rPr>
              <w:t>个工作日内支付合同价款的</w:t>
            </w:r>
            <w:r>
              <w:rPr>
                <w:rFonts w:hint="eastAsia" w:ascii="仿宋_GB2312" w:hAnsi="仿宋_GB2312" w:eastAsia="仿宋_GB2312" w:cs="仿宋_GB2312"/>
                <w:bCs/>
                <w:color w:val="000000"/>
                <w:sz w:val="24"/>
                <w:lang w:val="en-US" w:eastAsia="zh-CN"/>
              </w:rPr>
              <w:t>60</w:t>
            </w:r>
            <w:r>
              <w:rPr>
                <w:rFonts w:ascii="仿宋_GB2312" w:hAnsi="仿宋_GB2312" w:eastAsia="仿宋_GB2312" w:cs="仿宋_GB2312"/>
                <w:bCs/>
                <w:color w:val="000000"/>
                <w:sz w:val="24"/>
              </w:rPr>
              <w:t>%。
</w:t>
            </w:r>
            <w:r>
              <w:rPr>
                <w:rFonts w:ascii="仿宋_GB2312" w:hAnsi="仿宋_GB2312" w:eastAsia="仿宋_GB2312" w:cs="仿宋_GB2312"/>
                <w:bCs/>
                <w:color w:val="000000"/>
                <w:sz w:val="24"/>
              </w:rPr>
              <w:br w:type="textWrapping"/>
            </w:r>
            <w:r>
              <w:rPr>
                <w:rFonts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14:paraId="71B1EF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0C21233C">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备品备件及耗材等要求</w:t>
            </w:r>
          </w:p>
        </w:tc>
        <w:tc>
          <w:tcPr>
            <w:tcW w:w="7763" w:type="dxa"/>
            <w:vAlign w:val="center"/>
          </w:tcPr>
          <w:p w14:paraId="1F4215CB">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1.投标人所提供零部件、配件及安装材料必须是符合国家规定质量安全标准的全新、合格产品；该项费用应包含在报价中；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2.投标人所提供完整的全套设备须包括必备的易损耗备件和专用工具；</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3.投标人必须有完善的备品备件库体系，质保期内能提供相应的免费的措施和配件，保证过质保期后五年内有足够的备品备件，为完成本项目技术支持、服务需求提供可靠保证。</w:t>
            </w:r>
          </w:p>
        </w:tc>
      </w:tr>
      <w:tr w14:paraId="5338E77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304" w:type="dxa"/>
            <w:gridSpan w:val="3"/>
            <w:vAlign w:val="center"/>
          </w:tcPr>
          <w:p w14:paraId="058ED2C8">
            <w:pPr>
              <w:widowControl/>
              <w:spacing w:line="276" w:lineRule="auto"/>
              <w:jc w:val="left"/>
              <w:rPr>
                <w:rFonts w:ascii="仿宋_GB2312" w:eastAsia="仿宋_GB2312"/>
                <w:bCs/>
                <w:sz w:val="24"/>
              </w:rPr>
            </w:pPr>
            <w:r>
              <w:rPr>
                <w:rFonts w:ascii="仿宋_GB2312" w:hAnsi="宋体" w:eastAsia="仿宋_GB2312" w:cs="宋体"/>
                <w:b/>
                <w:kern w:val="0"/>
                <w:sz w:val="24"/>
              </w:rPr>
              <w:t>★</w:t>
            </w:r>
            <w:r>
              <w:rPr>
                <w:rFonts w:hint="eastAsia" w:ascii="仿宋_GB2312" w:hAnsi="宋体" w:eastAsia="仿宋_GB2312" w:cs="Arial"/>
                <w:b/>
                <w:bCs/>
                <w:color w:val="000000"/>
                <w:sz w:val="24"/>
              </w:rPr>
              <w:t>三、验收要求</w:t>
            </w:r>
          </w:p>
        </w:tc>
      </w:tr>
      <w:tr w14:paraId="455A6E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541" w:type="dxa"/>
            <w:gridSpan w:val="2"/>
            <w:vAlign w:val="center"/>
          </w:tcPr>
          <w:p w14:paraId="6A1153F2">
            <w:pPr>
              <w:snapToGrid w:val="0"/>
              <w:spacing w:line="400" w:lineRule="exact"/>
              <w:jc w:val="center"/>
              <w:rPr>
                <w:rFonts w:hint="eastAsia" w:ascii="等线" w:hAnsi="等线" w:eastAsia="仿宋_GB2312" w:cs="Arial"/>
                <w:bCs/>
                <w:color w:val="000000"/>
                <w:sz w:val="24"/>
                <w:lang w:val="en-GB"/>
              </w:rPr>
            </w:pPr>
            <w:r>
              <w:rPr>
                <w:rFonts w:ascii="仿宋_GB2312" w:hAnsi="仿宋_GB2312" w:eastAsia="仿宋_GB2312" w:cs="仿宋_GB2312"/>
                <w:bCs/>
                <w:color w:val="000000"/>
                <w:sz w:val="24"/>
                <w:szCs w:val="21"/>
              </w:rPr>
              <w:t>验收标准及要求</w:t>
            </w:r>
          </w:p>
        </w:tc>
        <w:tc>
          <w:tcPr>
            <w:tcW w:w="7763" w:type="dxa"/>
            <w:vAlign w:val="center"/>
          </w:tcPr>
          <w:p w14:paraId="0C3AD3FB">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1.符合国家强制性技术标准及有关规定；</w:t>
            </w:r>
          </w:p>
          <w:p w14:paraId="6A2D195F">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2.交货验收时，采购人已委托监理单位提供监理服务的，参照柳政规〔2020〕7号《柳州市政府投资信息化项目管理办法》的通知，应由当采购人、监理单位、中标人三方共同进行收货验收。必要时可委托国家认可的质量检测机构开展采购项目验收工作；</w:t>
            </w:r>
          </w:p>
          <w:p w14:paraId="42424BC8">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3.本项目因中标人提供的货物</w:t>
            </w:r>
            <w:r>
              <w:rPr>
                <w:rFonts w:hint="eastAsia" w:ascii="仿宋_GB2312" w:hAnsi="仿宋_GB2312" w:eastAsia="仿宋_GB2312" w:cs="仿宋_GB2312"/>
                <w:bCs/>
                <w:color w:val="000000"/>
                <w:sz w:val="24"/>
              </w:rPr>
              <w:t>或服务</w:t>
            </w:r>
            <w:r>
              <w:rPr>
                <w:rFonts w:ascii="仿宋_GB2312" w:hAnsi="仿宋_GB2312" w:eastAsia="仿宋_GB2312" w:cs="仿宋_GB2312"/>
                <w:bCs/>
                <w:color w:val="000000"/>
                <w:sz w:val="24"/>
              </w:rPr>
              <w:t>不能满足采购需求的技术参数或其投标文件承诺等原因无法通过验收，造成不能按时、按质、按量完成项目要求的，将按照《中华人民共和国政府采购法》等法律法规由中标人承担相应的法律责任；</w:t>
            </w:r>
          </w:p>
          <w:p w14:paraId="3DEADB1A">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4.中标人完成安装调试后，可向采购人提出初验申请，采购人可以进行累计运行时间不超过72小时的试运行，以确认所供货物功能参数、兼容性及稳定性符合标准达到初验条件；</w:t>
            </w:r>
          </w:p>
          <w:p w14:paraId="3A2705F6">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5.中标人通过初验后向采购人提出最终验收申请，采购人组织聘请验收专家组（3-5人）、监理单位、中标人共同进行验收工作；</w:t>
            </w:r>
          </w:p>
          <w:p w14:paraId="6957551D">
            <w:pPr>
              <w:spacing w:line="440" w:lineRule="exact"/>
              <w:jc w:val="left"/>
              <w:rPr>
                <w:rFonts w:hint="eastAsia" w:ascii="仿宋_GB2312" w:hAnsi="仿宋_GB2312" w:eastAsia="仿宋_GB2312" w:cs="仿宋_GB2312"/>
                <w:bCs/>
                <w:color w:val="000000"/>
                <w:sz w:val="24"/>
                <w:szCs w:val="21"/>
              </w:rPr>
            </w:pPr>
            <w:r>
              <w:rPr>
                <w:rFonts w:hint="eastAsia" w:ascii="仿宋_GB2312" w:hAnsi="仿宋_GB2312" w:eastAsia="仿宋_GB2312" w:cs="仿宋_GB2312"/>
                <w:bCs/>
                <w:color w:val="000000"/>
                <w:sz w:val="24"/>
              </w:rPr>
              <w:t>6</w:t>
            </w:r>
            <w:r>
              <w:rPr>
                <w:rFonts w:ascii="仿宋_GB2312" w:hAnsi="仿宋_GB2312" w:eastAsia="仿宋_GB2312" w:cs="仿宋_GB2312"/>
                <w:bCs/>
                <w:color w:val="000000"/>
                <w:sz w:val="24"/>
              </w:rPr>
              <w:t>.验收费用：验收过程所产生的检验费、验收费及相关的全部费用均由中标人承担（验收费用参照柳财采〔2024〕24 号文件执行），中标人在投标报价时应充分考虑。</w:t>
            </w:r>
          </w:p>
        </w:tc>
      </w:tr>
      <w:tr w14:paraId="3CA990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04" w:type="dxa"/>
            <w:gridSpan w:val="3"/>
            <w:vAlign w:val="center"/>
          </w:tcPr>
          <w:p w14:paraId="6EF80A21">
            <w:pPr>
              <w:widowControl/>
              <w:snapToGrid w:val="0"/>
              <w:spacing w:before="120" w:after="120" w:line="440" w:lineRule="exact"/>
              <w:jc w:val="left"/>
              <w:rPr>
                <w:rFonts w:hint="eastAsia" w:ascii="仿宋_GB2312" w:hAnsi="宋体" w:eastAsia="仿宋_GB2312" w:cs="宋体"/>
                <w:bCs/>
                <w:color w:val="000000"/>
                <w:sz w:val="24"/>
              </w:rPr>
            </w:pPr>
            <w:r>
              <w:rPr>
                <w:rFonts w:hint="eastAsia" w:ascii="仿宋_GB2312" w:hAnsi="宋体" w:eastAsia="仿宋_GB2312" w:cs="Arial"/>
                <w:b/>
                <w:bCs/>
                <w:color w:val="000000"/>
                <w:sz w:val="24"/>
              </w:rPr>
              <w:t>四、资信要求</w:t>
            </w:r>
          </w:p>
        </w:tc>
      </w:tr>
      <w:tr w14:paraId="398759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gridSpan w:val="2"/>
            <w:vAlign w:val="center"/>
          </w:tcPr>
          <w:p w14:paraId="0633BB96">
            <w:pPr>
              <w:snapToGrid w:val="0"/>
              <w:spacing w:line="400" w:lineRule="exact"/>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szCs w:val="21"/>
              </w:rPr>
              <w:t>政策性加分条件（如有）</w:t>
            </w:r>
          </w:p>
        </w:tc>
        <w:tc>
          <w:tcPr>
            <w:tcW w:w="7763" w:type="dxa"/>
            <w:vAlign w:val="center"/>
          </w:tcPr>
          <w:p w14:paraId="4E86C579">
            <w:pPr>
              <w:pStyle w:val="374"/>
              <w:spacing w:before="0" w:beforeAutospacing="0" w:after="0" w:afterAutospacing="0" w:line="460" w:lineRule="atLeast"/>
              <w:rPr>
                <w:rFonts w:ascii="仿宋_GB2312" w:eastAsia="仿宋_GB2312"/>
                <w:color w:val="000000"/>
              </w:rPr>
            </w:pPr>
            <w:r>
              <w:rPr>
                <w:rFonts w:hint="eastAsia" w:ascii="仿宋_GB2312" w:eastAsia="仿宋_GB2312"/>
                <w:color w:val="000000"/>
              </w:rPr>
              <w:t>1．《政府采购促进中小企业发展管理办法》（财库〔2020〕46号），符合办法规定条件且出具该办法规定的《中小企业声明函》的小型和微型企业报价，对其报价给予20%的扣除。监狱企业、残疾人福利性单位视同小型和微型企业；</w:t>
            </w:r>
          </w:p>
          <w:p w14:paraId="369DA23E">
            <w:pPr>
              <w:pStyle w:val="374"/>
              <w:spacing w:before="0" w:beforeAutospacing="0" w:after="0" w:afterAutospacing="0" w:line="460" w:lineRule="atLeast"/>
              <w:rPr>
                <w:rFonts w:hint="eastAsia" w:ascii="仿宋_GB2312" w:eastAsia="仿宋_GB2312"/>
                <w:color w:val="000000"/>
              </w:rPr>
            </w:pPr>
            <w:r>
              <w:rPr>
                <w:rStyle w:val="375"/>
                <w:rFonts w:hint="eastAsia" w:ascii="仿宋_GB2312" w:eastAsia="仿宋_GB2312"/>
                <w:color w:val="000000"/>
              </w:rPr>
              <w:t>注：（1）采购标的对应的中小企业划分标准所属行业</w:t>
            </w:r>
            <w:r>
              <w:rPr>
                <w:rFonts w:hint="eastAsia" w:ascii="仿宋_GB2312" w:eastAsia="仿宋_GB2312"/>
                <w:b/>
                <w:bCs/>
                <w:color w:val="000000"/>
              </w:rPr>
              <w:t>：</w:t>
            </w:r>
            <w:r>
              <w:rPr>
                <w:rFonts w:hint="eastAsia" w:ascii="仿宋_GB2312" w:hAnsi="仿宋_GB2312" w:eastAsia="仿宋_GB2312" w:cs="仿宋_GB2312"/>
                <w:b/>
                <w:bCs/>
                <w:u w:val="single"/>
                <w:lang w:val="en-US" w:eastAsia="zh-CN"/>
              </w:rPr>
              <w:t>（一）柳铁二中移动录播系统第2-4项、第6项、第8项、第11项</w:t>
            </w:r>
            <w:r>
              <w:rPr>
                <w:rFonts w:hint="eastAsia" w:ascii="仿宋_GB2312" w:hAnsi="仿宋_GB2312" w:eastAsia="仿宋_GB2312" w:cs="仿宋_GB2312"/>
                <w:b/>
                <w:bCs/>
                <w:u w:val="single"/>
              </w:rPr>
              <w:t>标的货物为软件和信息技术服务业</w:t>
            </w:r>
            <w:r>
              <w:rPr>
                <w:rFonts w:hint="eastAsia" w:ascii="仿宋_GB2312" w:hAnsi="仿宋_GB2312" w:eastAsia="仿宋_GB2312" w:cs="仿宋_GB2312"/>
                <w:b/>
                <w:bCs/>
                <w:u w:val="single"/>
                <w:lang w:eastAsia="zh-CN"/>
              </w:rPr>
              <w:t>，（二）</w:t>
            </w:r>
            <w:r>
              <w:rPr>
                <w:rFonts w:hint="eastAsia" w:ascii="仿宋_GB2312" w:hAnsi="仿宋_GB2312" w:eastAsia="仿宋_GB2312" w:cs="仿宋_GB2312"/>
                <w:b/>
                <w:bCs/>
                <w:u w:val="single"/>
              </w:rPr>
              <w:t>柳铁二中</w:t>
            </w:r>
            <w:r>
              <w:rPr>
                <w:rFonts w:hint="eastAsia" w:ascii="仿宋_GB2312" w:hAnsi="仿宋_GB2312" w:eastAsia="仿宋_GB2312" w:cs="仿宋_GB2312"/>
                <w:b/>
                <w:bCs/>
                <w:u w:val="single"/>
                <w:lang w:val="en-US" w:eastAsia="zh-CN"/>
              </w:rPr>
              <w:t>室内</w:t>
            </w:r>
            <w:r>
              <w:rPr>
                <w:rFonts w:hint="eastAsia" w:ascii="仿宋_GB2312" w:hAnsi="仿宋_GB2312" w:eastAsia="仿宋_GB2312" w:cs="仿宋_GB2312"/>
                <w:b/>
                <w:bCs/>
                <w:u w:val="single"/>
              </w:rPr>
              <w:t>全彩LED屏</w:t>
            </w:r>
            <w:r>
              <w:rPr>
                <w:rFonts w:hint="eastAsia" w:ascii="仿宋_GB2312" w:hAnsi="仿宋_GB2312" w:eastAsia="仿宋_GB2312" w:cs="仿宋_GB2312"/>
                <w:b/>
                <w:bCs/>
                <w:u w:val="single"/>
                <w:lang w:eastAsia="zh-CN"/>
              </w:rPr>
              <w:t>第</w:t>
            </w:r>
            <w:r>
              <w:rPr>
                <w:rFonts w:hint="eastAsia" w:ascii="仿宋_GB2312" w:hAnsi="仿宋_GB2312" w:eastAsia="仿宋_GB2312" w:cs="仿宋_GB2312"/>
                <w:b/>
                <w:bCs/>
                <w:u w:val="single"/>
                <w:lang w:val="en-US" w:eastAsia="zh-CN"/>
              </w:rPr>
              <w:t>13</w:t>
            </w:r>
            <w:r>
              <w:rPr>
                <w:rFonts w:hint="eastAsia" w:ascii="仿宋_GB2312" w:hAnsi="仿宋_GB2312" w:eastAsia="仿宋_GB2312" w:cs="仿宋_GB2312"/>
                <w:b/>
                <w:bCs/>
                <w:u w:val="single"/>
                <w:lang w:eastAsia="zh-CN"/>
              </w:rPr>
              <w:t>项、（三）柳铁二中</w:t>
            </w:r>
            <w:r>
              <w:rPr>
                <w:rFonts w:hint="eastAsia" w:ascii="仿宋_GB2312" w:hAnsi="仿宋_GB2312" w:eastAsia="仿宋_GB2312" w:cs="仿宋_GB2312"/>
                <w:b/>
                <w:bCs/>
                <w:u w:val="single"/>
                <w:lang w:val="en-US" w:eastAsia="zh-CN"/>
              </w:rPr>
              <w:t>户外</w:t>
            </w:r>
            <w:r>
              <w:rPr>
                <w:rFonts w:hint="eastAsia" w:ascii="仿宋_GB2312" w:hAnsi="仿宋_GB2312" w:eastAsia="仿宋_GB2312" w:cs="仿宋_GB2312"/>
                <w:b/>
                <w:bCs/>
                <w:u w:val="single"/>
                <w:lang w:eastAsia="zh-CN"/>
              </w:rPr>
              <w:t>全彩LED屏第</w:t>
            </w:r>
            <w:r>
              <w:rPr>
                <w:rFonts w:hint="eastAsia" w:ascii="仿宋_GB2312" w:hAnsi="仿宋_GB2312" w:eastAsia="仿宋_GB2312" w:cs="仿宋_GB2312"/>
                <w:b/>
                <w:bCs/>
                <w:u w:val="single"/>
                <w:lang w:val="en-US" w:eastAsia="zh-CN"/>
              </w:rPr>
              <w:t>8</w:t>
            </w:r>
            <w:r>
              <w:rPr>
                <w:rFonts w:hint="eastAsia" w:ascii="仿宋_GB2312" w:hAnsi="仿宋_GB2312" w:eastAsia="仿宋_GB2312" w:cs="仿宋_GB2312"/>
                <w:b/>
                <w:bCs/>
                <w:u w:val="single"/>
                <w:lang w:eastAsia="zh-CN"/>
              </w:rPr>
              <w:t>项、第</w:t>
            </w:r>
            <w:r>
              <w:rPr>
                <w:rFonts w:hint="eastAsia" w:ascii="仿宋_GB2312" w:hAnsi="仿宋_GB2312" w:eastAsia="仿宋_GB2312" w:cs="仿宋_GB2312"/>
                <w:b/>
                <w:bCs/>
                <w:u w:val="single"/>
                <w:lang w:val="en-US" w:eastAsia="zh-CN"/>
              </w:rPr>
              <w:t>14</w:t>
            </w:r>
            <w:r>
              <w:rPr>
                <w:rFonts w:hint="eastAsia" w:ascii="仿宋_GB2312" w:hAnsi="仿宋_GB2312" w:eastAsia="仿宋_GB2312" w:cs="仿宋_GB2312"/>
                <w:b/>
                <w:bCs/>
                <w:u w:val="single"/>
                <w:lang w:eastAsia="zh-CN"/>
              </w:rPr>
              <w:t>项、</w:t>
            </w:r>
            <w:r>
              <w:rPr>
                <w:rFonts w:hint="eastAsia" w:ascii="仿宋_GB2312" w:hAnsi="仿宋_GB2312" w:eastAsia="仿宋_GB2312" w:cs="仿宋_GB2312"/>
                <w:b/>
                <w:bCs/>
                <w:u w:val="single"/>
                <w:lang w:val="en-US" w:eastAsia="zh-CN"/>
              </w:rPr>
              <w:t>（四）柳州市三中室内全彩LED屏</w:t>
            </w:r>
            <w:r>
              <w:rPr>
                <w:rFonts w:hint="eastAsia" w:ascii="仿宋_GB2312" w:hAnsi="仿宋_GB2312" w:eastAsia="仿宋_GB2312" w:cs="仿宋_GB2312"/>
                <w:b/>
                <w:bCs/>
                <w:u w:val="single"/>
                <w:lang w:eastAsia="zh-CN"/>
              </w:rPr>
              <w:t>第</w:t>
            </w:r>
            <w:r>
              <w:rPr>
                <w:rFonts w:hint="eastAsia" w:ascii="仿宋_GB2312" w:hAnsi="仿宋_GB2312" w:eastAsia="仿宋_GB2312" w:cs="仿宋_GB2312"/>
                <w:b/>
                <w:bCs/>
                <w:u w:val="single"/>
                <w:lang w:val="en-US" w:eastAsia="zh-CN"/>
              </w:rPr>
              <w:t>13</w:t>
            </w:r>
            <w:r>
              <w:rPr>
                <w:rFonts w:hint="eastAsia" w:ascii="仿宋_GB2312" w:hAnsi="仿宋_GB2312" w:eastAsia="仿宋_GB2312" w:cs="仿宋_GB2312"/>
                <w:b/>
                <w:bCs/>
                <w:u w:val="single"/>
                <w:lang w:eastAsia="zh-CN"/>
              </w:rPr>
              <w:t>项、</w:t>
            </w:r>
            <w:r>
              <w:rPr>
                <w:rFonts w:hint="eastAsia" w:ascii="仿宋_GB2312" w:hAnsi="仿宋_GB2312" w:eastAsia="仿宋_GB2312" w:cs="仿宋_GB2312"/>
                <w:b/>
                <w:bCs/>
                <w:u w:val="single"/>
                <w:lang w:val="en-US" w:eastAsia="zh-CN"/>
              </w:rPr>
              <w:t xml:space="preserve"> （五）柳江实验高中户外全彩LED屏</w:t>
            </w:r>
            <w:r>
              <w:rPr>
                <w:rFonts w:hint="eastAsia" w:ascii="仿宋_GB2312" w:hAnsi="仿宋_GB2312" w:eastAsia="仿宋_GB2312" w:cs="仿宋_GB2312"/>
                <w:b/>
                <w:bCs/>
                <w:u w:val="single"/>
                <w:lang w:eastAsia="zh-CN"/>
              </w:rPr>
              <w:t>第</w:t>
            </w:r>
            <w:r>
              <w:rPr>
                <w:rFonts w:hint="eastAsia" w:ascii="仿宋_GB2312" w:hAnsi="仿宋_GB2312" w:eastAsia="仿宋_GB2312" w:cs="仿宋_GB2312"/>
                <w:b/>
                <w:bCs/>
                <w:u w:val="single"/>
                <w:lang w:val="en-US" w:eastAsia="zh-CN"/>
              </w:rPr>
              <w:t>16</w:t>
            </w:r>
            <w:r>
              <w:rPr>
                <w:rFonts w:hint="eastAsia" w:ascii="仿宋_GB2312" w:hAnsi="仿宋_GB2312" w:eastAsia="仿宋_GB2312" w:cs="仿宋_GB2312"/>
                <w:b/>
                <w:bCs/>
                <w:u w:val="single"/>
                <w:lang w:eastAsia="zh-CN"/>
              </w:rPr>
              <w:t>项、</w:t>
            </w:r>
            <w:r>
              <w:rPr>
                <w:rFonts w:hint="eastAsia" w:ascii="仿宋_GB2312" w:hAnsi="仿宋_GB2312" w:eastAsia="仿宋_GB2312" w:cs="仿宋_GB2312"/>
                <w:b/>
                <w:bCs/>
                <w:u w:val="single"/>
                <w:lang w:val="en-US" w:eastAsia="zh-CN"/>
              </w:rPr>
              <w:t>（六）柳江实验高中室内全彩LED屏</w:t>
            </w:r>
            <w:r>
              <w:rPr>
                <w:rFonts w:hint="eastAsia" w:ascii="仿宋_GB2312" w:hAnsi="仿宋_GB2312" w:eastAsia="仿宋_GB2312" w:cs="仿宋_GB2312"/>
                <w:b/>
                <w:bCs/>
                <w:u w:val="single"/>
                <w:lang w:eastAsia="zh-CN"/>
              </w:rPr>
              <w:t>第</w:t>
            </w:r>
            <w:r>
              <w:rPr>
                <w:rFonts w:hint="eastAsia" w:ascii="仿宋_GB2312" w:hAnsi="仿宋_GB2312" w:eastAsia="仿宋_GB2312" w:cs="仿宋_GB2312"/>
                <w:b/>
                <w:bCs/>
                <w:u w:val="single"/>
                <w:lang w:val="en-US" w:eastAsia="zh-CN"/>
              </w:rPr>
              <w:t>13</w:t>
            </w:r>
            <w:r>
              <w:rPr>
                <w:rFonts w:hint="eastAsia" w:ascii="仿宋_GB2312" w:hAnsi="仿宋_GB2312" w:eastAsia="仿宋_GB2312" w:cs="仿宋_GB2312"/>
                <w:b/>
                <w:bCs/>
                <w:u w:val="single"/>
                <w:lang w:eastAsia="zh-CN"/>
              </w:rPr>
              <w:t>项、</w:t>
            </w:r>
            <w:r>
              <w:rPr>
                <w:rFonts w:hint="eastAsia" w:ascii="仿宋_GB2312" w:hAnsi="仿宋_GB2312" w:eastAsia="仿宋_GB2312" w:cs="仿宋_GB2312"/>
                <w:b/>
                <w:bCs/>
                <w:u w:val="single"/>
                <w:lang w:val="en-US" w:eastAsia="zh-CN"/>
              </w:rPr>
              <w:t>（七）柳州高级中学(高新校区)报告厅扩声系统</w:t>
            </w:r>
            <w:r>
              <w:rPr>
                <w:rFonts w:hint="eastAsia" w:ascii="仿宋_GB2312" w:hAnsi="仿宋_GB2312" w:eastAsia="仿宋_GB2312" w:cs="仿宋_GB2312"/>
                <w:b/>
                <w:bCs/>
                <w:u w:val="single"/>
                <w:lang w:eastAsia="zh-CN"/>
              </w:rPr>
              <w:t>第</w:t>
            </w:r>
            <w:r>
              <w:rPr>
                <w:rFonts w:hint="eastAsia" w:ascii="仿宋_GB2312" w:hAnsi="仿宋_GB2312" w:eastAsia="仿宋_GB2312" w:cs="仿宋_GB2312"/>
                <w:b/>
                <w:bCs/>
                <w:u w:val="single"/>
                <w:lang w:val="en-US" w:eastAsia="zh-CN"/>
              </w:rPr>
              <w:t>12-13</w:t>
            </w:r>
            <w:r>
              <w:rPr>
                <w:rFonts w:hint="eastAsia" w:ascii="仿宋_GB2312" w:hAnsi="仿宋_GB2312" w:eastAsia="仿宋_GB2312" w:cs="仿宋_GB2312"/>
                <w:b/>
                <w:bCs/>
                <w:u w:val="single"/>
                <w:lang w:eastAsia="zh-CN"/>
              </w:rPr>
              <w:t>项</w:t>
            </w:r>
            <w:r>
              <w:rPr>
                <w:rFonts w:hint="eastAsia" w:ascii="仿宋_GB2312" w:hAnsi="仿宋_GB2312" w:eastAsia="仿宋_GB2312" w:cs="仿宋_GB2312"/>
                <w:b/>
                <w:bCs/>
                <w:u w:val="single"/>
              </w:rPr>
              <w:t>标的物不作中小企业划分要求</w:t>
            </w:r>
            <w:r>
              <w:rPr>
                <w:rFonts w:hint="eastAsia" w:ascii="仿宋_GB2312" w:hAnsi="仿宋_GB2312" w:eastAsia="仿宋_GB2312" w:cs="仿宋_GB2312"/>
                <w:b/>
                <w:bCs/>
                <w:u w:val="single"/>
                <w:lang w:eastAsia="zh-CN"/>
              </w:rPr>
              <w:t>，其余</w:t>
            </w:r>
            <w:r>
              <w:rPr>
                <w:rFonts w:hint="eastAsia" w:ascii="仿宋_GB2312" w:hAnsi="仿宋_GB2312" w:eastAsia="仿宋_GB2312" w:cs="仿宋_GB2312"/>
                <w:b/>
                <w:bCs/>
                <w:u w:val="single"/>
              </w:rPr>
              <w:t>标的货物为工业。</w:t>
            </w:r>
          </w:p>
          <w:p w14:paraId="73025647">
            <w:pPr>
              <w:pStyle w:val="374"/>
              <w:spacing w:before="0" w:beforeAutospacing="0" w:after="0" w:afterAutospacing="0" w:line="460" w:lineRule="atLeast"/>
              <w:rPr>
                <w:rFonts w:hint="eastAsia" w:ascii="仿宋_GB2312" w:eastAsia="仿宋_GB2312"/>
                <w:color w:val="000000"/>
              </w:rPr>
            </w:pPr>
            <w:r>
              <w:rPr>
                <w:rStyle w:val="375"/>
                <w:rFonts w:hint="eastAsia" w:ascii="仿宋_GB2312" w:eastAsia="仿宋_GB2312"/>
                <w:color w:val="000000"/>
              </w:rPr>
              <w:t>（2）中小企业划分有关标准根据工信部等部委发布的《关于印发中小企业划型标准规定的通知》（工信部联企业〔2011〕300号）确定；</w:t>
            </w:r>
          </w:p>
          <w:p w14:paraId="1F6B2E1D">
            <w:pPr>
              <w:pStyle w:val="374"/>
              <w:spacing w:before="0" w:beforeAutospacing="0" w:after="0" w:afterAutospacing="0" w:line="460" w:lineRule="atLeast"/>
              <w:rPr>
                <w:rFonts w:hint="eastAsia" w:ascii="仿宋_GB2312" w:eastAsia="仿宋_GB2312"/>
                <w:color w:val="000000"/>
              </w:rPr>
            </w:pPr>
            <w:r>
              <w:rPr>
                <w:rStyle w:val="375"/>
                <w:rFonts w:hint="eastAsia" w:ascii="仿宋_GB2312" w:eastAsia="仿宋_GB2312"/>
                <w:color w:val="000000"/>
              </w:rPr>
              <w:t>（3）为方便投标人识别企业规模类型，投标人可使用工业和信息化部组织开发的中小企业规模类型自测小程序生成企业规模类型测试结果。自测小程序链接：https://baosong.miit.gov.cn/ScaleTest</w:t>
            </w:r>
          </w:p>
          <w:p w14:paraId="35ECF279">
            <w:pPr>
              <w:pStyle w:val="3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2.《财政部、司法部关于政府采购支持监狱企业发展有关问题的通知》（财库〔2014〕68号）；</w:t>
            </w:r>
          </w:p>
          <w:p w14:paraId="507F16C3">
            <w:pPr>
              <w:pStyle w:val="3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p w14:paraId="1477722D">
            <w:pPr>
              <w:pStyle w:val="3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14:paraId="2B52898D">
            <w:pPr>
              <w:pStyle w:val="3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5.财政部 生态环境部《关于印发环境标志产品政府采购品目清单的通知》（财库〔2019〕18号）；</w:t>
            </w:r>
          </w:p>
          <w:p w14:paraId="4C4EDE38">
            <w:pPr>
              <w:pStyle w:val="374"/>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6.财政部 发展改革委《关于印发节能产品政府采购品目清单的通知》（财库〔2019〕19号）；</w:t>
            </w:r>
          </w:p>
        </w:tc>
      </w:tr>
      <w:tr w14:paraId="4FDCD8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gridSpan w:val="2"/>
            <w:vAlign w:val="center"/>
          </w:tcPr>
          <w:p w14:paraId="7E8960E1">
            <w:pPr>
              <w:snapToGrid w:val="0"/>
              <w:spacing w:line="400" w:lineRule="exact"/>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szCs w:val="21"/>
              </w:rPr>
              <w:t xml:space="preserve">质量管理、企业信用要求（如有） </w:t>
            </w:r>
          </w:p>
        </w:tc>
        <w:tc>
          <w:tcPr>
            <w:tcW w:w="7763" w:type="dxa"/>
            <w:vAlign w:val="center"/>
          </w:tcPr>
          <w:p w14:paraId="48CDEF5B">
            <w:pPr>
              <w:pStyle w:val="395"/>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1.投标人或所投核心产品生产厂家具备有效的质量管理体系认证证书；</w:t>
            </w:r>
            <w:r>
              <w:rPr>
                <w:rFonts w:hint="eastAsia" w:ascii="仿宋_GB2312" w:eastAsia="仿宋_GB2312"/>
                <w:color w:val="000000"/>
              </w:rPr>
              <w:br w:type="textWrapping"/>
            </w:r>
            <w:r>
              <w:rPr>
                <w:rFonts w:hint="eastAsia" w:ascii="仿宋_GB2312" w:eastAsia="仿宋_GB2312"/>
                <w:color w:val="000000"/>
              </w:rPr>
              <w:t>2.投标人或所投核心产品生产厂家具备有效的职业健康安全管理体系认证证书；</w:t>
            </w:r>
            <w:r>
              <w:rPr>
                <w:rFonts w:hint="eastAsia" w:ascii="仿宋_GB2312" w:eastAsia="仿宋_GB2312"/>
                <w:color w:val="000000"/>
              </w:rPr>
              <w:br w:type="textWrapping"/>
            </w:r>
            <w:r>
              <w:rPr>
                <w:rFonts w:hint="eastAsia" w:ascii="仿宋_GB2312" w:eastAsia="仿宋_GB2312"/>
                <w:color w:val="000000"/>
              </w:rPr>
              <w:t>3.投标人或所投核心产品生产厂家具备有效的环境管理体系认证证书。</w:t>
            </w:r>
          </w:p>
        </w:tc>
      </w:tr>
      <w:tr w14:paraId="0CC40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304" w:type="dxa"/>
            <w:gridSpan w:val="3"/>
            <w:vAlign w:val="center"/>
          </w:tcPr>
          <w:p w14:paraId="7458C680">
            <w:pPr>
              <w:snapToGrid w:val="0"/>
              <w:spacing w:line="440" w:lineRule="exact"/>
              <w:rPr>
                <w:rFonts w:ascii="仿宋_GB2312" w:hAnsi="Courier New" w:eastAsia="仿宋_GB2312" w:cs="Courier New"/>
                <w:bCs/>
                <w:color w:val="FF0000"/>
                <w:kern w:val="0"/>
                <w:sz w:val="24"/>
                <w:szCs w:val="21"/>
              </w:rPr>
            </w:pPr>
            <w:r>
              <w:rPr>
                <w:rFonts w:hint="eastAsia" w:ascii="仿宋_GB2312" w:hAnsi="宋体" w:eastAsia="仿宋_GB2312" w:cs="Courier New"/>
                <w:b/>
                <w:bCs/>
                <w:kern w:val="0"/>
                <w:sz w:val="24"/>
                <w:szCs w:val="21"/>
              </w:rPr>
              <w:t>五、其他要求</w:t>
            </w:r>
          </w:p>
        </w:tc>
      </w:tr>
      <w:tr w14:paraId="59D4AE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1481" w:type="dxa"/>
            <w:vAlign w:val="center"/>
          </w:tcPr>
          <w:p w14:paraId="58660FF7">
            <w:pPr>
              <w:jc w:val="center"/>
              <w:rPr>
                <w:rFonts w:hint="eastAsia" w:ascii="仿宋_GB2312" w:hAnsi="宋体" w:eastAsia="仿宋_GB2312"/>
                <w:sz w:val="24"/>
              </w:rPr>
            </w:pPr>
            <w:r>
              <w:rPr>
                <w:rFonts w:ascii="仿宋_GB2312" w:hAnsi="宋体" w:eastAsia="仿宋_GB2312" w:cs="宋体"/>
                <w:bCs/>
                <w:color w:val="000000"/>
                <w:sz w:val="24"/>
              </w:rPr>
              <w:t>无</w:t>
            </w:r>
          </w:p>
        </w:tc>
        <w:tc>
          <w:tcPr>
            <w:tcW w:w="7823" w:type="dxa"/>
            <w:gridSpan w:val="2"/>
            <w:vAlign w:val="center"/>
          </w:tcPr>
          <w:p w14:paraId="5E7F6F10">
            <w:pPr>
              <w:snapToGrid w:val="0"/>
              <w:spacing w:line="440" w:lineRule="exact"/>
              <w:jc w:val="left"/>
              <w:rPr>
                <w:rFonts w:ascii="仿宋_GB2312" w:eastAsia="仿宋_GB2312"/>
                <w:bCs/>
                <w:kern w:val="0"/>
                <w:sz w:val="24"/>
              </w:rPr>
            </w:pPr>
            <w:r>
              <w:rPr>
                <w:rFonts w:ascii="仿宋_GB2312" w:eastAsia="仿宋_GB2312"/>
                <w:bCs/>
                <w:color w:val="000000" w:themeColor="text1"/>
                <w:kern w:val="0"/>
                <w:sz w:val="24"/>
                <w14:textFill>
                  <w14:solidFill>
                    <w14:schemeClr w14:val="tx1"/>
                  </w14:solidFill>
                </w14:textFill>
              </w:rPr>
              <w:t xml:space="preserve"> </w:t>
            </w:r>
          </w:p>
        </w:tc>
      </w:tr>
    </w:tbl>
    <w:p w14:paraId="4F26F302">
      <w:pPr>
        <w:spacing w:line="360" w:lineRule="auto"/>
        <w:rPr>
          <w:rFonts w:hint="eastAsia" w:ascii="仿宋_GB2312" w:hAnsi="宋体" w:eastAsia="仿宋_GB2312"/>
          <w:sz w:val="24"/>
        </w:rPr>
      </w:pPr>
    </w:p>
    <w:p w14:paraId="103B587B">
      <w:pPr>
        <w:sectPr>
          <w:pgSz w:w="11906" w:h="16838"/>
          <w:pgMar w:top="1440" w:right="1134" w:bottom="1440" w:left="1134" w:header="851" w:footer="992" w:gutter="0"/>
          <w:cols w:space="720" w:num="1"/>
          <w:docGrid w:linePitch="312" w:charSpace="0"/>
        </w:sectPr>
      </w:pPr>
    </w:p>
    <w:p w14:paraId="32B69990">
      <w:pPr>
        <w:adjustRightInd w:val="0"/>
        <w:spacing w:line="276" w:lineRule="auto"/>
        <w:rPr>
          <w:rFonts w:hint="eastAsia" w:ascii="仿宋_GB2312" w:eastAsia="仿宋_GB2312"/>
          <w:b/>
          <w:bCs/>
          <w:sz w:val="24"/>
          <w:lang w:val="en-US" w:eastAsia="zh-CN"/>
        </w:rPr>
      </w:pPr>
      <w:r>
        <w:rPr>
          <w:rFonts w:hint="eastAsia" w:ascii="仿宋_GB2312" w:eastAsia="仿宋_GB2312"/>
          <w:b/>
          <w:bCs/>
          <w:sz w:val="24"/>
          <w:lang w:eastAsia="zh-CN"/>
        </w:rPr>
        <w:t>分标</w:t>
      </w:r>
      <w:r>
        <w:rPr>
          <w:rFonts w:hint="eastAsia" w:ascii="仿宋_GB2312" w:eastAsia="仿宋_GB2312"/>
          <w:b/>
          <w:bCs/>
          <w:sz w:val="24"/>
          <w:lang w:val="en-US" w:eastAsia="zh-CN"/>
        </w:rPr>
        <w:t>2</w:t>
      </w:r>
    </w:p>
    <w:tbl>
      <w:tblPr>
        <w:tblStyle w:val="48"/>
        <w:tblpPr w:leftFromText="181" w:rightFromText="181" w:vertAnchor="text" w:horzAnchor="page" w:tblpX="1288" w:tblpY="80"/>
        <w:tblOverlap w:val="never"/>
        <w:tblW w:w="9475"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8"/>
        <w:gridCol w:w="1136"/>
        <w:gridCol w:w="6951"/>
        <w:gridCol w:w="900"/>
      </w:tblGrid>
      <w:tr w14:paraId="27C088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7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3C96647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left"/>
              <w:textAlignment w:val="center"/>
              <w:rPr>
                <w:rFonts w:hint="default" w:ascii="仿宋_GB2312" w:hAnsi="仿宋_GB2312" w:eastAsia="仿宋_GB2312" w:cs="仿宋_GB2312"/>
                <w:b/>
                <w:bCs/>
                <w:color w:val="auto"/>
                <w:kern w:val="0"/>
                <w:sz w:val="24"/>
                <w:lang w:bidi="ar"/>
              </w:rPr>
            </w:pPr>
            <w:r>
              <w:rPr>
                <w:rFonts w:hint="eastAsia" w:ascii="仿宋_GB2312" w:hAnsi="仿宋_GB2312" w:eastAsia="仿宋_GB2312" w:cs="仿宋_GB2312"/>
                <w:b/>
                <w:bCs/>
                <w:color w:val="auto"/>
                <w:kern w:val="0"/>
                <w:sz w:val="24"/>
                <w:lang w:bidi="ar"/>
              </w:rPr>
              <w:t>一、项目技术规格参数及要求</w:t>
            </w:r>
          </w:p>
        </w:tc>
      </w:tr>
      <w:tr w14:paraId="2D5B45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1C4451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序号</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9FEA5B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品名</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0A1D3E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bCs/>
                <w:color w:val="auto"/>
                <w:sz w:val="24"/>
                <w:szCs w:val="24"/>
              </w:rPr>
            </w:pPr>
            <w:r>
              <w:rPr>
                <w:rFonts w:hint="eastAsia" w:ascii="仿宋_GB2312" w:hAnsi="仿宋_GB2312" w:eastAsia="仿宋_GB2312" w:cs="仿宋_GB2312"/>
                <w:b/>
                <w:bCs/>
                <w:color w:val="auto"/>
                <w:sz w:val="24"/>
                <w:szCs w:val="24"/>
              </w:rPr>
              <w:t>规格及技术参数</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DD2A9F2">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bCs/>
                <w:color w:val="auto"/>
                <w:sz w:val="24"/>
              </w:rPr>
            </w:pPr>
            <w:r>
              <w:rPr>
                <w:rFonts w:hint="eastAsia" w:ascii="仿宋_GB2312" w:hAnsi="仿宋_GB2312" w:eastAsia="仿宋_GB2312" w:cs="仿宋_GB2312"/>
                <w:b/>
                <w:bCs/>
                <w:color w:val="auto"/>
                <w:kern w:val="0"/>
                <w:sz w:val="24"/>
                <w:lang w:bidi="ar"/>
              </w:rPr>
              <w:t>数量及</w:t>
            </w:r>
          </w:p>
          <w:p w14:paraId="1101C88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bCs/>
                <w:color w:val="auto"/>
                <w:sz w:val="24"/>
              </w:rPr>
            </w:pPr>
            <w:r>
              <w:rPr>
                <w:rFonts w:hint="eastAsia" w:ascii="仿宋_GB2312" w:hAnsi="仿宋_GB2312" w:eastAsia="仿宋_GB2312" w:cs="仿宋_GB2312"/>
                <w:b/>
                <w:bCs/>
                <w:color w:val="auto"/>
                <w:kern w:val="0"/>
                <w:sz w:val="24"/>
                <w:lang w:bidi="ar"/>
              </w:rPr>
              <w:t>单位</w:t>
            </w:r>
          </w:p>
        </w:tc>
      </w:tr>
      <w:tr w14:paraId="472867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7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0349430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bCs/>
                <w:color w:val="auto"/>
                <w:kern w:val="0"/>
                <w:sz w:val="24"/>
                <w:lang w:bidi="ar"/>
              </w:rPr>
            </w:pPr>
            <w:r>
              <w:rPr>
                <w:rFonts w:hint="eastAsia" w:ascii="仿宋_GB2312" w:hAnsi="仿宋_GB2312" w:eastAsia="仿宋_GB2312" w:cs="仿宋_GB2312"/>
                <w:b/>
                <w:bCs/>
                <w:color w:val="auto"/>
                <w:kern w:val="0"/>
                <w:sz w:val="24"/>
                <w:szCs w:val="24"/>
                <w:lang w:val="en-US" w:eastAsia="zh-CN"/>
              </w:rPr>
              <w:t>（一）八中本部新综合楼多功能厅:室内全彩LED屏系统</w:t>
            </w:r>
          </w:p>
        </w:tc>
      </w:tr>
      <w:tr w14:paraId="4D95D6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131A0D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D0829F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室内全彩</w:t>
            </w:r>
            <w:r>
              <w:rPr>
                <w:rFonts w:hint="eastAsia" w:ascii="仿宋_GB2312" w:hAnsi="仿宋_GB2312" w:eastAsia="仿宋_GB2312" w:cs="仿宋_GB2312"/>
                <w:b w:val="0"/>
                <w:bCs w:val="0"/>
                <w:color w:val="auto"/>
                <w:sz w:val="24"/>
                <w:szCs w:val="24"/>
                <w:lang w:val="en-US" w:eastAsia="zh-CN"/>
              </w:rPr>
              <w:t>LED</w:t>
            </w:r>
            <w:r>
              <w:rPr>
                <w:rFonts w:hint="eastAsia" w:ascii="仿宋_GB2312" w:hAnsi="仿宋_GB2312" w:eastAsia="仿宋_GB2312" w:cs="仿宋_GB2312"/>
                <w:b w:val="0"/>
                <w:bCs w:val="0"/>
                <w:color w:val="auto"/>
                <w:sz w:val="24"/>
                <w:szCs w:val="24"/>
              </w:rPr>
              <w:t>屏</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2B02BED">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color w:val="auto"/>
                <w:lang w:val="en-US" w:eastAsia="zh-CN"/>
              </w:rPr>
              <w:t>★</w:t>
            </w:r>
            <w:r>
              <w:rPr>
                <w:rFonts w:hint="eastAsia" w:ascii="仿宋_GB2312" w:hAnsi="仿宋_GB2312" w:eastAsia="仿宋_GB2312" w:cs="仿宋_GB2312"/>
                <w:i w:val="0"/>
                <w:iCs w:val="0"/>
                <w:color w:val="auto"/>
                <w:kern w:val="0"/>
                <w:sz w:val="24"/>
                <w:szCs w:val="24"/>
                <w:u w:val="none"/>
                <w:lang w:val="en-US" w:eastAsia="zh-CN" w:bidi="ar"/>
              </w:rPr>
              <w:t>1.点间距≤2.5mm；</w:t>
            </w:r>
          </w:p>
          <w:p w14:paraId="15AF20BE">
            <w:pPr>
              <w:keepNext w:val="0"/>
              <w:keepLines w:val="0"/>
              <w:pageBreakBefore w:val="0"/>
              <w:widowControl/>
              <w:numPr>
                <w:ilvl w:val="-1"/>
                <w:numId w:val="0"/>
              </w:numPr>
              <w:suppressLineNumbers w:val="0"/>
              <w:kinsoku/>
              <w:overflowPunct/>
              <w:topLinePunct w:val="0"/>
              <w:autoSpaceDE/>
              <w:autoSpaceDN/>
              <w:bidi w:val="0"/>
              <w:snapToGrid w:val="0"/>
              <w:spacing w:line="400" w:lineRule="exact"/>
              <w:jc w:val="left"/>
              <w:textAlignment w:val="auto"/>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w:t>
            </w:r>
            <w:r>
              <w:rPr>
                <w:rFonts w:hint="eastAsia" w:ascii="仿宋_GB2312" w:hAnsi="仿宋_GB2312" w:eastAsia="仿宋_GB2312" w:cs="仿宋_GB2312"/>
                <w:b w:val="0"/>
                <w:bCs w:val="0"/>
                <w:color w:val="auto"/>
                <w:sz w:val="24"/>
                <w:szCs w:val="24"/>
                <w:lang w:val="en-US" w:eastAsia="zh-CN"/>
              </w:rPr>
              <w:t>屏体面积尺寸：长11.52米*高2.72米≈31.33平方米，</w:t>
            </w:r>
            <w:r>
              <w:rPr>
                <w:rFonts w:hint="eastAsia" w:ascii="仿宋_GB2312" w:hAnsi="仿宋_GB2312" w:eastAsia="仿宋_GB2312" w:cs="仿宋_GB2312"/>
                <w:i w:val="0"/>
                <w:iCs w:val="0"/>
                <w:color w:val="auto"/>
                <w:kern w:val="0"/>
                <w:sz w:val="24"/>
                <w:szCs w:val="24"/>
                <w:u w:val="none"/>
                <w:lang w:val="en-US" w:eastAsia="zh-CN" w:bidi="ar"/>
              </w:rPr>
              <w:t>采用TOP型SMD封装的灯珠，1R1G1B；灯珠结构支持PPA碗杯结构、点胶封装、出光方式为单面发光；支持PCB平面结构，molding封装、切割、出光方式为五面发光；</w:t>
            </w:r>
          </w:p>
          <w:p w14:paraId="46AA6FBD">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u w:val="wav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3.LED显示模组亮度均匀性≥99%（校正后）；</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4.LED显示模组的基色主波长的测量误差∆入D≤2nm；</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5.依据SJ/T11281-2025第4.2.2测试，垂直≥177度，水平≥177度</w:t>
            </w:r>
          </w:p>
          <w:p w14:paraId="7ABE1E2B">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6.色温（K）：9300K，20—20000可调，调节步长100K，色温为6500K时，100%、75%、50%、25%四档电平白场调节色温误差≤±200K；色温为8500K时，100%、75%、50%、25%四档电平白场调节色温误差≤±100K；</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7.电流增益调节级别≥10位，电流增益调节范围1%-199%</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8.视觉舒适度(VICO指数)测试值在O≤VICO＜1,满足CSA035.2-2017标准量化分级1级，视觉舒适度等级为1级；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9.色度均匀性：±0.001(Cx,Cy之内)；</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10.对比度≥20000:1；</w:t>
            </w:r>
          </w:p>
          <w:p w14:paraId="12B653AC">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11.模组间隙≤0.01mm，拼接模组间隙≤0.01mm，像素中心距相对偏差等级Jx≤0.5%，垂直相对错位等级Cc≤0.5%，水平相对错位等级Cs≤0.5%；</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12.刷新率≥3840Hz；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13.NTSC 色域覆盖率≥125%，色域重合度≥99.3%；</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color w:val="auto"/>
                <w:sz w:val="21"/>
                <w:szCs w:val="21"/>
              </w:rPr>
              <w:t>◆</w:t>
            </w:r>
            <w:r>
              <w:rPr>
                <w:rFonts w:hint="eastAsia" w:ascii="仿宋_GB2312" w:hAnsi="仿宋_GB2312" w:eastAsia="仿宋_GB2312" w:cs="仿宋_GB2312"/>
                <w:i w:val="0"/>
                <w:iCs w:val="0"/>
                <w:color w:val="auto"/>
                <w:kern w:val="0"/>
                <w:sz w:val="24"/>
                <w:szCs w:val="24"/>
                <w:u w:val="none"/>
                <w:lang w:val="en-US" w:eastAsia="zh-CN" w:bidi="ar"/>
              </w:rPr>
              <w:t>14.PCB 采用 FR-4 四层板同等级或更高材料，表面沉金处理，</w:t>
            </w:r>
            <w:r>
              <w:rPr>
                <w:rFonts w:hint="eastAsia" w:ascii="仿宋_GB2312" w:hAnsi="仿宋_GB2312" w:eastAsia="仿宋_GB2312" w:cs="仿宋_GB2312"/>
                <w:i w:val="0"/>
                <w:iCs w:val="0"/>
                <w:color w:val="auto"/>
                <w:kern w:val="0"/>
                <w:sz w:val="24"/>
                <w:szCs w:val="24"/>
                <w:highlight w:val="yellow"/>
                <w:u w:val="wave"/>
                <w:lang w:val="en-US" w:eastAsia="zh-CN" w:bidi="ar"/>
              </w:rPr>
              <w:t>板厚≥1.58mm，铜厚≥0.8 盎司，TG≥14</w:t>
            </w:r>
            <w:r>
              <w:rPr>
                <w:rFonts w:hint="eastAsia" w:ascii="仿宋_GB2312" w:hAnsi="仿宋_GB2312" w:eastAsia="仿宋_GB2312" w:cs="仿宋_GB2312"/>
                <w:i w:val="0"/>
                <w:iCs w:val="0"/>
                <w:color w:val="auto"/>
                <w:kern w:val="0"/>
                <w:sz w:val="24"/>
                <w:szCs w:val="24"/>
                <w:u w:val="wave"/>
                <w:lang w:val="en-US" w:eastAsia="zh-CN" w:bidi="ar"/>
              </w:rPr>
              <w:t>8</w:t>
            </w:r>
            <w:r>
              <w:rPr>
                <w:rFonts w:hint="eastAsia" w:ascii="仿宋_GB2312" w:hAnsi="仿宋_GB2312" w:eastAsia="仿宋_GB2312" w:cs="仿宋_GB2312"/>
                <w:i w:val="0"/>
                <w:iCs w:val="0"/>
                <w:color w:val="auto"/>
                <w:kern w:val="0"/>
                <w:sz w:val="24"/>
                <w:szCs w:val="24"/>
                <w:u w:val="none"/>
                <w:lang w:val="en-US" w:eastAsia="zh-CN" w:bidi="ar"/>
              </w:rPr>
              <w:t>，PCB 板表面具备防潮/防尘/防静电/抗氧化，防霉等级≤1 级。采用抗消隐设计，无“毛毛虫”“鬼影”跟随现象，模组与HUB板采用排线连接，无级联，可直接插拔和热插拔；</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15.显示屏塑料面罩底壳应能通过550℃灼热丝试验要求，满足HB等级要求；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16.显示屏经蓝光危害检测结果为无危害；</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17.噪声测试（符合GB22337-2008社会生活环境噪声排放标准）屏前、屏后、屏左、屏右1m处，噪声声压≤3dB；</w:t>
            </w:r>
          </w:p>
          <w:p w14:paraId="36E66540">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18.符合CQC3158-2016(LED显示单元节能认证技术规范),具有智能节电和黑屏节电功能，节能模式节电60%以上；</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19.平均修复时间≤2分钟，平均无故障工作时间≥110000小时，支持7*24小时不间断工作；</w:t>
            </w:r>
          </w:p>
          <w:p w14:paraId="7AB7503C">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20.LED显示屏所使用的各种材料和元器件</w:t>
            </w:r>
            <w:r>
              <w:rPr>
                <w:rFonts w:hint="eastAsia" w:ascii="仿宋_GB2312" w:hAnsi="仿宋_GB2312" w:eastAsia="仿宋_GB2312" w:cs="仿宋_GB2312"/>
                <w:i w:val="0"/>
                <w:iCs w:val="0"/>
                <w:strike/>
                <w:color w:val="auto"/>
                <w:kern w:val="0"/>
                <w:sz w:val="24"/>
                <w:szCs w:val="24"/>
                <w:u w:val="none"/>
                <w:lang w:val="en-US" w:eastAsia="zh-CN" w:bidi="ar"/>
              </w:rPr>
              <w:t>,</w:t>
            </w:r>
            <w:r>
              <w:rPr>
                <w:rFonts w:hint="eastAsia" w:ascii="仿宋_GB2312" w:hAnsi="仿宋_GB2312" w:eastAsia="仿宋_GB2312" w:cs="仿宋_GB2312"/>
                <w:i w:val="0"/>
                <w:iCs w:val="0"/>
                <w:color w:val="auto"/>
                <w:kern w:val="0"/>
                <w:sz w:val="24"/>
                <w:szCs w:val="24"/>
                <w:u w:val="none"/>
                <w:lang w:val="en-US" w:eastAsia="zh-CN" w:bidi="ar"/>
              </w:rPr>
              <w:t>铅、汞、六价铬、多溴联苯、多溴二苯醚(十溴二苯醚除外)的含量不应超过0.1%,镉的含量不应超过0.01%；</w:t>
            </w:r>
          </w:p>
          <w:p w14:paraId="33760400">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21.LED显示屏图像质量主观评价方法进行，运动图像清晰度、灰度表现力2（伪轮廓现象）主观感受满足图像质量好，评价优级；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22.采用印制板测试方法，IPC-TM-650 2.5.7D、IPC-TM-650 2.5.7.1.IPC-TM-6502.5.6B、IPC-TM-650 2.5.6.2AASTM D149 在工业用电频率时实心电绝缘材料的介电击穿电压与介电强度的试验方法，印刷板在经过湿热箱处理120h后进行测试，绝缘部分未被击穿；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23.采用 MC 多通道校正技术，消除屏体在不同灰阶下的麻点和色块问题，保证全灰阶显示均匀一致；</w:t>
            </w:r>
          </w:p>
          <w:p w14:paraId="1CB6F4CB">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24.支持鬼影消除、低灰偏色补偿、去除坏点、毛毛虫消除、余辉消除、亮度缓慢变亮功能；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25.摩擦起电电压|V|≤100V;静电电压衰减期 (±1000-±100V）≤2S;</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26.具备20条以上可调节的γ校正曲线；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ascii="仿宋_GB2312" w:eastAsia="仿宋_GB2312"/>
                <w:b/>
                <w:bCs/>
                <w:color w:val="auto"/>
                <w:sz w:val="24"/>
              </w:rPr>
              <w:t>★</w:t>
            </w:r>
            <w:r>
              <w:rPr>
                <w:rFonts w:hint="eastAsia" w:ascii="仿宋_GB2312" w:hAnsi="仿宋_GB2312" w:eastAsia="仿宋_GB2312" w:cs="仿宋_GB2312"/>
                <w:i w:val="0"/>
                <w:iCs w:val="0"/>
                <w:color w:val="auto"/>
                <w:kern w:val="0"/>
                <w:sz w:val="24"/>
                <w:szCs w:val="24"/>
                <w:u w:val="none"/>
                <w:lang w:val="en-US" w:eastAsia="zh-CN" w:bidi="ar"/>
              </w:rPr>
              <w:t>27.采用 MWFRFT 多层多参数智慧调节技术处理技术，打破传统单层 WFRFT 结构模式扩展为多层 MWFRFT 结构，提升大屏低灰刷新不足引起的闪烁问题；</w:t>
            </w:r>
            <w:r>
              <w:rPr>
                <w:rFonts w:hint="eastAsia" w:ascii="仿宋_GB2312" w:hAnsi="仿宋_GB2312" w:eastAsia="仿宋_GB2312" w:cs="仿宋_GB2312"/>
                <w:b/>
                <w:bCs/>
                <w:i w:val="0"/>
                <w:iCs w:val="0"/>
                <w:color w:val="auto"/>
                <w:kern w:val="0"/>
                <w:sz w:val="24"/>
                <w:szCs w:val="24"/>
                <w:u w:val="none"/>
                <w:lang w:val="en-US" w:eastAsia="zh-CN" w:bidi="ar"/>
              </w:rPr>
              <w:t>投标时提供具有CMA或CNAS标识的检测（检验）报告或提供其它证明材料（彩页、产品说明书、官网或功能截图等其中任意一项）</w:t>
            </w:r>
          </w:p>
          <w:p w14:paraId="178711F4">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28.模组采用4P接插头，免工具维护，具有防呆设置，避免线路接错的问题。采用集成hub接收卡控制，支持通讯状态监测，高灰度，高刷新；</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29.支持HDR信号显示,支持HDR高动态光照渲染技米。依据CESI/TS008-2019《HDR 显示认证技术规范》，支持高动态范围(HDR，Higi-Dynamic Range)检测项目峰值亮度1000-1500、黑色亮度≤0.05cd/m2.EOTF 曲线拟合度0.7-1.3.色域覆盖率≥90（相对DCILP3色空间）、色域重合度≥60%；</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30.支持模组级的 LED 灯防撞灯保护装置；</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31.粒子尺寸＜75μm 的滑石粉，尘降量 600g/（㎡ ·d）， 自由降尘，试验时间8h，产品未发现尘沉积及侵入；</w:t>
            </w:r>
          </w:p>
          <w:p w14:paraId="4FE3A81F">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32.电源插头或电源接入端子与外壳裸露金属部件之间绝缘电阻在正常大气条件下应≥500MΩ，湿热条件下应≥20MΩ;</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33.亮度调节支持手动/自动/远程调节；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34.通过灯管耐焊耐热测试：灯珠引脚无氧化,焊接正常,灯珠胶体正常,点亮正常；</w:t>
            </w:r>
          </w:p>
          <w:p w14:paraId="2A65AAE7">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35.通过抗静电(ESD)测试:HBM模式:ESD＞2000V,灯珠点亮无异常；</w:t>
            </w:r>
          </w:p>
          <w:p w14:paraId="44F88336">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36.PCB板及塑胶底壳、面罩满足UL94 V-0级要求；</w:t>
            </w:r>
          </w:p>
          <w:p w14:paraId="0C1D7769">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37.</w:t>
            </w:r>
            <w:r>
              <w:rPr>
                <w:rFonts w:hint="eastAsia" w:ascii="仿宋_GB2312" w:hAnsi="仿宋_GB2312" w:eastAsia="仿宋_GB2312" w:cs="仿宋_GB2312"/>
                <w:color w:val="auto"/>
                <w:kern w:val="0"/>
                <w:sz w:val="24"/>
                <w:szCs w:val="24"/>
                <w:lang w:bidi="ar"/>
              </w:rPr>
              <w:t>功</w:t>
            </w:r>
            <w:r>
              <w:rPr>
                <w:rFonts w:hint="eastAsia" w:ascii="仿宋_GB2312" w:hAnsi="仿宋_GB2312" w:eastAsia="仿宋_GB2312" w:cs="仿宋_GB2312"/>
                <w:color w:val="auto"/>
                <w:kern w:val="0"/>
                <w:sz w:val="24"/>
                <w:szCs w:val="24"/>
                <w:lang w:eastAsia="zh-CN" w:bidi="ar"/>
              </w:rPr>
              <w:t>耗</w:t>
            </w:r>
            <w:r>
              <w:rPr>
                <w:rFonts w:hint="eastAsia" w:ascii="仿宋_GB2312" w:hAnsi="仿宋_GB2312" w:eastAsia="仿宋_GB2312" w:cs="仿宋_GB2312"/>
                <w:color w:val="auto"/>
                <w:kern w:val="0"/>
                <w:sz w:val="24"/>
                <w:szCs w:val="24"/>
                <w:lang w:bidi="ar"/>
              </w:rPr>
              <w:t>：最大功耗(W/㎡) 352 ，平均功率(W/㎡) 1</w:t>
            </w:r>
            <w:r>
              <w:rPr>
                <w:rFonts w:hint="eastAsia" w:ascii="仿宋_GB2312" w:hAnsi="仿宋_GB2312" w:eastAsia="仿宋_GB2312" w:cs="仿宋_GB2312"/>
                <w:color w:val="auto"/>
                <w:kern w:val="0"/>
                <w:sz w:val="24"/>
                <w:szCs w:val="24"/>
                <w:lang w:val="en-US" w:eastAsia="zh-CN" w:bidi="ar"/>
              </w:rPr>
              <w:t>2</w:t>
            </w:r>
            <w:r>
              <w:rPr>
                <w:rFonts w:hint="eastAsia" w:ascii="仿宋_GB2312" w:hAnsi="仿宋_GB2312" w:eastAsia="仿宋_GB2312" w:cs="仿宋_GB2312"/>
                <w:color w:val="auto"/>
                <w:kern w:val="0"/>
                <w:sz w:val="24"/>
                <w:szCs w:val="24"/>
                <w:lang w:bidi="ar"/>
              </w:rPr>
              <w:t>6</w:t>
            </w:r>
            <w:r>
              <w:rPr>
                <w:rFonts w:hint="eastAsia" w:ascii="仿宋_GB2312" w:hAnsi="仿宋_GB2312" w:eastAsia="仿宋_GB2312" w:cs="仿宋_GB2312"/>
                <w:color w:val="auto"/>
                <w:kern w:val="0"/>
                <w:sz w:val="24"/>
                <w:szCs w:val="24"/>
                <w:lang w:eastAsia="zh-CN" w:bidi="ar"/>
              </w:rPr>
              <w:t>。</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4AB3C46">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31.33㎡</w:t>
            </w:r>
          </w:p>
        </w:tc>
      </w:tr>
      <w:tr w14:paraId="5989C4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F17E1C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E96310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LED备用模组</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9E736A9">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kern w:val="0"/>
                <w:sz w:val="24"/>
                <w:szCs w:val="24"/>
                <w:highlight w:val="none"/>
                <w:lang w:val="en-US" w:eastAsia="zh-CN"/>
              </w:rPr>
              <w:t>1.模组尺寸：320mm*160mm，与主LED屏同批次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6C65642">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20张</w:t>
            </w:r>
          </w:p>
        </w:tc>
      </w:tr>
      <w:tr w14:paraId="12A5633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E14EFC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0F7F4F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LED电源</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646C5E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1.输入电压：200-240Vac,40-63Hz</w:t>
            </w:r>
          </w:p>
          <w:p w14:paraId="7F023AF8">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2.输出电流：40A/输出电压：5V</w:t>
            </w:r>
          </w:p>
          <w:p w14:paraId="0DAF8636">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3.泄漏电流：&lt;1ma（Vin：230）</w:t>
            </w:r>
          </w:p>
          <w:p w14:paraId="072EC707">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4.保护功能：输入欠压；过载保护；短路保护</w:t>
            </w:r>
          </w:p>
          <w:p w14:paraId="64FF1501">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5.工作温度：-30~50℃/储存温度：-40~80℃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763536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110台</w:t>
            </w:r>
          </w:p>
        </w:tc>
      </w:tr>
      <w:tr w14:paraId="42233B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B442BB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17E975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接收卡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39E4E35">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单卡最大带载 512×384像素，支持 24组 RGB 并行数据。采用12个HUB75接口，具有高稳定性和高可靠性，适用于多种环境的搭建</w:t>
            </w:r>
          </w:p>
          <w:p w14:paraId="232039A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 xml:space="preserve">支持逐点亮色度校正，配合调试软件和校正软件，对每个灯点的亮度和色度进行校正。 </w:t>
            </w:r>
          </w:p>
          <w:p w14:paraId="32D25B28">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支持普通修缝，可在对应调试软件上进行修缝，用来消除灯板与灯板、箱体与箱体之间的缝隙。</w:t>
            </w:r>
          </w:p>
          <w:p w14:paraId="15796C0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支持低延时，降低视频源在接收卡端的延迟，延迟低至1帧。</w:t>
            </w:r>
          </w:p>
          <w:p w14:paraId="0A605324">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支持配合支持 3D 功能的独立主控，在调试软件或独立主控的操作面板上开启 3D 功能，并设置 3D 参数，使画面显示 3D 效果</w:t>
            </w:r>
          </w:p>
          <w:p w14:paraId="41176551">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支持四种级联方向（0°/90°/180°/270°）的画面进行切换。</w:t>
            </w:r>
          </w:p>
          <w:p w14:paraId="01A6F992">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支持异形构造，可轻松实现异形屏、球形屏等创意显示屏。</w:t>
            </w:r>
          </w:p>
          <w:p w14:paraId="03C96CDE">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支持误码率监测，配合对应版本的调试软件 ，监测接收卡间通讯时传输链路上的数据丢包情况。</w:t>
            </w:r>
          </w:p>
          <w:p w14:paraId="4FECC02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支持固件程序回读，在对应版本软件上可以回读接收卡的固件程序并保存到本地。</w:t>
            </w:r>
          </w:p>
          <w:p w14:paraId="1F37AD4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支持配置参数回读，在 调试软件上可以回读接收卡配置参数并保存到本地。</w:t>
            </w:r>
          </w:p>
          <w:p w14:paraId="7273FC60">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支持环路备份，利用冗余网口增加与发送设备之间的连接，增加设备之间级联的可靠性，当一路出现故障时可实现无缝切换至另一路，保障屏体正常显示。</w:t>
            </w:r>
          </w:p>
          <w:p w14:paraId="3E8BC189">
            <w:pPr>
              <w:keepNext w:val="0"/>
              <w:keepLines w:val="0"/>
              <w:pageBreakBefore w:val="0"/>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支持双程序备份，接收卡出厂时保存了两份应用程序，以防程序更新异常导致的升级卡死。</w:t>
            </w:r>
          </w:p>
          <w:p w14:paraId="23E14BB2">
            <w:pPr>
              <w:keepNext w:val="0"/>
              <w:keepLines w:val="0"/>
              <w:pageBreakBefore w:val="0"/>
              <w:kinsoku/>
              <w:overflowPunct/>
              <w:topLinePunct w:val="0"/>
              <w:autoSpaceDE/>
              <w:autoSpaceDN/>
              <w:bidi w:val="0"/>
              <w:snapToGrid w:val="0"/>
              <w:spacing w:line="400" w:lineRule="exact"/>
              <w:jc w:val="left"/>
              <w:rPr>
                <w:rFonts w:hint="default" w:ascii="仿宋_GB2312" w:hAnsi="仿宋_GB2312" w:eastAsia="宋体" w:cs="仿宋_GB2312"/>
                <w:b w:val="0"/>
                <w:bCs w:val="0"/>
                <w:color w:val="auto"/>
                <w:sz w:val="24"/>
                <w:szCs w:val="24"/>
                <w:lang w:val="en-US" w:eastAsia="zh-CN"/>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支持连接多功能卡。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08CE8E6">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75张</w:t>
            </w:r>
          </w:p>
        </w:tc>
      </w:tr>
      <w:tr w14:paraId="7B1B47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612EBC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25A61A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播控主机</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FA277B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1.纯硬件设计架构，19英寸标准机架式安装，金属结构机箱;</w:t>
            </w:r>
          </w:p>
          <w:p w14:paraId="4621370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2.支持对输入图像画面添加台标，可调整台标文字背景、位置；支持 OSD 文字叠加显示，并可对OSD属性进行调节，包括但不限于字体间距、颜色、透明度等;</w:t>
            </w:r>
          </w:p>
          <w:p w14:paraId="6F1763E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3.支持2000个用户场景，支持多场景分组合、场景一键轮巡等;</w:t>
            </w:r>
          </w:p>
          <w:p w14:paraId="7E4A5D2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4.支持通过移动终端进行无线控制，实现图层编辑、信号更换，场景保存／调取、画面控制等操作;</w:t>
            </w:r>
          </w:p>
          <w:p w14:paraId="3AAF6CB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5.支持实时上屏和预编上屏两种模式，实时上屏模式可实现用户编辑实时上屏显示； 预编上屏模式支持在软件端进行显示内容预编辑后，再上屏显示;</w:t>
            </w:r>
          </w:p>
          <w:p w14:paraId="4DC3949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6.支持用户权限分级管理和设置，超级管理员用户可分配用户使用权限，支持多用户同时在线编辑、 控制、 上屏操作， 可预览其他用户操作;</w:t>
            </w:r>
          </w:p>
          <w:p w14:paraId="6A118CB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7.支持输入源画面任意截取，可对截取的画面开窗调用，并可作为一个新的输入源， 不影响原输入源的使用;</w:t>
            </w:r>
          </w:p>
          <w:p w14:paraId="080E249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8.支持监测设备温度、电压、 风扇在线状态，可监测板卡信号状态，输入源信号丢失时，可上报预警提示信息；</w:t>
            </w:r>
          </w:p>
          <w:p w14:paraId="5B69D997">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9.最大规模： 28路输入，16路输出。</w:t>
            </w:r>
          </w:p>
          <w:p w14:paraId="56EB3A76">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10.配置满足屏幕需求发送卡，支持逐点亮色度校正；支持千兆网口输出。</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ED482F8">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0BDCB0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55B6C1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5B70FD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输出板卡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297CD8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4×HDMI1.3输出</w:t>
            </w:r>
          </w:p>
          <w:p w14:paraId="0291FFFB">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4×3.5mm音频输出</w:t>
            </w:r>
          </w:p>
          <w:p w14:paraId="1BEF370E">
            <w:pPr>
              <w:keepNext w:val="0"/>
              <w:keepLines w:val="0"/>
              <w:pageBreakBefore w:val="0"/>
              <w:numPr>
                <w:ilvl w:val="0"/>
                <w:numId w:val="0"/>
              </w:numPr>
              <w:kinsoku/>
              <w:overflowPunct/>
              <w:topLinePunct w:val="0"/>
              <w:autoSpaceDE/>
              <w:autoSpaceDN/>
              <w:bidi w:val="0"/>
              <w:snapToGrid w:val="0"/>
              <w:spacing w:line="400" w:lineRule="exact"/>
              <w:ind w:leftChars="0"/>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 xml:space="preserve">支持RGB4:4:4/YCbCr4:4:4/YCbCr4:2:2 </w:t>
            </w:r>
          </w:p>
          <w:p w14:paraId="6CB03C21">
            <w:pPr>
              <w:keepNext w:val="0"/>
              <w:keepLines w:val="0"/>
              <w:pageBreakBefore w:val="0"/>
              <w:numPr>
                <w:ilvl w:val="0"/>
                <w:numId w:val="0"/>
              </w:numPr>
              <w:kinsoku/>
              <w:overflowPunct/>
              <w:topLinePunct w:val="0"/>
              <w:autoSpaceDE/>
              <w:autoSpaceDN/>
              <w:bidi w:val="0"/>
              <w:snapToGrid w:val="0"/>
              <w:spacing w:line="400" w:lineRule="exact"/>
              <w:ind w:left="0" w:leftChars="0" w:firstLine="0" w:firstLineChars="0"/>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支持自定义分辨率，最宽2569，最高2560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D538288">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1张</w:t>
            </w:r>
          </w:p>
        </w:tc>
      </w:tr>
      <w:tr w14:paraId="07CFF6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328C4F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7A8CC3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输入板卡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3DF4B5D">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4路HDMI信号输入，分辨率支持2K@60并向下兼容；</w:t>
            </w:r>
          </w:p>
          <w:p w14:paraId="31E86CB1">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支持单/双链路切换，双链模式下支持4K@30并向下兼容；</w:t>
            </w:r>
          </w:p>
          <w:p w14:paraId="7AFF1AAC">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单链路模式极限宽高为2048，双链路模式极限宽高为3840；</w:t>
            </w:r>
          </w:p>
          <w:p w14:paraId="0B605C9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支持HDCP协议。</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CC4525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1张</w:t>
            </w:r>
          </w:p>
        </w:tc>
      </w:tr>
      <w:tr w14:paraId="0BB9DC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B5DBAF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61823A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显示屏框架</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3624614B">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1.框体尺寸：</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highlight w:val="none"/>
                <w:lang w:val="en-US" w:eastAsia="zh-CN"/>
              </w:rPr>
              <w:t>11620</w:t>
            </w:r>
            <w:r>
              <w:rPr>
                <w:rFonts w:hint="eastAsia" w:ascii="仿宋_GB2312" w:hAnsi="仿宋_GB2312" w:eastAsia="仿宋_GB2312" w:cs="仿宋_GB2312"/>
                <w:color w:val="auto"/>
                <w:sz w:val="24"/>
                <w:szCs w:val="24"/>
                <w:highlight w:val="none"/>
              </w:rPr>
              <w:t>mm*</w:t>
            </w:r>
            <w:r>
              <w:rPr>
                <w:rFonts w:hint="eastAsia" w:ascii="仿宋_GB2312" w:hAnsi="仿宋_GB2312" w:eastAsia="仿宋_GB2312" w:cs="仿宋_GB2312"/>
                <w:color w:val="auto"/>
                <w:sz w:val="24"/>
                <w:szCs w:val="24"/>
                <w:highlight w:val="none"/>
                <w:lang w:val="en-US" w:eastAsia="zh-CN"/>
              </w:rPr>
              <w:t>2820</w:t>
            </w:r>
            <w:r>
              <w:rPr>
                <w:rFonts w:hint="eastAsia" w:ascii="仿宋_GB2312" w:hAnsi="仿宋_GB2312" w:eastAsia="仿宋_GB2312" w:cs="仿宋_GB2312"/>
                <w:color w:val="auto"/>
                <w:sz w:val="24"/>
                <w:szCs w:val="24"/>
                <w:highlight w:val="none"/>
              </w:rPr>
              <w:t>mm，贴墙壁挂安装;</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2</w:t>
            </w:r>
            <w:r>
              <w:rPr>
                <w:rFonts w:hint="eastAsia" w:ascii="仿宋_GB2312" w:hAnsi="仿宋_GB2312" w:eastAsia="仿宋_GB2312" w:cs="仿宋_GB2312"/>
                <w:color w:val="auto"/>
                <w:sz w:val="24"/>
                <w:szCs w:val="24"/>
                <w:highlight w:val="none"/>
                <w:lang w:val="en-US" w:eastAsia="zh-CN"/>
              </w:rPr>
              <w:t>.</w:t>
            </w:r>
            <w:r>
              <w:rPr>
                <w:rFonts w:hint="eastAsia" w:ascii="仿宋_GB2312" w:hAnsi="仿宋_GB2312" w:eastAsia="仿宋_GB2312" w:cs="仿宋_GB2312"/>
                <w:color w:val="auto"/>
                <w:sz w:val="24"/>
                <w:szCs w:val="24"/>
                <w:highlight w:val="none"/>
              </w:rPr>
              <w:t>含钢结构、定制包边。采用专用钢结构支架；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3.按照国家钢结构设计规范，满足屏体安全承载需求制；</w:t>
            </w:r>
            <w:r>
              <w:rPr>
                <w:rFonts w:hint="eastAsia" w:ascii="仿宋_GB2312" w:hAnsi="仿宋_GB2312" w:eastAsia="仿宋_GB2312" w:cs="仿宋_GB2312"/>
                <w:color w:val="auto"/>
                <w:sz w:val="24"/>
                <w:szCs w:val="24"/>
                <w:highlight w:val="none"/>
              </w:rPr>
              <w:br w:type="textWrapping"/>
            </w:r>
            <w:r>
              <w:rPr>
                <w:rFonts w:hint="eastAsia" w:ascii="仿宋_GB2312" w:hAnsi="仿宋_GB2312" w:eastAsia="仿宋_GB2312" w:cs="仿宋_GB2312"/>
                <w:color w:val="auto"/>
                <w:sz w:val="24"/>
                <w:szCs w:val="24"/>
                <w:highlight w:val="none"/>
              </w:rPr>
              <w:t>4.</w:t>
            </w:r>
            <w:r>
              <w:rPr>
                <w:rFonts w:hint="eastAsia" w:ascii="仿宋_GB2312" w:hAnsi="仿宋_GB2312" w:eastAsia="仿宋_GB2312" w:cs="仿宋_GB2312"/>
                <w:color w:val="auto"/>
                <w:sz w:val="24"/>
                <w:szCs w:val="24"/>
                <w:highlight w:val="none"/>
                <w:lang w:eastAsia="zh-CN"/>
              </w:rPr>
              <w:t>显示屏采用支撑钢结构材料。</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5C00ED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32.8㎡</w:t>
            </w:r>
          </w:p>
        </w:tc>
      </w:tr>
      <w:tr w14:paraId="1693F5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43FEAE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AFBF9C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计算机</w:t>
            </w:r>
            <w:r>
              <w:rPr>
                <w:rFonts w:hint="eastAsia" w:ascii="仿宋_GB2312" w:hAnsi="仿宋_GB2312" w:eastAsia="仿宋_GB2312" w:cs="仿宋_GB2312"/>
                <w:b/>
                <w:bCs/>
                <w:color w:val="auto"/>
                <w:sz w:val="24"/>
                <w:szCs w:val="24"/>
              </w:rPr>
              <w:t>（强制采购节能产品，详见采购需求说明第八点）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7E4306B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★一、CPU规格</w:t>
            </w:r>
          </w:p>
          <w:p w14:paraId="495B5E4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核8线程，主频≥2.7GHz，末级缓存≥8M，内存≥双通道DDR4-2666，热设计功耗≤70W，位宽≥64位；</w:t>
            </w:r>
          </w:p>
          <w:p w14:paraId="00B4D05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★二、内存规格</w:t>
            </w:r>
          </w:p>
          <w:p w14:paraId="582A99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1.内存配置容量：≥16GB；</w:t>
            </w:r>
          </w:p>
          <w:p w14:paraId="01AA834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2.内存类型：支持 DDR4/LPDDR4/LPDDR4X及以上内存类型；</w:t>
            </w:r>
          </w:p>
          <w:p w14:paraId="181333B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3.内存条配置数量（板载内存不涉及）：≥1；</w:t>
            </w:r>
          </w:p>
          <w:p w14:paraId="2D6608F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★三、主板规格</w:t>
            </w:r>
          </w:p>
          <w:p w14:paraId="37FCF18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1.主板集成模块：集成资源扩展模块、计算处理模块、音频扩展模块等，主板的互联拓扑可通过处理器或交换电路实现；</w:t>
            </w:r>
          </w:p>
          <w:p w14:paraId="1A5AA75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2.主板支持的 CPU 和内存情况：≥</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核8线程，主频≥2.7GHz，末级缓存≥8M，内存≥双通道DDR4-2666，热设计功耗≤70W，位宽≥64位；内存条数量≥</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w:t>
            </w:r>
          </w:p>
          <w:p w14:paraId="5BC79DD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3.主板其他内置接口：≥SATA接口*4，≥M.2接口*1，</w:t>
            </w:r>
            <w:r>
              <w:rPr>
                <w:rFonts w:hint="eastAsia" w:ascii="仿宋_GB2312" w:hAnsi="仿宋_GB2312" w:eastAsia="仿宋_GB2312" w:cs="仿宋_GB2312"/>
                <w:color w:val="auto"/>
                <w:sz w:val="24"/>
                <w:szCs w:val="24"/>
                <w:highlight w:val="none"/>
              </w:rPr>
              <w:t>≥USB接口*1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rPr>
              <w:t>，固态硬盘占用M.2接口*1，机械硬盘占用SATA接口*1</w:t>
            </w:r>
          </w:p>
          <w:p w14:paraId="758CBD8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4.单内存插槽最大可支持容量（板载内存不涉及）：≥16GB；</w:t>
            </w:r>
          </w:p>
          <w:p w14:paraId="507F4BF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5.内存插槽满配时提供的最高内存总容量：≥64GB；</w:t>
            </w:r>
          </w:p>
          <w:p w14:paraId="670EF3B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★四、存储设备规格</w:t>
            </w:r>
          </w:p>
          <w:p w14:paraId="0A78D26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1.固态盘数量：≥1 个；</w:t>
            </w:r>
          </w:p>
          <w:p w14:paraId="68F1CCB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2.固态存储容量：≥512GB；</w:t>
            </w:r>
          </w:p>
          <w:p w14:paraId="4B6464C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3.机械硬盘数量：≥1 个；</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4.机械硬盘总容量：≥1TB；</w:t>
            </w:r>
          </w:p>
          <w:p w14:paraId="4933495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5.机械硬盘转速：≥5400rpm；</w:t>
            </w:r>
          </w:p>
          <w:p w14:paraId="2D6AD6B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6.机械硬盘形态：3.5 英寸等；</w:t>
            </w:r>
          </w:p>
          <w:p w14:paraId="25F469D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7.固态存储形态：采用插卡或板载等形态，可选用符合M.2 或 2.5寸SATA或mSATA等标准的插卡形态；</w:t>
            </w:r>
          </w:p>
          <w:p w14:paraId="4FA33D6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8.存储设备其他参数要求：a)固态盘应符合 SJ/T 11654 相关规定；b)机械硬盘准备时间应不大于 30s；侧面固定螺丝孔数量可为4孔或6孔；工作状态环境温度应满足 5℃~55℃；其它参数应符合 GB/T 12628 相关规定；</w:t>
            </w:r>
          </w:p>
          <w:p w14:paraId="0605673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★五、显卡规格</w:t>
            </w:r>
          </w:p>
          <w:p w14:paraId="1656581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1.显卡类型：独立显卡；</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2.独立显卡显存类型：显存类型为DDR3/DDR4/GDDR5 /GDDR6/LPDDR4；</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3.独立显卡显存位宽：显存位宽≥16 位；</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4.独立显卡显存容量：显存容量≥1GB；</w:t>
            </w:r>
          </w:p>
          <w:p w14:paraId="0313215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★六、显示设备规格</w:t>
            </w:r>
          </w:p>
          <w:p w14:paraId="2C44BA1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1.显示屏屏占比：≥</w:t>
            </w:r>
            <w:r>
              <w:rPr>
                <w:rFonts w:hint="eastAsia" w:ascii="仿宋_GB2312" w:hAnsi="仿宋_GB2312" w:eastAsia="仿宋_GB2312" w:cs="仿宋_GB2312"/>
                <w:color w:val="auto"/>
                <w:sz w:val="24"/>
                <w:szCs w:val="24"/>
                <w:lang w:val="en-US" w:eastAsia="zh-CN"/>
              </w:rPr>
              <w:t>9</w:t>
            </w:r>
            <w:r>
              <w:rPr>
                <w:rFonts w:hint="eastAsia" w:ascii="仿宋_GB2312" w:hAnsi="仿宋_GB2312" w:eastAsia="仿宋_GB2312" w:cs="仿宋_GB2312"/>
                <w:color w:val="auto"/>
                <w:sz w:val="24"/>
                <w:szCs w:val="24"/>
              </w:rPr>
              <w:t>0%；</w:t>
            </w:r>
          </w:p>
          <w:p w14:paraId="32057CE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2.显示屏分辨率：≥1920*1080；</w:t>
            </w:r>
          </w:p>
          <w:p w14:paraId="50433C4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3.显示屏尺寸：≥23英寸；</w:t>
            </w:r>
          </w:p>
          <w:p w14:paraId="5A5976E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4.显示屏屏幕比例：16:9；</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5.显示器外观颜色：黑色商务色系；</w:t>
            </w:r>
          </w:p>
          <w:p w14:paraId="1BA8332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rPr>
              <w:t>6.显示屏防蓝光：支持防蓝光模式，蓝光加权辐射亮度比应≤0.0012W/(·cd·sr)（瓦每坎特拉每球面度）</w:t>
            </w:r>
            <w:r>
              <w:rPr>
                <w:rFonts w:hint="eastAsia" w:ascii="仿宋_GB2312" w:hAnsi="仿宋_GB2312" w:eastAsia="仿宋_GB2312" w:cs="仿宋_GB2312"/>
                <w:color w:val="auto"/>
                <w:sz w:val="24"/>
                <w:szCs w:val="24"/>
                <w:highlight w:val="none"/>
              </w:rPr>
              <w:t>；</w:t>
            </w:r>
          </w:p>
          <w:p w14:paraId="5CF0D48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7.显示屏低频闪：显示屏应支持低频闪≤-35dB；</w:t>
            </w:r>
          </w:p>
          <w:p w14:paraId="6EAF5BA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8.显示屏防炫目：显示屏镜面反射率≤10%；</w:t>
            </w:r>
          </w:p>
          <w:p w14:paraId="6658E6B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★七、外设规格</w:t>
            </w:r>
          </w:p>
          <w:p w14:paraId="2DE0A35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1.鼠标数量：≥1个；</w:t>
            </w:r>
          </w:p>
          <w:p w14:paraId="5891BA6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2.键盘数量：≥1个；</w:t>
            </w:r>
          </w:p>
          <w:p w14:paraId="0C2D4D5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3.键盘按键数目：≥10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键；</w:t>
            </w:r>
          </w:p>
          <w:p w14:paraId="2163972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4.键盘连接方式：有线；</w:t>
            </w:r>
          </w:p>
          <w:p w14:paraId="1A5B51F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5.键盘键程：2.3mm-4.0mm；</w:t>
            </w:r>
          </w:p>
          <w:p w14:paraId="291D98E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6.键盘按键压力：按键压力应在0.54N±0.14N；</w:t>
            </w:r>
          </w:p>
          <w:p w14:paraId="37E9E60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7.有线键盘连接线：≥1.5 米；</w:t>
            </w:r>
          </w:p>
          <w:p w14:paraId="6A816F7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8.键盘颜色：黑色商务色系；</w:t>
            </w:r>
          </w:p>
          <w:p w14:paraId="106327C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9.鼠标连接方式：有线；</w:t>
            </w:r>
          </w:p>
          <w:p w14:paraId="71D83E6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10.有线鼠标连接线：≥1.5米；</w:t>
            </w:r>
          </w:p>
          <w:p w14:paraId="7156ECA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11.鼠标DPI分辨率：800-1600；</w:t>
            </w:r>
          </w:p>
          <w:p w14:paraId="38796E6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12.鼠标颜色：黑色商务色系；</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13.鼠标其他要求：其它参数应符合 GB/T 26245 的相关规定；</w:t>
            </w:r>
          </w:p>
          <w:p w14:paraId="37453EE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★八、网络设备规格</w:t>
            </w:r>
          </w:p>
          <w:p w14:paraId="58003A7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1.有线网卡数量：≥1；</w:t>
            </w:r>
          </w:p>
          <w:p w14:paraId="4053EA2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★九、外部接口规格</w:t>
            </w:r>
          </w:p>
          <w:p w14:paraId="003C37A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1.USB 接口数量：机箱前面板应提供不少于</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个USB 接口（含 2个USB3.0 及以上接口</w:t>
            </w:r>
            <w:r>
              <w:rPr>
                <w:rFonts w:hint="eastAsia" w:ascii="仿宋_GB2312" w:hAnsi="仿宋_GB2312" w:eastAsia="仿宋_GB2312" w:cs="仿宋_GB2312"/>
                <w:color w:val="auto"/>
                <w:sz w:val="24"/>
                <w:szCs w:val="24"/>
                <w:lang w:val="en-US" w:eastAsia="zh-CN"/>
              </w:rPr>
              <w:t>额外支持USB接口在关机状态下对外充电</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2.视频接口数量：≥1；</w:t>
            </w:r>
          </w:p>
          <w:p w14:paraId="22FA636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3.音频接口数量：≥1；</w:t>
            </w:r>
          </w:p>
          <w:p w14:paraId="17190AF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★十、整机基础规格</w:t>
            </w:r>
          </w:p>
          <w:p w14:paraId="37173E3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1.整机外观：a) 产品表面不应有凹痕、划伤、裂缝、变形和污染等。表面涂层均匀，不应起泡、龟裂、脱落和磨损，金属零部件无锈蚀及其它机械损伤；b) 产品表面说明功能的文字、符号、标志，应清晰、端正、牢固；</w:t>
            </w:r>
          </w:p>
          <w:p w14:paraId="0AD7B35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2.状态指示灯：在产品显著位置提供状态指示功能；</w:t>
            </w:r>
          </w:p>
          <w:p w14:paraId="21528D2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3.整机结构：a) 机箱应符合 GB/T 420</w:t>
            </w: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07517B1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4.机箱防护要求：机箱应符合 GB/T 4208 中 IP20 防护要求；</w:t>
            </w:r>
          </w:p>
          <w:p w14:paraId="1303B72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5.整机噪音：产品工作在空闲状态下，产品的声功率级≤</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.5Bel；</w:t>
            </w:r>
          </w:p>
          <w:p w14:paraId="0E924E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34A4982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7.整机能效限定值：产品能效限定值应达到 GB 28380-2012标准中能效等级 2 级及以上；</w:t>
            </w:r>
          </w:p>
          <w:p w14:paraId="31AF7A5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8.机身材质：塑料/金属等；</w:t>
            </w:r>
          </w:p>
          <w:p w14:paraId="2A5300E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9.机身颜色：黑色商务色系；</w:t>
            </w:r>
          </w:p>
          <w:p w14:paraId="7F4FCED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10.机箱尺寸容量：机箱体积≤</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0L;</w:t>
            </w:r>
          </w:p>
          <w:p w14:paraId="5A14615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★十一、CPU性能</w:t>
            </w:r>
          </w:p>
          <w:p w14:paraId="30F5A3D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 物理核数：≥</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w:t>
            </w:r>
          </w:p>
          <w:p w14:paraId="394571B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2.CPU 主频：≥2.7GHz；</w:t>
            </w:r>
          </w:p>
          <w:p w14:paraId="34AEE6B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3.CPU 末级缓存容量：≥8MB；</w:t>
            </w:r>
          </w:p>
          <w:p w14:paraId="009482B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4.CPU 支持的内存最高速率：≥2666MT/s；</w:t>
            </w:r>
          </w:p>
          <w:p w14:paraId="1DAD49B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★十二、内存性能</w:t>
            </w:r>
          </w:p>
          <w:p w14:paraId="4E5A9FC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1.内存读写速率：≥2666MT/s；</w:t>
            </w:r>
          </w:p>
          <w:p w14:paraId="3A98DBB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★十三、显卡性能</w:t>
            </w:r>
          </w:p>
          <w:p w14:paraId="1E1899F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1.显示分辨率：≥1920*1080；</w:t>
            </w:r>
          </w:p>
          <w:p w14:paraId="79D21F1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2.显卡显示芯片核心频率：≥300MHz；</w:t>
            </w:r>
          </w:p>
          <w:p w14:paraId="1F74EBF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3.显存等效频率：≥1000MT/s；</w:t>
            </w:r>
          </w:p>
          <w:p w14:paraId="2DC7783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4.显卡可支持多屏同时显示数量：显卡应支持2块屏幕同时显示，分辨率应不低于1920*1080；</w:t>
            </w:r>
          </w:p>
          <w:p w14:paraId="6625E62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★十四、显示设备性能</w:t>
            </w:r>
          </w:p>
          <w:p w14:paraId="5A5A39A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1.显示屏刷新率：≥</w:t>
            </w:r>
            <w:r>
              <w:rPr>
                <w:rFonts w:hint="eastAsia" w:ascii="仿宋_GB2312" w:hAnsi="仿宋_GB2312" w:eastAsia="仿宋_GB2312" w:cs="仿宋_GB2312"/>
                <w:color w:val="auto"/>
                <w:sz w:val="24"/>
                <w:szCs w:val="24"/>
                <w:lang w:val="en-US" w:eastAsia="zh-CN"/>
              </w:rPr>
              <w:t>90</w:t>
            </w:r>
            <w:r>
              <w:rPr>
                <w:rFonts w:hint="eastAsia" w:ascii="仿宋_GB2312" w:hAnsi="仿宋_GB2312" w:eastAsia="仿宋_GB2312" w:cs="仿宋_GB2312"/>
                <w:color w:val="auto"/>
                <w:sz w:val="24"/>
                <w:szCs w:val="24"/>
              </w:rPr>
              <w:t>Hz；</w:t>
            </w:r>
          </w:p>
          <w:p w14:paraId="1EEE563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2.显示屏位深：≥8位；</w:t>
            </w:r>
          </w:p>
          <w:p w14:paraId="2DB988D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3.显示屏色域：≥99%sRGB</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≥90%DCI-P3</w:t>
            </w:r>
            <w:r>
              <w:rPr>
                <w:rFonts w:hint="eastAsia" w:ascii="仿宋_GB2312" w:hAnsi="仿宋_GB2312" w:eastAsia="仿宋_GB2312" w:cs="仿宋_GB2312"/>
                <w:color w:val="auto"/>
                <w:sz w:val="24"/>
                <w:szCs w:val="24"/>
                <w:lang w:val="en-US" w:eastAsia="zh-CN"/>
              </w:rPr>
              <w:t>;</w:t>
            </w:r>
          </w:p>
          <w:p w14:paraId="6CDC143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4.显示屏色准：△E≤4；</w:t>
            </w:r>
          </w:p>
          <w:p w14:paraId="07E140E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5.显示屏响应时间：≤8ms；</w:t>
            </w:r>
          </w:p>
          <w:p w14:paraId="6977A9F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6.显示屏亮度：≥250尼特；</w:t>
            </w:r>
          </w:p>
          <w:p w14:paraId="173663E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7.显示屏亮度一致性：≥70%；</w:t>
            </w:r>
          </w:p>
          <w:p w14:paraId="0C7EE92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8.显示屏对比度：≥500：1；</w:t>
            </w:r>
          </w:p>
          <w:p w14:paraId="2CF88EA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9.显示屏其他参数：其它参数应符合 SJ/T 11292 的相关规定；</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lang w:eastAsia="zh-CN"/>
              </w:rPr>
              <w:t>★十五、网络设备性能</w:t>
            </w:r>
          </w:p>
          <w:p w14:paraId="38EE9DC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1.有线网卡速率：最高速率应不低于1000Mbps，应支持10Mbps、100Mbps、1000Mbps 速率自适应；</w:t>
            </w:r>
          </w:p>
          <w:p w14:paraId="55FB5B4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★十六、主板功能</w:t>
            </w:r>
          </w:p>
          <w:p w14:paraId="129837A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1.内存扩展接口(板载内存不涉及)：≥2个；</w:t>
            </w:r>
          </w:p>
          <w:p w14:paraId="1EC5365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2.主板USB瞬间过流保护：支持有瞬间过流保护功能；</w:t>
            </w:r>
          </w:p>
          <w:p w14:paraId="06CE33B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3.主板防静电保护：支持防静电保护功能；</w:t>
            </w:r>
          </w:p>
          <w:p w14:paraId="5CE1A59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52C439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★十七、显卡功能</w:t>
            </w:r>
          </w:p>
          <w:p w14:paraId="07A9714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1.显卡外接显示接口：显卡至少支持 VGA、HDMI、DVI、DP、Type-C 中 1 种显示接口，并与显示器接口相匹配；</w:t>
            </w:r>
          </w:p>
          <w:p w14:paraId="266D6F2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★十八、显示设备功能</w:t>
            </w:r>
          </w:p>
          <w:p w14:paraId="44B00C9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1.显示器接口：显示器应与显卡外接显示接口匹配；</w:t>
            </w:r>
          </w:p>
          <w:p w14:paraId="3B3ED04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2.显示器支架：显示器应提供显示器支架；</w:t>
            </w:r>
          </w:p>
          <w:p w14:paraId="7D8E9A7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3.显示器参数调节：a)提供 OSD 选单按钮用于调节色彩、模式等；b)支持色温、亮度、对比度调节；</w:t>
            </w:r>
          </w:p>
          <w:p w14:paraId="6830967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★十九、存储功能</w:t>
            </w:r>
          </w:p>
          <w:p w14:paraId="7B3EA96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1.存储功能：通过 SATA 固态存储/PCIe 固态存储/UFS 固态存储/SATA 硬磁盘等存储部件提供存储功能；</w:t>
            </w:r>
          </w:p>
          <w:p w14:paraId="228757C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★二十、网络设备功能</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1.网络功能：a)支持网络连接、网络开启/关闭功能；b)支持访问网络和数据交换功能；</w:t>
            </w:r>
          </w:p>
          <w:p w14:paraId="5C03CF3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2.数据传输：支持数据传输能力，并提供数据流量和异常日志记录功能；</w:t>
            </w:r>
          </w:p>
          <w:p w14:paraId="2CCA591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3.有线网卡接口类型：支持 RJ45 接口；</w:t>
            </w:r>
          </w:p>
          <w:p w14:paraId="2AFC52C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4.网络设备拆装：网络设备支持物理拆装，包括无线网卡和蓝牙模块等；</w:t>
            </w:r>
          </w:p>
          <w:p w14:paraId="6731A4A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★二十一、外部接口功能</w:t>
            </w:r>
          </w:p>
          <w:p w14:paraId="4CDAB71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1.音频接口类型：支持 3.5mm 孔径 3 段式或 4 段式接口；</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2.视频接口类型：至少支持 VGA、HDMI、DVI、DP、Type-C中 1 种显示接口；</w:t>
            </w:r>
          </w:p>
          <w:p w14:paraId="1665E2C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3.HDMI、DP、Type-C 显示接口要求：若提供 HDMI 或 DP 或 Type-C 作为显示接口，应支持音频和视频同步输出；</w:t>
            </w:r>
          </w:p>
          <w:p w14:paraId="04F084E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★二十二、电源功能</w:t>
            </w:r>
          </w:p>
          <w:p w14:paraId="73705B2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1.电源线适配能力：电源适配器电线组件应符合 GB/T15934 的要求；</w:t>
            </w:r>
          </w:p>
          <w:p w14:paraId="2950959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★二十三、操作系统及软件功能</w:t>
            </w:r>
          </w:p>
          <w:p w14:paraId="5A1BCA0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1.中文信息处理要求：符合 GB 18030 的相关规定；</w:t>
            </w:r>
          </w:p>
          <w:p w14:paraId="474413F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2.操作系统备份及还原功能：支持操作系统备份及还原功能；</w:t>
            </w:r>
          </w:p>
          <w:p w14:paraId="6E489F9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3.固件备份还原能力：支持备份及还原固件的功能；</w:t>
            </w:r>
          </w:p>
          <w:p w14:paraId="7F74DF3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4.操作系统及驱动升级：支持通过网络、闪存盘等方式对操作系统、驱动进行升级；</w:t>
            </w:r>
          </w:p>
          <w:p w14:paraId="73C3939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5.固件升级：支持通过网络、闪存盘等方式对固件进行升级；</w:t>
            </w:r>
          </w:p>
          <w:p w14:paraId="53FC5AF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6.BIOS 支持关闭通讯接口：支持 BIOS 关闭以太网及 USB 接口；</w:t>
            </w:r>
          </w:p>
          <w:p w14:paraId="44AB383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7.固件查看信息：支持查看固件版本、内存信息、主板信息、处理器信息和系统时间信息等功能；</w:t>
            </w:r>
          </w:p>
          <w:p w14:paraId="316F91E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8.固件设置启动顺序：支持设置启动顺序功能，并按照设置的启动顺序启动；</w:t>
            </w:r>
          </w:p>
          <w:p w14:paraId="53D50A6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9.固件设置口令：支持设置口令、修改口令、验证口令功能；</w:t>
            </w:r>
          </w:p>
          <w:p w14:paraId="4E6693F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10.固件设置网络引导：支持网络引导启动和关闭功能；</w:t>
            </w:r>
          </w:p>
          <w:p w14:paraId="6D93048C">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strike/>
                <w:color w:val="auto"/>
                <w:sz w:val="24"/>
                <w:szCs w:val="24"/>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en-US" w:eastAsia="zh-CN"/>
              </w:rPr>
              <w:t>提供功能至少有文字处理、电子表格、演示文稿三大应用模块的办公软件，授权≥3年</w:t>
            </w:r>
          </w:p>
          <w:p w14:paraId="3810A49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★二十四、存储设备可靠性</w:t>
            </w:r>
          </w:p>
          <w:p w14:paraId="0454B0F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1.固态存储寿命：TBW≥80TB（条件：512GB 硬盘容量）；</w:t>
            </w:r>
          </w:p>
          <w:p w14:paraId="27B87D2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2.机械硬盘寿命：通电时间≥5万小时；</w:t>
            </w:r>
          </w:p>
          <w:p w14:paraId="110C470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★二十五、显示设备可靠性</w:t>
            </w:r>
          </w:p>
          <w:p w14:paraId="7BDC46F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1.显示屏屏幕失效点：符合 GB/T 9813.2 的要求；</w:t>
            </w:r>
          </w:p>
          <w:p w14:paraId="444C1DD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★二十六、外设可靠性</w:t>
            </w:r>
          </w:p>
          <w:p w14:paraId="15DE9E8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1.键盘按键寿命：≥1000 万次；</w:t>
            </w:r>
          </w:p>
          <w:p w14:paraId="2DB3304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2.鼠标按键寿命：≥500 万次；</w:t>
            </w:r>
          </w:p>
          <w:p w14:paraId="31EAB81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3.键盘鼠标线材寿命：键盘鼠标所用线材经±60°弯折不低于 3000 次，功能、外观完好；</w:t>
            </w:r>
          </w:p>
          <w:p w14:paraId="590D091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4.风扇寿命：≥4 万小时；</w:t>
            </w:r>
          </w:p>
          <w:p w14:paraId="68D49B0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★二十七、整机可靠性要求</w:t>
            </w:r>
          </w:p>
          <w:p w14:paraId="533A73E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1.电磁兼容性要求的抗扰度：符合 GB/T 9254.2 的规定；</w:t>
            </w:r>
          </w:p>
          <w:p w14:paraId="5444CD3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2.环境条件要求的气候环境适应性：符合 GB/T 9813.1 中规定；</w:t>
            </w:r>
          </w:p>
          <w:p w14:paraId="1F90701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3.环境条件要求的振动适应性：符合 GB/T 9813.1 中规定；</w:t>
            </w:r>
          </w:p>
          <w:p w14:paraId="64186B6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4.环境条件要求的冲击适应性：符合 GB/T 9813.1 中规定；</w:t>
            </w:r>
          </w:p>
          <w:p w14:paraId="3F0A9F6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5.环境条件要求的碰撞适应性：符合 GB/T 9813.1 中规定；</w:t>
            </w:r>
          </w:p>
          <w:p w14:paraId="0A26C6F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6.环境条件要求的运输包装件跌落适应性：符合 GB/T 9813.1 中规定；</w:t>
            </w:r>
          </w:p>
          <w:p w14:paraId="4F81482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7.MTBF 测试：MTBF(m1)≥</w:t>
            </w:r>
            <w:r>
              <w:rPr>
                <w:rFonts w:hint="eastAsia" w:ascii="仿宋_GB2312" w:hAnsi="仿宋_GB2312" w:eastAsia="仿宋_GB2312" w:cs="仿宋_GB2312"/>
                <w:color w:val="auto"/>
                <w:sz w:val="24"/>
                <w:szCs w:val="24"/>
                <w:highlight w:val="none"/>
                <w:lang w:val="en-US" w:eastAsia="zh-CN"/>
              </w:rPr>
              <w:t>99</w:t>
            </w:r>
            <w:r>
              <w:rPr>
                <w:rFonts w:hint="eastAsia" w:ascii="仿宋_GB2312" w:hAnsi="仿宋_GB2312" w:eastAsia="仿宋_GB2312" w:cs="仿宋_GB2312"/>
                <w:color w:val="auto"/>
                <w:sz w:val="24"/>
                <w:szCs w:val="24"/>
                <w:highlight w:val="none"/>
              </w:rPr>
              <w:t>万小时；</w:t>
            </w:r>
          </w:p>
          <w:p w14:paraId="654937F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★二十八、兼容要求</w:t>
            </w:r>
          </w:p>
          <w:p w14:paraId="6733260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1.常用软件兼容：支持流式软件、版式软件、浏览器、邮件采购人端、解压软件、多媒体、图形图像处理等常用软件；</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2.数据库兼容：兼容 3 个及以上厂商的数据库产品；</w:t>
            </w:r>
          </w:p>
          <w:p w14:paraId="35CA0A2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3.中间件兼容：兼容 3 个及以上厂商中间件产品；</w:t>
            </w:r>
          </w:p>
          <w:p w14:paraId="6BEFBE9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4.平台软件兼容：兼容 3 个及以上厂商云计算及大数据平台；</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lang w:eastAsia="zh-CN"/>
              </w:rPr>
              <w:t>★二十九、包装及运输要求</w:t>
            </w:r>
          </w:p>
          <w:p w14:paraId="205FA9F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1.标志、包装、运输和贮存：符合 GB/T 9813.1 和商品包装政府采购需求标准的相关规定；</w:t>
            </w:r>
          </w:p>
          <w:p w14:paraId="5A39284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★三十、服务要求</w:t>
            </w:r>
          </w:p>
          <w:p w14:paraId="2D4013A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1.配置检查工具：供应商提供自检测试工具；</w:t>
            </w:r>
          </w:p>
          <w:p w14:paraId="4398FCE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639DF42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3.服务周期：a) 设备停产后应继续提供质量保障服务（含备品备件），服务终止时间与最后一批设备交付时间间隔不低于</w:t>
            </w:r>
          </w:p>
          <w:p w14:paraId="6D5E194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 年；b) 产品停止服务时间应提前 1 年告知；c) 应明确产品发布日期；</w:t>
            </w:r>
          </w:p>
          <w:p w14:paraId="01D043E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4.预装操作系统：预装符合桌面操作系统政府采购需求标准的正版操作系统；</w:t>
            </w:r>
            <w:r>
              <w:rPr>
                <w:rFonts w:hint="eastAsia" w:ascii="仿宋_GB2312" w:hAnsi="仿宋_GB2312" w:eastAsia="仿宋_GB2312" w:cs="仿宋_GB2312"/>
                <w:b/>
                <w:bCs/>
                <w:color w:val="auto"/>
                <w:sz w:val="24"/>
                <w:szCs w:val="24"/>
              </w:rPr>
              <w:t>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5.培训服务：供应商提供培训材料、产品手册、培训视频等培训相关内容；</w:t>
            </w:r>
          </w:p>
          <w:p w14:paraId="526BDF6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6.典型问题解决手册：供应商提供典型问题解决说明文档或视频；</w:t>
            </w:r>
          </w:p>
          <w:p w14:paraId="7DF0D97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7.厂家升级软件与扩容服务：供应商提供上门升级部件/软件与扩容的增值服务；</w:t>
            </w:r>
          </w:p>
          <w:p w14:paraId="1AAE892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8.整机质量服务要求：免费服务周期（含换件和维修）应不小于 3 年；</w:t>
            </w:r>
          </w:p>
          <w:p w14:paraId="65616A6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9.合格证书要求：供应商提供产品合格证；</w:t>
            </w:r>
          </w:p>
          <w:p w14:paraId="39A1556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10.开箱组装/使用指导要求：供应商提供开箱组装/使用指导；</w:t>
            </w:r>
          </w:p>
          <w:p w14:paraId="4701BD7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11.驱动下载服务要求：供应商提供驱动光盘或下载方式；</w:t>
            </w:r>
          </w:p>
          <w:p w14:paraId="6F0B5AD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12.兼容适配软件下载服务要求：供应商提供兼容适配软件下载渠道（光盘、网站）；</w:t>
            </w:r>
          </w:p>
          <w:p w14:paraId="23436CE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★三十一、供应链合规性</w:t>
            </w:r>
          </w:p>
          <w:p w14:paraId="5E268F8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 产品部件保障：供应商保障产品主要部件，提供 6 年的备件服务能力（自购买之日起），或提供可兼容原设备的升级换代产品；</w:t>
            </w:r>
          </w:p>
          <w:p w14:paraId="1E13484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★三十二、供应链质量</w:t>
            </w:r>
          </w:p>
          <w:p w14:paraId="7FC3455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1.抗干扰性：当产品部件出现供应风险时，供应商应通知采购人并提供风险应对方案确保产品的服务保障；</w:t>
            </w:r>
          </w:p>
          <w:p w14:paraId="22BB8A7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 供应能力证明：供应商承诺供应链稳定，确保产品的部件在产品服务周期内稳定供货；</w:t>
            </w:r>
          </w:p>
          <w:p w14:paraId="13F64E4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★三十三、关键部件安全</w:t>
            </w:r>
          </w:p>
          <w:p w14:paraId="28D81A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b/>
                <w:bCs/>
                <w:color w:val="auto"/>
                <w:sz w:val="24"/>
                <w:szCs w:val="24"/>
              </w:rPr>
            </w:pPr>
            <w:r>
              <w:rPr>
                <w:rFonts w:hint="eastAsia" w:ascii="仿宋_GB2312" w:hAnsi="仿宋_GB2312" w:eastAsia="仿宋_GB2312" w:cs="仿宋_GB2312"/>
                <w:color w:val="auto"/>
                <w:sz w:val="24"/>
                <w:szCs w:val="24"/>
              </w:rPr>
              <w:t>1.关键部件安全要求：CPU 和操作系统等关键部件应当符合安全可靠测评要求；</w:t>
            </w:r>
            <w:r>
              <w:rPr>
                <w:rFonts w:hint="eastAsia" w:ascii="仿宋_GB2312" w:hAnsi="仿宋_GB2312" w:eastAsia="仿宋_GB2312" w:cs="仿宋_GB2312"/>
                <w:b/>
                <w:bCs/>
                <w:color w:val="auto"/>
                <w:sz w:val="24"/>
                <w:szCs w:val="24"/>
              </w:rPr>
              <w:t>（通过政府有关部门指定的中国信息安全测评中心和国家保密科技测评中心网站查看安全可靠测评结果）；</w:t>
            </w:r>
          </w:p>
          <w:p w14:paraId="67DFA69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注：投标人在填写《技术响应表》时，在“投标文件响应技术参数”明确给出所投</w:t>
            </w:r>
            <w:r>
              <w:rPr>
                <w:rFonts w:hint="eastAsia" w:ascii="仿宋_GB2312" w:hAnsi="仿宋_GB2312" w:eastAsia="仿宋_GB2312" w:cs="仿宋_GB2312"/>
                <w:b/>
                <w:bCs/>
                <w:strike w:val="0"/>
                <w:color w:val="auto"/>
                <w:sz w:val="24"/>
                <w:szCs w:val="24"/>
                <w:lang w:eastAsia="zh-CN"/>
              </w:rPr>
              <w:t>计算机</w:t>
            </w:r>
            <w:r>
              <w:rPr>
                <w:rFonts w:hint="eastAsia" w:ascii="仿宋_GB2312" w:hAnsi="仿宋_GB2312" w:eastAsia="仿宋_GB2312" w:cs="仿宋_GB2312"/>
                <w:b/>
                <w:bCs/>
                <w:color w:val="auto"/>
                <w:sz w:val="24"/>
                <w:szCs w:val="24"/>
              </w:rPr>
              <w:t>“CPU型号”及“操作系统”名称，否则视为投标无效。</w:t>
            </w:r>
          </w:p>
          <w:p w14:paraId="0C7162F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★三十四、整机安全性要求</w:t>
            </w:r>
          </w:p>
          <w:p w14:paraId="4120B72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1.密码算法实现：CPU 芯片应符合 GM/T 0008 的相关规定，或芯片密码模块应符合 GB/T 37092或 GM/T 0028 的相关规定；（通过商用密码检测机构检测并经商用密码认证机构认证合格）</w:t>
            </w:r>
          </w:p>
          <w:p w14:paraId="69729EF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071F303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3.固件安全启动：支持固件安全启动功能，固件启动过程中只有通过启动校验才能正常启动；</w:t>
            </w:r>
          </w:p>
          <w:p w14:paraId="7A970C43">
            <w:pPr>
              <w:keepNext w:val="0"/>
              <w:keepLines w:val="0"/>
              <w:pageBreakBefore w:val="0"/>
              <w:widowControl/>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4.限用物质的限量要求：符合 GB/T 26572 中规定；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B2F90BB">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341FC0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E92023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977F7E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网络跳线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C8750C4">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RJ45超五类网络跳线（</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米）。</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5955538">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75条</w:t>
            </w:r>
          </w:p>
        </w:tc>
      </w:tr>
      <w:tr w14:paraId="275100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A6F328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B4F29C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内部电源线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3E0D0B61">
            <w:pPr>
              <w:keepNext w:val="0"/>
              <w:keepLines w:val="0"/>
              <w:pageBreakBefore w:val="0"/>
              <w:numPr>
                <w:ilvl w:val="0"/>
                <w:numId w:val="0"/>
              </w:numPr>
              <w:kinsoku/>
              <w:overflowPunct/>
              <w:topLinePunct w:val="0"/>
              <w:autoSpaceDE/>
              <w:autoSpaceDN/>
              <w:bidi w:val="0"/>
              <w:snapToGrid w:val="0"/>
              <w:spacing w:line="4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lang w:val="en-US" w:eastAsia="zh-CN" w:bidi="ar-SA"/>
              </w:rPr>
              <w:t>1.</w:t>
            </w: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2x2.5</w:t>
            </w:r>
            <w:r>
              <w:rPr>
                <w:rFonts w:hint="eastAsia" w:ascii="仿宋_GB2312" w:hAnsi="仿宋_GB2312" w:eastAsia="仿宋_GB2312" w:cs="仿宋_GB2312"/>
                <w:color w:val="auto"/>
                <w:sz w:val="24"/>
                <w:szCs w:val="24"/>
                <w:highlight w:val="none"/>
              </w:rPr>
              <w:t>mm²，铜芯阻燃交联聚乙烯绝缘聚氯乙烯护套电力电缆</w:t>
            </w:r>
          </w:p>
          <w:p w14:paraId="46686947">
            <w:pPr>
              <w:keepNext w:val="0"/>
              <w:keepLines w:val="0"/>
              <w:pageBreakBefore w:val="0"/>
              <w:numPr>
                <w:ilvl w:val="0"/>
                <w:numId w:val="0"/>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2.</w:t>
            </w:r>
            <w:r>
              <w:rPr>
                <w:rFonts w:hint="eastAsia" w:ascii="仿宋_GB2312" w:hAnsi="仿宋_GB2312" w:eastAsia="仿宋_GB2312" w:cs="仿宋_GB2312"/>
                <w:color w:val="auto"/>
                <w:sz w:val="24"/>
                <w:szCs w:val="24"/>
                <w:highlight w:val="none"/>
              </w:rPr>
              <w:t>额定电压0.6/1KV</w:t>
            </w:r>
          </w:p>
          <w:p w14:paraId="04C12920">
            <w:pPr>
              <w:keepNext w:val="0"/>
              <w:keepLines w:val="0"/>
              <w:pageBreakBefore w:val="0"/>
              <w:numPr>
                <w:ilvl w:val="0"/>
                <w:numId w:val="0"/>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3.</w:t>
            </w:r>
            <w:r>
              <w:rPr>
                <w:rFonts w:hint="eastAsia" w:ascii="仿宋_GB2312" w:hAnsi="仿宋_GB2312" w:eastAsia="仿宋_GB2312" w:cs="仿宋_GB2312"/>
                <w:color w:val="auto"/>
                <w:sz w:val="24"/>
                <w:szCs w:val="24"/>
                <w:highlight w:val="none"/>
              </w:rPr>
              <w:t>导体电阻≤1.15Ω/km</w:t>
            </w:r>
          </w:p>
          <w:p w14:paraId="67CAE48C">
            <w:pPr>
              <w:keepNext w:val="0"/>
              <w:keepLines w:val="0"/>
              <w:pageBreakBefore w:val="0"/>
              <w:numPr>
                <w:ilvl w:val="0"/>
                <w:numId w:val="0"/>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4.</w:t>
            </w:r>
            <w:r>
              <w:rPr>
                <w:rFonts w:hint="eastAsia" w:ascii="仿宋_GB2312" w:hAnsi="仿宋_GB2312" w:eastAsia="仿宋_GB2312" w:cs="仿宋_GB2312"/>
                <w:color w:val="auto"/>
                <w:sz w:val="24"/>
                <w:szCs w:val="24"/>
                <w:highlight w:val="none"/>
              </w:rPr>
              <w:t>电压试验3500V/5min不击穿。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B6F2CA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170米</w:t>
            </w:r>
          </w:p>
        </w:tc>
      </w:tr>
      <w:tr w14:paraId="58FF88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EC43AB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AE4194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主电</w:t>
            </w:r>
            <w:r>
              <w:rPr>
                <w:rFonts w:hint="eastAsia" w:ascii="仿宋_GB2312" w:hAnsi="仿宋_GB2312" w:eastAsia="仿宋_GB2312" w:cs="仿宋_GB2312"/>
                <w:b w:val="0"/>
                <w:bCs w:val="0"/>
                <w:color w:val="auto"/>
                <w:sz w:val="24"/>
                <w:szCs w:val="24"/>
                <w:lang w:eastAsia="zh-CN"/>
              </w:rPr>
              <w:t>源线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6E8E044">
            <w:pPr>
              <w:keepNext w:val="0"/>
              <w:keepLines w:val="0"/>
              <w:pageBreakBefore w:val="0"/>
              <w:numPr>
                <w:ilvl w:val="0"/>
                <w:numId w:val="9"/>
              </w:numPr>
              <w:kinsoku/>
              <w:overflowPunct/>
              <w:topLinePunct w:val="0"/>
              <w:autoSpaceDE/>
              <w:autoSpaceDN/>
              <w:bidi w:val="0"/>
              <w:snapToGrid w:val="0"/>
              <w:spacing w:line="400" w:lineRule="exac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3x10+2x6</w:t>
            </w:r>
            <w:r>
              <w:rPr>
                <w:rFonts w:hint="eastAsia" w:ascii="仿宋_GB2312" w:hAnsi="仿宋_GB2312" w:eastAsia="仿宋_GB2312" w:cs="仿宋_GB2312"/>
                <w:color w:val="auto"/>
                <w:sz w:val="24"/>
                <w:szCs w:val="24"/>
                <w:highlight w:val="none"/>
              </w:rPr>
              <w:t>mm²，铜芯阻燃交联聚乙烯绝缘聚氯乙烯护套电力电缆</w:t>
            </w:r>
          </w:p>
          <w:p w14:paraId="497DF0B6">
            <w:pPr>
              <w:keepNext w:val="0"/>
              <w:keepLines w:val="0"/>
              <w:pageBreakBefore w:val="0"/>
              <w:numPr>
                <w:ilvl w:val="0"/>
                <w:numId w:val="9"/>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额定电压0.6/1KV</w:t>
            </w:r>
          </w:p>
          <w:p w14:paraId="34BE5D49">
            <w:pPr>
              <w:keepNext w:val="0"/>
              <w:keepLines w:val="0"/>
              <w:pageBreakBefore w:val="0"/>
              <w:numPr>
                <w:ilvl w:val="0"/>
                <w:numId w:val="9"/>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导体电阻≤1.15Ω/km</w:t>
            </w:r>
          </w:p>
          <w:p w14:paraId="32C4B12D">
            <w:pPr>
              <w:keepNext w:val="0"/>
              <w:keepLines w:val="0"/>
              <w:pageBreakBefore w:val="0"/>
              <w:numPr>
                <w:ilvl w:val="0"/>
                <w:numId w:val="9"/>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电压试验3500V/5min不击穿。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60D938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50米</w:t>
            </w:r>
          </w:p>
        </w:tc>
      </w:tr>
      <w:tr w14:paraId="0C3DE8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77AD36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A580B0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网线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242F040">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color w:val="auto"/>
                <w:sz w:val="24"/>
                <w:szCs w:val="24"/>
                <w:highlight w:val="none"/>
                <w:lang w:eastAsia="zh-CN"/>
              </w:rPr>
            </w:pPr>
            <w:r>
              <w:rPr>
                <w:rFonts w:hint="eastAsia" w:ascii="仿宋_GB2312" w:hAnsi="仿宋_GB2312" w:eastAsia="仿宋_GB2312" w:cs="仿宋_GB2312"/>
                <w:b w:val="0"/>
                <w:bCs/>
                <w:color w:val="auto"/>
                <w:sz w:val="24"/>
                <w:szCs w:val="24"/>
                <w:highlight w:val="none"/>
                <w:lang w:eastAsia="zh-CN"/>
              </w:rPr>
              <w:t>1．六类非屏蔽双绞线，纯铜芯，传输无衰减，采用PVC环保外皮，包装长度305米；</w:t>
            </w:r>
          </w:p>
          <w:p w14:paraId="085D7DDF">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color w:val="auto"/>
                <w:sz w:val="24"/>
                <w:szCs w:val="24"/>
                <w:highlight w:val="none"/>
                <w:lang w:eastAsia="zh-CN"/>
              </w:rPr>
              <w:t>2．芯数: 4*2含十字骨架；导体直径：0.57±0.05mm；外护套材质：PVC；外径：6.3±0.2mm； PVC外护套符合</w:t>
            </w:r>
            <w:r>
              <w:rPr>
                <w:rFonts w:hint="eastAsia" w:ascii="仿宋_GB2312" w:hAnsi="仿宋_GB2312" w:eastAsia="仿宋_GB2312" w:cs="仿宋_GB2312"/>
                <w:b w:val="0"/>
                <w:bCs/>
                <w:color w:val="auto"/>
                <w:sz w:val="24"/>
                <w:szCs w:val="24"/>
                <w:highlight w:val="none"/>
                <w:lang w:val="en-US" w:eastAsia="zh-CN"/>
              </w:rPr>
              <w:t>国标</w:t>
            </w:r>
            <w:r>
              <w:rPr>
                <w:rFonts w:hint="eastAsia" w:ascii="仿宋_GB2312" w:hAnsi="仿宋_GB2312" w:eastAsia="仿宋_GB2312" w:cs="仿宋_GB2312"/>
                <w:b w:val="0"/>
                <w:bCs/>
                <w:color w:val="auto"/>
                <w:sz w:val="24"/>
                <w:szCs w:val="24"/>
                <w:highlight w:val="none"/>
                <w:lang w:eastAsia="zh-CN"/>
              </w:rPr>
              <w:t>相关规定。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09CFDF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宋体" w:hAnsi="宋体" w:eastAsia="宋体" w:cs="宋体"/>
                <w:i w:val="0"/>
                <w:iCs w:val="0"/>
                <w:color w:val="auto"/>
                <w:kern w:val="0"/>
                <w:sz w:val="18"/>
                <w:szCs w:val="18"/>
                <w:u w:val="none"/>
                <w:lang w:val="en-US" w:eastAsia="zh-CN" w:bidi="ar"/>
              </w:rPr>
              <w:t>3箱</w:t>
            </w:r>
          </w:p>
        </w:tc>
      </w:tr>
      <w:tr w14:paraId="2835C1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309D6B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6FC9C2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智慧物联管理平台</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50634CD">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i w:val="0"/>
                <w:iCs w:val="0"/>
                <w:color w:val="auto"/>
                <w:kern w:val="0"/>
                <w:sz w:val="24"/>
                <w:szCs w:val="24"/>
                <w:u w:val="none"/>
                <w:lang w:val="en-US" w:eastAsia="zh-CN" w:bidi="ar"/>
              </w:rPr>
              <w:t>（一）平台系统：</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1.系统基于大数据、人工智能和物联网进行技术构建，采用B/S架构，用户仅需通过浏览器访问即可访问系统实现系统设备平台化管控；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2.搭载基于物联网可视化建模引擎的全域开发架构，定义标准化物模型，对第三方物联终端的协议化集成与语义化交互，对每个设备设定可视化编程界面；</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3.系统支持可视化编程，内置各类组件，可自由编辑组合，生成可视化一体管控界面，针对系统音视频设备进行集中平台化管控；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4.支持系统设备多维度管控，具有项目总览工作台，通过图标方式实时显示系统场所数量，设备在线、离线、异常告警情况，进行设备类型以及告警趋势统计；</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5.系统内置多种物联设备管控模块，涵盖声、光、电、视、讯设备，支持设备物联管控，异常情况上报告警，可生成实时系统架构链路图，直观展示系统设备连接状态，异常链路实时告警；</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6.全面的设备实时监测功能，用户可查看物联网设备的在线状态、历史数据记录，并进行远程控制操作；</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7.具备多种场所类型建立，可将设备绑定至对应场所，通过控制面板、系统拓扑图对场所设备进行状态管理和物联管控；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具备批量导入用户列表，管理员可为每位用户配置详细信息(如用户名、手机号码、所属部门)并分配相应角色，从而获得特定的权限集合，提供便捷的账号生命周期管理功能，包括添加、修改、删除及权限变更等操作；</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9.各功能模块的访问权限可根据需求灵活配置。管理员可以创建自定义角色，并为每个角色分配特定的权限项，分配给不同用户或用户组，实现精确的权限控制；</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10.具有ONVIF摄像头组件，通过平台实时显示终端画面，通过系统提供的更高层次的内容分层服务和层间功能 (如网络分层、媒体分层和应用分层)，实现画面质量的提升和低延迟传输；</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11.具有环境监测系统接入功能，获取下属环境子设备上报信息，可策动灯光、窗帘、空调等环境设备进行环境控制；</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12.详细告警信息展示：包括告警ID、设备唯一标识符(Device ID)、 设备名称、所属项目及场所、发生时间、具体告警描述以及累计告警次数等关键信息，快速定位和解决问题，处理完告警事件后，可通过系统界面完成告警确认和关闭，确保告警处理过程的完整性和追踪性。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13.场景：支持自定义场景，将系统物联网设备进行预设，并进行手动场景、自动、条件触发，可根据场景类型，可根据需求选择设置，根据不同场景类型，可选择场景名称、执行方式、执行设备、条件类型、执行时间等进行设置。</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14.场景日志：平台能够显示场景日志，可查看具体信息，显示场景是否运行成功。</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i w:val="0"/>
                <w:iCs w:val="0"/>
                <w:color w:val="auto"/>
                <w:kern w:val="0"/>
                <w:sz w:val="24"/>
                <w:szCs w:val="24"/>
                <w:u w:val="none"/>
                <w:lang w:val="en-US" w:eastAsia="zh-CN" w:bidi="ar"/>
              </w:rPr>
              <w:t>（二）设备管控：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支持电源管理，远程控制智慧电源设备每路独立开关，支持正序全部开启、逆序全部开启、正序全部关闭、逆序全部关闭，自由任意组合顺序开启与关闭，可监测设备上线/离线时间；支持设置编辑定时开关：可编辑定时开关名称、选择日期时间、选择生效通道，≥14个编辑定时任务列表；实时图形显示监测电源A、B、C三相中每相的功率负荷数据，独立显示监测每相实时电压、电流、功率、温度等数据，实时显示监测电源A、B、C三相总的设备总功率、设备用电量、设备运行时长、湿度等数据；支持实时监测显示每一路通道名称、控制状态、电流、功率、异常状态（过压、过流、欠压、欠流等异常情况告警）、运行时长等数据，每一路通道名称可任意命名修改；支持电气设置：可编辑电过压、欠压、温度温度阈值，可编辑每个通道的电流最小/最大阈值、功率最小/最大阈值，可设置异常数据告警和是否断电；平台可自动生成每个通道近23小时内耗电量功率走势图，可实时查看耗电情况；物联运维Web平台自动识别接入设备型号，执行修改接入设备名称和ID以及固件升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平台内置音视频管理模块，支持音频设备每个输入/输出通道实时电平监测显示，可通过平台对输入/输出音频通道进行路由矩阵混音，对音频/视频矩阵任意切换控制，可对每个输入/输出音频通道进行增益调整、静音等控制，可编辑保存≥15预设场景调用；</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3.分布式管控：对节点进行远程管理，实时监测 其HDMI、音频、电源、指示灯、232.485.IO/IR、主板、继电器接口、USB接口等状态，远程切换音频输入输出的模式、更改接口模式、更改分辨率、更改编码类型等。对节点 进行在线模式切换(in、out、kvm、in/out)，对设备进行在线重启、设备复位、恢复出厂设置等；</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环境管控：可视化编辑中系统提供产品组件进行自定义拓扑编辑，对智慧开关灯光组件以及窗帘组件等，通过平台实现远程控制智慧开关进行开关灯、控制灯控器进行灯光亮度调整以及控制窗帘开关等环境场景控制；</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功率放大器管控：实时显示物联音频功放模块、DSP模块状态，异常情况上报，可调整设备每个输入通道增益、静音并实时显示每个输入通道动态电平信号，调整设备每个输出通道增益、静音并实时显示每个输出通道动态电平信号，输入/输出增益微调范围:-80dB～+12dB，步进≤2dB；可获取设备每个通道状态，实时显示每个通道功放、DSP的状态，控制本机开启与关闭。</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6.音频终端管控：实时显示物联音频终端功放模块、DSP模块状态，异常情况上报，实时远程管理物联音柱输入输出增益，并进行一键静音。</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i w:val="0"/>
                <w:iCs w:val="0"/>
                <w:color w:val="auto"/>
                <w:kern w:val="0"/>
                <w:sz w:val="24"/>
                <w:szCs w:val="24"/>
                <w:u w:val="none"/>
                <w:lang w:val="en-US" w:eastAsia="zh-CN" w:bidi="ar"/>
              </w:rPr>
              <w:t>（三）配套APP管控：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1.配套物联网智联APP,对所有的物联网设备进行云端管理和局域网管理；</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2.APP具有对物联网功放、音箱、运算处理中心、电源管理中心等设备进行远程控制和数据管理；</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3.APP具有对电源管理中心进行实时电流、电压、功率、温度、运行时长检测，自定义设备通道名称，进行电气设置，编辑设备告警和断电阈值；</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4.APP具有对物联网音频终端进行在线监测及调试，支持对其进行电流、电压、功率、温度的在线监测，设备自检，输出输出通道进行信号调节；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5.APP具有对音频设备输入输出增益进行实时控制，实时切换系统 矩阵混音，进行视频矩阵控制；</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6.APP具有对分布式节点进行管理，实时监测其HDMI、音频、电源、指示灯、232.485.IO/IR、主板、继电器接口、USB接口等状态，并能远程切换音频输入输出的模式、 更改接口模式、更改分辨率、更改编码类型等。支持对节点进行 在线模式切换(in、out、kvm、in/out),支持对设备进行在线重启、设备复位、恢复出厂设置等。</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32EFED1">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085D7E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7CBBA8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DA0B8C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视控终端节点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9280ABB">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1. 系统架构稳定性要求：纯分布式架构，去中心化，任意数量节点无需服务器，采用Linux系统,长时间运行不宕机。</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 采用独创的结构设计，无需散热风扇，无噪音，节能环保；无风扇设计，减少故障节点，保障长时间的稳定运行。</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 节点接口：支持HDMI输入最高分辨率4K@30；输入分辨率大小可根据需求自定义分辨率大小。可内嵌数字音频；视频环出： 1路HDMI，支持3480x2160@60Hz,可内嵌数字音频；模拟音频输入： 1路Ф3.5mm，模拟音频输出： 1路Ф3.5mm；网络接口：1路RJ45支持POE供电,1路光纤（Fibre）1000Mbps，1路RS232(凤凰端子)、1路RS485(凤凰端子)、2路IO(凤凰端子)，2路USB(TYPE A) 。</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 支持鼠标、键盘透传，电脑主机不能直接通过节点的USB接口进行数据交互，从而保证系统保密性、安全性要求。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 支持节点HDMI输入最高分辨率3840x2160@60， 并兼容3480x2160以下的所有分辨率；输入分辨率大小可根据需求自定义分辨率大小。</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 支持非平衡式音频输入接口,支持音量调节,支持同步音视频可同步，可异步切换。</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 支持编解码协议:音频支持AAC、G.711.G.722;视频支持H.264.H.265.RTSP协议。</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支持远程KVM控制:鼠标光标进行多屏间跨屏、漫游时无延时;支持跨屏、漫游鼠标操作；每个操作员的桌面可放置多台显⽰屏，每台显示屏上可以显示系统内任意信号源，操作员通过一套鼠标、键盘在众多信号中进行灵活选取及自主操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 支持windows、Linux、MAC、国产 Kylin等跨平台操作，无需额外软件支持，可实现用户账号设置并为账号分配权限。</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 支持鼠标跨屏，跨屏数量不限，授权后任意席位可设置跨屏参数，跨屏操作时，实时提示当前激活信号源，并支持多头显卡鼠标跨屏。</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11. 支持坐席之间的相互推送，实现信号共享，KVM功能，支持USB口连接电脑实现远程鼠标键盘控制。支持坐席间的推送、坐席推送大屏、坐席抓取大屏幕回坐席。</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12. 节点采用Linux系统,长时间运行不宕机，采用独创的芯片核心温度监控显示于OLED屏幕上，并且系统自动侦测芯片温度，自动调整适应系统功耗，从而提升系统稳定。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C46402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4台</w:t>
            </w:r>
          </w:p>
        </w:tc>
      </w:tr>
      <w:tr w14:paraId="50AA7A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B903EE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764032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分布式机</w:t>
            </w:r>
            <w:r>
              <w:rPr>
                <w:rFonts w:hint="eastAsia" w:ascii="仿宋_GB2312" w:hAnsi="仿宋_GB2312" w:eastAsia="仿宋_GB2312" w:cs="仿宋_GB2312"/>
                <w:b w:val="0"/>
                <w:bCs w:val="0"/>
                <w:color w:val="auto"/>
                <w:sz w:val="24"/>
                <w:szCs w:val="24"/>
                <w:lang w:eastAsia="zh-CN"/>
              </w:rPr>
              <w:t>架</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42D9DA22">
            <w:pPr>
              <w:keepNext w:val="0"/>
              <w:keepLines w:val="0"/>
              <w:pageBreakBefore w:val="0"/>
              <w:widowControl/>
              <w:suppressLineNumbers w:val="0"/>
              <w:kinsoku/>
              <w:overflowPunct/>
              <w:topLinePunct w:val="0"/>
              <w:autoSpaceDE/>
              <w:autoSpaceDN/>
              <w:bidi w:val="0"/>
              <w:snapToGrid w:val="0"/>
              <w:spacing w:line="400" w:lineRule="exact"/>
              <w:jc w:val="left"/>
              <w:textAlignment w:val="top"/>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2"/>
                <w:sz w:val="24"/>
                <w:szCs w:val="24"/>
                <w:u w:val="none"/>
                <w:lang w:val="en-US" w:eastAsia="zh-CN" w:bidi="ar-SA"/>
              </w:rPr>
              <w:t>标准机柜分布式输入输出节点集中安装支架，节约空间。每个机架可装8-10个不同类型的分布式节点</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5F693F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4AFC2C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914F99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4EB546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千兆交换机</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62E843E">
            <w:pPr>
              <w:keepNext w:val="0"/>
              <w:keepLines w:val="0"/>
              <w:pageBreakBefore w:val="0"/>
              <w:widowControl/>
              <w:numPr>
                <w:ilvl w:val="0"/>
                <w:numId w:val="0"/>
              </w:numPr>
              <w:kinsoku/>
              <w:overflowPunct/>
              <w:topLinePunct w:val="0"/>
              <w:autoSpaceDE/>
              <w:autoSpaceDN/>
              <w:bidi w:val="0"/>
              <w:snapToGrid w:val="0"/>
              <w:spacing w:line="400" w:lineRule="exact"/>
              <w:jc w:val="left"/>
              <w:textAlignment w:val="top"/>
              <w:rPr>
                <w:rFonts w:hint="eastAsia" w:ascii="仿宋_GB2312" w:hAnsi="仿宋_GB2312" w:eastAsia="仿宋_GB2312" w:cs="仿宋_GB2312"/>
                <w:color w:val="auto"/>
                <w:kern w:val="0"/>
                <w:sz w:val="24"/>
                <w:szCs w:val="24"/>
                <w:lang w:bidi="ar"/>
              </w:rPr>
            </w:pPr>
            <w:r>
              <w:rPr>
                <w:rFonts w:hint="eastAsia" w:ascii="仿宋_GB2312" w:hAnsi="仿宋_GB2312" w:eastAsia="仿宋_GB2312" w:cs="仿宋_GB2312"/>
                <w:color w:val="auto"/>
                <w:kern w:val="0"/>
                <w:sz w:val="24"/>
                <w:szCs w:val="24"/>
                <w:lang w:val="en-US" w:eastAsia="zh-CN" w:bidi="ar"/>
              </w:rPr>
              <w:t>1.</w:t>
            </w:r>
            <w:r>
              <w:rPr>
                <w:rFonts w:hint="eastAsia" w:ascii="仿宋_GB2312" w:hAnsi="仿宋_GB2312" w:eastAsia="仿宋_GB2312" w:cs="仿宋_GB2312"/>
                <w:color w:val="auto"/>
                <w:kern w:val="0"/>
                <w:sz w:val="24"/>
                <w:szCs w:val="24"/>
                <w:lang w:bidi="ar"/>
              </w:rPr>
              <w:t>二层网管交换机，交换容量336Gbps，包转发率42Mpps</w:t>
            </w:r>
            <w:r>
              <w:rPr>
                <w:rFonts w:hint="eastAsia" w:ascii="仿宋_GB2312" w:hAnsi="仿宋_GB2312" w:eastAsia="仿宋_GB2312" w:cs="仿宋_GB2312"/>
                <w:color w:val="auto"/>
                <w:kern w:val="0"/>
                <w:sz w:val="24"/>
                <w:szCs w:val="24"/>
                <w:lang w:eastAsia="zh-CN" w:bidi="ar"/>
              </w:rPr>
              <w:t>；</w:t>
            </w:r>
          </w:p>
          <w:p w14:paraId="697755CE">
            <w:pPr>
              <w:keepNext w:val="0"/>
              <w:keepLines w:val="0"/>
              <w:pageBreakBefore w:val="0"/>
              <w:widowControl/>
              <w:numPr>
                <w:ilvl w:val="0"/>
                <w:numId w:val="0"/>
              </w:numPr>
              <w:kinsoku/>
              <w:overflowPunct/>
              <w:topLinePunct w:val="0"/>
              <w:autoSpaceDE/>
              <w:autoSpaceDN/>
              <w:bidi w:val="0"/>
              <w:snapToGrid w:val="0"/>
              <w:spacing w:line="400" w:lineRule="exact"/>
              <w:jc w:val="left"/>
              <w:textAlignment w:val="top"/>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0"/>
                <w:sz w:val="24"/>
                <w:szCs w:val="24"/>
                <w:lang w:val="en-US" w:eastAsia="zh-CN" w:bidi="ar"/>
              </w:rPr>
              <w:t>2.</w:t>
            </w:r>
            <w:r>
              <w:rPr>
                <w:rFonts w:hint="eastAsia" w:ascii="仿宋_GB2312" w:hAnsi="仿宋_GB2312" w:eastAsia="仿宋_GB2312" w:cs="仿宋_GB2312"/>
                <w:color w:val="auto"/>
                <w:kern w:val="0"/>
                <w:sz w:val="24"/>
                <w:szCs w:val="24"/>
                <w:lang w:bidi="ar"/>
              </w:rPr>
              <w:t>24口10/100/1000Mbps自适应电口交换机，固化4个SFP千兆光口</w:t>
            </w:r>
            <w:r>
              <w:rPr>
                <w:rFonts w:hint="eastAsia" w:ascii="仿宋_GB2312" w:hAnsi="仿宋_GB2312" w:eastAsia="仿宋_GB2312" w:cs="仿宋_GB2312"/>
                <w:color w:val="auto"/>
                <w:kern w:val="0"/>
                <w:sz w:val="24"/>
                <w:szCs w:val="24"/>
                <w:lang w:eastAsia="zh-CN" w:bidi="ar"/>
              </w:rPr>
              <w:t>；</w:t>
            </w:r>
          </w:p>
          <w:p w14:paraId="3038F080">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color w:val="auto"/>
                <w:kern w:val="0"/>
                <w:sz w:val="24"/>
                <w:szCs w:val="24"/>
                <w:lang w:eastAsia="zh-CN" w:bidi="ar"/>
              </w:rPr>
            </w:pPr>
            <w:r>
              <w:rPr>
                <w:rFonts w:hint="eastAsia" w:ascii="仿宋_GB2312" w:hAnsi="仿宋_GB2312" w:eastAsia="仿宋_GB2312" w:cs="仿宋_GB2312"/>
                <w:color w:val="auto"/>
                <w:kern w:val="0"/>
                <w:sz w:val="24"/>
                <w:szCs w:val="24"/>
                <w:lang w:val="en-US" w:eastAsia="zh-CN" w:bidi="ar"/>
              </w:rPr>
              <w:t>3.</w:t>
            </w:r>
            <w:r>
              <w:rPr>
                <w:rFonts w:hint="eastAsia" w:ascii="仿宋_GB2312" w:hAnsi="仿宋_GB2312" w:eastAsia="仿宋_GB2312" w:cs="仿宋_GB2312"/>
                <w:color w:val="auto"/>
                <w:kern w:val="0"/>
                <w:sz w:val="24"/>
                <w:szCs w:val="24"/>
                <w:lang w:bidi="ar"/>
              </w:rPr>
              <w:t>支持VLAN、ACL、端口镜像、端口聚合等功能</w:t>
            </w:r>
            <w:r>
              <w:rPr>
                <w:rFonts w:hint="eastAsia" w:ascii="仿宋_GB2312" w:hAnsi="仿宋_GB2312" w:eastAsia="仿宋_GB2312" w:cs="仿宋_GB2312"/>
                <w:color w:val="auto"/>
                <w:kern w:val="0"/>
                <w:sz w:val="24"/>
                <w:szCs w:val="24"/>
                <w:lang w:eastAsia="zh-CN" w:bidi="ar"/>
              </w:rPr>
              <w:t>；</w:t>
            </w:r>
          </w:p>
          <w:p w14:paraId="57DEC7D9">
            <w:pPr>
              <w:pStyle w:val="2"/>
              <w:numPr>
                <w:ilvl w:val="0"/>
                <w:numId w:val="0"/>
              </w:numPr>
              <w:rPr>
                <w:rFonts w:hint="eastAsia"/>
                <w:color w:val="auto"/>
              </w:rPr>
            </w:pPr>
            <w:r>
              <w:rPr>
                <w:rFonts w:hint="eastAsia" w:ascii="Times New Roman" w:hAnsi="Times New Roman" w:eastAsia="宋体" w:cs="Times New Roman"/>
                <w:color w:val="auto"/>
                <w:kern w:val="2"/>
                <w:sz w:val="21"/>
                <w:szCs w:val="24"/>
                <w:lang w:val="en-US" w:eastAsia="zh-CN" w:bidi="ar-SA"/>
              </w:rPr>
              <w:t>4.</w:t>
            </w:r>
            <w:r>
              <w:rPr>
                <w:rFonts w:hint="eastAsia" w:ascii="仿宋_GB2312" w:hAnsi="仿宋_GB2312" w:eastAsia="仿宋_GB2312" w:cs="仿宋_GB2312"/>
                <w:color w:val="auto"/>
                <w:kern w:val="0"/>
                <w:sz w:val="24"/>
                <w:szCs w:val="24"/>
                <w:lang w:val="en-US" w:eastAsia="zh-CN" w:bidi="ar"/>
              </w:rPr>
              <w:t>支持POE供电。</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6E6BC6E">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1台</w:t>
            </w:r>
          </w:p>
        </w:tc>
      </w:tr>
      <w:tr w14:paraId="6E4F52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7E1F32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88D664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路由器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7D2A42D">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1.Wi-Fi：IEEE 802.11a/b/g/n/ac/ax无线协议，Wi-Fi多频合一，最高无线速率5378Mbps（2.4GHz 574Mbps，5G1 2402Mbps，5G2 2402Mbps*）；</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2.端口：4个10/100/1000Mbps速率自适应WAN/LAN自适应口；1个2.5Gbps速率自适应SFP接口，支持WAN/LAN自适应（网口盲插）；</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3.外置全向天线：2根2.4G天线，4根5G天线；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4.软件功能：信号调节、终端管理、IP与MAC地址绑定、AP隔离、虚拟服务器、动态域名服务（DDNS）、DMZ主机、自动清理、无线定时开关、端口自定义、频段自定义、本地在线/本地固件/远程升级；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5.管理：电脑/手机/Pad Web管理，手机APP管理；</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6.安全：WPA-PSK、WPA2-PSK、WPA3无线加密，主人网络、访客网络，管理员身份限定。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9417F72">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1台</w:t>
            </w:r>
          </w:p>
        </w:tc>
      </w:tr>
      <w:tr w14:paraId="00837F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C1E0AC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DECCE5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控制平板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87D6ED6">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1.屏幕尺寸：≥11英寸</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2.屏幕分辨率：≥2560*1600</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3.屏幕刷新率：≥120Hz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4.运行内存：≥8G</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 xml:space="preserve">5.储存容量：≥128G </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6.电池容量：≥7200mAh(典型值)</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7.WLAN 频率：2.4GHz和5GHz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8.CPU核数：八核</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9.CPU内核主频：≥2.0GHz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10.编程控制整个可视化智能中控系统。</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D8ABA07">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1台</w:t>
            </w:r>
          </w:p>
        </w:tc>
      </w:tr>
      <w:tr w14:paraId="7F85A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A9A023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54D1B5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智慧电源管理器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A9E699B">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i w:val="0"/>
                <w:iCs w:val="0"/>
                <w:color w:val="auto"/>
                <w:kern w:val="0"/>
                <w:sz w:val="24"/>
                <w:szCs w:val="24"/>
                <w:u w:val="none"/>
                <w:lang w:val="en-US" w:eastAsia="zh-CN" w:bidi="ar"/>
              </w:rPr>
              <w:t>一、功能指标：</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本机基于网络与物联运维平台进行深度互联互通，并进行数字平台化集中管控作业；基于物联运维Web平台自动化执行访问业务功能，实时生成可视化系统链路拓扑图，可视化链路拓扑图中本机图标可一键进入执行对本机深度管控业务；基于物联运维Web平台执行多项数据的监测监控，包括但不限于本机在线/离线状态、电流、电压、功率、温度、用电量、运行时长与三相平衡等工作状态监测，多种异常情况自动报警，显示报警原因并自动上传报警日志至云端，在手机和电脑可远程实时监控；具备多项电气参数预设：包括但不限于输入电压过压和欠压阈值，每路输出单独设置电流、功率、温度断电阈值，超阈值范围报警，自动识别未正常工作设备，可选择是否断开输出；系统耗电量可自动生成功率走势图，可实时查看耗电情况；具备自定义选择输出通道定时开启和关闭，可自定义任意通道开关顺序，一键自定义顺序开关，可单次执行，也可循环执行；基于物联运维Web平台自动识别本机型号，执行修改本机名称和ID以及固件升级。必须保证接入本项目（智慧物联管理平台）实现以上全部管控和监测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2.本机具备多台组网运行功能，所有组网设备一键开关，保存所有当前开关状态为场景，可保存多个场景，开关状态可一键恢复；</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3.手机和平板APP在线可对本机管控，包含但不限于一键开关、并机运行、场景保存、定时控制、参数监测、报警管理、安全设置等操作管理。</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4.本机可开启和关闭远程操作，防止远端误操作；</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5.本机支持第三方协议控制通道开关,可以通过RS485向设备发送通讯协议控制设备通道开关；</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二、性能指标：</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1.输入接口不少于：1路三相五线制（AC 380 ±10％）；</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b/>
                <w:bCs/>
                <w:color w:val="auto"/>
                <w:szCs w:val="21"/>
              </w:rPr>
              <w:t>◆</w:t>
            </w:r>
            <w:r>
              <w:rPr>
                <w:rFonts w:hint="eastAsia" w:ascii="仿宋_GB2312" w:hAnsi="仿宋_GB2312" w:eastAsia="仿宋_GB2312" w:cs="仿宋_GB2312"/>
                <w:i w:val="0"/>
                <w:iCs w:val="0"/>
                <w:color w:val="auto"/>
                <w:kern w:val="0"/>
                <w:sz w:val="24"/>
                <w:szCs w:val="24"/>
                <w:u w:val="none"/>
                <w:lang w:val="en-US" w:eastAsia="zh-CN" w:bidi="ar"/>
              </w:rPr>
              <w:t>2.输出：不少于12路独立输出，每路相电压AC 220V±10％，每路带载≥4kW，12路输出最大可带载≥48kW；</w:t>
            </w:r>
            <w:r>
              <w:rPr>
                <w:rFonts w:hint="eastAsia" w:ascii="仿宋_GB2312" w:hAnsi="仿宋_GB2312" w:eastAsia="仿宋_GB2312" w:cs="仿宋_GB2312"/>
                <w:i w:val="0"/>
                <w:iCs w:val="0"/>
                <w:color w:val="auto"/>
                <w:kern w:val="0"/>
                <w:sz w:val="24"/>
                <w:szCs w:val="24"/>
                <w:highlight w:val="yellow"/>
                <w:u w:val="wave"/>
                <w:lang w:val="en-US" w:eastAsia="zh-CN" w:bidi="ar"/>
              </w:rPr>
              <w:t>每路输出配有液压电磁式≥19A断路器</w:t>
            </w:r>
            <w:r>
              <w:rPr>
                <w:rFonts w:hint="eastAsia" w:ascii="仿宋_GB2312" w:hAnsi="仿宋_GB2312" w:eastAsia="仿宋_GB2312" w:cs="仿宋_GB2312"/>
                <w:i w:val="0"/>
                <w:iCs w:val="0"/>
                <w:color w:val="auto"/>
                <w:kern w:val="0"/>
                <w:sz w:val="24"/>
                <w:szCs w:val="24"/>
                <w:u w:val="none"/>
                <w:lang w:val="en-US" w:eastAsia="zh-CN" w:bidi="ar"/>
              </w:rPr>
              <w:t>，断路器可提供过载，短路保护；</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3.中控接口不少于：1路RS485;</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4.外网接口不少于：1路RJ45；</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5.触摸控制显示屏不小于：2.8英寸，亮度可调节，可触摸操控本机；</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6.显示屏显示功能需包含：设备状态、日期、通道状态、每路漏电、过压、过载等告警状态，方便本地直观管控。</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2242BA4">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1套</w:t>
            </w:r>
          </w:p>
        </w:tc>
      </w:tr>
      <w:tr w14:paraId="4D4126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058B9E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2D3716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无线投屏器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EB8E6E0">
            <w:pPr>
              <w:keepNext w:val="0"/>
              <w:keepLines w:val="0"/>
              <w:pageBreakBefore w:val="0"/>
              <w:widowControl/>
              <w:numPr>
                <w:ilvl w:val="0"/>
                <w:numId w:val="1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发射器HDMI输入</w:t>
            </w:r>
          </w:p>
          <w:p w14:paraId="67494854">
            <w:pPr>
              <w:keepNext w:val="0"/>
              <w:keepLines w:val="0"/>
              <w:pageBreakBefore w:val="0"/>
              <w:widowControl/>
              <w:numPr>
                <w:ilvl w:val="0"/>
                <w:numId w:val="1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i w:val="0"/>
                <w:iCs w:val="0"/>
                <w:color w:val="auto"/>
                <w:kern w:val="0"/>
                <w:sz w:val="24"/>
                <w:szCs w:val="24"/>
                <w:u w:val="none"/>
                <w:lang w:val="en-US" w:eastAsia="zh-CN" w:bidi="ar"/>
              </w:rPr>
              <w:t>接收器HDMI输出</w:t>
            </w:r>
          </w:p>
          <w:p w14:paraId="2E7A6F44">
            <w:pPr>
              <w:keepNext w:val="0"/>
              <w:keepLines w:val="0"/>
              <w:pageBreakBefore w:val="0"/>
              <w:widowControl/>
              <w:numPr>
                <w:ilvl w:val="0"/>
                <w:numId w:val="1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无线连接</w:t>
            </w:r>
            <w:r>
              <w:rPr>
                <w:rFonts w:hint="eastAsia" w:ascii="仿宋_GB2312" w:hAnsi="仿宋_GB2312" w:eastAsia="仿宋_GB2312" w:cs="仿宋_GB2312"/>
                <w:color w:val="auto"/>
                <w:sz w:val="24"/>
                <w:szCs w:val="24"/>
                <w:lang w:val="en-US" w:eastAsia="zh-CN"/>
              </w:rPr>
              <w:t>：支持扩展屏，支持u盘播放，支持手机电脑投屏</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8A6B662">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1台</w:t>
            </w:r>
          </w:p>
        </w:tc>
      </w:tr>
      <w:tr w14:paraId="568B75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47D11E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CAA1FA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bookmarkStart w:id="25" w:name="OLE_LINK69"/>
            <w:r>
              <w:rPr>
                <w:rFonts w:hint="eastAsia" w:ascii="仿宋_GB2312" w:hAnsi="仿宋_GB2312" w:eastAsia="仿宋_GB2312" w:cs="仿宋_GB2312"/>
                <w:b w:val="0"/>
                <w:bCs w:val="0"/>
                <w:color w:val="auto"/>
                <w:sz w:val="24"/>
                <w:szCs w:val="24"/>
              </w:rPr>
              <w:t>互动一体机</w:t>
            </w:r>
            <w:bookmarkEnd w:id="25"/>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87BDA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一、数字化教研管理：</w:t>
            </w:r>
          </w:p>
          <w:p w14:paraId="7A242A4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整机配备基于数据分析的教研数字化管理平台，支持学校管理教学教研流程，包括教学计划、集体备课、听课评课、班级氛围、校本资源建设，同时收集数据反馈和评价。同时支持教师管理个人教学教研活动并进行数据采集分析。</w:t>
            </w:r>
          </w:p>
          <w:p w14:paraId="195F0AE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二）备课数据查看：支持查看全校教案总数、教师课件总数、校本教案及校本课件总数。同时支持按本周、本月、自定义时间段查看教案、课件等制作数量的排行，查看全校教师的教案、课件、校本教案/课件/微课，进行教案、课件及校本教案/课件/微课检查，让管理者总览全校教案、课件、微课编写制作情况，支持一键导出资源统计数据表格。</w:t>
            </w:r>
          </w:p>
          <w:p w14:paraId="019F639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集体备课数据详情查看：全校集体备课数据统一汇总，支持按照集体备课记录和教师集备记录两个维度查看集备数据。集体备课记录数据包含集备名称、主备人、学科、年级、章节、稿数、参备老师、评论数、批注数等数据，了解集体备课活动的开展和参与情况。</w:t>
            </w:r>
          </w:p>
          <w:p w14:paraId="43C400F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四）听课评课数据详情：全校听评课数据统一汇总，数据包含全校本月评课节数，本月评课次数，累计评课节数和累计评课次数，了解听评课教研活动的开展情况。支持按评课人数/评课平均分查看全校排行详细数据。</w:t>
            </w:r>
          </w:p>
          <w:p w14:paraId="0E8E70B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（五）</w:t>
            </w:r>
            <w:r>
              <w:rPr>
                <w:rFonts w:hint="eastAsia" w:ascii="仿宋_GB2312" w:hAnsi="仿宋_GB2312" w:eastAsia="仿宋_GB2312" w:cs="仿宋_GB2312"/>
                <w:color w:val="auto"/>
                <w:sz w:val="24"/>
                <w:szCs w:val="24"/>
                <w:u w:val="none"/>
              </w:rPr>
              <w:t>平台支持将信息化教学数据</w:t>
            </w:r>
            <w:r>
              <w:rPr>
                <w:rFonts w:hint="eastAsia" w:ascii="仿宋_GB2312" w:hAnsi="仿宋_GB2312" w:eastAsia="仿宋_GB2312" w:cs="仿宋_GB2312"/>
                <w:color w:val="auto"/>
                <w:sz w:val="24"/>
                <w:szCs w:val="24"/>
                <w:u w:val="none"/>
                <w:lang w:eastAsia="zh-CN"/>
              </w:rPr>
              <w:t>分</w:t>
            </w:r>
            <w:r>
              <w:rPr>
                <w:rFonts w:hint="eastAsia" w:ascii="仿宋_GB2312" w:hAnsi="仿宋_GB2312" w:eastAsia="仿宋_GB2312" w:cs="仿宋_GB2312"/>
                <w:color w:val="auto"/>
                <w:sz w:val="24"/>
                <w:szCs w:val="24"/>
                <w:u w:val="none"/>
                <w:lang w:val="en-US" w:eastAsia="zh-CN"/>
              </w:rPr>
              <w:t>4</w:t>
            </w:r>
            <w:r>
              <w:rPr>
                <w:rFonts w:hint="eastAsia" w:ascii="仿宋_GB2312" w:hAnsi="仿宋_GB2312" w:eastAsia="仿宋_GB2312" w:cs="仿宋_GB2312"/>
                <w:color w:val="auto"/>
                <w:sz w:val="24"/>
                <w:szCs w:val="24"/>
                <w:u w:val="none"/>
              </w:rPr>
              <w:t>个维度进行评</w:t>
            </w:r>
            <w:r>
              <w:rPr>
                <w:rFonts w:hint="eastAsia" w:ascii="仿宋_GB2312" w:hAnsi="仿宋_GB2312" w:eastAsia="仿宋_GB2312" w:cs="仿宋_GB2312"/>
                <w:color w:val="auto"/>
                <w:sz w:val="24"/>
                <w:szCs w:val="24"/>
              </w:rPr>
              <w:t>估，分别为资源建设、校本研修、校影响力、学情分析及班级氛围；支持通过多维度分析学校的信息化教学应用情况，综合评估出信息化指数，并与全省均值对比。</w:t>
            </w:r>
          </w:p>
          <w:p w14:paraId="5EBBA6B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六）展示本校最新教研动态，包括集体备课、听课评课、校本资源建设动态，了解学校的教研最新进展。展示本校教师产生的云课件、云教案数量，及校本资源库建设情况。通过榜单直观呈现教师产出的课件/教案被获取数，教师评价有根源。</w:t>
            </w:r>
          </w:p>
          <w:p w14:paraId="10386CA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二、整机系统设计</w:t>
            </w:r>
          </w:p>
          <w:p w14:paraId="5361048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（一）电脑系统</w:t>
            </w:r>
          </w:p>
          <w:p w14:paraId="6396D10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w:t>
            </w:r>
            <w:r>
              <w:rPr>
                <w:rFonts w:hint="eastAsia" w:ascii="仿宋_GB2312" w:hAnsi="仿宋_GB2312" w:eastAsia="仿宋_GB2312" w:cs="仿宋_GB2312"/>
                <w:color w:val="auto"/>
                <w:sz w:val="24"/>
                <w:szCs w:val="24"/>
                <w:lang w:val="en-US" w:eastAsia="zh-CN"/>
              </w:rPr>
              <w:t>12</w:t>
            </w:r>
            <w:r>
              <w:rPr>
                <w:rFonts w:hint="eastAsia" w:ascii="仿宋_GB2312" w:hAnsi="仿宋_GB2312" w:eastAsia="仿宋_GB2312" w:cs="仿宋_GB2312"/>
                <w:color w:val="auto"/>
                <w:sz w:val="24"/>
                <w:szCs w:val="24"/>
              </w:rPr>
              <w:t>线程，主频≥2.0GHz，末级缓存≥</w:t>
            </w:r>
            <w:r>
              <w:rPr>
                <w:rFonts w:hint="eastAsia" w:ascii="仿宋_GB2312" w:hAnsi="仿宋_GB2312" w:eastAsia="仿宋_GB2312" w:cs="仿宋_GB2312"/>
                <w:color w:val="auto"/>
                <w:sz w:val="24"/>
                <w:szCs w:val="24"/>
                <w:lang w:val="en-US" w:eastAsia="zh-CN"/>
              </w:rPr>
              <w:t>12</w:t>
            </w:r>
            <w:r>
              <w:rPr>
                <w:rFonts w:hint="eastAsia" w:ascii="仿宋_GB2312" w:hAnsi="仿宋_GB2312" w:eastAsia="仿宋_GB2312" w:cs="仿宋_GB2312"/>
                <w:color w:val="auto"/>
                <w:sz w:val="24"/>
                <w:szCs w:val="24"/>
              </w:rPr>
              <w:t>M，内存≥双通道DDR4-2666M，位宽≥64位。</w:t>
            </w:r>
          </w:p>
          <w:p w14:paraId="0EEFCD8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2.内存：</w:t>
            </w:r>
            <w:r>
              <w:rPr>
                <w:rFonts w:hint="eastAsia" w:ascii="仿宋_GB2312" w:hAnsi="仿宋_GB2312" w:eastAsia="仿宋_GB2312" w:cs="仿宋_GB2312"/>
                <w:color w:val="auto"/>
                <w:sz w:val="24"/>
                <w:szCs w:val="24"/>
                <w:lang w:val="en-US" w:eastAsia="zh-CN"/>
              </w:rPr>
              <w:t>16</w:t>
            </w:r>
            <w:r>
              <w:rPr>
                <w:rFonts w:hint="eastAsia" w:ascii="仿宋_GB2312" w:hAnsi="仿宋_GB2312" w:eastAsia="仿宋_GB2312" w:cs="仿宋_GB2312"/>
                <w:color w:val="auto"/>
                <w:sz w:val="24"/>
                <w:szCs w:val="24"/>
              </w:rPr>
              <w:t>GB DDR4笔记本内存或以上配置。</w:t>
            </w:r>
          </w:p>
          <w:p w14:paraId="2DDDAD2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3.硬盘：512GB或以上SSD固态硬盘。</w:t>
            </w:r>
          </w:p>
          <w:p w14:paraId="0F33DCB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4.PC模块可抽拉式插入整机，可实现无单独接线的插拔，和整机的连接采用万兆级接口，传输速率≥10Gbps。</w:t>
            </w:r>
          </w:p>
          <w:p w14:paraId="7916AB1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5.采用按压式卡扣，无需工具就可快速拆卸电脑模块。</w:t>
            </w:r>
          </w:p>
          <w:p w14:paraId="186CD5E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6.PC模块的USB接口须为冗余备份接口，在正常使用整机的内置摄像头、内置麦克风功能时，USB接口不被占用，确保教师有足够的接口外接存储设备及显示设备。</w:t>
            </w:r>
          </w:p>
          <w:p w14:paraId="0E3E7C8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7.具有独立非外扩展的视频输出接口：≥1路HDMI。</w:t>
            </w:r>
          </w:p>
          <w:p w14:paraId="10799BA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8.具有独立非外拓展的电脑USB接口：至少具备3个USB3.0 接口。</w:t>
            </w:r>
          </w:p>
          <w:p w14:paraId="02F0AC1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9.整机具备供电保护模块，能够检测内置电脑是否插好在位，在内置电脑未在位的情况下，内置电脑无法上电工作。</w:t>
            </w:r>
          </w:p>
          <w:p w14:paraId="16DEDA29">
            <w:pPr>
              <w:pStyle w:val="2"/>
              <w:ind w:left="0" w:leftChars="0" w:firstLine="0" w:firstLineChars="0"/>
              <w:rPr>
                <w:rFonts w:hint="default" w:eastAsia="仿宋_GB2312"/>
                <w:color w:val="auto"/>
                <w:lang w:val="en-US" w:eastAsia="zh-CN"/>
              </w:rPr>
            </w:pPr>
            <w:r>
              <w:rPr>
                <w:rFonts w:hint="eastAsia" w:ascii="仿宋_GB2312" w:hAnsi="仿宋_GB2312" w:eastAsia="仿宋_GB2312" w:cs="仿宋_GB2312"/>
                <w:color w:val="auto"/>
                <w:sz w:val="24"/>
                <w:szCs w:val="24"/>
                <w:lang w:val="en-US" w:eastAsia="zh-CN"/>
              </w:rPr>
              <w:t>10.</w:t>
            </w:r>
            <w:r>
              <w:rPr>
                <w:rFonts w:hint="eastAsia" w:ascii="仿宋_GB2312" w:hAnsi="仿宋_GB2312" w:eastAsia="仿宋_GB2312" w:cs="仿宋_GB2312"/>
                <w:color w:val="auto"/>
                <w:kern w:val="0"/>
                <w:sz w:val="24"/>
                <w:szCs w:val="24"/>
                <w:highlight w:val="none"/>
                <w:lang w:val="en-US" w:eastAsia="zh-CN" w:bidi="ar"/>
              </w:rPr>
              <w:t>含正版操作系统及提供功能至少有文字处理、电子表格、演示文稿三大应用模块的办公软件，授权≥3年。</w:t>
            </w:r>
          </w:p>
          <w:p w14:paraId="4EFE24D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（二）触摸系统</w:t>
            </w:r>
          </w:p>
          <w:p w14:paraId="6C96F68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1.采用红外触控技术，支持Windows系统中进行≥40点触控，支持在Android系统中进行≥30点触控。</w:t>
            </w:r>
          </w:p>
          <w:p w14:paraId="4C70853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2.整机屏幕触摸有效识别高度不超过1.5mm，即触摸物体距离玻璃外表面高度不超过1.5mm时，触摸屏识别为点击操作。</w:t>
            </w:r>
          </w:p>
          <w:p w14:paraId="687C6C4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3.整机触控书写功能集成预测算法，在书写速度≥50cm/s，支持笔迹距离笔的距离小于20mm。</w:t>
            </w:r>
          </w:p>
          <w:p w14:paraId="1BA0F6B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4.整机系统支持书写触控延迟≤30ms。</w:t>
            </w:r>
          </w:p>
          <w:p w14:paraId="2951D66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5.整机支持提笔书写，在Windows系统下可实现无需点击任意功能入口，当检测到红外笔笔尖接触屏幕时，自动进入书写模式，且触摸最小识别物≤3.2mm。</w:t>
            </w:r>
          </w:p>
          <w:p w14:paraId="4444557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6.支持智能板擦功能，系统可根据触控物体的形状自动识别出实物板擦，可擦除电子白板中的内容，无需依赖外部电子设备。</w:t>
            </w:r>
          </w:p>
          <w:p w14:paraId="5F790F0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7.支持Windows </w:t>
            </w: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 xml:space="preserve">Windows </w:t>
            </w: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 xml:space="preserve">Windows </w:t>
            </w: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 xml:space="preserve">Windows </w:t>
            </w:r>
            <w:r>
              <w:rPr>
                <w:rFonts w:hint="eastAsia" w:ascii="仿宋_GB2312" w:hAnsi="仿宋_GB2312" w:eastAsia="仿宋_GB2312" w:cs="仿宋_GB2312"/>
                <w:color w:val="auto"/>
                <w:sz w:val="24"/>
                <w:szCs w:val="24"/>
                <w:lang w:eastAsia="zh-CN"/>
              </w:rPr>
              <w:t>11、</w:t>
            </w:r>
            <w:r>
              <w:rPr>
                <w:rFonts w:hint="eastAsia" w:ascii="仿宋_GB2312" w:hAnsi="仿宋_GB2312" w:eastAsia="仿宋_GB2312" w:cs="仿宋_GB2312"/>
                <w:color w:val="auto"/>
                <w:sz w:val="24"/>
                <w:szCs w:val="24"/>
              </w:rPr>
              <w:t>Linux、Mac Os、UOS和麒麟系统外置电脑操作系统接入时，无需安装触摸驱动。</w:t>
            </w:r>
          </w:p>
          <w:p w14:paraId="3FBEC24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8.整机触摸支持动态压力感应，支持无任何电子功能的普通书写笔在整机上书写或点压时，整机能感应压力变化，书写或点压过程笔迹呈现不同粗细。</w:t>
            </w:r>
          </w:p>
          <w:p w14:paraId="5314B87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（三）嵌入式系统</w:t>
            </w:r>
          </w:p>
          <w:p w14:paraId="007ECDC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1.嵌入式系统版本不低于Android1</w:t>
            </w: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，内存≥2GB，</w:t>
            </w:r>
            <w:r>
              <w:rPr>
                <w:rFonts w:hint="eastAsia" w:ascii="仿宋_GB2312" w:hAnsi="仿宋_GB2312" w:eastAsia="仿宋_GB2312" w:cs="仿宋_GB2312"/>
                <w:color w:val="auto"/>
                <w:sz w:val="24"/>
                <w:szCs w:val="24"/>
                <w:u w:val="none"/>
                <w:lang w:val="en-US" w:eastAsia="zh-CN"/>
              </w:rPr>
              <w:t>主频≥1.8GHz</w:t>
            </w:r>
            <w:r>
              <w:rPr>
                <w:rFonts w:hint="eastAsia" w:ascii="仿宋_GB2312" w:hAnsi="仿宋_GB2312" w:eastAsia="仿宋_GB2312" w:cs="仿宋_GB2312"/>
                <w:color w:val="auto"/>
                <w:sz w:val="24"/>
                <w:szCs w:val="24"/>
                <w:u w:val="wave"/>
                <w:lang w:val="en-US" w:eastAsia="zh-CN"/>
              </w:rPr>
              <w:t>，</w:t>
            </w:r>
            <w:r>
              <w:rPr>
                <w:rFonts w:hint="eastAsia" w:ascii="仿宋_GB2312" w:hAnsi="仿宋_GB2312" w:eastAsia="仿宋_GB2312" w:cs="仿宋_GB2312"/>
                <w:color w:val="auto"/>
                <w:sz w:val="24"/>
                <w:szCs w:val="24"/>
              </w:rPr>
              <w:t>存储空间≥8GB。</w:t>
            </w:r>
          </w:p>
          <w:p w14:paraId="6AB3B95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2.嵌入式Android操作系统下，白板支持对已经书写的笔迹和形状的颜色进行更换。</w:t>
            </w:r>
          </w:p>
          <w:p w14:paraId="2C9C60F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3.在嵌入式系统下使用白板软件时，整机可自行调节屏幕亮度</w:t>
            </w:r>
          </w:p>
          <w:p w14:paraId="3930029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4.嵌入式Android操作系统下，互动白板支持不同背景颜色，同时提供学科背景，如：五线谱、信纸、田字格、英文格、篮球和足球场地平面图。</w:t>
            </w:r>
          </w:p>
          <w:p w14:paraId="4686023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无PC状态下，嵌入式系统内置互动白板支持十笔书写及手掌擦除（手掌擦除面积根据手掌与屏幕的接触面大小自动调整），白板书写内容可以PDF、IWB和SVG格式导出。支持10种以上平面图形工具。支持8种以上立体图形工具。</w:t>
            </w:r>
          </w:p>
          <w:p w14:paraId="4885452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6.无PC状态下，嵌入式系统内置互动白板支持全局漫游，并能在工具栏中对全局内容进行预览和移动。</w:t>
            </w:r>
          </w:p>
          <w:p w14:paraId="6676D70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7.无PC状态下，嵌入式Android操作系统下可使用白板书写、WPS软件和网页浏览。</w:t>
            </w:r>
          </w:p>
          <w:p w14:paraId="2CF4BBF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三、整机屏幕及护眼设计</w:t>
            </w:r>
          </w:p>
          <w:p w14:paraId="1255DFC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（一）整机采用超高清LED液晶显示屏，屏幕尺寸≥86英寸，钢化玻璃表面硬度≥9H，灰度等级≥256级，整机色域覆盖率（NTSC）≥72%，显示比例16:9，分辨率≥3840×2160</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lang w:val="en-US" w:eastAsia="zh-CN"/>
              </w:rPr>
              <w:t>整机尺寸≤1960×1170×104mm。</w:t>
            </w:r>
          </w:p>
          <w:p w14:paraId="2C1D1EB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（二）整机背光系统支持DC调光方式，多级亮度调节，支持白颜色背景下最暗</w:t>
            </w:r>
            <w:r>
              <w:rPr>
                <w:rFonts w:hint="eastAsia" w:ascii="仿宋_GB2312" w:hAnsi="仿宋_GB2312" w:eastAsia="仿宋_GB2312" w:cs="仿宋_GB2312"/>
                <w:color w:val="auto"/>
                <w:sz w:val="24"/>
                <w:szCs w:val="24"/>
                <w:u w:val="none"/>
              </w:rPr>
              <w:t>亮度≤120nit</w:t>
            </w:r>
            <w:r>
              <w:rPr>
                <w:rFonts w:hint="eastAsia" w:ascii="仿宋_GB2312" w:hAnsi="仿宋_GB2312" w:eastAsia="仿宋_GB2312" w:cs="仿宋_GB2312"/>
                <w:color w:val="auto"/>
                <w:sz w:val="24"/>
                <w:szCs w:val="24"/>
              </w:rPr>
              <w:t>，用于提升显示对比度。</w:t>
            </w:r>
          </w:p>
          <w:p w14:paraId="5A36026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（三）整机支持手势上滑调出人工智能画质调节模式（AI-PQ） ，在安卓通道下可根据屏幕内容自动调节画质参数，当屏幕出现人物、建筑、夜景等元素时，自动调整对比度、饱和度、锐利度、色调色相值、高光/阴影。</w:t>
            </w:r>
          </w:p>
          <w:p w14:paraId="3BAE08E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（四）整机蓝光占比（有害蓝光415～455nm能量综合）/（整体蓝光400～500nm能量综合）≤50%。</w:t>
            </w:r>
          </w:p>
          <w:p w14:paraId="1A73DF1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（五）整机支持色彩空间可选，包含标准模式和sRGB模式，在sRGB模式下可做到</w:t>
            </w:r>
            <w:r>
              <w:rPr>
                <w:rFonts w:hint="eastAsia" w:ascii="仿宋_GB2312" w:hAnsi="仿宋_GB2312" w:eastAsia="仿宋_GB2312" w:cs="仿宋_GB2312"/>
                <w:color w:val="auto"/>
                <w:sz w:val="24"/>
                <w:szCs w:val="24"/>
                <w:u w:val="none"/>
              </w:rPr>
              <w:t>高色准△E≤1.2</w:t>
            </w:r>
            <w:r>
              <w:rPr>
                <w:rFonts w:hint="eastAsia" w:ascii="仿宋_GB2312" w:hAnsi="仿宋_GB2312" w:eastAsia="仿宋_GB2312" w:cs="仿宋_GB2312"/>
                <w:color w:val="auto"/>
                <w:sz w:val="24"/>
                <w:szCs w:val="24"/>
              </w:rPr>
              <w:t>。</w:t>
            </w:r>
          </w:p>
          <w:p w14:paraId="11E0EB6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六）整机支持纸质护眼模式，在任意通道任意画面任意软件所在显示内容下可实时调整画面纹理。画面纹理的类型有牛皮纸、素描纸、宣纸、水彩纸、水纹纸。同时支持色温调节和透明度调节；纸质护眼模式下，显示画面各像素点灰度不规则，减少背景干扰。</w:t>
            </w:r>
          </w:p>
          <w:p w14:paraId="0C68802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（七）整机具有一键启用护眼功能，屏幕采用钢化玻璃，具有防眩光效果，支持标准、多媒体和节能三种图像模式调节。</w:t>
            </w:r>
          </w:p>
          <w:p w14:paraId="28F634B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（八）整机采用一体设计，外部无任何可见内部功能模块连接线。整机采用全金属外壳设计，边角采用弧形设计，表面无尖锐边缘或凸起。</w:t>
            </w:r>
          </w:p>
          <w:p w14:paraId="526B946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（九）整机屏幕边缘采用金属圆角包边防护，整机背板采用金属材质，有效屏蔽内部电路器件辐射；防潮耐盐雾蚀锈，适应多种教学环境。</w:t>
            </w:r>
          </w:p>
          <w:p w14:paraId="1DD4DB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四、音频接收及播放功能</w:t>
            </w:r>
          </w:p>
          <w:p w14:paraId="125CBD8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color w:val="auto"/>
              </w:rPr>
              <w:t>★</w:t>
            </w:r>
            <w:r>
              <w:rPr>
                <w:rFonts w:hint="eastAsia" w:ascii="仿宋_GB2312" w:hAnsi="仿宋_GB2312" w:eastAsia="仿宋_GB2312" w:cs="仿宋_GB2312"/>
                <w:color w:val="auto"/>
                <w:sz w:val="24"/>
                <w:szCs w:val="24"/>
              </w:rPr>
              <w:t>（一）整机上边框内</w:t>
            </w:r>
            <w:r>
              <w:rPr>
                <w:rFonts w:hint="eastAsia" w:ascii="仿宋_GB2312" w:hAnsi="仿宋_GB2312" w:eastAsia="仿宋_GB2312" w:cs="仿宋_GB2312"/>
                <w:color w:val="auto"/>
                <w:sz w:val="24"/>
                <w:szCs w:val="24"/>
                <w:lang w:val="en-US" w:eastAsia="zh-CN"/>
              </w:rPr>
              <w:t>内</w:t>
            </w:r>
            <w:r>
              <w:rPr>
                <w:rFonts w:hint="eastAsia" w:ascii="仿宋_GB2312" w:hAnsi="仿宋_GB2312" w:eastAsia="仿宋_GB2312" w:cs="仿宋_GB2312"/>
                <w:color w:val="auto"/>
                <w:sz w:val="24"/>
                <w:szCs w:val="24"/>
              </w:rPr>
              <w:t>置非独立式广角、智能拼接摄像头，采用一体化集成设计，</w:t>
            </w:r>
            <w:r>
              <w:rPr>
                <w:rFonts w:hint="eastAsia" w:ascii="仿宋_GB2312" w:hAnsi="仿宋_GB2312" w:eastAsia="仿宋_GB2312" w:cs="仿宋_GB2312"/>
                <w:color w:val="auto"/>
                <w:sz w:val="24"/>
                <w:szCs w:val="24"/>
                <w:highlight w:val="yellow"/>
                <w:u w:val="wave"/>
              </w:rPr>
              <w:t>摄像头数量≥3个</w:t>
            </w:r>
            <w:r>
              <w:rPr>
                <w:rFonts w:hint="eastAsia" w:ascii="仿宋_GB2312" w:hAnsi="仿宋_GB2312" w:eastAsia="仿宋_GB2312" w:cs="仿宋_GB2312"/>
                <w:color w:val="auto"/>
                <w:sz w:val="24"/>
                <w:szCs w:val="24"/>
              </w:rPr>
              <w:t>。</w:t>
            </w:r>
          </w:p>
          <w:p w14:paraId="7CE1E5D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（二）上边框摄像头的视场角≥141度，水平视场角≥139度，支持输出≥8192×2048分辨率的照片和视频，支持画面畸变矫正功能 。</w:t>
            </w:r>
          </w:p>
          <w:p w14:paraId="5AF4AD8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color w:val="auto"/>
              </w:rPr>
              <w:t>★</w:t>
            </w:r>
            <w:r>
              <w:rPr>
                <w:rFonts w:hint="eastAsia" w:ascii="仿宋_GB2312" w:hAnsi="仿宋_GB2312" w:eastAsia="仿宋_GB2312" w:cs="仿宋_GB2312"/>
                <w:color w:val="auto"/>
                <w:sz w:val="24"/>
                <w:szCs w:val="24"/>
              </w:rPr>
              <w:t>（三）整机内置至少三个摄像头，像素值均≥800万，</w:t>
            </w:r>
            <w:r>
              <w:rPr>
                <w:rFonts w:hint="eastAsia" w:ascii="仿宋_GB2312" w:hAnsi="仿宋_GB2312" w:eastAsia="仿宋_GB2312" w:cs="仿宋_GB2312"/>
                <w:color w:val="auto"/>
                <w:sz w:val="24"/>
                <w:szCs w:val="24"/>
                <w:highlight w:val="yellow"/>
                <w:u w:val="wave"/>
              </w:rPr>
              <w:t>同时输出≥</w:t>
            </w:r>
            <w:r>
              <w:rPr>
                <w:rFonts w:hint="eastAsia" w:ascii="仿宋_GB2312" w:hAnsi="仿宋_GB2312" w:eastAsia="仿宋_GB2312" w:cs="仿宋_GB2312"/>
                <w:color w:val="auto"/>
                <w:sz w:val="24"/>
                <w:szCs w:val="24"/>
                <w:highlight w:val="yellow"/>
                <w:u w:val="wave"/>
                <w:lang w:val="en-US" w:eastAsia="zh-CN"/>
              </w:rPr>
              <w:t>2</w:t>
            </w:r>
            <w:r>
              <w:rPr>
                <w:rFonts w:hint="eastAsia" w:ascii="仿宋_GB2312" w:hAnsi="仿宋_GB2312" w:eastAsia="仿宋_GB2312" w:cs="仿宋_GB2312"/>
                <w:color w:val="auto"/>
                <w:sz w:val="24"/>
                <w:szCs w:val="24"/>
                <w:highlight w:val="yellow"/>
                <w:u w:val="wave"/>
              </w:rPr>
              <w:t>路视频流</w:t>
            </w:r>
            <w:r>
              <w:rPr>
                <w:rFonts w:hint="eastAsia" w:ascii="仿宋_GB2312" w:hAnsi="仿宋_GB2312" w:eastAsia="仿宋_GB2312" w:cs="仿宋_GB2312"/>
                <w:color w:val="auto"/>
                <w:sz w:val="24"/>
                <w:szCs w:val="24"/>
              </w:rPr>
              <w:t>，同时支持课堂远程巡课、课堂教学数据采集、本地画面预览（拍照或视频录制）。</w:t>
            </w:r>
          </w:p>
          <w:p w14:paraId="3A1CE97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（四）具备摄像头工作指示灯，摄像头运行时，有指示灯提示。</w:t>
            </w:r>
          </w:p>
          <w:p w14:paraId="0898656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（五）整机上边框的广角内置非独立的广角高清摄像头，在距离整机1.7米情况下，且拍摄范围可以覆盖摄像头垂直法线左右距离≥4米，可以实现人脸识别。</w:t>
            </w:r>
          </w:p>
          <w:p w14:paraId="4D8AB6C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（六）整机上边框内置非独式广角摄像头和智能拼接摄像头， 均支持3D降噪算法和数字宽动态范围成像WDR技术，支持输出MJPG、 H.264视频格式。</w:t>
            </w:r>
          </w:p>
          <w:p w14:paraId="393A9A5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（七）整机摄像头支持人脸识别、清点人数、随机抽人；识别所有学生，显示标记，然后随机抽选，</w:t>
            </w:r>
            <w:r>
              <w:rPr>
                <w:rFonts w:hint="eastAsia" w:ascii="仿宋_GB2312" w:hAnsi="仿宋_GB2312" w:eastAsia="仿宋_GB2312" w:cs="仿宋_GB2312"/>
                <w:color w:val="auto"/>
                <w:sz w:val="24"/>
                <w:szCs w:val="24"/>
                <w:u w:val="none"/>
              </w:rPr>
              <w:t>同时显示标记≥6</w:t>
            </w:r>
            <w:r>
              <w:rPr>
                <w:rFonts w:hint="eastAsia" w:ascii="仿宋_GB2312" w:hAnsi="仿宋_GB2312" w:eastAsia="仿宋_GB2312" w:cs="仿宋_GB2312"/>
                <w:color w:val="auto"/>
                <w:sz w:val="24"/>
                <w:szCs w:val="24"/>
                <w:u w:val="none"/>
                <w:lang w:val="en-US" w:eastAsia="zh-CN"/>
              </w:rPr>
              <w:t>2</w:t>
            </w:r>
            <w:r>
              <w:rPr>
                <w:rFonts w:hint="eastAsia" w:ascii="仿宋_GB2312" w:hAnsi="仿宋_GB2312" w:eastAsia="仿宋_GB2312" w:cs="仿宋_GB2312"/>
                <w:color w:val="auto"/>
                <w:sz w:val="24"/>
                <w:szCs w:val="24"/>
                <w:u w:val="none"/>
              </w:rPr>
              <w:t>人</w:t>
            </w:r>
            <w:r>
              <w:rPr>
                <w:rFonts w:hint="eastAsia" w:ascii="仿宋_GB2312" w:hAnsi="仿宋_GB2312" w:eastAsia="仿宋_GB2312" w:cs="仿宋_GB2312"/>
                <w:color w:val="auto"/>
                <w:sz w:val="24"/>
                <w:szCs w:val="24"/>
              </w:rPr>
              <w:t>。</w:t>
            </w:r>
          </w:p>
          <w:p w14:paraId="0EBA7C8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（八）整机可选择高级音效设置，支持在左右声道平衡显示范围中进行更改；中低频段显示调节范围125Hz～1KHz，高频段显示调节范围2KHz～16KHz，分贝显示-12dB～12dB调节范围。</w:t>
            </w:r>
          </w:p>
          <w:p w14:paraId="6DE9F7E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（九）整机扬声器在100%音量下，可做到1米处声压级≥88db，10米处声压级≥79dB。</w:t>
            </w:r>
          </w:p>
          <w:p w14:paraId="7664468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u w:val="wave"/>
              </w:rPr>
            </w:pPr>
            <w:r>
              <w:rPr>
                <w:rFonts w:hint="eastAsia"/>
                <w:color w:val="auto"/>
              </w:rPr>
              <w:t>★</w:t>
            </w:r>
            <w:r>
              <w:rPr>
                <w:rFonts w:hint="eastAsia" w:ascii="仿宋_GB2312" w:hAnsi="仿宋_GB2312" w:eastAsia="仿宋_GB2312" w:cs="仿宋_GB2312"/>
                <w:color w:val="auto"/>
                <w:sz w:val="24"/>
                <w:szCs w:val="24"/>
              </w:rPr>
              <w:t>（十）整机内置2.2声道扬声器，位于设备上边框</w:t>
            </w:r>
            <w:r>
              <w:rPr>
                <w:rFonts w:hint="eastAsia" w:ascii="仿宋_GB2312" w:hAnsi="仿宋_GB2312" w:eastAsia="仿宋_GB2312" w:cs="仿宋_GB2312"/>
                <w:color w:val="auto"/>
                <w:sz w:val="24"/>
                <w:szCs w:val="24"/>
                <w:lang w:val="en-US" w:eastAsia="zh-CN"/>
              </w:rPr>
              <w:t>内</w:t>
            </w:r>
            <w:r>
              <w:rPr>
                <w:rFonts w:hint="eastAsia" w:ascii="仿宋_GB2312" w:hAnsi="仿宋_GB2312" w:eastAsia="仿宋_GB2312" w:cs="仿宋_GB2312"/>
                <w:color w:val="auto"/>
                <w:sz w:val="24"/>
                <w:szCs w:val="24"/>
              </w:rPr>
              <w:t>，顶置朝前发声，前朝向≥10W高音扬声器≥2个，上朝向≥20W中低音扬声器≥2个，额定总功率≥60W</w:t>
            </w:r>
            <w:r>
              <w:rPr>
                <w:rFonts w:hint="eastAsia" w:ascii="仿宋_GB2312" w:hAnsi="仿宋_GB2312" w:eastAsia="仿宋_GB2312" w:cs="仿宋_GB2312"/>
                <w:color w:val="auto"/>
                <w:sz w:val="24"/>
                <w:szCs w:val="24"/>
                <w:u w:val="none"/>
              </w:rPr>
              <w:t>。采用缝隙发声技术，</w:t>
            </w:r>
            <w:r>
              <w:rPr>
                <w:rFonts w:hint="eastAsia" w:ascii="仿宋_GB2312" w:hAnsi="仿宋_GB2312" w:eastAsia="仿宋_GB2312" w:cs="仿宋_GB2312"/>
                <w:color w:val="auto"/>
                <w:sz w:val="24"/>
                <w:szCs w:val="24"/>
                <w:highlight w:val="yellow"/>
                <w:u w:val="wave"/>
              </w:rPr>
              <w:t>喇叭采用槽式开口设计≤5.</w:t>
            </w:r>
            <w:r>
              <w:rPr>
                <w:rFonts w:hint="eastAsia" w:ascii="仿宋_GB2312" w:hAnsi="仿宋_GB2312" w:eastAsia="仿宋_GB2312" w:cs="仿宋_GB2312"/>
                <w:color w:val="auto"/>
                <w:sz w:val="24"/>
                <w:szCs w:val="24"/>
                <w:highlight w:val="yellow"/>
                <w:u w:val="wave"/>
                <w:lang w:val="en-US" w:eastAsia="zh-CN"/>
              </w:rPr>
              <w:t>9</w:t>
            </w:r>
            <w:r>
              <w:rPr>
                <w:rFonts w:hint="eastAsia" w:ascii="仿宋_GB2312" w:hAnsi="仿宋_GB2312" w:eastAsia="仿宋_GB2312" w:cs="仿宋_GB2312"/>
                <w:color w:val="auto"/>
                <w:sz w:val="24"/>
                <w:szCs w:val="24"/>
                <w:highlight w:val="yellow"/>
                <w:u w:val="wave"/>
              </w:rPr>
              <w:t>mm。</w:t>
            </w:r>
          </w:p>
          <w:p w14:paraId="31CAF18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（十一）整机内置非独立外扩展的8阵列麦克风，拾音角度≥180°，可用于对教室环境音频进行采集，拾音距离≥10m。</w:t>
            </w:r>
          </w:p>
          <w:p w14:paraId="04BD8ED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（十二）整机PC端支持主动发现蓝牙外设从而连接（无需整机进入发现模式），支持连接外部蓝牙音箱播放音频。</w:t>
            </w:r>
          </w:p>
          <w:p w14:paraId="0C4A8E1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（十三）</w:t>
            </w:r>
            <w:r>
              <w:rPr>
                <w:rFonts w:hint="eastAsia" w:ascii="仿宋_GB2312" w:hAnsi="仿宋_GB2312" w:eastAsia="仿宋_GB2312" w:cs="仿宋_GB2312"/>
                <w:color w:val="auto"/>
                <w:sz w:val="24"/>
                <w:szCs w:val="24"/>
                <w:lang w:val="en-US" w:eastAsia="zh-CN"/>
              </w:rPr>
              <w:t>整机侧边栏内置朗读工具，通过整机麦克风内置音频检测算法监测教室中学生的朗读情况，以游戏化界面反馈学生朗读音量大小，调动学生朗读兴趣。</w:t>
            </w:r>
          </w:p>
          <w:p w14:paraId="1C04F6D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十四）整机内置的阵列麦支持在无任何外部设备的情况下，实时录制用户朗读内容，识别用户声纹并进行统一身份登录操作，登录后自动获取个人云端教学课件列表，打开教学白板软件时可跳过软件自带登录步骤。</w:t>
            </w:r>
          </w:p>
          <w:p w14:paraId="03A229D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五、传屏及连接功能</w:t>
            </w:r>
          </w:p>
          <w:p w14:paraId="0E2FBB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整机内置传屏接收模块，整机不需要连接任何附加设备，可实现外部电脑、手机设备的音视频信号实时传输到整机上；当使用外部电脑传屏时，支持触摸回传，在屏幕上部显示传屏工具栏，可以进行触摸回传控制、勿扰模式、暂停投屏功能；开启勿扰模式时，不允许其他人再进行传屏；投屏时可以选择过滤特定应用窗口，如邮件应用等窗口。</w:t>
            </w:r>
          </w:p>
          <w:p w14:paraId="4945B36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（二）整</w:t>
            </w:r>
            <w:r>
              <w:rPr>
                <w:rFonts w:hint="eastAsia" w:ascii="仿宋_GB2312" w:hAnsi="仿宋_GB2312" w:eastAsia="仿宋_GB2312" w:cs="仿宋_GB2312"/>
                <w:color w:val="auto"/>
                <w:sz w:val="24"/>
                <w:szCs w:val="24"/>
                <w:u w:val="none"/>
              </w:rPr>
              <w:t>机支持蓝牙</w:t>
            </w:r>
            <w:r>
              <w:rPr>
                <w:rFonts w:hint="eastAsia" w:ascii="仿宋_GB2312" w:hAnsi="仿宋_GB2312" w:eastAsia="仿宋_GB2312" w:cs="仿宋_GB2312"/>
                <w:color w:val="auto"/>
                <w:kern w:val="0"/>
                <w:sz w:val="24"/>
                <w:highlight w:val="none"/>
                <w:u w:val="none"/>
                <w:lang w:val="en-US" w:eastAsia="zh-CN" w:bidi="ar"/>
              </w:rPr>
              <w:t>≥Bluetooth 5.2标准</w:t>
            </w:r>
            <w:r>
              <w:rPr>
                <w:rFonts w:hint="eastAsia" w:ascii="仿宋_GB2312" w:hAnsi="仿宋_GB2312" w:eastAsia="仿宋_GB2312" w:cs="仿宋_GB2312"/>
                <w:color w:val="auto"/>
                <w:sz w:val="24"/>
                <w:szCs w:val="24"/>
                <w:u w:val="none"/>
              </w:rPr>
              <w:t>标</w:t>
            </w:r>
            <w:r>
              <w:rPr>
                <w:rFonts w:hint="eastAsia" w:ascii="仿宋_GB2312" w:hAnsi="仿宋_GB2312" w:eastAsia="仿宋_GB2312" w:cs="仿宋_GB2312"/>
                <w:color w:val="auto"/>
                <w:sz w:val="24"/>
                <w:szCs w:val="24"/>
              </w:rPr>
              <w:t>准，支持主动发现蓝牙外设从而连接（无需整机进入发现模式），支持连接外部蓝牙音箱播放音频。</w:t>
            </w:r>
          </w:p>
          <w:p w14:paraId="1C34E07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（三）整机支持Wi-Fi无线上网和AP无线热点发射,支持版本WI-FI6；Wi-Fi和AP无线热点工作距离≥10m。</w:t>
            </w:r>
          </w:p>
          <w:p w14:paraId="6BBE33A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（四）外接电脑设备连接整机且触摸信号连通时，外接电脑设备可直接读取整机前置USB接口的移动存储设备数据，连接整机前置USB接口的翻页笔和无线键鼠可直接使用于外接电脑。</w:t>
            </w:r>
          </w:p>
          <w:p w14:paraId="60F440E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（五）整机前置USB接口支持多系统读取外接移动存储设备。</w:t>
            </w:r>
          </w:p>
          <w:p w14:paraId="379E21A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（六）支持通道自动跳转功能，如整机处于正常使用状态，HDMI信号接入时，能自动识别并切换到对应的HDMI信号源通道，且断开后能回到上一通道。</w:t>
            </w:r>
          </w:p>
          <w:p w14:paraId="41142D4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（七）支持外接信号输入时自动唤醒功能，整机处于关机通电状态，外接电脑显示信号通过HDMI传输线连接至整机时，整机可智能识别外接电脑设备信号输入并自动开机。</w:t>
            </w:r>
          </w:p>
          <w:p w14:paraId="1380B28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（八）外接电脑设备连接整机且触摸信号连通时，外接电脑设备可直接读取整机前置USB接口的移动存储设备数据，连接整机前置USB接口的翻页笔和无线键鼠可直接使用于外接电脑。</w:t>
            </w:r>
          </w:p>
          <w:p w14:paraId="1E89DE7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六、按键及接口设计</w:t>
            </w:r>
          </w:p>
          <w:p w14:paraId="01B3E58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（一）三合一电源按键，同一电源物理按键完成Android系统和Windows系统的开机、节能熄屏、关机操作；关机状态下按按键开机；开机状态下按按键实现节能熄屏/唤醒，长按按键实现关机。</w:t>
            </w:r>
          </w:p>
          <w:p w14:paraId="5538D0D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（二）设备支持通过前置面板物理按键一键启动录屏功能，可将屏幕中显示的课件、音频内容与老师人声同时录制。</w:t>
            </w:r>
          </w:p>
          <w:p w14:paraId="10AA6CB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（三）整机关机状态下，通过长按电源键进入设置界面后，可点击屏幕选择恢复整机系统及桌面式操作系统到出厂默认状态，无需额外工具辅助。</w:t>
            </w:r>
          </w:p>
          <w:p w14:paraId="070C2C9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（四）侧置输入接口具备≥2路HDMI、≥1路RS232.≥1路USB接口。</w:t>
            </w:r>
          </w:p>
          <w:p w14:paraId="2C1178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（五）侧置输出接口具备≥1路音频输出、≥1路触控USB输出。</w:t>
            </w:r>
          </w:p>
          <w:p w14:paraId="3784B92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（六）前置输入接口≥3路USB接口（包含≥1路Type-C、≥2路USB），前置USB接口支持Android系统、Windows系统读取外接移动存储设备。</w:t>
            </w:r>
          </w:p>
          <w:p w14:paraId="6166329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（七）整机具备前置Type-C接口，</w:t>
            </w:r>
            <w:r>
              <w:rPr>
                <w:rFonts w:hint="eastAsia" w:ascii="仿宋_GB2312" w:hAnsi="仿宋_GB2312" w:eastAsia="仿宋_GB2312" w:cs="仿宋_GB2312"/>
                <w:color w:val="auto"/>
                <w:sz w:val="24"/>
                <w:szCs w:val="24"/>
                <w:lang w:val="en-US" w:eastAsia="zh-CN"/>
              </w:rPr>
              <w:t>前置</w:t>
            </w:r>
            <w:r>
              <w:rPr>
                <w:rFonts w:hint="eastAsia" w:ascii="仿宋_GB2312" w:hAnsi="仿宋_GB2312" w:eastAsia="仿宋_GB2312" w:cs="仿宋_GB2312"/>
                <w:color w:val="auto"/>
                <w:sz w:val="24"/>
                <w:szCs w:val="24"/>
              </w:rPr>
              <w:t>type-C</w:t>
            </w:r>
            <w:r>
              <w:rPr>
                <w:rFonts w:hint="eastAsia" w:ascii="仿宋_GB2312" w:hAnsi="仿宋_GB2312" w:eastAsia="仿宋_GB2312" w:cs="仿宋_GB2312"/>
                <w:color w:val="auto"/>
                <w:sz w:val="24"/>
                <w:szCs w:val="24"/>
                <w:u w:val="none"/>
              </w:rPr>
              <w:t>支持最大充电功率≥1</w:t>
            </w:r>
            <w:r>
              <w:rPr>
                <w:rFonts w:hint="eastAsia" w:ascii="仿宋_GB2312" w:hAnsi="仿宋_GB2312" w:eastAsia="仿宋_GB2312" w:cs="仿宋_GB2312"/>
                <w:color w:val="auto"/>
                <w:sz w:val="24"/>
                <w:szCs w:val="24"/>
                <w:u w:val="none"/>
                <w:lang w:val="en-US" w:eastAsia="zh-CN"/>
              </w:rPr>
              <w:t>2</w:t>
            </w:r>
            <w:r>
              <w:rPr>
                <w:rFonts w:hint="eastAsia" w:ascii="仿宋_GB2312" w:hAnsi="仿宋_GB2312" w:eastAsia="仿宋_GB2312" w:cs="仿宋_GB2312"/>
                <w:color w:val="auto"/>
                <w:sz w:val="24"/>
                <w:szCs w:val="24"/>
                <w:u w:val="none"/>
              </w:rPr>
              <w:t>W</w:t>
            </w:r>
            <w:r>
              <w:rPr>
                <w:rFonts w:hint="eastAsia" w:ascii="仿宋_GB2312" w:hAnsi="仿宋_GB2312" w:eastAsia="仿宋_GB2312" w:cs="仿宋_GB2312"/>
                <w:color w:val="auto"/>
                <w:sz w:val="24"/>
                <w:szCs w:val="24"/>
              </w:rPr>
              <w:t>，通过Type-C接口实现音视频输入，外接电脑设备经双头Type-C线连接至整机，即可把外接电脑设备画面投到整机上，同时在整机上操作画面，可实现触摸电脑的操作，无需再连接触控USB线。</w:t>
            </w:r>
          </w:p>
          <w:p w14:paraId="03D13AD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（八）外接电脑设备经双头Type-C线连接至整机，可调用整机内置的摄像头、麦克风、扬声器，在外接电脑即可控制整机拍摄教室画面。</w:t>
            </w:r>
          </w:p>
          <w:p w14:paraId="530B357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（九）支持通过Type-C接口U盘进行文件传输，兼容Type-C接口手机充电。</w:t>
            </w:r>
          </w:p>
          <w:p w14:paraId="49F4E40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b w:val="0"/>
                <w:bCs w:val="0"/>
                <w:color w:val="auto"/>
                <w:sz w:val="24"/>
                <w:szCs w:val="24"/>
              </w:rPr>
              <w:t>七</w:t>
            </w:r>
            <w:r>
              <w:rPr>
                <w:rFonts w:hint="eastAsia" w:ascii="仿宋_GB2312" w:hAnsi="仿宋_GB2312" w:eastAsia="仿宋_GB2312" w:cs="仿宋_GB2312"/>
                <w:color w:val="auto"/>
                <w:sz w:val="24"/>
                <w:szCs w:val="24"/>
              </w:rPr>
              <w:t>、教学辅助功能</w:t>
            </w:r>
          </w:p>
          <w:p w14:paraId="0CC51FE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（一）教学工具栏设计</w:t>
            </w:r>
          </w:p>
          <w:p w14:paraId="455F387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1.整机全通道侧边栏快捷菜单包含如下小工具：批注、降半屏、截屏、放大镜、倒计时、日历、聚光灯、秒表、冻屏、倒数日、答题、节拍器。</w:t>
            </w:r>
          </w:p>
          <w:p w14:paraId="0EA7440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2.支持分屏模式，将桌面式操作系统显示画面上半部分下拉到显示屏的下半部分显示，此时依然可以正常触控操作桌面式操作系统；点击非桌面式操作系统显示画面区域，即可退出该模式，无需其他设置。</w:t>
            </w:r>
          </w:p>
          <w:p w14:paraId="3203C1C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3.整机内置硬件自检维护工具，支持对多种模块进行检测和故障问题提示。</w:t>
            </w:r>
          </w:p>
          <w:p w14:paraId="2EBCC23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整机安卓和全部外接通道（HDMI、Type-c）下侧边栏支持通过扫描二维码加入班级，老师设置题型，学生回答后提交，教师查看正确率比例及详细讲解；支持随机抽选、实时弹幕；支持管理当前班级成员；支持导出学生报告。全通道下可支持通过自定义按键调出该功能。</w:t>
            </w:r>
          </w:p>
          <w:p w14:paraId="29146AE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5.整机全通道侧边栏快捷菜单中应用软件可以进行切换，无需在已经开启的应用软件全屏模式下退出当前应用再选择更换，支持windows 应用固定，可将应用固定后，在侧边栏进行快捷打开。</w:t>
            </w:r>
          </w:p>
          <w:p w14:paraId="2BB7C92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w:t>
            </w:r>
            <w:r>
              <w:rPr>
                <w:rFonts w:hint="eastAsia" w:ascii="仿宋_GB2312" w:hAnsi="仿宋_GB2312" w:eastAsia="仿宋_GB2312" w:cs="仿宋_GB2312"/>
                <w:color w:val="auto"/>
                <w:sz w:val="24"/>
                <w:szCs w:val="24"/>
                <w:lang w:val="en-US" w:eastAsia="zh-CN"/>
              </w:rPr>
              <w:t>整机侧边栏内置自习工具，通过整机麦克风内置AI音频检测算法监测教室中学生音量大小，当学生音量大于阈值时，屏幕自动弹窗提醒进行自习纪律干预。</w:t>
            </w:r>
          </w:p>
          <w:p w14:paraId="4E19119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kern w:val="0"/>
                <w:sz w:val="24"/>
                <w:highlight w:val="none"/>
                <w:lang w:val="en-US" w:eastAsia="zh-CN" w:bidi="ar"/>
              </w:rPr>
            </w:pPr>
            <w:r>
              <w:rPr>
                <w:rFonts w:hint="eastAsia" w:ascii="仿宋_GB2312" w:hAnsi="仿宋_GB2312" w:eastAsia="仿宋_GB2312" w:cs="仿宋_GB2312"/>
                <w:color w:val="auto"/>
                <w:kern w:val="0"/>
                <w:sz w:val="24"/>
                <w:highlight w:val="none"/>
                <w:lang w:val="en-US" w:eastAsia="zh-CN" w:bidi="ar"/>
              </w:rPr>
              <w:t>★7.整机设备自带地震预警功能，支持在地震预警页面中获取位置，可以手动进行位置校准。支持在地震预警页面中选择提醒阈值。支持在地震预警界面中开启和关闭地震预警服务。</w:t>
            </w:r>
            <w:r>
              <w:rPr>
                <w:rFonts w:hint="eastAsia" w:ascii="仿宋_GB2312" w:hAnsi="仿宋_GB2312" w:eastAsia="仿宋_GB2312" w:cs="仿宋_GB2312"/>
                <w:b/>
                <w:bCs/>
                <w:color w:val="auto"/>
                <w:kern w:val="0"/>
                <w:sz w:val="24"/>
                <w:highlight w:val="none"/>
                <w:lang w:val="en-US" w:eastAsia="zh-CN" w:bidi="ar"/>
              </w:rPr>
              <w:t>投标时</w:t>
            </w:r>
            <w:r>
              <w:rPr>
                <w:rFonts w:hint="eastAsia" w:ascii="仿宋_GB2312" w:hAnsi="仿宋_GB2312" w:eastAsia="仿宋_GB2312" w:cs="仿宋_GB2312"/>
                <w:b/>
                <w:bCs/>
                <w:i w:val="0"/>
                <w:iCs w:val="0"/>
                <w:color w:val="auto"/>
                <w:kern w:val="0"/>
                <w:sz w:val="24"/>
                <w:szCs w:val="24"/>
                <w:u w:val="none"/>
                <w:lang w:val="en-US" w:eastAsia="zh-CN" w:bidi="ar"/>
              </w:rPr>
              <w:t>提供具有CMA或CNAS标识的检测（检验）报告或提供其它证明材料（彩页、产品说明书、官网或功能截图等其中任意一项）</w:t>
            </w:r>
          </w:p>
          <w:p w14:paraId="6D6C607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0"/>
                <w:sz w:val="24"/>
                <w:highlight w:val="none"/>
                <w:lang w:val="en-US" w:eastAsia="zh-CN" w:bidi="ar"/>
              </w:rPr>
              <w:t>★8.整机侧边栏内置朗读工具，通过整机麦克风内置音频检测算法监测教室中学生的朗读情况，以游戏化界面反馈学生朗读音量大小，调动学生朗读兴趣。</w:t>
            </w:r>
            <w:r>
              <w:rPr>
                <w:rFonts w:hint="eastAsia" w:ascii="仿宋_GB2312" w:hAnsi="仿宋_GB2312" w:eastAsia="仿宋_GB2312" w:cs="仿宋_GB2312"/>
                <w:b/>
                <w:bCs/>
                <w:color w:val="auto"/>
                <w:kern w:val="0"/>
                <w:sz w:val="24"/>
                <w:highlight w:val="none"/>
                <w:lang w:val="en-US" w:eastAsia="zh-CN" w:bidi="ar"/>
              </w:rPr>
              <w:t>投标时</w:t>
            </w:r>
            <w:r>
              <w:rPr>
                <w:rFonts w:hint="eastAsia" w:ascii="仿宋_GB2312" w:hAnsi="仿宋_GB2312" w:eastAsia="仿宋_GB2312" w:cs="仿宋_GB2312"/>
                <w:b/>
                <w:bCs/>
                <w:i w:val="0"/>
                <w:iCs w:val="0"/>
                <w:color w:val="auto"/>
                <w:kern w:val="0"/>
                <w:sz w:val="24"/>
                <w:szCs w:val="24"/>
                <w:u w:val="none"/>
                <w:lang w:val="en-US" w:eastAsia="zh-CN" w:bidi="ar"/>
              </w:rPr>
              <w:t>提供具有CMA或CNAS标识的检测（检验）报告或提供其它证明材料（彩页、产品说明书、官网或功能截图等其中任意一项）</w:t>
            </w:r>
          </w:p>
          <w:p w14:paraId="46A965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（二）教学桌面设计</w:t>
            </w:r>
          </w:p>
          <w:p w14:paraId="35051AB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1.整机设备开机启动后，自动进入教学桌面，支持支持通过账号登录、手机扫码登录，登录后可以自动获取并在桌面显示最近使用的教学课件，点击课件可直接进入授课模式。</w:t>
            </w:r>
          </w:p>
          <w:p w14:paraId="30CA30B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2.整机设备可将应用编辑到教学桌面首页，编辑方式支持从教学桌面首页进入编辑，支持在全部应用列表中进入编辑2 种方式。教学桌面首页应用支持无需进入应用编辑页面，在首页指定应用上长按进行移除。</w:t>
            </w:r>
          </w:p>
          <w:p w14:paraId="16C9FAD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3.整机设备教学桌面支持U盘、移动硬盘外接存储设备直接在桌面显示，无需打开文件浏览器即可查看文件列表，并且支持文件打开。支持查看全部文件列表以及按照文档、图片、音视频分类方式查看文件列表。</w:t>
            </w:r>
          </w:p>
          <w:p w14:paraId="4C0AC24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4.整机设备教学桌面支持进行通道切换、锁屏、重启、关机操作，且支持进行壁纸编辑，内置10张以上壁纸，支持自定义壁纸。</w:t>
            </w:r>
          </w:p>
          <w:p w14:paraId="4BD8C28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（三）文件传输功能</w:t>
            </w:r>
          </w:p>
          <w:p w14:paraId="1F2B9DF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u w:val="none"/>
              </w:rPr>
            </w:pPr>
            <w:r>
              <w:rPr>
                <w:rFonts w:hint="eastAsia" w:ascii="仿宋_GB2312" w:hAnsi="仿宋_GB2312" w:eastAsia="仿宋_GB2312" w:cs="仿宋_GB2312"/>
                <w:color w:val="auto"/>
                <w:sz w:val="24"/>
                <w:szCs w:val="24"/>
              </w:rPr>
              <w:t>1.整机Windows通道支持文件传输应用，支持通过扫码</w:t>
            </w:r>
            <w:r>
              <w:rPr>
                <w:rFonts w:hint="eastAsia" w:ascii="仿宋_GB2312" w:hAnsi="仿宋_GB2312" w:eastAsia="仿宋_GB2312" w:cs="仿宋_GB2312"/>
                <w:color w:val="auto"/>
                <w:sz w:val="24"/>
                <w:szCs w:val="24"/>
                <w:u w:val="none"/>
              </w:rPr>
              <w:t>、wifi直联</w:t>
            </w:r>
            <w:r>
              <w:rPr>
                <w:rFonts w:hint="eastAsia" w:ascii="仿宋_GB2312" w:hAnsi="仿宋_GB2312" w:eastAsia="仿宋_GB2312" w:cs="仿宋_GB2312"/>
                <w:color w:val="auto"/>
                <w:kern w:val="0"/>
                <w:sz w:val="24"/>
                <w:highlight w:val="none"/>
                <w:u w:val="none"/>
                <w:lang w:val="en-US" w:eastAsia="zh-CN" w:bidi="ar"/>
              </w:rPr>
              <w:t>≥2种方式与手机进行连接</w:t>
            </w:r>
            <w:r>
              <w:rPr>
                <w:rFonts w:hint="eastAsia" w:ascii="仿宋_GB2312" w:hAnsi="仿宋_GB2312" w:eastAsia="仿宋_GB2312" w:cs="仿宋_GB2312"/>
                <w:color w:val="auto"/>
                <w:sz w:val="24"/>
                <w:szCs w:val="24"/>
                <w:u w:val="none"/>
              </w:rPr>
              <w:t>，实现文件传输功能。</w:t>
            </w:r>
          </w:p>
          <w:p w14:paraId="473E7EE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2.文件传输应用支持多人同时将手机文件传输到整机上。</w:t>
            </w:r>
          </w:p>
          <w:p w14:paraId="545652C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3.文件传输应用开启后，可自动打开整机热点。</w:t>
            </w:r>
          </w:p>
          <w:p w14:paraId="5568D02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4.文件传输应用接收的文件支持单份删除；接收的文件支持手动全部清空。</w:t>
            </w:r>
          </w:p>
          <w:p w14:paraId="551DB37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（四）备授课一体化教学软件</w:t>
            </w:r>
          </w:p>
          <w:p w14:paraId="47657E6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1.备授课一体化，具有备课模式及授课模式，且内置的操作界面可根据备课和授课使用场景不同而选择。</w:t>
            </w:r>
          </w:p>
          <w:p w14:paraId="4CEA60C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2.备课模式工具栏具备自动根据老师账号中关联的学科不同而提供相对应的教学工具。</w:t>
            </w:r>
          </w:p>
          <w:p w14:paraId="0771738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color w:val="auto"/>
              </w:rPr>
              <w:t>★</w:t>
            </w:r>
            <w:r>
              <w:rPr>
                <w:rFonts w:hint="eastAsia" w:ascii="仿宋_GB2312" w:hAnsi="仿宋_GB2312" w:eastAsia="仿宋_GB2312" w:cs="仿宋_GB2312"/>
                <w:color w:val="auto"/>
                <w:sz w:val="24"/>
                <w:szCs w:val="24"/>
              </w:rPr>
              <w:t xml:space="preserve">3.AI智能备课助手：在备课场景中支持搜索课件库课件资源， </w:t>
            </w:r>
            <w:r>
              <w:rPr>
                <w:rFonts w:hint="eastAsia" w:ascii="仿宋_GB2312" w:hAnsi="仿宋_GB2312" w:eastAsia="仿宋_GB2312" w:cs="仿宋_GB2312"/>
                <w:color w:val="auto"/>
                <w:sz w:val="24"/>
                <w:szCs w:val="24"/>
                <w:highlight w:val="yellow"/>
                <w:u w:val="wave"/>
              </w:rPr>
              <w:t>具有</w:t>
            </w:r>
            <w:r>
              <w:rPr>
                <w:rFonts w:hint="eastAsia" w:ascii="仿宋_GB2312" w:hAnsi="仿宋_GB2312" w:eastAsia="仿宋_GB2312" w:cs="仿宋_GB2312"/>
                <w:color w:val="auto"/>
                <w:kern w:val="0"/>
                <w:sz w:val="24"/>
                <w:highlight w:val="yellow"/>
                <w:u w:val="wave"/>
                <w:lang w:val="en-US" w:eastAsia="zh-CN" w:bidi="ar"/>
              </w:rPr>
              <w:t>≥</w:t>
            </w:r>
            <w:r>
              <w:rPr>
                <w:rFonts w:hint="eastAsia" w:ascii="仿宋_GB2312" w:hAnsi="仿宋_GB2312" w:eastAsia="仿宋_GB2312" w:cs="仿宋_GB2312"/>
                <w:color w:val="auto"/>
                <w:sz w:val="24"/>
                <w:szCs w:val="24"/>
                <w:highlight w:val="yellow"/>
                <w:u w:val="wave"/>
              </w:rPr>
              <w:t>15万份的课件资源</w:t>
            </w:r>
            <w:r>
              <w:rPr>
                <w:rFonts w:hint="eastAsia" w:ascii="仿宋_GB2312" w:hAnsi="仿宋_GB2312" w:eastAsia="仿宋_GB2312" w:cs="仿宋_GB2312"/>
                <w:color w:val="auto"/>
                <w:sz w:val="24"/>
                <w:szCs w:val="24"/>
              </w:rPr>
              <w:t>，支持整份课件或按照课件页插入课件中。支持按照教学环节筛选对应课件页一键插入课件中，可导入新课、作者简介。支持按照元素类型思维导图、课堂活动选取需要的部分补充课件缺失的部分。支持在查看部分课件的同时查看对应整份课件，了解作者整体教学思路。</w:t>
            </w:r>
          </w:p>
          <w:p w14:paraId="17136AE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互动课件内容的编辑修改无需人为保存即可自动同步至云空间，可根据教师需要调整云空间自动同步的时间间隔，避免教学资源的损坏、遗失。本地课件则不会自动同步到云空间以保证数据安全。编辑多份互动课件时，教师可一键将所有处于编辑状态的课件同步到互动课件云空间。</w:t>
            </w:r>
          </w:p>
          <w:p w14:paraId="29DFF5E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5.云教案功能：</w:t>
            </w:r>
          </w:p>
          <w:p w14:paraId="0353BFF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（1）云教案分享：云教案内容可自动同步至云空间，支持以链接方式进行定向式分享和开放式分享。接收者可直接在桌面浏览器、微信内打开预览，可将运教案转存至个人云空间。</w:t>
            </w:r>
          </w:p>
          <w:p w14:paraId="63CEE16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（2）云教案模板：提供教案模板以供老师撰写教案，预置表格式、提纲式、集备式、多课时式等</w:t>
            </w:r>
            <w:r>
              <w:rPr>
                <w:rFonts w:hint="eastAsia" w:ascii="仿宋_GB2312" w:hAnsi="仿宋_GB2312" w:eastAsia="仿宋_GB2312" w:cs="仿宋_GB2312"/>
                <w:color w:val="auto"/>
                <w:kern w:val="0"/>
                <w:sz w:val="24"/>
                <w:highlight w:val="none"/>
                <w:u w:val="wave"/>
                <w:lang w:val="en-US" w:eastAsia="zh-CN" w:bidi="ar"/>
              </w:rPr>
              <w:t>≥</w:t>
            </w:r>
            <w:r>
              <w:rPr>
                <w:rFonts w:hint="eastAsia" w:ascii="仿宋_GB2312" w:hAnsi="仿宋_GB2312" w:eastAsia="仿宋_GB2312" w:cs="仿宋_GB2312"/>
                <w:color w:val="auto"/>
                <w:sz w:val="24"/>
                <w:szCs w:val="24"/>
                <w:highlight w:val="none"/>
              </w:rPr>
              <w:t>4个</w:t>
            </w:r>
            <w:r>
              <w:rPr>
                <w:rFonts w:hint="eastAsia" w:ascii="仿宋_GB2312" w:hAnsi="仿宋_GB2312" w:eastAsia="仿宋_GB2312" w:cs="仿宋_GB2312"/>
                <w:color w:val="auto"/>
                <w:sz w:val="24"/>
                <w:szCs w:val="24"/>
              </w:rPr>
              <w:t>教案模板。</w:t>
            </w:r>
          </w:p>
          <w:p w14:paraId="229CE0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（3）支持校本教案模板设计，管理员在教研管理后台设置校本模板后，老师可在云教案模板直接调用。</w:t>
            </w:r>
          </w:p>
          <w:p w14:paraId="5B32E9A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（4）云教案与云课件可一对多关联绑定，产生绑定后，在课件页和教案页均支持在同一面板打开关联的云课件或云教案预览，便于老师备课时相互对照。</w:t>
            </w:r>
          </w:p>
          <w:p w14:paraId="0DFD699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6.AI智能生成课堂活动：具有课堂活动智能填写功能，支持选词填空、</w:t>
            </w:r>
            <w:r>
              <w:rPr>
                <w:rFonts w:hint="eastAsia" w:ascii="仿宋_GB2312" w:hAnsi="仿宋_GB2312" w:eastAsia="仿宋_GB2312" w:cs="仿宋_GB2312"/>
                <w:color w:val="auto"/>
                <w:sz w:val="24"/>
                <w:szCs w:val="24"/>
                <w:u w:val="none"/>
              </w:rPr>
              <w:t>判断对错等≥2类课堂活动</w:t>
            </w:r>
            <w:r>
              <w:rPr>
                <w:rFonts w:hint="eastAsia" w:ascii="仿宋_GB2312" w:hAnsi="仿宋_GB2312" w:eastAsia="仿宋_GB2312" w:cs="仿宋_GB2312"/>
                <w:color w:val="auto"/>
                <w:sz w:val="24"/>
                <w:szCs w:val="24"/>
              </w:rPr>
              <w:t>。输入文本后可以一键解析，自动将文本内容结构化填充至题干和正确选项，完成课堂活动的制作。</w:t>
            </w:r>
          </w:p>
          <w:p w14:paraId="77B619A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7.课堂互动游戏支持云储存功能：编辑完成的活动可一键存储至教师云空间，便于在不同课件中直接调用，无需反复编辑。</w:t>
            </w:r>
          </w:p>
          <w:p w14:paraId="4213986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智能选词填空：支持创建智能选词填空游戏，填空选项支持并列选项，并列选项支持答案互换，教师可随意编辑填空题题干以及相应的答案选项，将选项拖到对应题干空白处，系统自动判断答案正误，系统需提供</w:t>
            </w:r>
            <w:r>
              <w:rPr>
                <w:rFonts w:hint="eastAsia" w:ascii="仿宋_GB2312" w:hAnsi="仿宋_GB2312" w:eastAsia="仿宋_GB2312" w:cs="仿宋_GB2312"/>
                <w:color w:val="auto"/>
                <w:kern w:val="0"/>
                <w:sz w:val="24"/>
                <w:highlight w:val="none"/>
                <w:u w:val="wave"/>
                <w:lang w:val="en-US" w:eastAsia="zh-CN" w:bidi="ar"/>
              </w:rPr>
              <w:t>≥</w:t>
            </w:r>
            <w:r>
              <w:rPr>
                <w:rFonts w:hint="eastAsia" w:ascii="仿宋_GB2312" w:hAnsi="仿宋_GB2312" w:eastAsia="仿宋_GB2312" w:cs="仿宋_GB2312"/>
                <w:color w:val="auto"/>
                <w:sz w:val="24"/>
                <w:szCs w:val="24"/>
                <w:lang w:val="en-US" w:eastAsia="zh-CN"/>
              </w:rPr>
              <w:t>9</w:t>
            </w:r>
            <w:r>
              <w:rPr>
                <w:rFonts w:hint="eastAsia" w:ascii="仿宋_GB2312" w:hAnsi="仿宋_GB2312" w:eastAsia="仿宋_GB2312" w:cs="仿宋_GB2312"/>
                <w:color w:val="auto"/>
                <w:sz w:val="24"/>
                <w:szCs w:val="24"/>
              </w:rPr>
              <w:t>种游戏模板，且模板样式支持自定义修改。</w:t>
            </w:r>
          </w:p>
          <w:p w14:paraId="2E34D1E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智能配对游戏：支持创建配对游戏，教师可随意将知识点进行配对。当开始配对游戏时，拖动知识点进行配对，系统将自动判断是否正确。系统至少提供10种游戏模版，且模版样式支持自定义修改，同时支持设置干扰项。</w:t>
            </w:r>
          </w:p>
          <w:p w14:paraId="4FA9709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分组竞争游戏：支持创建分组竞争游戏，教师可设置正确项／干扰项，让两组学生开展竞争游戏。提供不少于3种难度、10种游戏模版供选择，且模版样式支持自定义修改。支持记录和展示学生作答结果，便于课堂知识点对比讲解。</w:t>
            </w:r>
          </w:p>
          <w:p w14:paraId="61329D5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11.课件背景：提供≥12 种以上背景模板供用户选择，持自定义背景。</w:t>
            </w:r>
          </w:p>
          <w:p w14:paraId="42A2043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12.AI智能英语工具：</w:t>
            </w:r>
          </w:p>
          <w:p w14:paraId="7CCD240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（1）软件内置的AI智能语义分析模块，可对输入的英文文本的拼写、句型、语法进行错误检查，并支持一键纠错。</w:t>
            </w:r>
          </w:p>
          <w:p w14:paraId="56203EC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u w:val="wave"/>
              </w:rPr>
            </w:pPr>
            <w:r>
              <w:rPr>
                <w:rFonts w:hint="eastAsia" w:ascii="仿宋_GB2312" w:hAnsi="仿宋_GB2312" w:eastAsia="仿宋_GB2312" w:cs="仿宋_GB2312"/>
                <w:color w:val="auto"/>
                <w:sz w:val="24"/>
                <w:szCs w:val="24"/>
              </w:rPr>
              <w:t>◆（2）英汉字典：支持输入英文单词生成单词卡和详解页，包含单词的释义、读音、例句、词组、近义词等，可插入多个单词卡，同时支持教师自定义编辑单词释义、创建未收录的生僻单词供授课使用。可将插入的单词卡一键切换至详解页进入单词详解模式，支持教师自定义编辑单词释义、例句、词组和近义词，</w:t>
            </w:r>
            <w:r>
              <w:rPr>
                <w:rFonts w:hint="eastAsia" w:ascii="仿宋_GB2312" w:hAnsi="仿宋_GB2312" w:eastAsia="仿宋_GB2312" w:cs="仿宋_GB2312"/>
                <w:color w:val="auto"/>
                <w:sz w:val="24"/>
                <w:szCs w:val="24"/>
                <w:highlight w:val="yellow"/>
                <w:u w:val="wave"/>
              </w:rPr>
              <w:t>且提供≥4种详解页背景模板供选择</w:t>
            </w:r>
            <w:r>
              <w:rPr>
                <w:rFonts w:hint="eastAsia" w:ascii="仿宋_GB2312" w:hAnsi="仿宋_GB2312" w:eastAsia="仿宋_GB2312" w:cs="仿宋_GB2312"/>
                <w:color w:val="auto"/>
                <w:sz w:val="24"/>
                <w:szCs w:val="24"/>
                <w:u w:val="wave"/>
              </w:rPr>
              <w:t>。</w:t>
            </w:r>
          </w:p>
          <w:p w14:paraId="206E0C9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（3）AI音标助手：支持浏览和插入国际音标表，可直接点击发音，支持已整表和单个音标卡片插入。支持智能将字母、单词、句子转写为音标，并可一键插入到备课课件中形成文本</w:t>
            </w:r>
          </w:p>
          <w:p w14:paraId="5630AEA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13.快捷抠图：即可在白板软件中对导入的图片进行快捷抠图、去背景，处理后的图片主体边缘没有明显毛边，可导出保存成PNG格式。</w:t>
            </w:r>
          </w:p>
          <w:p w14:paraId="5EFDE05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14.数学公式编辑器：支持复杂数学公式输入，提供≥20个数学符号及和≥15种公式模板，输出的公式内容支持不同颜色标记及二次编辑。</w:t>
            </w:r>
          </w:p>
          <w:p w14:paraId="2AD908C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 xml:space="preserve">15.3D星球模型：提供3D立体星球模型，太阳系行星模型≥4个，支持360°自由旋转、缩放展示；并支持在立体地球模型清晰展现地球表面的六大板块、降水分布、气温分布、气候分布、人口分布、表层洋流、陆地自然带、海平面等压线等内容；且支持三维、二维切换展示，方便地理学科教学。 </w:t>
            </w:r>
          </w:p>
          <w:p w14:paraId="27C3558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16.混合教学功能：</w:t>
            </w:r>
          </w:p>
          <w:p w14:paraId="3F668D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（1）一键开课：教师可在教室一体机一键开课，开课将进入屏幕共享推流模式。</w:t>
            </w:r>
          </w:p>
          <w:p w14:paraId="2FAF107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（2）课程分发：支持生成课程海报，学生扫描课程海报微信二维码即可加入直播课堂。支持通过行政班级学生名单。</w:t>
            </w:r>
          </w:p>
          <w:p w14:paraId="6A1DC44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（3）提前预约：在个人电脑提前选择好行政班的学生，到教室后开始直播学生可在手机端远程听课。</w:t>
            </w:r>
          </w:p>
          <w:p w14:paraId="74245F4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连麦互动：在直播课堂中，教师可指定授权学生远程连麦互动，学生视频连麦过程实时同步至班级其他学生，可支持不少于5位学生同时参与远程互动；支持学生端发起举手，教师端在同意后可自动进入连麦互动。</w:t>
            </w:r>
          </w:p>
          <w:p w14:paraId="4289BDD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17.课堂小测：提供≥40000道初中数学试题。</w:t>
            </w:r>
          </w:p>
          <w:p w14:paraId="06A9858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（1）老师可根据所使用教材版本自由选择人教新版、苏科新版、北师大版、北京课改新版等不同版本试题。</w:t>
            </w:r>
          </w:p>
          <w:p w14:paraId="591C0FD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（2）试题按照教学进度分类，精确到每一章每一节，方便老师查找。</w:t>
            </w:r>
          </w:p>
          <w:p w14:paraId="53D64EF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（3）试题按照使用场景分类，分为课堂小测、课时练习、课后基础、课后提高等，方便老师在不同场景下选择。</w:t>
            </w:r>
          </w:p>
          <w:p w14:paraId="4F403BA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（4）题目已根据老师使用需要，组成套题，老师可一键批量选择；同时也支持老师自由组题，形成个性化套。</w:t>
            </w:r>
          </w:p>
          <w:p w14:paraId="38B466E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18.表格工具：</w:t>
            </w:r>
          </w:p>
          <w:p w14:paraId="5F713B4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（1）支持老师插入表格，并提供5种以上表格样式供老师选择。</w:t>
            </w:r>
          </w:p>
          <w:p w14:paraId="3FF1A5D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（2）支持表格自适应，可一键将表格的行、列调整到最合适的大小。</w:t>
            </w:r>
          </w:p>
          <w:p w14:paraId="230F6A4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（3）支持表格遮罩功能，可对表格中任意一格添加遮罩，在授课模式下通过点击可消除遮罩，方便老师设置互动活动。</w:t>
            </w:r>
          </w:p>
          <w:p w14:paraId="469573F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（4）在授课模式下，支持表格克隆功能，可克隆出多个相同表格，方便老师请多位同学进行答题互动。</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109A218">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1台</w:t>
            </w:r>
          </w:p>
        </w:tc>
      </w:tr>
      <w:tr w14:paraId="1875D1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C17BE0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7DA255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一体机移动支架</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38B694A0">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kern w:val="0"/>
                <w:sz w:val="24"/>
                <w:szCs w:val="24"/>
                <w:lang w:bidi="ar"/>
              </w:rPr>
              <w:t>钢结构，可以适合65寸到86寸一体机，带轮自由移动。</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3B6975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1套</w:t>
            </w:r>
          </w:p>
        </w:tc>
      </w:tr>
      <w:tr w14:paraId="77A83EB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BDB088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5A97AD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辅助材料及施工等</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9F87269">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rPr>
              <w:t>含布线施工及设计，安装调试及培训、辅材等。按柳州市教育系统工程施工规范要求实施。</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4670593">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32121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A46CC3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DC1BBE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专业同轴音箱</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261B48C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1.两分频同轴音箱 ，箱体采用木工板，表面喷涂黑色水性漆，多点M8吊挂，金属防护网。</w:t>
            </w:r>
          </w:p>
          <w:p w14:paraId="28D61EFB">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2.额定阻抗：8Ω</w:t>
            </w:r>
          </w:p>
          <w:p w14:paraId="7007E932">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3.额定功率（AES)：250W</w:t>
            </w:r>
          </w:p>
          <w:p w14:paraId="33ACE4C8">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4.最大功率（AES)：1000W</w:t>
            </w:r>
          </w:p>
          <w:p w14:paraId="776F886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5.特性灵敏度：97dB</w:t>
            </w:r>
          </w:p>
          <w:p w14:paraId="017FA66A">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6.连续声压级：121dB</w:t>
            </w:r>
          </w:p>
          <w:p w14:paraId="489870C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7.最大声压级：127dB</w:t>
            </w:r>
          </w:p>
          <w:p w14:paraId="53D48828">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8.额定频率范围：60～20000Hz</w:t>
            </w:r>
          </w:p>
          <w:p w14:paraId="1607B4E1">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9.同轴扬声器：10"×1</w:t>
            </w:r>
          </w:p>
          <w:p w14:paraId="32133C4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10.覆盖角度（H×V）：90°×90°</w:t>
            </w:r>
          </w:p>
          <w:p w14:paraId="3D1B284C">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both"/>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11.输入接口：NL4MP×2</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5FE595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4台</w:t>
            </w:r>
          </w:p>
        </w:tc>
      </w:tr>
      <w:tr w14:paraId="768F07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B77DDB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56D341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宋体"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功率放大器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A4D0EBC">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highlight w:val="none"/>
                <w:lang w:eastAsia="zh-CN"/>
              </w:rPr>
              <w:t>★</w:t>
            </w:r>
            <w:r>
              <w:rPr>
                <w:rFonts w:hint="eastAsia" w:ascii="仿宋_GB2312" w:hAnsi="仿宋_GB2312" w:eastAsia="仿宋_GB2312" w:cs="仿宋_GB2312"/>
                <w:color w:val="auto"/>
                <w:sz w:val="24"/>
                <w:szCs w:val="24"/>
                <w:lang w:val="en-US" w:eastAsia="zh-CN"/>
              </w:rPr>
              <w:t>1.本机基于网络与物联运维平台进行深度互联互通，并进行数字平台化集中管控作业；基于物联运维Web平台自动化执行访问业务功能，实时生成工作链路拓扑图，可视化链路中本机图标可一键进入执行对本机深度管控业务；基于物联运维Web平台执行多项业务功能的实时交互，包括但不限于调整本机增益、噪声门、延时、均衡、压限、信号路由等；基于物联运维Web平台执行多项数据的监测监控，包括但不限于本机电压、电流、温度、音频信号、上线/离线时间、故障报警等工作状态；基于物联运维Web平台自动识别本机型号，执行修改本机名称和ID以及固件升级，必须保证接入本项目（智慧物联管理平台）实现以上全部管控和监测功能，验收时逐项核对；</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2.DSP功能：</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（1）内置DSP模块，可通过电脑软件调试处理音效、智能化网络监测功放和DSP的工作状态；支持矩阵混音；</w:t>
            </w:r>
            <w:r>
              <w:rPr>
                <w:rFonts w:hint="eastAsia" w:ascii="仿宋_GB2312" w:hAnsi="仿宋_GB2312" w:eastAsia="仿宋_GB2312" w:cs="仿宋_GB2312"/>
                <w:color w:val="auto"/>
                <w:sz w:val="24"/>
                <w:szCs w:val="24"/>
                <w:u w:val="none"/>
              </w:rPr>
              <w:t>≥2</w:t>
            </w:r>
            <w:r>
              <w:rPr>
                <w:rFonts w:hint="eastAsia" w:ascii="仿宋_GB2312" w:hAnsi="仿宋_GB2312" w:eastAsia="仿宋_GB2312" w:cs="仿宋_GB2312"/>
                <w:color w:val="auto"/>
                <w:sz w:val="24"/>
                <w:szCs w:val="24"/>
                <w:u w:val="none"/>
                <w:lang w:val="en-US" w:eastAsia="zh-CN"/>
              </w:rPr>
              <w:t>4</w:t>
            </w:r>
            <w:r>
              <w:rPr>
                <w:rFonts w:hint="eastAsia" w:ascii="仿宋_GB2312" w:hAnsi="仿宋_GB2312" w:eastAsia="仿宋_GB2312" w:cs="仿宋_GB2312"/>
                <w:color w:val="auto"/>
                <w:sz w:val="24"/>
                <w:szCs w:val="24"/>
                <w:lang w:val="en-US" w:eastAsia="zh-CN"/>
              </w:rPr>
              <w:t>个用户程序保存和调用，可从设备导出至电脑或从电脑导入至设备；可对设备参数进行锁定和解锁；具备物联网运维管理平台接入功能。</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2）输入通道具有静音、增益、噪声门、延时相位、分频和均衡功能；输入/输出增益微调:-80dB～+12dB，步进≤0.2dB；输入噪声门:-120dB～0dB可调，步进≤0.5dB；输入分频器至少具有高通和低通2个滤波器:频率20-20000Hz可调，步进1Hz:至少具备巴特沃斯、宁克、贝塞尔三种类型选择，至少具有6dB\12dB\18dB\24dB\30dB\36dB\42dB\48dB共8种斜率选择，支持直通功能；输入至少具备7段参量均衡，均衡频率 20-20000Hz可调，步进≤1Hz，增益-20dB ～+15dB 可调，步进≤0.1dB，Q值 0.404-28.852可调，至少具有E0、高架、低架、全通1.全通2共5种均衡类型选择，至少具有直通/全直通/复位功能。</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3）输出通道至少具有静音、增益、延时、相位、分频、均衡和压限功能；输出分频器至少具有高通和低通2个滤波器:频率20-20000Hz可调，步进≤1Hz，至少具有巴特沃斯、宁克、贝塞尔三种类型选择，至少具有6dB\12dB\18dB\24dB\30dB\36dB\42dB\48dB共8种斜率选择，支持直通功能；输出至少具备7段参量均衡，均衡频率20-20000Hz可调，步进≤1Hz;增益-20dB～+15dB可调，步进～0.1dB:Q值0.404-28.852可调，至少具有EQ.高架、低架、全通1.全通2共5种均衡类型选择，具有直通/全直通/复位功能，输出压限:阀值-40dBu～20dBu，步进≤1dBu。</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3.本机内置软启动，短路、过载、直流、过热保护、变压器过热保护和DC飘移等多重检测保护装置；具备(电源、信号、削峰、保护、桥接)LED工作状态指示灯。</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4.输出功率：≥2x700W/8Ω 2x1050W/4Ω；桥接：2100W/8Ω；</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5.总谐波失真(1KHz)：≤0.2%；</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6.信噪比(A计权)：≥100dB；</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7.串音衰减(1kHz)：≥70dB；</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8.频率响应：20Hz-20kHz；</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9.输入阻抗：平衡≥20KΩ  非平衡≥10KΩ；</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10.增益差：≤1dB；</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11.阻尼系数：≥250（8Ω，20-200Hz)；</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12.耐压测试：对电源端子与金属外壳之间进行测试:高压</w:t>
            </w:r>
            <w:r>
              <w:rPr>
                <w:rFonts w:hint="eastAsia" w:ascii="仿宋_GB2312" w:hAnsi="仿宋_GB2312" w:eastAsia="仿宋_GB2312" w:cs="仿宋_GB2312"/>
                <w:color w:val="auto"/>
                <w:sz w:val="24"/>
                <w:szCs w:val="24"/>
                <w:u w:val="none"/>
              </w:rPr>
              <w:t>≥</w:t>
            </w:r>
            <w:r>
              <w:rPr>
                <w:rFonts w:hint="eastAsia" w:ascii="仿宋_GB2312" w:hAnsi="仿宋_GB2312" w:eastAsia="仿宋_GB2312" w:cs="仿宋_GB2312"/>
                <w:color w:val="auto"/>
                <w:sz w:val="24"/>
                <w:szCs w:val="24"/>
                <w:lang w:val="en-US" w:eastAsia="zh-CN"/>
              </w:rPr>
              <w:t>1000V AC(10mA)冲击 60s，无飞弧，无击穿。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40E2F97">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2台</w:t>
            </w:r>
          </w:p>
        </w:tc>
      </w:tr>
      <w:tr w14:paraId="039C1E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DF39EE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B89A12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反馈抑制器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47B661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1.采用相当或优于ADSP21489高性能DSP，采用声卡话放电路、高性能的ADC和DAC，产品信噪比高，失真较小；</w:t>
            </w:r>
          </w:p>
          <w:p w14:paraId="57347E11">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2.采用4进4出数字混音功能，4路独立的陷波处理，每一路有24段自动和固定可自由选择的高精度数字限波器；</w:t>
            </w:r>
          </w:p>
          <w:p w14:paraId="355B39BA">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一键式自动检测啸叫点和自动清零功能，三种抑制模式可选，啸叫点检测抑制全程自适应调整深度，速度快、精度高，精度可达1Hz，静态和动态抑制点可自由选择，PC端软件可查看已找到的啸叫点，每通道移频控制开关，1-5Hz的调整5档位调节；</w:t>
            </w:r>
          </w:p>
          <w:p w14:paraId="65C9B82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每通道配备6段参量均衡参数调节，可通过PC端软件选择Notch、PEAK、LowShelf、HighShelf、Allpass-1.Allpass-2六种类型自由配置，具备一键复位功能和全直通功能；高低通滤波器参数调节，三种类型七种斜率，具备一键复位功能和全直通功能；</w:t>
            </w:r>
          </w:p>
          <w:p w14:paraId="2E450354">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5.噪声门开启时间、释放时间参数调节；</w:t>
            </w:r>
          </w:p>
          <w:p w14:paraId="7EDCFAC9">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6.压限器阈值、开启时间、释放时间参数调节；</w:t>
            </w:r>
          </w:p>
          <w:p w14:paraId="1BCF37E5">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7.通道幻象供电独立开关，通道音量控制及一键静音开关；</w:t>
            </w:r>
          </w:p>
          <w:p w14:paraId="0DFD8D1C">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8.PC端软件可选择中英文，软件连接后，可显示设备信息和状态信息，可设置、清除和重置密码，可设置128个ID；</w:t>
            </w:r>
          </w:p>
          <w:p w14:paraId="3E3007E7">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9.一键恢复默认数据和一键恢复出厂设置，中控指令生成器，PC端软件可利用升级文件单独升级MCU和DSP；</w:t>
            </w:r>
          </w:p>
          <w:p w14:paraId="431B5868">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10.配备12个场景保存调用功能，可存储在设备或利用PC端软件保存在PC端，方便拷贝；</w:t>
            </w:r>
          </w:p>
          <w:p w14:paraId="378A9B84">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11.每次开机设备都会调用上一次开机最后一次保存的参数；</w:t>
            </w:r>
          </w:p>
          <w:p w14:paraId="5D14E886">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12.输入通道：4路XLR母卡侬输入；</w:t>
            </w:r>
          </w:p>
          <w:p w14:paraId="4404E108">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13.输出通道：4路XLR公卡侬输出；</w:t>
            </w:r>
          </w:p>
          <w:p w14:paraId="0C6CDC9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14.输出阻抗：平衡100Ω；</w:t>
            </w:r>
          </w:p>
          <w:p w14:paraId="5C67809D">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15.失真度：&lt;0.01%OUTPUT=0dBu/1KHz；</w:t>
            </w:r>
          </w:p>
          <w:p w14:paraId="6B54698C">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16.共模抑制比：&gt;50dB（1KHz）；</w:t>
            </w:r>
          </w:p>
          <w:p w14:paraId="26AD7048">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17.输入范围：≤+20dB；</w:t>
            </w:r>
          </w:p>
          <w:p w14:paraId="71625B7F">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18.频率响应：20Hz-20KHz（+10dB）；</w:t>
            </w:r>
          </w:p>
          <w:p w14:paraId="012C8AB1">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19.通道分离度：&lt;-90（1KHz）；</w:t>
            </w:r>
          </w:p>
          <w:p w14:paraId="62F5222F">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20.信噪比：&gt;112dB；</w:t>
            </w:r>
          </w:p>
          <w:p w14:paraId="2CC413A4">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21.PC接口：面板1个USB接口、后板2个RS485接口（RJ45）；</w:t>
            </w:r>
          </w:p>
          <w:p w14:paraId="2F3C5C0D">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22.功耗：≤45W；</w:t>
            </w:r>
          </w:p>
          <w:p w14:paraId="20A63620">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23.电源：AC220V/50Hz。</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ED2586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7624A1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69278B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DBE6A9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智慧运算中心</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F56BE7F">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ascii="仿宋_GB2312" w:eastAsia="仿宋_GB2312"/>
                <w:b/>
                <w:bCs/>
                <w:color w:val="auto"/>
                <w:sz w:val="24"/>
              </w:rPr>
              <w:t>★</w:t>
            </w: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矩阵控制功能：8进8出音频矩阵，支持DSP音频处理，可使用PC软件实现DSP数字音频信号处理，包括AFC、AEC、ANS、AM、AGC、PEQ、延时、分频、矩阵等功能；</w:t>
            </w:r>
            <w:r>
              <w:rPr>
                <w:rFonts w:hint="eastAsia" w:ascii="仿宋_GB2312" w:hAnsi="仿宋_GB2312" w:eastAsia="仿宋_GB2312" w:cs="仿宋_GB2312"/>
                <w:color w:val="auto"/>
                <w:sz w:val="24"/>
                <w:szCs w:val="24"/>
                <w:highlight w:val="yellow"/>
                <w:u w:val="wave"/>
              </w:rPr>
              <w:t>≥3路HDMI</w:t>
            </w:r>
            <w:r>
              <w:rPr>
                <w:rFonts w:hint="eastAsia" w:ascii="仿宋_GB2312" w:hAnsi="仿宋_GB2312" w:eastAsia="仿宋_GB2312" w:cs="仿宋_GB2312"/>
                <w:color w:val="auto"/>
                <w:sz w:val="24"/>
                <w:szCs w:val="24"/>
                <w:u w:val="none"/>
              </w:rPr>
              <w:t xml:space="preserve"> 、≥4路HDM</w:t>
            </w:r>
            <w:r>
              <w:rPr>
                <w:rFonts w:hint="eastAsia" w:ascii="仿宋_GB2312" w:hAnsi="仿宋_GB2312" w:eastAsia="仿宋_GB2312" w:cs="仿宋_GB2312"/>
                <w:color w:val="auto"/>
                <w:sz w:val="24"/>
                <w:szCs w:val="24"/>
                <w:u w:val="none"/>
                <w:lang w:val="en-US" w:eastAsia="zh-CN"/>
              </w:rPr>
              <w:t>I</w:t>
            </w:r>
            <w:r>
              <w:rPr>
                <w:rFonts w:hint="eastAsia" w:ascii="仿宋_GB2312" w:hAnsi="仿宋_GB2312" w:eastAsia="仿宋_GB2312" w:cs="仿宋_GB2312"/>
                <w:color w:val="auto"/>
                <w:sz w:val="24"/>
                <w:szCs w:val="24"/>
                <w:u w:val="none"/>
              </w:rPr>
              <w:t>输出视频矩阵，</w:t>
            </w:r>
            <w:r>
              <w:rPr>
                <w:rFonts w:hint="eastAsia" w:ascii="仿宋_GB2312" w:hAnsi="仿宋_GB2312" w:eastAsia="仿宋_GB2312" w:cs="仿宋_GB2312"/>
                <w:color w:val="auto"/>
                <w:sz w:val="24"/>
                <w:szCs w:val="24"/>
              </w:rPr>
              <w:t>分辨率支持4K@30Hz，无缝切换；内置中控功能，</w:t>
            </w:r>
            <w:r>
              <w:rPr>
                <w:rFonts w:hint="eastAsia" w:ascii="仿宋_GB2312" w:hAnsi="仿宋_GB2312" w:eastAsia="仿宋_GB2312" w:cs="仿宋_GB2312"/>
                <w:color w:val="auto"/>
                <w:sz w:val="24"/>
                <w:szCs w:val="24"/>
                <w:u w:val="none"/>
              </w:rPr>
              <w:t>包含≥</w:t>
            </w:r>
            <w:r>
              <w:rPr>
                <w:rFonts w:hint="eastAsia" w:ascii="仿宋_GB2312" w:hAnsi="仿宋_GB2312" w:eastAsia="仿宋_GB2312" w:cs="仿宋_GB2312"/>
                <w:color w:val="auto"/>
                <w:sz w:val="24"/>
                <w:szCs w:val="24"/>
                <w:u w:val="none"/>
                <w:lang w:val="en-US" w:eastAsia="zh-CN"/>
              </w:rPr>
              <w:t>2</w:t>
            </w:r>
            <w:r>
              <w:rPr>
                <w:rFonts w:hint="eastAsia" w:ascii="仿宋_GB2312" w:hAnsi="仿宋_GB2312" w:eastAsia="仿宋_GB2312" w:cs="仿宋_GB2312"/>
                <w:color w:val="auto"/>
                <w:sz w:val="24"/>
                <w:szCs w:val="24"/>
                <w:u w:val="none"/>
              </w:rPr>
              <w:t>路RS485,</w:t>
            </w:r>
            <w:r>
              <w:rPr>
                <w:rFonts w:hint="eastAsia" w:ascii="仿宋_GB2312" w:hAnsi="仿宋_GB2312" w:eastAsia="仿宋_GB2312" w:cs="仿宋_GB2312"/>
                <w:color w:val="auto"/>
                <w:sz w:val="24"/>
                <w:szCs w:val="24"/>
              </w:rPr>
              <w:t xml:space="preserve">3路RS232接口，每个可单独设置串口功能，波特率独立可调；内置4 路GPIO 接口控制口，可接入24V以下例如干接点信号等触发设备动作，或触发动作后输出5V用以驱动继电器等设备。 </w:t>
            </w:r>
          </w:p>
          <w:p w14:paraId="1E2956CD">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显示屏：前面板≥4.3英寸触摸显示屏，支持本地控制音视频矩阵，调节每路音频增益、静音，查看设备信息，支持锁屏密码，防止无关人员误操作；</w:t>
            </w:r>
          </w:p>
          <w:p w14:paraId="4263529B">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 xml:space="preserve">组网运行：支持多台设备组网运行，在同一局域网内可以通过可以通过同一控制程序控制多台设备进行相关操作； </w:t>
            </w:r>
          </w:p>
          <w:p w14:paraId="43AFFE7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音频处理：8段英式参量均衡，提供5种滤波器选择：Parametric,Lowshelf,Highshelf,Lowpass,Highpass ; 支持反馈消除：可通过客户端软件设置动态、固定、手动3种反馈消除模式,独立通道的AFC（反馈抑制)：采用陷波式算法，传声增益提升幅度：10dB;USB声卡：内置USB声卡，支持音乐播放、录制和软视频会议输入输出 ;</w:t>
            </w:r>
          </w:p>
          <w:p w14:paraId="60313825">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eastAsia="zh-CN"/>
              </w:rPr>
            </w:pPr>
            <w:r>
              <w:rPr>
                <w:rFonts w:ascii="仿宋_GB2312" w:eastAsia="仿宋_GB2312"/>
                <w:b/>
                <w:bCs/>
                <w:color w:val="auto"/>
                <w:sz w:val="24"/>
              </w:rPr>
              <w:t>★</w:t>
            </w: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通过物联平台对设备进行物联管控，实时查看设备在线状态，支持场景化管控，通过平台预设设备模式，进行手动、自动、条件触发；支持通过物联平台进行设备音频矩阵、视频矩阵、各路音频增益控制，实时查看每路输入输出实时音频电平；支持将设备绑定至任意会议室场景，并生成可视化集中控制界面进行系统管控；支持将设备接入物联平台可视化拓扑图系统，直观展示设备与设备之间链路与网络系统架构，异常链路显示断联并告警;可通过手机APP进行远程管控，实时操作;必须保证接入本项目（智慧物联管理平台）实现以上全部管控和监测功能</w:t>
            </w:r>
            <w:r>
              <w:rPr>
                <w:rFonts w:hint="eastAsia" w:ascii="仿宋_GB2312" w:hAnsi="仿宋_GB2312" w:eastAsia="仿宋_GB2312" w:cs="仿宋_GB2312"/>
                <w:color w:val="auto"/>
                <w:sz w:val="24"/>
                <w:szCs w:val="24"/>
                <w:lang w:eastAsia="zh-CN"/>
              </w:rPr>
              <w:t>。</w:t>
            </w:r>
          </w:p>
          <w:p w14:paraId="126CD877">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设备接口：4*HDMI INPUTS,4*HDMI OUTPUTS,4*RS485,3*RS232,4*GPI0,1*DEBUG，1*ETHERNET 以太网口，1*USBAUDIO,8*AUDIO IN,8*AUDIO OUT</w:t>
            </w:r>
          </w:p>
          <w:p w14:paraId="704B4AE6">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软件支持可视化编程，可选择拉取模块化组件，自由组合成个性化用户界面，并支持一键导入至平板或手机终端使用；</w:t>
            </w:r>
          </w:p>
          <w:p w14:paraId="6F316B50">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支持场景预设功能，最大支持16组场景。</w:t>
            </w:r>
          </w:p>
          <w:p w14:paraId="6E2D858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 xml:space="preserve">频率响应(20~20kHz)：±0.5dB </w:t>
            </w:r>
          </w:p>
          <w:p w14:paraId="1E134DE0">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 xml:space="preserve">最大电平：+18dBu </w:t>
            </w:r>
          </w:p>
          <w:p w14:paraId="2CC89AAA">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11.</w:t>
            </w:r>
            <w:r>
              <w:rPr>
                <w:rFonts w:hint="eastAsia" w:ascii="仿宋_GB2312" w:hAnsi="仿宋_GB2312" w:eastAsia="仿宋_GB2312" w:cs="仿宋_GB2312"/>
                <w:color w:val="auto"/>
                <w:sz w:val="24"/>
                <w:szCs w:val="24"/>
              </w:rPr>
              <w:t xml:space="preserve">输入动态范围：110dB </w:t>
            </w:r>
          </w:p>
          <w:p w14:paraId="39AC0717">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12.</w:t>
            </w:r>
            <w:r>
              <w:rPr>
                <w:rFonts w:hint="eastAsia" w:ascii="仿宋_GB2312" w:hAnsi="仿宋_GB2312" w:eastAsia="仿宋_GB2312" w:cs="仿宋_GB2312"/>
                <w:color w:val="auto"/>
                <w:sz w:val="24"/>
                <w:szCs w:val="24"/>
              </w:rPr>
              <w:t xml:space="preserve">输出动态范围：110dB </w:t>
            </w:r>
          </w:p>
          <w:p w14:paraId="5250E874">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13.</w:t>
            </w:r>
            <w:r>
              <w:rPr>
                <w:rFonts w:hint="eastAsia" w:ascii="仿宋_GB2312" w:hAnsi="仿宋_GB2312" w:eastAsia="仿宋_GB2312" w:cs="仿宋_GB2312"/>
                <w:color w:val="auto"/>
                <w:sz w:val="24"/>
                <w:szCs w:val="24"/>
              </w:rPr>
              <w:t xml:space="preserve">输入阻抗(平衡接法)：5.4kΩ </w:t>
            </w:r>
          </w:p>
          <w:p w14:paraId="3B7D9C7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14.</w:t>
            </w:r>
            <w:r>
              <w:rPr>
                <w:rFonts w:hint="eastAsia" w:ascii="仿宋_GB2312" w:hAnsi="仿宋_GB2312" w:eastAsia="仿宋_GB2312" w:cs="仿宋_GB2312"/>
                <w:color w:val="auto"/>
                <w:sz w:val="24"/>
                <w:szCs w:val="24"/>
              </w:rPr>
              <w:t xml:space="preserve">输出阻抗(平衡接法)：600Ω </w:t>
            </w:r>
          </w:p>
          <w:p w14:paraId="0BF48152">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eastAsia="zh-CN"/>
              </w:rPr>
              <w:t>15.</w:t>
            </w:r>
            <w:r>
              <w:rPr>
                <w:rFonts w:hint="eastAsia" w:ascii="仿宋_GB2312" w:hAnsi="仿宋_GB2312" w:eastAsia="仿宋_GB2312" w:cs="仿宋_GB2312"/>
                <w:color w:val="auto"/>
                <w:sz w:val="24"/>
                <w:szCs w:val="24"/>
              </w:rPr>
              <w:t>音频系统延时:&lt;3ms</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2D877A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1套</w:t>
            </w:r>
          </w:p>
        </w:tc>
      </w:tr>
      <w:tr w14:paraId="6351B2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06746A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7B0DAF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数字调音台</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C6603FA">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1.10路模拟输入（6路Mic，2组RCA）；</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2.7寸电容触摸屏1024x600分辨率</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3.9个100mm电动推子</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4.中英文界面随时切换无需重启</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5.内置USB录音、放音功能</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6.USB播放器可以识别中文歌曲名</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7.内置6个通道独立的反馈抑制器</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8.集成音箱管理器</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9.开放第三方控制协议 TCP/IP、RS-232控制指令</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10.带2个DCA</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11.触摸屏全功能控制，实时数据同步</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12.支持多个终端同时控制</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13.内置1个效果器模块</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14.可通过网络或者USB电子盘升级固件</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15.每个输入通道具有4段参量均衡、噪声门、反馈抑制器、高低通、压缩、反相</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16.每个输出通道具有8段参量均衡、高低通、压缩、反相</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17.输出通道L/R、4BUS、HeadPhone(L/R)</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18.4个BUS混音总线可选择推子前、推子后（PRE/POST）</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19.支持100组场景预设功能，可从USB存储器或电脑导出、导入，便于数据备份</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20.100个PEQ模式存储</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21.内置信号发生器：正弦波、粉红噪声、白噪声</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22.通道参数拷贝功能，相同的通道快速复制数据</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23.接线方式：平衡式输入、输出卡侬</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24.8个推子编组、4个静音编组</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25.通道名称可自定义</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26.3个自定义快捷键</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27.频率响应：20Hz～20kHz（-1.6dB，+0.2dB）</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28.总谐波失真：≤0.2%@4dBu，20Hz～20kHz</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29.信噪比：≥100dB</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30.最大输入电平：≥14dBu</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31.最大输出电平：≥14dBu</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32.串音（1KHz）：≤-99dB</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33.增益：≥65dB</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34.安全抗电强度：对电源端子与金属外壳之间进行测试:≥1000V DC(10mA)冲击(60s)，无飞弧，无击穿；</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35.满足GB/T2423.2-2008《电工电子产品环境试验 第2部分：试验方法 试验B：高温》及GB/T2423.1-2008《电工电子产品环境试验 第2部分：试验方法 试验A： 低温》中的条件和方法对调音台进行高、低温测试:高温≥43℃，低温≤-8℃，测试时间:2小时。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507268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44D6B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2C1E66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90BEB3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电源时序器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B7F6D68">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1.具备80A空气开关，具有漏电保护功能；面板带USB接口, USB接口具备5V直流电源输出（允许误差±1V）；电源电压LED数码管实时显示；每一路交流输出电源具有独立按键及对应的LED指示灯；控制功能：RS232控制、凤凰控制口、单机控制、多机联机控制、远程控制；输出通道：≥14路独立220V（20A）交流电源输出通道</w:t>
            </w:r>
            <w:r>
              <w:rPr>
                <w:rFonts w:hint="eastAsia" w:ascii="仿宋_GB2312" w:hAnsi="仿宋_GB2312" w:eastAsia="仿宋_GB2312" w:cs="仿宋_GB2312"/>
                <w:color w:val="auto"/>
                <w:sz w:val="24"/>
                <w:szCs w:val="24"/>
                <w:u w:val="none"/>
                <w:lang w:val="en-US" w:eastAsia="zh-CN"/>
              </w:rPr>
              <w:t>，≥5路12V直流电源输出通道（直流电流≥1.2A）；时序开关频率(延迟时间)：每1步≥0.5秒；</w:t>
            </w:r>
            <w:r>
              <w:rPr>
                <w:rFonts w:hint="eastAsia" w:ascii="仿宋_GB2312" w:hAnsi="仿宋_GB2312" w:eastAsia="仿宋_GB2312" w:cs="仿宋_GB2312"/>
                <w:color w:val="auto"/>
                <w:sz w:val="24"/>
                <w:szCs w:val="24"/>
                <w:u w:val="none"/>
                <w:lang w:val="en-US" w:eastAsia="zh-CN"/>
              </w:rPr>
              <w:br w:type="textWrapping"/>
            </w:r>
            <w:r>
              <w:rPr>
                <w:rFonts w:hint="eastAsia" w:ascii="仿宋_GB2312" w:hAnsi="仿宋_GB2312" w:eastAsia="仿宋_GB2312" w:cs="仿宋_GB2312"/>
                <w:color w:val="auto"/>
                <w:sz w:val="24"/>
                <w:szCs w:val="24"/>
                <w:lang w:val="en-US" w:eastAsia="zh-CN"/>
              </w:rPr>
              <w:t>2.抗电强度：对电源L-机壳之间进行测试：符合1500VAC,(1min)应无飞弧或击穿；对电源L-输入口之间、电源-L输出口之间进行测试：符合1500VAC，（1min）应无飞弧或击穿；接地电阻：外壳（远端）对电线插头接地端接地电阻≤0.2Ω（25A60s）；</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3.机内须采用双电源独立供电，6路12V/1.1A直流输出电源由1个环形变压器分6组≥16V/1.6A交流输出给6个全桥整流器配合相关电路形成6路独立的直流输出电源，为其它音响设备提供稳定干净的直流电源；本机工作电源由1个独立变压器分3组交流输出给3个全桥整流器配合相关电路组成。</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4.本机80A空气开关输出给主板的主电源线≥10平方毫米，具备≥13个交流输出继电器，继电器负载量≥250V/40A(交流)，后面板具备≥13个多用交流输出插座和6个圆形直流输出插座，至少具备1个凤凰控制接口、1个RS232控制接口、1组（2个双芯6.35插座）级联控制接口。</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5.电压范围：AC220V±10%；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4B3172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1套</w:t>
            </w:r>
          </w:p>
        </w:tc>
      </w:tr>
      <w:tr w14:paraId="5DF0E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0AC1F7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A2B8DE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无线会议话筒</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47813D2D">
            <w:pPr>
              <w:pStyle w:val="39"/>
              <w:keepNext w:val="0"/>
              <w:keepLines w:val="0"/>
              <w:pageBreakBefore w:val="0"/>
              <w:widowControl w:val="0"/>
              <w:numPr>
                <w:ilvl w:val="-1"/>
                <w:numId w:val="0"/>
              </w:numPr>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ascii="仿宋_GB2312" w:eastAsia="仿宋_GB2312"/>
                <w:b/>
                <w:bCs/>
                <w:color w:val="auto"/>
                <w:sz w:val="24"/>
              </w:rPr>
              <w:t>★</w:t>
            </w:r>
            <w:r>
              <w:rPr>
                <w:rFonts w:hint="eastAsia" w:ascii="仿宋_GB2312" w:eastAsia="仿宋_GB2312"/>
                <w:b/>
                <w:bCs/>
                <w:color w:val="auto"/>
                <w:sz w:val="24"/>
                <w:lang w:val="en-US" w:eastAsia="zh-CN"/>
              </w:rPr>
              <w:t>1.</w:t>
            </w:r>
            <w:r>
              <w:rPr>
                <w:rFonts w:hint="eastAsia" w:ascii="仿宋_GB2312" w:hAnsi="仿宋_GB2312" w:eastAsia="仿宋_GB2312" w:cs="仿宋_GB2312"/>
                <w:color w:val="auto"/>
                <w:sz w:val="24"/>
                <w:szCs w:val="24"/>
              </w:rPr>
              <w:t>具备1个RJ45数据接口，连接互联网，通过TCP/IP协议可对接到物联网平台，进行多频段设备集中控制、状态显示、设备名称自定义、无干扰频率一键部署等；支持通过无线传声器管理系统软件（PC、平板客户端软件）对多频段设备进行集中管控，自定义设备名称、通道名称、自定义排序，无干扰频率一键下发至在线设备，并支持设备加减锁、通道静音控制、接收模式选择、预设群组和通道选择、自定义频率、输出音量设置、静噪设置等，并支持通道射频、音频、发射器电量等实时监测。必须保证接入本项目（智慧物联管理平台）实现以上全部管控和监测功能，验收时逐项核对</w:t>
            </w:r>
          </w:p>
          <w:p w14:paraId="2F62938B">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ind w:left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无线传声器管理系统软件（PC、平板客户端软件）适配windows、安卓、鸿蒙等常用系统；将频谱测试与无线传输系统高效结合和互动，图形化实时监测当前环境射频详情，并自动筛选不受干扰的频点，实现无线系统的稳定运行；</w:t>
            </w:r>
          </w:p>
          <w:p w14:paraId="14B4F1FA">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3.采用标准金属机箱，天线分集式接收线路、CPU控制选讯+导频识别功能；</w:t>
            </w:r>
          </w:p>
          <w:p w14:paraId="783E0FEA">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4.频率调节采用无互调干扰群组预设、用户自定义调节等方式，单机≥1800个频率可供客户调节；</w:t>
            </w:r>
          </w:p>
          <w:p w14:paraId="78B49255">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5.LCD显示器≥4.3寸，可实时显示群组、频率、电池电量、静音位准、电子音量等信息；</w:t>
            </w:r>
          </w:p>
          <w:p w14:paraId="247F32B2">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6.接收机具有一键自动搜频（scan）功能，自动搜索及锁定在实际工作环境中不受干扰的频道上；接收机内置开关电源，由AC 220V市电直接供电，并支持电源环出功能；接收机天线座提供偏置电压，可连接有源对数周期天线提升接收距离和信号质量。并支持射频级联功能，无需天线分配器即可实现≥6套叠机使用；各通道可单独或混合平衡输出，支持MIC/LINE两段输出增益可调，切换增益范围≥15dB，具有物理切换开关；各通道支持SQ(降噪)六档独立调节；</w:t>
            </w:r>
          </w:p>
          <w:p w14:paraId="28E66F77">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7.具有3个XLR平衡输出、4个TNC-K天线端口、1个RJ45网口，MIC/LINE输出切换开关；</w:t>
            </w:r>
          </w:p>
          <w:p w14:paraId="74DE7834">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8.通道数量：两通道，接收频率范围：UHF530.000-690.000MHz（常规 530.000MHz-580.000MHz），音频频率响应（线路）：40Hz-18KHz，总谐波失真（THD+N）:≤0.5%(10mV@1kHz)，延迟：≤5ms（典型值），最大频偏：±45KHz，最大输出电平：≥+10dBV、动态范围：≥100dBA，最大声压级：≥134dB spl；</w:t>
            </w:r>
          </w:p>
          <w:p w14:paraId="0CBBC00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9.配置2只方管会议发射器，发射器采用电容拾音头，发射器眯管≤210mm、咪芯 ≥φ16mm（电容），指向性：超心形，载波功率：两档可调，显示方式：LCD，电源：标配3.7V锂电模组，兼容2×AA碱性电池，连续工作时间：约8小时（发射器为高功率）。。</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97919F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1套</w:t>
            </w:r>
          </w:p>
        </w:tc>
      </w:tr>
      <w:tr w14:paraId="7E62D0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20BA0B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8992D1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无线头戴话筒</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602FB42">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具备1个RJ45数据接口，连接互联网，通过TCP/IP协议可对接到物联网平台，进行多频段设备集中控制、状态显示、设备名称自定义、无干扰频率一键部署等；支持通过无线传声器管理系统软件（PC、平板客户端软件）对多频段设备进行集中管控，自定义设备名称、通道名称、自定义排序，无干扰频率一键下发至在线设备，并支持设备加减锁、通道静音控制、接收模式选择、预设群组和通道选择、自定义频率、输出音量设置、静噪设置等，并支持通道射频、音频、发射器电量等实时监测。必须保证接入本项目（智慧物联管理平台）实现以上全部管控和监测功能，验收时逐项核对</w:t>
            </w:r>
          </w:p>
          <w:p w14:paraId="4D0840DD">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ascii="仿宋_GB2312" w:eastAsia="仿宋_GB2312"/>
                <w:b/>
                <w:bCs/>
                <w:color w:val="auto"/>
                <w:sz w:val="24"/>
              </w:rPr>
              <w:t>★</w:t>
            </w:r>
            <w:r>
              <w:rPr>
                <w:rFonts w:hint="eastAsia" w:ascii="仿宋_GB2312" w:hAnsi="仿宋_GB2312" w:eastAsia="仿宋_GB2312" w:cs="仿宋_GB2312"/>
                <w:color w:val="auto"/>
                <w:sz w:val="24"/>
                <w:szCs w:val="24"/>
                <w:lang w:val="en-US" w:eastAsia="zh-CN"/>
              </w:rPr>
              <w:t>2.无线传声器管理系统软件（PC、平板客户端软件）适配windows、安卓、鸿蒙等常用系统；将频谱测试与无线传输系统高效结合和互动，图形化实时监测当前环境射频详情，并自动筛选不受干扰的频点，实现无线系统的稳定运行；</w:t>
            </w:r>
          </w:p>
          <w:p w14:paraId="78CB559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3.采用标准金属机箱，天线分集式接收线路、CPU控制选讯+导频识别功能；</w:t>
            </w:r>
          </w:p>
          <w:p w14:paraId="68F0C924">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4.频率调节采用无互调干扰群组预设、用户自定义调节等方式，单机≥1800个频率可供客户调节；</w:t>
            </w:r>
          </w:p>
          <w:p w14:paraId="7907FBD5">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5.LCD显示器≥4.3寸，可实时显示群组、频率、电池电量、静音位准、电子音量等信息；</w:t>
            </w:r>
          </w:p>
          <w:p w14:paraId="7B9013E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6.接收机具有一键自动搜频（scan）功能，自动搜索及锁定在实际工作环境中不受干扰的频道上；接收机内置开关电源，由AC 220V市电直接供电，并支持电源环出功能；接收机天线座提供偏置电压，可连接有源对数周期天线提升接收距离和信号质量。并支持射频级联功能，无需天线分配器即可实现≥6套叠机使用；各通道可单独或混合平衡输出，支持MIC/LINE两段输出增益可调，切换增益范围≥15dB，具有物理切换开关；各通道支持SQ(降噪)六档独立调节；</w:t>
            </w:r>
          </w:p>
          <w:p w14:paraId="5AF2428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7.具有3个XLR平衡输出、4个TNC-K天线端口、1个RJ45网口，MIC/LINE输出切换开关；</w:t>
            </w:r>
          </w:p>
          <w:p w14:paraId="21A0C1A5">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8.通道数量：两通道，接收频率范围：UHF530.000-690.000MHz（常规 530.000MHz-580.000MHz），音频频率响应（线路）：40Hz-18KHz，总谐波失真（THD+N）:≤0.5%(10mV@1kHz)，延迟：≤5ms（典型值），最大频偏：±45KHz，最大输出电平：≥+10dBV、动态范围：≥100dBA，最大声压级：≥134dB spl；</w:t>
            </w:r>
          </w:p>
          <w:p w14:paraId="1DCAAEEF">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9.配置2只腰包发射器，发射器采用电容式拾音头，指向性：全向，载波功率：两档可调，音频增益：五档可调，显示方式：TFT多色显示，电源：2×AA碱性电池，连续工作时间：约8小时（发射器为高功率）。</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6B899BB">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1套</w:t>
            </w:r>
          </w:p>
        </w:tc>
      </w:tr>
      <w:tr w14:paraId="4F6EAC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9103EA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6607BE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无线手持话筒</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414096B">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具备1个RJ45数据接口，连接互联网，通过TCP/IP协议可对接到物联网平台，进行多频段设备集中控制、状态显示、设备名称自定义、无干扰频率一键部署等；支持通过无线传声器管理系统软件（PC、平板客户端软件）对多频段设备进行集中管控，自定义设备名称、通道名称、自定义排序，无干扰频率一键下发至在线设备，并支持设备加减锁、通道静音控制、接收模式选择、预设群组和通道选择、自定义频率、输出音量设置、静噪设置等，并支持通道射频、音频、发射器电量等实时监测。必须保证接入本项目（智慧物联管理平台）实现以上全部管控和监测功能，验收时逐项核对</w:t>
            </w:r>
          </w:p>
          <w:p w14:paraId="6B40A056">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无线传声器管理系统软件（PC、平板客户端软件）适配windows、安卓、鸿蒙等常用系统；将频谱测试与无线传输系统高效结合和互动，图形化实时监测当前环境射频详情，并自动筛选不受干扰的频点，实现无线系统的稳定运行；</w:t>
            </w:r>
          </w:p>
          <w:p w14:paraId="5A7D5DCB">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3.采用标准金属机箱，天线分集式接收线路、CPU控制选讯+导频识别功能；</w:t>
            </w:r>
          </w:p>
          <w:p w14:paraId="76D29D79">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4.频率调节采用无互调干扰群组预设、用户自定义调节等方式，单机≥1800个频率可供客户调节；</w:t>
            </w:r>
          </w:p>
          <w:p w14:paraId="24E33A16">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5.LCD显示器≥4.3寸，可实时显示群组、频率、电池电量、静音位准、电子音量等信息；</w:t>
            </w:r>
          </w:p>
          <w:p w14:paraId="4ABAAA8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6.接收机具有一键自动搜频（scan）功能，自动搜索及锁定在实际工作环境中不受干扰的频道上；接收机内置开关电源，由AC 220V市电直接供电，并支持电源环出功能；接收机天线座提供偏置电压，可连接有源对数周期天线提升接收距离和信号质量。并支持射频级联功能，无需天线分配器即可实现≥6套叠机使用；各通道可单独或混合平衡输出，支持MIC/LINE两段输出增益可调，切换增益范围≥15dB，具有物理切换开关；各通道支持SQ(降噪)六档独立调节；</w:t>
            </w:r>
          </w:p>
          <w:p w14:paraId="5DFFCEF7">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7.具有3个XLR平衡输出、4个TNC-K天线端口、1个RJ45网口，MIC/LINE输出切换开关；</w:t>
            </w:r>
          </w:p>
          <w:p w14:paraId="50C34C76">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8.通道数量：两通道，接收频率范围：UHF530.000-690.000MHz（常规 530.000MHz-580.000MHz），音频频率响应（线路）：40Hz-18KHz，总谐波失真（THD+N）:≤0.5%(10mV@1kHz)，延迟：≤5ms（典型值），最大频偏：±45KHz，最大输出电平：≥+10dBV、动态范围：≥100dBA，最大声压级：≥134dB spl；</w:t>
            </w:r>
          </w:p>
          <w:p w14:paraId="4E039CFC">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9.配置2只手持式发射器，发射器采用动圈式拾音头，指向性：超心形，载波功率：两档可调，音频增益：五档可调，显示方式：TFT多色显示，电源：2×AA碱性电池，连续工作时间：约8小时（发射器为高功率）。</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22C9EEE">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2套</w:t>
            </w:r>
          </w:p>
        </w:tc>
      </w:tr>
      <w:tr w14:paraId="67C251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48A52B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D527EE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有源对数周期天线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6F8ACF4">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1.专业用UHF频段外接延长对数天线，适用的频宽涵盖500MHz─850MHz范围，对需要特定方位使用的环境有非常好的效果；</w:t>
            </w:r>
          </w:p>
          <w:p w14:paraId="7E4F0E91">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2.内建可调增益放大器以及衰减器，用户可根据实际使用环境调整增益；</w:t>
            </w:r>
          </w:p>
          <w:p w14:paraId="348B4E49">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3.步进增益总增益量：0─18dB±2dB，步进量：±1dB；</w:t>
            </w:r>
          </w:p>
          <w:p w14:paraId="75C3A8A5">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4.步进衰减总衰减量：0─9dB±2dB，步进量：±1dB；</w:t>
            </w:r>
          </w:p>
          <w:p w14:paraId="31DB5E95">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5.天线阻抗：50Ω；</w:t>
            </w:r>
          </w:p>
          <w:p w14:paraId="760C7F66">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6.天线增益：3-5dB；</w:t>
            </w:r>
          </w:p>
          <w:p w14:paraId="2DAC4545">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7.驻波比：≤2.5:1；</w:t>
            </w:r>
          </w:p>
          <w:p w14:paraId="0B6D496C">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8.接收模式(3dB波束宽度)：65°（垂直角）,120°(水平面）；</w:t>
            </w:r>
          </w:p>
          <w:p w14:paraId="290C1073">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9.连接插座：TNC母座×1；</w:t>
            </w:r>
          </w:p>
          <w:p w14:paraId="7B756220">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10.电流消耗：约60mA/DC8V；</w:t>
            </w:r>
          </w:p>
          <w:p w14:paraId="1206288C">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11.电源：TNC母座须提供偏压电源DC6—10V。</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9D94E6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2套</w:t>
            </w:r>
          </w:p>
        </w:tc>
      </w:tr>
      <w:tr w14:paraId="2BADA1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193CD1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9AA655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音频线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6EFA932">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1.双芯屏蔽音频线，导体材料选用无氧铜；</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2.外部绝缘采用ROHS聚氯乙烯塑料，内部芯线绝缘材料采用 合成PE；</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3.两芯绞合成缆：2×40支，单芯组成：40支直径为0.1mm无氧铜，屏蔽采用铝箔纵包+128根单丝直径0.1mm的无氧铜线编织构成；</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4.护套采用弹性体材料，结构圆整，电缆外观光滑、圆整，手感柔软，成品外径约6.2㎜；</w:t>
            </w:r>
            <w:r>
              <w:rPr>
                <w:rFonts w:hint="eastAsia" w:ascii="仿宋_GB2312" w:hAnsi="仿宋_GB2312" w:eastAsia="仿宋_GB2312" w:cs="仿宋_GB2312"/>
                <w:color w:val="auto"/>
                <w:sz w:val="24"/>
                <w:szCs w:val="24"/>
                <w:lang w:val="en-US" w:eastAsia="zh-CN"/>
              </w:rPr>
              <w:br w:type="textWrapping"/>
            </w:r>
            <w:r>
              <w:rPr>
                <w:rFonts w:hint="eastAsia" w:ascii="仿宋_GB2312" w:hAnsi="仿宋_GB2312" w:eastAsia="仿宋_GB2312" w:cs="仿宋_GB2312"/>
                <w:color w:val="auto"/>
                <w:sz w:val="24"/>
                <w:szCs w:val="24"/>
                <w:lang w:val="en-US" w:eastAsia="zh-CN"/>
              </w:rPr>
              <w:t>5.用于室内各种音响设备连接，移动布线或固定布线均可。</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A31BA6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200米</w:t>
            </w:r>
          </w:p>
        </w:tc>
      </w:tr>
      <w:tr w14:paraId="322F471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22BEE5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E0EC88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2芯音箱线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172379C">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1.2芯专业舞台音响工程线，导体材料选用无氧铜；</w:t>
            </w:r>
          </w:p>
          <w:p w14:paraId="68DE9F70">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2.外部绝缘采用聚氯乙烯塑料，内部芯线绝缘材料采用合成PE；</w:t>
            </w:r>
          </w:p>
          <w:p w14:paraId="7F6FA274">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3.两芯绞合成缆：2×2.0mm²，单芯组成：230支直径为0.1mm无氧铜+5支抗干扰神经线构成；</w:t>
            </w:r>
          </w:p>
          <w:p w14:paraId="77A966D2">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lef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4.护套采用弹性体材料，结构圆整，电缆外观光滑、圆整，手感柔软，成品外径约10㎜；</w:t>
            </w:r>
          </w:p>
          <w:p w14:paraId="48D82622">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5.用于室内各种音响设备连接，移动布线或固定布线均可。</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3F3C07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200米</w:t>
            </w:r>
          </w:p>
        </w:tc>
      </w:tr>
      <w:tr w14:paraId="317BB5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FE0D79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E31791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机柜</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948C989">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 xml:space="preserve">1.42U标准化网络机柜, </w:t>
            </w:r>
            <w:r>
              <w:rPr>
                <w:rFonts w:hint="eastAsia" w:ascii="仿宋_GB2312" w:hAnsi="仿宋_GB2312" w:eastAsia="仿宋_GB2312" w:cs="仿宋_GB2312"/>
                <w:i w:val="0"/>
                <w:iCs w:val="0"/>
                <w:color w:val="auto"/>
                <w:kern w:val="0"/>
                <w:sz w:val="24"/>
                <w:szCs w:val="24"/>
                <w:u w:val="none"/>
                <w:lang w:val="en-US" w:eastAsia="zh-CN" w:bidi="ar"/>
              </w:rPr>
              <w:t>≥</w:t>
            </w:r>
            <w:r>
              <w:rPr>
                <w:rFonts w:hint="eastAsia" w:ascii="仿宋_GB2312" w:hAnsi="仿宋_GB2312" w:eastAsia="仿宋_GB2312" w:cs="仿宋_GB2312"/>
                <w:color w:val="auto"/>
                <w:sz w:val="24"/>
                <w:szCs w:val="24"/>
                <w:lang w:val="en-US" w:eastAsia="zh-CN"/>
              </w:rPr>
              <w:t>600mm(宽)X800mm(深)X2045mm(高)，（宽长高允许误差偏离±5mm）。</w:t>
            </w:r>
          </w:p>
          <w:p w14:paraId="29993CB2">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2.采用高强度的优质度锌钢板，机柜主体骨架材料厚度≥1.5mm，承重层板材料厚度≥2.0mm，前、后门板材料厚度≥1.2mm，其它材料厚度≥1.0mm。</w:t>
            </w:r>
          </w:p>
          <w:p w14:paraId="174D7639">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3.表面防静电喷涂采用高硬度粉面。</w:t>
            </w:r>
          </w:p>
          <w:p w14:paraId="3918D839">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4.防护等级满足IP20等级。</w:t>
            </w:r>
          </w:p>
          <w:p w14:paraId="7D3BECA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5.黑色，前后网孔门</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47E73B9">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1个</w:t>
            </w:r>
          </w:p>
        </w:tc>
      </w:tr>
      <w:tr w14:paraId="23F75B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290DCC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0D2F4F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辅助材料</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3814E2E">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安装支架、五金件、接头、胶布、焊锡、套管等</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E50AE9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0AFF4D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7A20C1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27D64E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安装施工</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C2D3C6A">
            <w:pPr>
              <w:pStyle w:val="39"/>
              <w:keepNext w:val="0"/>
              <w:keepLines w:val="0"/>
              <w:pageBreakBefore w:val="0"/>
              <w:widowControl w:val="0"/>
              <w:kinsoku/>
              <w:wordWrap/>
              <w:overflowPunct/>
              <w:topLinePunct w:val="0"/>
              <w:autoSpaceDE/>
              <w:autoSpaceDN/>
              <w:bidi w:val="0"/>
              <w:adjustRightInd/>
              <w:snapToGrid w:val="0"/>
              <w:spacing w:after="0" w:line="400" w:lineRule="exact"/>
              <w:ind w:left="0" w:leftChars="0" w:firstLine="0" w:firstLineChars="0"/>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含布线施工及设计，安装调试及培训等，原体育馆扩声系统维修维护改造。按柳州市教育系统工程施工规范要求实施。</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E4F66A1">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09AC4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7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6F7A630B">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bCs/>
                <w:color w:val="auto"/>
                <w:kern w:val="0"/>
                <w:sz w:val="24"/>
                <w:lang w:val="en-US" w:eastAsia="zh-CN" w:bidi="ar"/>
              </w:rPr>
              <w:t>（二）</w:t>
            </w:r>
            <w:r>
              <w:rPr>
                <w:rFonts w:hint="eastAsia" w:ascii="仿宋_GB2312" w:hAnsi="仿宋_GB2312" w:eastAsia="仿宋_GB2312" w:cs="仿宋_GB2312"/>
                <w:b/>
                <w:bCs/>
                <w:color w:val="auto"/>
                <w:kern w:val="0"/>
                <w:sz w:val="24"/>
                <w:lang w:bidi="ar"/>
              </w:rPr>
              <w:t>市二十四中</w:t>
            </w:r>
            <w:r>
              <w:rPr>
                <w:rFonts w:hint="eastAsia" w:ascii="仿宋_GB2312" w:hAnsi="仿宋_GB2312" w:eastAsia="仿宋_GB2312" w:cs="仿宋_GB2312"/>
                <w:b/>
                <w:bCs/>
                <w:color w:val="auto"/>
                <w:kern w:val="0"/>
                <w:sz w:val="24"/>
                <w:lang w:val="en-US" w:eastAsia="zh-CN" w:bidi="ar"/>
              </w:rPr>
              <w:t>室内全彩</w:t>
            </w:r>
            <w:r>
              <w:rPr>
                <w:rFonts w:hint="eastAsia" w:ascii="仿宋_GB2312" w:hAnsi="仿宋_GB2312" w:eastAsia="仿宋_GB2312" w:cs="仿宋_GB2312"/>
                <w:b/>
                <w:bCs/>
                <w:color w:val="auto"/>
                <w:kern w:val="0"/>
                <w:sz w:val="24"/>
                <w:lang w:bidi="ar"/>
              </w:rPr>
              <w:t>LED屏</w:t>
            </w:r>
          </w:p>
        </w:tc>
      </w:tr>
      <w:tr w14:paraId="239C50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04436A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F66DC9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室内</w:t>
            </w:r>
            <w:r>
              <w:rPr>
                <w:rFonts w:hint="eastAsia" w:ascii="仿宋_GB2312" w:hAnsi="仿宋_GB2312" w:eastAsia="仿宋_GB2312" w:cs="仿宋_GB2312"/>
                <w:b w:val="0"/>
                <w:bCs w:val="0"/>
                <w:color w:val="auto"/>
                <w:sz w:val="24"/>
                <w:szCs w:val="24"/>
              </w:rPr>
              <w:t>全彩</w:t>
            </w:r>
            <w:r>
              <w:rPr>
                <w:rFonts w:hint="eastAsia" w:ascii="仿宋_GB2312" w:hAnsi="仿宋_GB2312" w:eastAsia="仿宋_GB2312" w:cs="仿宋_GB2312"/>
                <w:b w:val="0"/>
                <w:bCs w:val="0"/>
                <w:color w:val="auto"/>
                <w:sz w:val="24"/>
                <w:szCs w:val="24"/>
                <w:lang w:val="en-US" w:eastAsia="zh-CN"/>
              </w:rPr>
              <w:t>LED</w:t>
            </w:r>
            <w:r>
              <w:rPr>
                <w:rFonts w:hint="eastAsia" w:ascii="仿宋_GB2312" w:hAnsi="仿宋_GB2312" w:eastAsia="仿宋_GB2312" w:cs="仿宋_GB2312"/>
                <w:b w:val="0"/>
                <w:bCs w:val="0"/>
                <w:color w:val="auto"/>
                <w:sz w:val="24"/>
                <w:szCs w:val="24"/>
              </w:rPr>
              <w:t>屏</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9C847C1">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屏体面积尺寸：长6.4米*高3.36米≈21.5平方米</w:t>
            </w:r>
          </w:p>
          <w:p w14:paraId="182730B2">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1.点间距≤2.5mm；</w:t>
            </w:r>
          </w:p>
          <w:p w14:paraId="0F04BDA6">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2.采用TOP型SMD封装的灯珠，1R1G1B；灯珠结构支持PPA碗杯结构、点胶封装、出光方式为单面发光；支持PCB平面结构，molding封装、切割、出光方式为五面发光；</w:t>
            </w:r>
          </w:p>
          <w:p w14:paraId="25B1CBEC">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3.LED显示模组亮度均匀性≥99%（校正后）；</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4.LED显示模组的基色主波长的测量误差∆入D≤2nm；</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5.依据SJ/T11281-2025第4.2.2测试，垂直≥177度，水平≥177度</w:t>
            </w:r>
          </w:p>
          <w:p w14:paraId="3EA1ACCF">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6.色温（K）：9300K，20—20000可调，调节步长100K，色温为6500K时，100%、75%、50%、25%四档电平白场调节色温误差≤±200K；色温为8500K时，100%、75%、50%、25%四档电平白场调节色温误差≤±100K；</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7.电流增益调节级别≥10位，电流增益调节范围1%-199%</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8.视觉舒适度(VICO指数)测试值在O≤VICO＜1,满足CSA035.2-2017标准量化分级1级，视觉舒适度等级为1级；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9.色度均匀性：±0.001(Cx,Cy之内)；</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10.对比度≥20000:1；</w:t>
            </w:r>
          </w:p>
          <w:p w14:paraId="477393CB">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11.模组间隙≤0.01mm，拼接模组间隙≤0.01mm，像素中心距相对偏差等级Jx≤0.5%，垂直相对错位等级Cc≤0.5%，水平相对错位等级Cs≤0.5%；</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12.刷新率≥3840Hz；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13.NTSC 色域覆盖率≥125%，色域重合度≥99.3%；</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14.PCB 采用 FR-4 四层板同等级或更高材料，表面沉金处理，板厚≥1.58mm，铜厚≥0.8盎司，TG≥148，PCB 板表面具备防潮/防尘/防静电/抗氧化，防霉等级≤1 级。采用抗消隐设计，无“毛毛虫”“鬼影”跟随现象，模组与HUB板采用排线连接，无级联，可直接插拔和热插拔；</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15.显示屏塑料面罩底壳应能通过550℃灼热丝试验要求，满足HB等级要求；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16.显示屏经蓝光危害检测结果为无危害；</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17.噪声测试（符合GB22337-2008社会生活环境噪声排放标准）屏前、屏后、屏左、屏右1m处，噪声声压≤3dB；</w:t>
            </w:r>
          </w:p>
          <w:p w14:paraId="3FC83D65">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18.符合CQC3158-2016(LED显示单元节能认证技术规范),具有智能节电和黑屏节电功能，节能模式节电60%以上；</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19.平均修复时间≤2分钟，平均无故障工作时间≥110000小时，支持7*24小时不间断工作；</w:t>
            </w:r>
          </w:p>
          <w:p w14:paraId="617E157F">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20.LED显示屏所使用的各种材料和元器件，铅、汞、六价铬、多溴联苯、多溴二苯醚(十溴二苯醚除外)的含量不应超过0.1%,镉的含量不应超过0.01%；</w:t>
            </w:r>
          </w:p>
          <w:p w14:paraId="045EF031">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21.LED显示屏图像质量主观评价方法进行，运动图像清晰度、灰度表现力2（伪轮廓现象）主观感受满足图像质量好，评价优级；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22.采用印制板测试方法，IPC-TM-650 2.5.7D、IPC-TM-650 2.5.7.1.IPC-TM-6502.5.6B、IPC-TM-650 2.5.6.2AASTM D149 在工业用电频率时实心电绝缘材料的介电击穿电压与介电强度的试验方法，印刷板在经过湿热箱处理120h后进行测试，绝缘部分未被击穿；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23.采用 MC 多通道校正技术，消除屏体在不同灰阶下的麻点和色块问题，保证全灰阶显示均匀一致；</w:t>
            </w:r>
          </w:p>
          <w:p w14:paraId="01C3F429">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24.支持鬼影消除、低灰偏色补偿、去除坏点、毛毛虫消除、余辉消除、亮度缓慢变亮功能；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25.摩擦起电电压|V|≤100V;静电电压衰减期 (±1000-±100V）≤2S;</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26.具备20条以上可调节的γ校正曲线；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27.采用 MWFRFT 多层多参数智慧调节技术处理技术，打破传统单层 WFRFT 结构模式扩展为多层 MWFRFT 结构，提升大屏低灰刷新不足引起的闪烁问题；</w:t>
            </w:r>
          </w:p>
          <w:p w14:paraId="16401FDF">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28.模组采用4P接插头，免工具维护，具有防呆设置，避免线路接错的问题。采用集成hub接收卡控制，支持通讯状态监测，高灰度，高刷新；</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29.支持HDR信号显示,支持HDR高动态光照渲染技米。依据CESI/TS008-2019《HDR 显示认证技术规范》，支持高动态范围(HDR，Higi-Dynamic Range)检测项目峰值亮度1000-1500、黑色亮度≤0.05cd/m2.EOTF 曲线拟合度0.7-1.3.色域覆盖率≥90（相对DCILP3色空间）、色域重合度≥60%；</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30.支持模组级的 LED 灯防撞灯保护装置；</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31.粒子尺寸＜75μm 的滑石粉，尘降量 600g/（㎡ ·d）， 自由降尘，试验时间8h，产品未发现尘沉积及侵入；</w:t>
            </w:r>
          </w:p>
          <w:p w14:paraId="65DCF99C">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32.电源插头或电源接入端子与外壳裸露金属部件之间绝缘电阻在正常大气条件下应≥500MΩ，湿热条件下应≥20MΩ;</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33.亮度调节支持手动/自动/远程调节；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34.通过灯管耐焊耐热测试：灯珠引脚无氧化,焊接正常,灯珠胶体正常,点亮正常；</w:t>
            </w:r>
          </w:p>
          <w:p w14:paraId="23D0F98A">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35.通过抗静电(ESD)测试:HBM模式:ESD＞2000V,灯珠点亮无异常；</w:t>
            </w:r>
          </w:p>
          <w:p w14:paraId="00722239">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36.PCB板及塑胶底壳、面罩满足UL94 V-0级要求；</w:t>
            </w:r>
          </w:p>
          <w:p w14:paraId="06CE2EAB">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37.</w:t>
            </w:r>
            <w:r>
              <w:rPr>
                <w:rFonts w:hint="eastAsia" w:ascii="仿宋_GB2312" w:hAnsi="仿宋_GB2312" w:eastAsia="仿宋_GB2312" w:cs="仿宋_GB2312"/>
                <w:color w:val="auto"/>
                <w:kern w:val="0"/>
                <w:sz w:val="24"/>
                <w:szCs w:val="24"/>
                <w:lang w:bidi="ar"/>
              </w:rPr>
              <w:t>功</w:t>
            </w:r>
            <w:r>
              <w:rPr>
                <w:rFonts w:hint="eastAsia" w:ascii="仿宋_GB2312" w:hAnsi="仿宋_GB2312" w:eastAsia="仿宋_GB2312" w:cs="仿宋_GB2312"/>
                <w:color w:val="auto"/>
                <w:kern w:val="0"/>
                <w:sz w:val="24"/>
                <w:szCs w:val="24"/>
                <w:lang w:eastAsia="zh-CN" w:bidi="ar"/>
              </w:rPr>
              <w:t>耗</w:t>
            </w:r>
            <w:r>
              <w:rPr>
                <w:rFonts w:hint="eastAsia" w:ascii="仿宋_GB2312" w:hAnsi="仿宋_GB2312" w:eastAsia="仿宋_GB2312" w:cs="仿宋_GB2312"/>
                <w:color w:val="auto"/>
                <w:kern w:val="0"/>
                <w:sz w:val="24"/>
                <w:szCs w:val="24"/>
                <w:lang w:bidi="ar"/>
              </w:rPr>
              <w:t>：最大功耗(W/㎡) 352 ，平均功率(W/㎡) 1</w:t>
            </w:r>
            <w:r>
              <w:rPr>
                <w:rFonts w:hint="eastAsia" w:ascii="仿宋_GB2312" w:hAnsi="仿宋_GB2312" w:eastAsia="仿宋_GB2312" w:cs="仿宋_GB2312"/>
                <w:color w:val="auto"/>
                <w:kern w:val="0"/>
                <w:sz w:val="24"/>
                <w:szCs w:val="24"/>
                <w:lang w:val="en-US" w:eastAsia="zh-CN" w:bidi="ar"/>
              </w:rPr>
              <w:t>2</w:t>
            </w:r>
            <w:r>
              <w:rPr>
                <w:rFonts w:hint="eastAsia" w:ascii="仿宋_GB2312" w:hAnsi="仿宋_GB2312" w:eastAsia="仿宋_GB2312" w:cs="仿宋_GB2312"/>
                <w:color w:val="auto"/>
                <w:kern w:val="0"/>
                <w:sz w:val="24"/>
                <w:szCs w:val="24"/>
                <w:lang w:bidi="ar"/>
              </w:rPr>
              <w:t>6</w:t>
            </w:r>
            <w:r>
              <w:rPr>
                <w:rFonts w:hint="eastAsia" w:ascii="仿宋_GB2312" w:hAnsi="仿宋_GB2312" w:eastAsia="仿宋_GB2312" w:cs="仿宋_GB2312"/>
                <w:color w:val="auto"/>
                <w:kern w:val="0"/>
                <w:sz w:val="24"/>
                <w:szCs w:val="24"/>
                <w:lang w:eastAsia="zh-CN" w:bidi="ar"/>
              </w:rPr>
              <w:t>。</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FAC468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21.5㎡</w:t>
            </w:r>
          </w:p>
        </w:tc>
      </w:tr>
      <w:tr w14:paraId="3BB687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765989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60FF56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LED备用模组</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60CD6BD">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1.模组尺寸：320mm*160mm，与主LED屏同批次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F32386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6张</w:t>
            </w:r>
          </w:p>
        </w:tc>
      </w:tr>
      <w:tr w14:paraId="55F827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5559B9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4267DF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LED电源</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11EF0A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1.输入电压：200-240Vac,40-63Hz</w:t>
            </w:r>
          </w:p>
          <w:p w14:paraId="51BFBE16">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2.输出电流：40A/输出电压：5V</w:t>
            </w:r>
          </w:p>
          <w:p w14:paraId="669D6DFD">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3.泄漏电流：&lt;1ma（Vin：230）</w:t>
            </w:r>
          </w:p>
          <w:p w14:paraId="1FA82FA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4.保护功能：输入欠压；过载保护；短路保护</w:t>
            </w:r>
          </w:p>
          <w:p w14:paraId="4B1C5189">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5.工作温度：-30~50℃/储存温度：-40~80℃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E85BE3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78台</w:t>
            </w:r>
          </w:p>
        </w:tc>
      </w:tr>
      <w:tr w14:paraId="38A56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AA4691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ED2BEF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接收卡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743998D">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单卡最大带载 512×384像素，支持 24组 RGB 并行数据。采用12个HUB75接口，具有高稳定性和高可靠性，适用于多种环境的搭建</w:t>
            </w:r>
          </w:p>
          <w:p w14:paraId="0BFCA4DF">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 xml:space="preserve">支持逐点亮色度校正，配合调试软件和校正软件，对每个灯点的亮度和色度进行校正。 </w:t>
            </w:r>
          </w:p>
          <w:p w14:paraId="78BE94B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支持普通修缝，可在对应调试软件上进行修缝，用来消除灯板与灯板、箱体与箱体之间的缝隙。</w:t>
            </w:r>
          </w:p>
          <w:p w14:paraId="2ACD4957">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支持低延时，降低视频源在接收卡端的延迟，延迟低至1帧。</w:t>
            </w:r>
          </w:p>
          <w:p w14:paraId="659B1A1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支持配合支持 3D 功能的独立主控，在调试软件或独立主控的操作面板上开启 3D 功能，并设置 3D 参数，使画面显示 3D 效果</w:t>
            </w:r>
          </w:p>
          <w:p w14:paraId="64A21DF6">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支持四种级联方向（0°/90°/180°/270°）的画面进行切换。</w:t>
            </w:r>
          </w:p>
          <w:p w14:paraId="2C281EA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支持异形构造，可轻松实现异形屏、球形屏等创意显示屏。</w:t>
            </w:r>
          </w:p>
          <w:p w14:paraId="29D8E0BD">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支持误码率监测，配合对应版本的调试软件 ，监测接收卡间通讯时传输链路上的数据丢包情况。</w:t>
            </w:r>
          </w:p>
          <w:p w14:paraId="438F4857">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支持固件程序回读，在对应版本软件上可以回读接收卡的固件程序并保存到本地。</w:t>
            </w:r>
          </w:p>
          <w:p w14:paraId="72567DBD">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支持配置参数回读，在调试软件上可以回读接收卡配置参数并保存到本地。</w:t>
            </w:r>
          </w:p>
          <w:p w14:paraId="2B200B73">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11.</w:t>
            </w:r>
            <w:r>
              <w:rPr>
                <w:rFonts w:hint="eastAsia" w:ascii="仿宋_GB2312" w:hAnsi="仿宋_GB2312" w:eastAsia="仿宋_GB2312" w:cs="仿宋_GB2312"/>
                <w:color w:val="auto"/>
                <w:sz w:val="24"/>
                <w:szCs w:val="24"/>
              </w:rPr>
              <w:t>支持环路备份，利用冗余网口增加与发送设备之间的连接，增加设备之间级联的可靠性，当一路出现故障时可实现无缝切换至另一路，保障屏体正常显示。</w:t>
            </w:r>
          </w:p>
          <w:p w14:paraId="0AF81654">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12.</w:t>
            </w:r>
            <w:r>
              <w:rPr>
                <w:rFonts w:hint="eastAsia" w:ascii="仿宋_GB2312" w:hAnsi="仿宋_GB2312" w:eastAsia="仿宋_GB2312" w:cs="仿宋_GB2312"/>
                <w:color w:val="auto"/>
                <w:sz w:val="24"/>
                <w:szCs w:val="24"/>
              </w:rPr>
              <w:t>支持双程序备份，接收卡出厂时保存了两份应用程序，以防程序更新异常导致的升级卡死。</w:t>
            </w:r>
          </w:p>
          <w:p w14:paraId="087C9BB9">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eastAsia="zh-CN"/>
              </w:rPr>
              <w:t>13.</w:t>
            </w:r>
            <w:r>
              <w:rPr>
                <w:rFonts w:hint="eastAsia" w:ascii="仿宋_GB2312" w:hAnsi="仿宋_GB2312" w:eastAsia="仿宋_GB2312" w:cs="仿宋_GB2312"/>
                <w:color w:val="auto"/>
                <w:sz w:val="24"/>
                <w:szCs w:val="24"/>
              </w:rPr>
              <w:t>支持连接多功能卡。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4979D0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42张</w:t>
            </w:r>
          </w:p>
        </w:tc>
      </w:tr>
      <w:tr w14:paraId="7B46E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90D02E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C10096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视频处理器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93B7719">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采用标准 19 英寸金属结构机箱，机箱为后挂耳结构，上盖无螺钉安装:外壳防护等级符合GB</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T 4280-2017中IP20的要求;采用纯硬件 FPGA 架构设计、运行稳定、可靠、高效。</w:t>
            </w:r>
          </w:p>
          <w:p w14:paraId="23ABFF69">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输入接口至少包括1路HDMI2.0+LOOP,2路HDMI1.3，1路USB3.0，最大可支持4096*2160@60HZ信号输入，支持选配1路3G-SDI（IN+LOOP）。</w:t>
            </w:r>
          </w:p>
          <w:p w14:paraId="706C21F6">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视频输出支持不少于6路千兆网口输出，1路10G-OPT光口，最大带载可达390万像素，最宽支持10240,最高8192。</w:t>
            </w:r>
          </w:p>
          <w:p w14:paraId="68CC860B">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音频输入支持视频口伴随音频输入及独立输入两种模式，音频输出支持网口扩展输出及3.5mm独立音频口输出；</w:t>
            </w:r>
          </w:p>
          <w:p w14:paraId="6F348944">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支持输入源备份功能，主源丢失下，无需人为操作可自动切换至备源显示，切换过程无黑屏；</w:t>
            </w:r>
          </w:p>
          <w:p w14:paraId="1F47298F">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可支持144HZ高帧率输入输出，输出支持插帧、抽帧、倍频（2倍频、3倍频、4倍频）功能，可将30HZ信号，倍频至120HZ输出；</w:t>
            </w:r>
          </w:p>
          <w:p w14:paraId="70C56DA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图层能力：最大可支持不少于6个2K图层或1个4K图层+2个2K图层，全部图层大小和位置可单独调节。4K接口输入2K信号，按2K图层计算图层资源；</w:t>
            </w:r>
          </w:p>
          <w:p w14:paraId="4FE5CE3E">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通过上位机软件实现对显示屏的连接，控制，包括：输入源切换，窗口位置及大小调节，分辨率自定义等；软件端支持可视化呈现设备各接口实时状态，包括视频输入状态及分辨率、网口带载利用率、监控界面支持接收卡温度、电压、误码率、通讯状态等的检测；</w:t>
            </w:r>
          </w:p>
          <w:p w14:paraId="0FFEB44D">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支持U盘即插即播功能，最大支持4K级（3840*2160@60fps）图片和视频的流畅播放，播放列表计切换效果支持自定义编排，最多支持20余种图片切换特效，如：水波涟漪、镜头拉近、直接推出、立体翻转、百叶窗、左右擦除、上下擦除、立方体旋转、溶解转场、网格转场、扇扫转场、画卷转场、淡入淡出、旋转扭曲、心形转场、拉帘推出、透视三角、圆形消失、矩形弹跳、星形旋转等；</w:t>
            </w:r>
          </w:p>
          <w:p w14:paraId="37FA7B78">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标配全彩液晶，搭配实体按键，极大的方便了设备整体状态的监控及设备功能的控制:设备功能按键及丝印信息采用全中文提示，项目上无需粘贴额外的标签纸加以区分，清晰直观;</w:t>
            </w:r>
          </w:p>
          <w:p w14:paraId="75282853">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11.</w:t>
            </w:r>
            <w:r>
              <w:rPr>
                <w:rFonts w:hint="eastAsia" w:ascii="仿宋_GB2312" w:hAnsi="仿宋_GB2312" w:eastAsia="仿宋_GB2312" w:cs="仿宋_GB2312"/>
                <w:color w:val="auto"/>
                <w:sz w:val="24"/>
                <w:szCs w:val="24"/>
              </w:rPr>
              <w:t>支持2种用户模式，标准模式和专业模式，满足不同角色对显示屏的分权管理，使用更加放心；</w:t>
            </w:r>
          </w:p>
          <w:p w14:paraId="493EEF88">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12.</w:t>
            </w:r>
            <w:r>
              <w:rPr>
                <w:rFonts w:hint="eastAsia" w:ascii="仿宋_GB2312" w:hAnsi="仿宋_GB2312" w:eastAsia="仿宋_GB2312" w:cs="仿宋_GB2312"/>
                <w:color w:val="auto"/>
                <w:sz w:val="24"/>
                <w:szCs w:val="24"/>
              </w:rPr>
              <w:t>支持微信小程序快捷控制，包括亮度调节、输出画质调节、待机模式、画面冻结、场景切换、U盘播放等功能；</w:t>
            </w:r>
          </w:p>
          <w:p w14:paraId="00F39296">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13.</w:t>
            </w:r>
            <w:r>
              <w:rPr>
                <w:rFonts w:hint="eastAsia" w:ascii="仿宋_GB2312" w:hAnsi="仿宋_GB2312" w:eastAsia="仿宋_GB2312" w:cs="仿宋_GB2312"/>
                <w:color w:val="auto"/>
                <w:sz w:val="24"/>
                <w:szCs w:val="24"/>
              </w:rPr>
              <w:t>支持平板对控制器进行快捷控制，包括亮度调节、图层布局调节、画面冻结、黑屏、场景切换、音量大小、OSD开关等功能；</w:t>
            </w:r>
          </w:p>
          <w:p w14:paraId="5741123F">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14.</w:t>
            </w:r>
            <w:r>
              <w:rPr>
                <w:rFonts w:hint="eastAsia" w:ascii="仿宋_GB2312" w:hAnsi="仿宋_GB2312" w:eastAsia="仿宋_GB2312" w:cs="仿宋_GB2312"/>
                <w:color w:val="auto"/>
                <w:sz w:val="24"/>
                <w:szCs w:val="24"/>
              </w:rPr>
              <w:t>支持创建多个设备还原点，将当前设备的配屏，场景，输出等参数存储为还原点，当系统工作异常时，可根据还原点一键快速还原；</w:t>
            </w:r>
          </w:p>
          <w:p w14:paraId="78893A38">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15.</w:t>
            </w:r>
            <w:r>
              <w:rPr>
                <w:rFonts w:hint="eastAsia" w:ascii="仿宋_GB2312" w:hAnsi="仿宋_GB2312" w:eastAsia="仿宋_GB2312" w:cs="仿宋_GB2312"/>
                <w:color w:val="auto"/>
                <w:sz w:val="24"/>
                <w:szCs w:val="24"/>
              </w:rPr>
              <w:t>支持控制设备白名单，可通过MAC地址限制控制设备，非白名单内设备无法控制设备，不允许对设备进行操作；</w:t>
            </w:r>
          </w:p>
          <w:p w14:paraId="7874ADA2">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16.</w:t>
            </w:r>
            <w:r>
              <w:rPr>
                <w:rFonts w:hint="eastAsia" w:ascii="仿宋_GB2312" w:hAnsi="仿宋_GB2312" w:eastAsia="仿宋_GB2312" w:cs="仿宋_GB2312"/>
                <w:color w:val="auto"/>
                <w:sz w:val="24"/>
                <w:szCs w:val="24"/>
              </w:rPr>
              <w:t>MTBF≥150000小时，MTTR平均修复小于10分钟可用度大于 99%，整机寿命不小于150000小时。产品稳定性高、性能卓越、纯硬件结构，上电即可正常工作，无需做任何其它设置。</w:t>
            </w:r>
          </w:p>
          <w:p w14:paraId="6911175E">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w:t>
            </w: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设备控制支持BS架构，可兼容多种操作系统包括但不限于：Windows、MAC OS、深度 Linux、银河麒麟、统信 UOS中标麒麟(NeoKylin)、优麒麟(UbuntuKylin)、凝思磐石、红旗 Linux 等</w:t>
            </w:r>
            <w:r>
              <w:rPr>
                <w:rFonts w:hint="eastAsia" w:ascii="仿宋_GB2312" w:hAnsi="仿宋_GB2312" w:eastAsia="仿宋_GB2312" w:cs="仿宋_GB2312"/>
                <w:color w:val="auto"/>
                <w:sz w:val="24"/>
                <w:szCs w:val="24"/>
                <w:lang w:eastAsia="zh-CN"/>
              </w:rPr>
              <w:t>。</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D3B527E">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16FAB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745A1D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02393A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计算机</w:t>
            </w:r>
            <w:r>
              <w:rPr>
                <w:rFonts w:hint="eastAsia" w:ascii="仿宋_GB2312" w:hAnsi="仿宋_GB2312" w:eastAsia="仿宋_GB2312" w:cs="仿宋_GB2312"/>
                <w:b/>
                <w:bCs/>
                <w:color w:val="auto"/>
                <w:sz w:val="24"/>
                <w:szCs w:val="24"/>
              </w:rPr>
              <w:t>（强制采购节能产品，详见采购需求说明第八点）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19E541D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★一、CPU规格</w:t>
            </w:r>
          </w:p>
          <w:p w14:paraId="7D33317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核8线程，主频≥2.7GHz，末级缓存≥8M，内存≥双通道DDR4-2666，热设计功耗≤70W，位宽≥64位；</w:t>
            </w:r>
          </w:p>
          <w:p w14:paraId="56A620F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★二、内存规格</w:t>
            </w:r>
          </w:p>
          <w:p w14:paraId="4A67B39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1.内存配置容量：≥16GB；</w:t>
            </w:r>
          </w:p>
          <w:p w14:paraId="7765DD3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2.内存类型：支持 DDR4/LPDDR4/LPDDR4X及以上内存类型；</w:t>
            </w:r>
          </w:p>
          <w:p w14:paraId="2477AE8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3.内存条配置数量（板载内存不涉及）：≥1；</w:t>
            </w:r>
          </w:p>
          <w:p w14:paraId="6A6DAD0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★三、主板规格</w:t>
            </w:r>
          </w:p>
          <w:p w14:paraId="7B1CCF1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1.主板集成模块：集成资源扩展模块、计算处理模块、音频扩展模块等，主板的互联拓扑可通过处理器或交换电路实现；</w:t>
            </w:r>
          </w:p>
          <w:p w14:paraId="60D6355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2.主板支持的 CPU 和内存情况：≥</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核8线程，主频≥2.7GHz，末级缓存≥8M，内存≥双通道DDR4-2666，热设计功耗≤70W，位宽≥64位；内存条数量≥</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w:t>
            </w:r>
          </w:p>
          <w:p w14:paraId="0D1E5E7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3.主板其他内置接口：≥SATA接口*4，≥M.2接口*1，</w:t>
            </w:r>
            <w:r>
              <w:rPr>
                <w:rFonts w:hint="eastAsia" w:ascii="仿宋_GB2312" w:hAnsi="仿宋_GB2312" w:eastAsia="仿宋_GB2312" w:cs="仿宋_GB2312"/>
                <w:color w:val="auto"/>
                <w:sz w:val="24"/>
                <w:szCs w:val="24"/>
                <w:highlight w:val="none"/>
              </w:rPr>
              <w:t>≥USB接口*1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rPr>
              <w:t>，固态硬盘占用M.2接口*1，机械硬盘占用SATA接口*1</w:t>
            </w:r>
          </w:p>
          <w:p w14:paraId="5386033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4.单内存插槽最大可支持容量（板载内存不涉及）：≥16GB；</w:t>
            </w:r>
          </w:p>
          <w:p w14:paraId="7205731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5.内存插槽满配时提供的最高内存总容量：≥64GB；</w:t>
            </w:r>
          </w:p>
          <w:p w14:paraId="4F61233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★四、存储设备规格</w:t>
            </w:r>
          </w:p>
          <w:p w14:paraId="645916E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1.固态盘数量：≥1 个；</w:t>
            </w:r>
          </w:p>
          <w:p w14:paraId="189845D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2.固态存储容量：≥512GB；</w:t>
            </w:r>
          </w:p>
          <w:p w14:paraId="238197E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3.机械硬盘数量：≥1 个；</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4.机械硬盘总容量：≥1TB；</w:t>
            </w:r>
          </w:p>
          <w:p w14:paraId="710DA2D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5.机械硬盘转速：≥5400rpm；</w:t>
            </w:r>
          </w:p>
          <w:p w14:paraId="1E4E380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6.机械硬盘形态：3.5 英寸等；</w:t>
            </w:r>
          </w:p>
          <w:p w14:paraId="7A60D61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7.固态存储形态：采用插卡或板载等形态，可选用符合M.2 或 2.5寸SATA或mSATA等标准的插卡形态；</w:t>
            </w:r>
          </w:p>
          <w:p w14:paraId="7543299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8.存储设备其他参数要求：a)固态盘应符合 SJ/T 11654 相关规定；b)机械硬盘准备时间应不大于 30s；侧面固定螺丝孔数量可为4孔或6孔；工作状态环境温度应满足 5℃~55℃；其它参数应符合 GB/T 12628 相关规定；</w:t>
            </w:r>
          </w:p>
          <w:p w14:paraId="13D6733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★五、显卡规格</w:t>
            </w:r>
          </w:p>
          <w:p w14:paraId="2D7C92A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1.显卡类型：独立显卡；</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2.独立显卡显存类型：显存类型为DDR3/DDR4/GDDR5 /GDDR6/LPDDR4；</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3.独立显卡显存位宽：显存位宽≥16 位；</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4.独立显卡显存容量：显存容量≥1GB；</w:t>
            </w:r>
          </w:p>
          <w:p w14:paraId="7F01100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★六、显示设备规格</w:t>
            </w:r>
          </w:p>
          <w:p w14:paraId="50FF18A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1.显示屏屏占比：≥</w:t>
            </w:r>
            <w:r>
              <w:rPr>
                <w:rFonts w:hint="eastAsia" w:ascii="仿宋_GB2312" w:hAnsi="仿宋_GB2312" w:eastAsia="仿宋_GB2312" w:cs="仿宋_GB2312"/>
                <w:color w:val="auto"/>
                <w:sz w:val="24"/>
                <w:szCs w:val="24"/>
                <w:lang w:val="en-US" w:eastAsia="zh-CN"/>
              </w:rPr>
              <w:t>9</w:t>
            </w:r>
            <w:r>
              <w:rPr>
                <w:rFonts w:hint="eastAsia" w:ascii="仿宋_GB2312" w:hAnsi="仿宋_GB2312" w:eastAsia="仿宋_GB2312" w:cs="仿宋_GB2312"/>
                <w:color w:val="auto"/>
                <w:sz w:val="24"/>
                <w:szCs w:val="24"/>
              </w:rPr>
              <w:t>0%；</w:t>
            </w:r>
          </w:p>
          <w:p w14:paraId="3106D87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2.显示屏分辨率：≥1920*1080；</w:t>
            </w:r>
          </w:p>
          <w:p w14:paraId="5E084DF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3.显示屏尺寸：≥23英寸；</w:t>
            </w:r>
          </w:p>
          <w:p w14:paraId="48030DB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4.显示屏屏幕比例：16:9；</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5.显示器外观颜色：黑色商务色系；</w:t>
            </w:r>
          </w:p>
          <w:p w14:paraId="7E26EBE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rPr>
              <w:t>6.显示屏防蓝光：支持防蓝光模式，蓝光加权辐射亮度比应≤0.0012W/(·cd·sr)（瓦每坎特拉每球面度）</w:t>
            </w:r>
            <w:r>
              <w:rPr>
                <w:rFonts w:hint="eastAsia" w:ascii="仿宋_GB2312" w:hAnsi="仿宋_GB2312" w:eastAsia="仿宋_GB2312" w:cs="仿宋_GB2312"/>
                <w:color w:val="auto"/>
                <w:sz w:val="24"/>
                <w:szCs w:val="24"/>
                <w:highlight w:val="none"/>
              </w:rPr>
              <w:t>；</w:t>
            </w:r>
          </w:p>
          <w:p w14:paraId="5CA106E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7.显示屏低频闪：显示屏应支持低频闪≤-35dB；</w:t>
            </w:r>
          </w:p>
          <w:p w14:paraId="3DC10E6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8.显示屏防炫目：显示屏镜面反射率≤10%；</w:t>
            </w:r>
          </w:p>
          <w:p w14:paraId="66E59CE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★七、外设规格</w:t>
            </w:r>
          </w:p>
          <w:p w14:paraId="0E94981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1.鼠标数量：≥1个；</w:t>
            </w:r>
          </w:p>
          <w:p w14:paraId="3CCD365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2.键盘数量：≥1个；</w:t>
            </w:r>
          </w:p>
          <w:p w14:paraId="517199A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3.键盘按键数目：≥10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键；</w:t>
            </w:r>
          </w:p>
          <w:p w14:paraId="677B151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4.键盘连接方式：有线；</w:t>
            </w:r>
          </w:p>
          <w:p w14:paraId="695ABA4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5.键盘键程：2.3mm-4.0mm；</w:t>
            </w:r>
          </w:p>
          <w:p w14:paraId="18A8CB8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6.键盘按键压力：按键压力应在0.54N±0.14N；</w:t>
            </w:r>
          </w:p>
          <w:p w14:paraId="275B525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7.有线键盘连接线：≥1.5 米；</w:t>
            </w:r>
          </w:p>
          <w:p w14:paraId="5BDA17C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8.键盘颜色：黑色商务色系；</w:t>
            </w:r>
          </w:p>
          <w:p w14:paraId="6BD69E2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9.鼠标连接方式：有线；</w:t>
            </w:r>
          </w:p>
          <w:p w14:paraId="5CF47B2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10.有线鼠标连接线：≥1.5米；</w:t>
            </w:r>
          </w:p>
          <w:p w14:paraId="6E469D5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11.鼠标DPI分辨率：800-1600；</w:t>
            </w:r>
          </w:p>
          <w:p w14:paraId="7DD27B9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12.鼠标颜色：黑色商务色系；</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13.鼠标其他要求：其它参数应符合 GB/T 26245 的相关规定；</w:t>
            </w:r>
          </w:p>
          <w:p w14:paraId="75D69CF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★八、网络设备规格</w:t>
            </w:r>
          </w:p>
          <w:p w14:paraId="74645C7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1.有线网卡数量：≥1；</w:t>
            </w:r>
          </w:p>
          <w:p w14:paraId="5FA5876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★九、外部接口规格</w:t>
            </w:r>
          </w:p>
          <w:p w14:paraId="5DD3DE2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1.USB 接口数量：机箱前面板应提供不少于</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个USB 接口（含 2个USB3.0 及以上接口</w:t>
            </w:r>
            <w:r>
              <w:rPr>
                <w:rFonts w:hint="eastAsia" w:ascii="仿宋_GB2312" w:hAnsi="仿宋_GB2312" w:eastAsia="仿宋_GB2312" w:cs="仿宋_GB2312"/>
                <w:color w:val="auto"/>
                <w:sz w:val="24"/>
                <w:szCs w:val="24"/>
                <w:highlight w:val="none"/>
                <w:lang w:val="en-US" w:eastAsia="zh-CN"/>
              </w:rPr>
              <w:t>外支持USB接口在关机状态下对外充电</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2.视频接口数量：≥1；</w:t>
            </w:r>
          </w:p>
          <w:p w14:paraId="4001A1B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3.音频接口数量：≥1；</w:t>
            </w:r>
          </w:p>
          <w:p w14:paraId="249DA11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★十、整机基础规格</w:t>
            </w:r>
          </w:p>
          <w:p w14:paraId="5F294C6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1.整机外观：a) 产品表面不应有凹痕、划伤、裂缝、变形和污染等。表面涂层均匀，不应起泡、龟裂、脱落和磨损，金属零部件无锈蚀及其它机械损伤；b) 产品表面说明功能的文字、符号、标志，应清晰、端正、牢固；</w:t>
            </w:r>
          </w:p>
          <w:p w14:paraId="68DB65E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2.状态指示灯：在产品显著位置提供状态指示功能；</w:t>
            </w:r>
          </w:p>
          <w:p w14:paraId="22E942A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3.整机结构：a) 机箱应符合 GB/T 420</w:t>
            </w: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5EBB25F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4.机箱防护要求：机箱应符合 GB/T 4208 中 IP20 防护要求；</w:t>
            </w:r>
          </w:p>
          <w:p w14:paraId="4C102ED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5.整机噪音：产品工作在空闲状态下，产品的声功率级≤</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.5Bel；</w:t>
            </w:r>
          </w:p>
          <w:p w14:paraId="247CDDE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0E96DCD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7.整机能效限定值：产品能效限定值应达到 GB 28380-2012标准中能效等级 2 级及以上；</w:t>
            </w:r>
          </w:p>
          <w:p w14:paraId="7D8F847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8.机身材质：塑料/金属等；</w:t>
            </w:r>
          </w:p>
          <w:p w14:paraId="378D1F8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9.机身颜色：黑色商务色系；</w:t>
            </w:r>
          </w:p>
          <w:p w14:paraId="19FF63B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10.机箱尺寸容量：机箱体积≤</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0L;</w:t>
            </w:r>
          </w:p>
          <w:p w14:paraId="5EFD4D9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★十一、CPU性能</w:t>
            </w:r>
          </w:p>
          <w:p w14:paraId="7AD68AE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 物理核数：≥</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w:t>
            </w:r>
          </w:p>
          <w:p w14:paraId="43475A6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2.CPU 主频：≥2.7GHz；</w:t>
            </w:r>
          </w:p>
          <w:p w14:paraId="3F7EBEB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3.CPU 末级缓存容量：≥8MB；</w:t>
            </w:r>
          </w:p>
          <w:p w14:paraId="28B7F05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4.CPU 支持的内存最高速率：≥2666MT/s；</w:t>
            </w:r>
          </w:p>
          <w:p w14:paraId="18BAB18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★十二、内存性能</w:t>
            </w:r>
          </w:p>
          <w:p w14:paraId="2D2D386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1.内存读写速率：≥2666MT/s；</w:t>
            </w:r>
          </w:p>
          <w:p w14:paraId="30C8C35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★十三、显卡性能</w:t>
            </w:r>
          </w:p>
          <w:p w14:paraId="2C3507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1.显示分辨率：≥1920*1080；</w:t>
            </w:r>
          </w:p>
          <w:p w14:paraId="083102B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2.显卡显示芯片核心频率：≥300MHz；</w:t>
            </w:r>
          </w:p>
          <w:p w14:paraId="6623462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3.显存等效频率：≥1000MT/s；</w:t>
            </w:r>
          </w:p>
          <w:p w14:paraId="7B9A400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4.显卡可支持多屏同时显示数量：显卡应支持2块屏幕同时显示，分辨率应不低于1920*1080；</w:t>
            </w:r>
          </w:p>
          <w:p w14:paraId="50D555E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★十四、显示设备性能</w:t>
            </w:r>
          </w:p>
          <w:p w14:paraId="6799B1E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1.显示屏刷新率：≥</w:t>
            </w:r>
            <w:r>
              <w:rPr>
                <w:rFonts w:hint="eastAsia" w:ascii="仿宋_GB2312" w:hAnsi="仿宋_GB2312" w:eastAsia="仿宋_GB2312" w:cs="仿宋_GB2312"/>
                <w:color w:val="auto"/>
                <w:sz w:val="24"/>
                <w:szCs w:val="24"/>
                <w:lang w:val="en-US" w:eastAsia="zh-CN"/>
              </w:rPr>
              <w:t>90</w:t>
            </w:r>
            <w:r>
              <w:rPr>
                <w:rFonts w:hint="eastAsia" w:ascii="仿宋_GB2312" w:hAnsi="仿宋_GB2312" w:eastAsia="仿宋_GB2312" w:cs="仿宋_GB2312"/>
                <w:color w:val="auto"/>
                <w:sz w:val="24"/>
                <w:szCs w:val="24"/>
              </w:rPr>
              <w:t>Hz；</w:t>
            </w:r>
          </w:p>
          <w:p w14:paraId="7B8A63D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2.显示屏位深：≥8位；</w:t>
            </w:r>
          </w:p>
          <w:p w14:paraId="7486939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3.显示屏色域：≥99%sRGB</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≥90%DCI-P3</w:t>
            </w:r>
            <w:r>
              <w:rPr>
                <w:rFonts w:hint="eastAsia" w:ascii="仿宋_GB2312" w:hAnsi="仿宋_GB2312" w:eastAsia="仿宋_GB2312" w:cs="仿宋_GB2312"/>
                <w:color w:val="auto"/>
                <w:sz w:val="24"/>
                <w:szCs w:val="24"/>
                <w:lang w:val="en-US" w:eastAsia="zh-CN"/>
              </w:rPr>
              <w:t>;</w:t>
            </w:r>
          </w:p>
          <w:p w14:paraId="41CDCC8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4.显示屏色准：△E≤4；</w:t>
            </w:r>
          </w:p>
          <w:p w14:paraId="6FD5958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5.显示屏响应时间：≤8ms；</w:t>
            </w:r>
          </w:p>
          <w:p w14:paraId="5A9119B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6.显示屏亮度：≥250尼特；</w:t>
            </w:r>
          </w:p>
          <w:p w14:paraId="3C9106F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7.显示屏亮度一致性：≥70%；</w:t>
            </w:r>
          </w:p>
          <w:p w14:paraId="05C8A6C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8.显示屏对比度：≥500：1；</w:t>
            </w:r>
          </w:p>
          <w:p w14:paraId="6CE4561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9.显示屏其他参数：其它参数应符合 SJ/T 11292 的相关规定；</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lang w:eastAsia="zh-CN"/>
              </w:rPr>
              <w:t>★十五、网络设备性能</w:t>
            </w:r>
          </w:p>
          <w:p w14:paraId="53644B3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1.有线网卡速率：最高速率应不低于1000Mbps，应支持10Mbps、100Mbps、1000Mbps 速率自适应；</w:t>
            </w:r>
          </w:p>
          <w:p w14:paraId="64A84C2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★十六、主板功能</w:t>
            </w:r>
          </w:p>
          <w:p w14:paraId="13C81C6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1.内存扩展接口(板载内存不涉及)：≥2个；</w:t>
            </w:r>
          </w:p>
          <w:p w14:paraId="7D33A2F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2.主板USB瞬间过流保护：支持有瞬间过流保护功能；</w:t>
            </w:r>
          </w:p>
          <w:p w14:paraId="532780D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3.主板防静电保护：支持防静电保护功能；</w:t>
            </w:r>
          </w:p>
          <w:p w14:paraId="73FF877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2174D9E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★十七、显卡功能</w:t>
            </w:r>
          </w:p>
          <w:p w14:paraId="32EA41D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1.显卡外接显示接口：显卡至少支持 VGA、HDMI、DVI、DP、Type-C 中 1 种显示接口，并与显示器接口相匹配；</w:t>
            </w:r>
          </w:p>
          <w:p w14:paraId="5874076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★十八、显示设备功能</w:t>
            </w:r>
          </w:p>
          <w:p w14:paraId="1B31ECA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1.显示器接口：显示器应与显卡外接显示接口匹配；</w:t>
            </w:r>
          </w:p>
          <w:p w14:paraId="5136BD6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2.显示器支架：显示器应提供显示器支架；</w:t>
            </w:r>
          </w:p>
          <w:p w14:paraId="0FA9946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3.显示器参数调节：a)提供 OSD 选单按钮用于调节色彩、模式等；b)支持色温、亮度、对比度调节；</w:t>
            </w:r>
          </w:p>
          <w:p w14:paraId="6A2CF58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★十九、存储功能</w:t>
            </w:r>
          </w:p>
          <w:p w14:paraId="026010D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1.存储功能：通过 SATA 固态存储/PCIe 固态存储/UFS 固态存储/SATA 硬磁盘等存储部件提供存储功能；</w:t>
            </w:r>
          </w:p>
          <w:p w14:paraId="0ADCCC9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★二十、网络设备功能</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1.网络功能：a)支持网络连接、网络开启/关闭功能；b)支持访问网络和数据交换功能；</w:t>
            </w:r>
          </w:p>
          <w:p w14:paraId="2480AA7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2.数据传输：支持数据传输能力，并提供数据流量和异常日志记录功能；</w:t>
            </w:r>
          </w:p>
          <w:p w14:paraId="558E475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3.有线网卡接口类型：支持 RJ45 接口；</w:t>
            </w:r>
          </w:p>
          <w:p w14:paraId="64DAE06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4.网络设备拆装：网络设备支持物理拆装，包括无线网卡和蓝牙模块等；</w:t>
            </w:r>
          </w:p>
          <w:p w14:paraId="086C925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★二十一、外部接口功能</w:t>
            </w:r>
          </w:p>
          <w:p w14:paraId="4408DC2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1.音频接口类型：支持 3.5mm 孔径 3 段式或 4 段式接口；</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2.视频接口类型：至少支持 VGA、HDMI、DVI、DP、Type-C中 1 种显示接口；</w:t>
            </w:r>
          </w:p>
          <w:p w14:paraId="3B9BB00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3.HDMI、DP、Type-C 显示接口要求：若提供 HDMI 或 DP 或 Type-C 作为显示接口，应支持音频和视频同步输出；</w:t>
            </w:r>
          </w:p>
          <w:p w14:paraId="4127394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★二十二、电源功能</w:t>
            </w:r>
          </w:p>
          <w:p w14:paraId="77D9D4A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1.电源线适配能力：电源适配器电线组件应符合 GB/T15934 的要求；</w:t>
            </w:r>
          </w:p>
          <w:p w14:paraId="3E5195C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★二十三、操作系统及软件功能</w:t>
            </w:r>
          </w:p>
          <w:p w14:paraId="5176248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1.中文信息处理要求：符合 GB 18030 的相关规定；</w:t>
            </w:r>
          </w:p>
          <w:p w14:paraId="46791FA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2.操作系统备份及还原功能：支持操作系统备份及还原功能；</w:t>
            </w:r>
          </w:p>
          <w:p w14:paraId="35EB93B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3.固件备份还原能力：支持备份及还原固件的功能；</w:t>
            </w:r>
          </w:p>
          <w:p w14:paraId="743CF37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4.操作系统及驱动升级：支持通过网络、闪存盘等方式对操作系统、驱动进行升级；</w:t>
            </w:r>
          </w:p>
          <w:p w14:paraId="01448C8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5.固件升级：支持通过网络、闪存盘等方式对固件进行升级；</w:t>
            </w:r>
          </w:p>
          <w:p w14:paraId="66420BA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6.BIOS 支持关闭通讯接口：支持 BIOS 关闭以太网及 USB 接口；</w:t>
            </w:r>
          </w:p>
          <w:p w14:paraId="5FBF178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7.固件查看信息：支持查看固件版本、内存信息、主板信息、处理器信息和系统时间信息等功能；</w:t>
            </w:r>
          </w:p>
          <w:p w14:paraId="67CF332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8.固件设置启动顺序：支持设置启动顺序功能，并按照设置的启动顺序启动；</w:t>
            </w:r>
          </w:p>
          <w:p w14:paraId="5F2DED0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9.固件设置口令：支持设置口令、修改口令、验证口令功能；</w:t>
            </w:r>
          </w:p>
          <w:p w14:paraId="369CEF2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10.固件设置网络引导：支持网络引导启动和关闭功能；</w:t>
            </w:r>
          </w:p>
          <w:p w14:paraId="017C77FD">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strike/>
                <w:color w:val="auto"/>
                <w:sz w:val="24"/>
                <w:szCs w:val="24"/>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en-US" w:eastAsia="zh-CN"/>
              </w:rPr>
              <w:t>提供功能至少有文字处理、电子表格、演示文稿三大应用模块的办公软件，授权≥3年</w:t>
            </w:r>
          </w:p>
          <w:p w14:paraId="7189D03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★二十四、存储设备可靠性</w:t>
            </w:r>
          </w:p>
          <w:p w14:paraId="46803BD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1.固态存储寿命：TBW≥80TB（条件：512GB 硬盘容量）；</w:t>
            </w:r>
          </w:p>
          <w:p w14:paraId="77D5EDB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2.机械硬盘寿命：通电时间≥5万小时；</w:t>
            </w:r>
          </w:p>
          <w:p w14:paraId="6316A1A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★二十五、显示设备可靠性</w:t>
            </w:r>
          </w:p>
          <w:p w14:paraId="4194236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1.显示屏屏幕失效点：符合 GB/T 9813.2 的要求；</w:t>
            </w:r>
          </w:p>
          <w:p w14:paraId="53E928C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★二十六、外设可靠性</w:t>
            </w:r>
          </w:p>
          <w:p w14:paraId="620BC0C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1.键盘按键寿命：≥1000 万次；</w:t>
            </w:r>
          </w:p>
          <w:p w14:paraId="1F1779F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2.鼠标按键寿命：≥500 万次；</w:t>
            </w:r>
          </w:p>
          <w:p w14:paraId="36D6805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3.键盘鼠标线材寿命：键盘鼠标所用线材经±60°弯折不低于 3000 次，功能、外观完好；</w:t>
            </w:r>
          </w:p>
          <w:p w14:paraId="6E36656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4.风扇寿命：≥4 万小时；</w:t>
            </w:r>
          </w:p>
          <w:p w14:paraId="6AD0D95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★二十七、整机可靠性要求</w:t>
            </w:r>
          </w:p>
          <w:p w14:paraId="113ABA7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1.电磁兼容性要求的抗扰度：符合 GB/T 9254.2 的规定；</w:t>
            </w:r>
          </w:p>
          <w:p w14:paraId="1ED927A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2.环境条件要求的气候环境适应性：符合 GB/T 9813.1 中规定；</w:t>
            </w:r>
          </w:p>
          <w:p w14:paraId="2C26F2E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3.环境条件要求的振动适应性：符合 GB/T 9813.1 中规定；</w:t>
            </w:r>
          </w:p>
          <w:p w14:paraId="020686A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4.环境条件要求的冲击适应性：符合 GB/T 9813.1 中规定；</w:t>
            </w:r>
          </w:p>
          <w:p w14:paraId="0E2C8A0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5.环境条件要求的碰撞适应性：符合 GB/T 9813.1 中规定；</w:t>
            </w:r>
          </w:p>
          <w:p w14:paraId="16D38D5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6.环境条件要求的运输包装件跌落适应性：符合 GB/T 9813.1 中规定；</w:t>
            </w:r>
          </w:p>
          <w:p w14:paraId="34BC5AF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7.MTBF 测试：MTBF(m1)≥</w:t>
            </w:r>
            <w:r>
              <w:rPr>
                <w:rFonts w:hint="eastAsia" w:ascii="仿宋_GB2312" w:hAnsi="仿宋_GB2312" w:eastAsia="仿宋_GB2312" w:cs="仿宋_GB2312"/>
                <w:color w:val="auto"/>
                <w:sz w:val="24"/>
                <w:szCs w:val="24"/>
                <w:highlight w:val="none"/>
                <w:lang w:val="en-US" w:eastAsia="zh-CN"/>
              </w:rPr>
              <w:t>99</w:t>
            </w:r>
            <w:r>
              <w:rPr>
                <w:rFonts w:hint="eastAsia" w:ascii="仿宋_GB2312" w:hAnsi="仿宋_GB2312" w:eastAsia="仿宋_GB2312" w:cs="仿宋_GB2312"/>
                <w:color w:val="auto"/>
                <w:sz w:val="24"/>
                <w:szCs w:val="24"/>
                <w:highlight w:val="none"/>
              </w:rPr>
              <w:t>万小时；</w:t>
            </w:r>
          </w:p>
          <w:p w14:paraId="7829693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★二十八、兼容要求</w:t>
            </w:r>
          </w:p>
          <w:p w14:paraId="487ED68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1.常用软件兼容：支持流式软件、版式软件、浏览器、邮件采购人端、解压软件、多媒体、图形图像处理等常用软件；</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2.数据库兼容：兼容 3 个及以上厂商的数据库产品；</w:t>
            </w:r>
          </w:p>
          <w:p w14:paraId="43CF2DA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3.中间件兼容：兼容 3 个及以上厂商中间件产品；</w:t>
            </w:r>
          </w:p>
          <w:p w14:paraId="2CC0118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4.平台软件兼容：兼容 3 个及以上厂商云计算及大数据平台；</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lang w:eastAsia="zh-CN"/>
              </w:rPr>
              <w:t>★二十九、包装及运输要求</w:t>
            </w:r>
          </w:p>
          <w:p w14:paraId="1B5B61D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1.标志、包装、运输和贮存：符合 GB/T 9813.1 和商品包装政府采购需求标准的相关规定；</w:t>
            </w:r>
          </w:p>
          <w:p w14:paraId="611D594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★三十、服务要求</w:t>
            </w:r>
          </w:p>
          <w:p w14:paraId="47C55FE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1.配置检查工具：供应商提供自检测试工具；</w:t>
            </w:r>
          </w:p>
          <w:p w14:paraId="0BB3436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67689D2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3.服务周期：a) 设备停产后应继续提供质量保障服务（含备品备件），服务终止时间与最后一批设备交付时间间隔不低于</w:t>
            </w:r>
          </w:p>
          <w:p w14:paraId="28ECD59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 年；b) 产品停止服务时间应提前 1 年告知；c) 应明确产品发布日期；</w:t>
            </w:r>
          </w:p>
          <w:p w14:paraId="583CEE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4.预装操作系统：预装符合桌面操作系统政府采购需求标准的正版操作系统；</w:t>
            </w:r>
            <w:r>
              <w:rPr>
                <w:rFonts w:hint="eastAsia" w:ascii="仿宋_GB2312" w:hAnsi="仿宋_GB2312" w:eastAsia="仿宋_GB2312" w:cs="仿宋_GB2312"/>
                <w:b/>
                <w:bCs/>
                <w:color w:val="auto"/>
                <w:sz w:val="24"/>
                <w:szCs w:val="24"/>
              </w:rPr>
              <w:t>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5.培训服务：供应商提供培训材料、产品手册、培训视频等培训相关内容；</w:t>
            </w:r>
          </w:p>
          <w:p w14:paraId="6E83B6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6.典型问题解决手册：供应商提供典型问题解决说明文档或视频；</w:t>
            </w:r>
          </w:p>
          <w:p w14:paraId="18F7E5A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7.厂家升级软件与扩容服务：供应商提供上门升级部件/软件与扩容的增值服务；</w:t>
            </w:r>
          </w:p>
          <w:p w14:paraId="2EBC1BB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8.整机质量服务要求：免费服务周期（含换件和维修）应不小于 3 年；</w:t>
            </w:r>
          </w:p>
          <w:p w14:paraId="73613C9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9.合格证书要求：供应商提供产品合格证；</w:t>
            </w:r>
          </w:p>
          <w:p w14:paraId="0617D8A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10.开箱组装/使用指导要求：供应商提供开箱组装/使用指导；</w:t>
            </w:r>
          </w:p>
          <w:p w14:paraId="5F9E7EF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11.驱动下载服务要求：供应商提供驱动光盘或下载方式；</w:t>
            </w:r>
          </w:p>
          <w:p w14:paraId="1526C14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12.兼容适配软件下载服务要求：供应商提供兼容适配软件下载渠道（光盘、网站）；</w:t>
            </w:r>
          </w:p>
          <w:p w14:paraId="5F371D5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★三十一、供应链合规性</w:t>
            </w:r>
          </w:p>
          <w:p w14:paraId="16EFA16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 产品部件保障：供应商保障产品主要部件，提供 6 年的备件服务能力（自购买之日起），或提供可兼容原设备的升级换代产品；</w:t>
            </w:r>
          </w:p>
          <w:p w14:paraId="60E1D10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★三十二、供应链质量</w:t>
            </w:r>
          </w:p>
          <w:p w14:paraId="6F124A4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1.抗干扰性：当产品部件出现供应风险时，供应商应通知采购人并提供风险应对方案确保产品的服务保障；</w:t>
            </w:r>
          </w:p>
          <w:p w14:paraId="6D9F902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 供应能力证明：供应商承诺供应链稳定，确保产品的部件在产品服务周期内稳定供货；</w:t>
            </w:r>
          </w:p>
          <w:p w14:paraId="49B4F2D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★三十三、关键部件安全</w:t>
            </w:r>
          </w:p>
          <w:p w14:paraId="0B437DA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b/>
                <w:bCs/>
                <w:color w:val="auto"/>
                <w:sz w:val="24"/>
                <w:szCs w:val="24"/>
              </w:rPr>
            </w:pPr>
            <w:r>
              <w:rPr>
                <w:rFonts w:hint="eastAsia" w:ascii="仿宋_GB2312" w:hAnsi="仿宋_GB2312" w:eastAsia="仿宋_GB2312" w:cs="仿宋_GB2312"/>
                <w:color w:val="auto"/>
                <w:sz w:val="24"/>
                <w:szCs w:val="24"/>
              </w:rPr>
              <w:t>1.关键部件安全要求：CPU 和操作系统等关键部件应当符合安全可靠测评要求；</w:t>
            </w:r>
            <w:r>
              <w:rPr>
                <w:rFonts w:hint="eastAsia" w:ascii="仿宋_GB2312" w:hAnsi="仿宋_GB2312" w:eastAsia="仿宋_GB2312" w:cs="仿宋_GB2312"/>
                <w:b/>
                <w:bCs/>
                <w:color w:val="auto"/>
                <w:sz w:val="24"/>
                <w:szCs w:val="24"/>
              </w:rPr>
              <w:t>（通过政府有关部门指定的中国信息安全测评中心和国家保密科技测评中心网站查看安全可靠测评结果）；</w:t>
            </w:r>
          </w:p>
          <w:p w14:paraId="7ED98A8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注：投标人在填写《技术响应表》时，在“投标文件响应技术参数”明确给出所投</w:t>
            </w:r>
            <w:r>
              <w:rPr>
                <w:rFonts w:hint="eastAsia" w:ascii="仿宋_GB2312" w:hAnsi="仿宋_GB2312" w:eastAsia="仿宋_GB2312" w:cs="仿宋_GB2312"/>
                <w:b/>
                <w:bCs/>
                <w:strike w:val="0"/>
                <w:color w:val="auto"/>
                <w:sz w:val="24"/>
                <w:szCs w:val="24"/>
                <w:lang w:eastAsia="zh-CN"/>
              </w:rPr>
              <w:t>计算机</w:t>
            </w:r>
            <w:r>
              <w:rPr>
                <w:rFonts w:hint="eastAsia" w:ascii="仿宋_GB2312" w:hAnsi="仿宋_GB2312" w:eastAsia="仿宋_GB2312" w:cs="仿宋_GB2312"/>
                <w:b/>
                <w:bCs/>
                <w:color w:val="auto"/>
                <w:sz w:val="24"/>
                <w:szCs w:val="24"/>
              </w:rPr>
              <w:t>“CPU型号”及“操作系统”名称，否则视为投标无效。</w:t>
            </w:r>
          </w:p>
          <w:p w14:paraId="298879A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★三十四、整机安全性要求</w:t>
            </w:r>
          </w:p>
          <w:p w14:paraId="6401E08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1.密码算法实现：CPU 芯片应符合 GM/T 0008 的相关规定，或芯片密码模块应符合 GB/T 37092或 GM/T 0028 的相关规定；（通过商用密码检测机构检测并经商用密码认证机构认证合格）</w:t>
            </w:r>
          </w:p>
          <w:p w14:paraId="53A4465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2BDB23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3.固件安全启动：支持固件安全启动功能，固件启动过程中只有通过启动校验才能正常启动；</w:t>
            </w:r>
          </w:p>
          <w:p w14:paraId="6B673AD6">
            <w:pPr>
              <w:keepNext w:val="0"/>
              <w:keepLines w:val="0"/>
              <w:pageBreakBefore w:val="0"/>
              <w:widowControl/>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4.限用物质的限量要求：符合 GB/T 26572 中规定；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0CA1F0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1台</w:t>
            </w:r>
          </w:p>
        </w:tc>
      </w:tr>
      <w:tr w14:paraId="7889B8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E4D9B7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7DB144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配电</w:t>
            </w:r>
            <w:r>
              <w:rPr>
                <w:rFonts w:hint="eastAsia" w:ascii="仿宋_GB2312" w:hAnsi="仿宋_GB2312" w:eastAsia="仿宋_GB2312" w:cs="仿宋_GB2312"/>
                <w:b w:val="0"/>
                <w:bCs w:val="0"/>
                <w:color w:val="auto"/>
                <w:sz w:val="24"/>
                <w:szCs w:val="24"/>
                <w:lang w:val="en-US" w:eastAsia="zh-CN"/>
              </w:rPr>
              <w:t>箱</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56EFE99">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30</w:t>
            </w:r>
            <w:r>
              <w:rPr>
                <w:rFonts w:hint="eastAsia" w:ascii="仿宋_GB2312" w:hAnsi="仿宋_GB2312" w:eastAsia="仿宋_GB2312" w:cs="仿宋_GB2312"/>
                <w:color w:val="auto"/>
                <w:sz w:val="24"/>
                <w:szCs w:val="24"/>
              </w:rPr>
              <w:t>KW，支持分步延时上电、远程设置、具有短路、过流、过压、过载、避雷、过温等保护特性。</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888E14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77D306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A94753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E3EAFD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显示屏框架</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57F3DB3">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1.框体尺寸：</w:t>
            </w:r>
            <w:r>
              <w:rPr>
                <w:rFonts w:hint="eastAsia" w:ascii="仿宋_GB2312" w:hAnsi="仿宋_GB2312" w:eastAsia="仿宋_GB2312" w:cs="仿宋_GB2312"/>
                <w:color w:val="auto"/>
                <w:sz w:val="24"/>
                <w:szCs w:val="24"/>
                <w:lang w:val="en-US" w:eastAsia="zh-CN"/>
              </w:rPr>
              <w:t>≥6500</w:t>
            </w:r>
            <w:r>
              <w:rPr>
                <w:rFonts w:hint="eastAsia" w:ascii="仿宋_GB2312" w:hAnsi="仿宋_GB2312" w:eastAsia="仿宋_GB2312" w:cs="仿宋_GB2312"/>
                <w:color w:val="auto"/>
                <w:sz w:val="24"/>
                <w:szCs w:val="24"/>
              </w:rPr>
              <w:t>mm*</w:t>
            </w:r>
            <w:r>
              <w:rPr>
                <w:rFonts w:hint="eastAsia" w:ascii="仿宋_GB2312" w:hAnsi="仿宋_GB2312" w:eastAsia="仿宋_GB2312" w:cs="仿宋_GB2312"/>
                <w:color w:val="auto"/>
                <w:sz w:val="24"/>
                <w:szCs w:val="24"/>
                <w:lang w:val="en-US" w:eastAsia="zh-CN"/>
              </w:rPr>
              <w:t>3460</w:t>
            </w:r>
            <w:r>
              <w:rPr>
                <w:rFonts w:hint="eastAsia" w:ascii="仿宋_GB2312" w:hAnsi="仿宋_GB2312" w:eastAsia="仿宋_GB2312" w:cs="仿宋_GB2312"/>
                <w:color w:val="auto"/>
                <w:sz w:val="24"/>
                <w:szCs w:val="24"/>
              </w:rPr>
              <w:t>mm，贴墙壁挂安装;</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含钢结构、定制包边。采用专用钢结构支架；</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3.按照国家钢结构设计规范，满足屏体安全承载需求制；</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lang w:eastAsia="zh-CN"/>
              </w:rPr>
              <w:t>显示屏采用支撑钢结构材料。</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7FFA322">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22.5㎡</w:t>
            </w:r>
          </w:p>
        </w:tc>
      </w:tr>
      <w:tr w14:paraId="09C9F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384024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5462F7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主电线缆</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6FF7BA1">
            <w:pPr>
              <w:keepNext w:val="0"/>
              <w:keepLines w:val="0"/>
              <w:pageBreakBefore w:val="0"/>
              <w:numPr>
                <w:ilvl w:val="0"/>
                <w:numId w:val="0"/>
              </w:numPr>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2"/>
                <w:sz w:val="24"/>
                <w:szCs w:val="24"/>
                <w:lang w:val="en-US" w:eastAsia="zh-CN" w:bidi="ar-SA"/>
              </w:rPr>
              <w:t>1.</w:t>
            </w:r>
            <w:r>
              <w:rPr>
                <w:rFonts w:hint="eastAsia" w:ascii="仿宋_GB2312" w:hAnsi="仿宋_GB2312" w:eastAsia="仿宋_GB2312" w:cs="仿宋_GB2312"/>
                <w:color w:val="auto"/>
                <w:sz w:val="24"/>
                <w:szCs w:val="24"/>
              </w:rPr>
              <w:t>YJV</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6</w:t>
            </w:r>
            <w:r>
              <w:rPr>
                <w:rFonts w:hint="eastAsia" w:ascii="仿宋_GB2312" w:hAnsi="仿宋_GB2312" w:eastAsia="仿宋_GB2312" w:cs="仿宋_GB2312"/>
                <w:color w:val="auto"/>
                <w:sz w:val="24"/>
                <w:szCs w:val="24"/>
              </w:rPr>
              <w:t>mm²，铜芯阻燃交联聚乙烯绝缘聚氯乙烯护套电力电缆，</w:t>
            </w:r>
          </w:p>
          <w:p w14:paraId="7BA0E513">
            <w:pPr>
              <w:keepNext w:val="0"/>
              <w:keepLines w:val="0"/>
              <w:pageBreakBefore w:val="0"/>
              <w:numPr>
                <w:ilvl w:val="0"/>
                <w:numId w:val="0"/>
              </w:numPr>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额定电压0.6/1KV，</w:t>
            </w:r>
          </w:p>
          <w:p w14:paraId="4806BB9C">
            <w:pPr>
              <w:keepNext w:val="0"/>
              <w:keepLines w:val="0"/>
              <w:pageBreakBefore w:val="0"/>
              <w:numPr>
                <w:ilvl w:val="0"/>
                <w:numId w:val="0"/>
              </w:numPr>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b w:val="0"/>
                <w:bCs w:val="0"/>
                <w:color w:val="auto"/>
                <w:kern w:val="2"/>
                <w:sz w:val="24"/>
                <w:szCs w:val="24"/>
                <w:lang w:val="en-US" w:eastAsia="zh-CN" w:bidi="ar-SA"/>
              </w:rPr>
              <w:t>3.</w:t>
            </w:r>
            <w:r>
              <w:rPr>
                <w:rFonts w:hint="eastAsia" w:ascii="仿宋_GB2312" w:hAnsi="仿宋_GB2312" w:eastAsia="仿宋_GB2312" w:cs="仿宋_GB2312"/>
                <w:color w:val="auto"/>
                <w:sz w:val="24"/>
                <w:szCs w:val="24"/>
              </w:rPr>
              <w:t>导体电阻≤1.15Ω/km，</w:t>
            </w:r>
          </w:p>
          <w:p w14:paraId="4C656CF9">
            <w:pPr>
              <w:keepNext w:val="0"/>
              <w:keepLines w:val="0"/>
              <w:pageBreakBefore w:val="0"/>
              <w:numPr>
                <w:ilvl w:val="0"/>
                <w:numId w:val="0"/>
              </w:numPr>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电压试验3500V/5min不击穿。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C6E967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bidi="ar"/>
              </w:rPr>
            </w:pPr>
            <w:r>
              <w:rPr>
                <w:rFonts w:hint="eastAsia" w:ascii="仿宋_GB2312" w:hAnsi="仿宋_GB2312" w:eastAsia="仿宋_GB2312" w:cs="仿宋_GB2312"/>
                <w:b w:val="0"/>
                <w:bCs w:val="0"/>
                <w:color w:val="auto"/>
                <w:kern w:val="0"/>
                <w:sz w:val="24"/>
                <w:lang w:val="en-US" w:eastAsia="zh-CN" w:bidi="ar"/>
              </w:rPr>
              <w:t>35米</w:t>
            </w:r>
          </w:p>
        </w:tc>
      </w:tr>
      <w:tr w14:paraId="293752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5A981C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E51722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网线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B2B5867">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1．六类非屏蔽双绞线，纯铜芯，传输无衰减，采用PVC环保外皮，包装长度305米；</w:t>
            </w:r>
          </w:p>
          <w:p w14:paraId="13C64FE8">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2．芯数: 4*2含十字骨架；导体直径：0.57±0.05mm；外护套材质：PVC；外径：6.3±0.2mm； PVC外护套符合国标相关规定。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4ADB5D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1箱</w:t>
            </w:r>
          </w:p>
        </w:tc>
      </w:tr>
      <w:tr w14:paraId="53EE0B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A842B7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678880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辅助材料及施工等</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335BD1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含布线施工及设计，安装调试及培训、辅材等。按柳州市教育系统工程施工规范要求实施。</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9C44CC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44C000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7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21EF62D6">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bCs/>
                <w:color w:val="auto"/>
                <w:kern w:val="0"/>
                <w:sz w:val="24"/>
                <w:lang w:val="en-US" w:eastAsia="zh-CN" w:bidi="ar"/>
              </w:rPr>
              <w:t>（三）市十五中室外全彩LED屏</w:t>
            </w:r>
          </w:p>
        </w:tc>
      </w:tr>
      <w:tr w14:paraId="6AAC81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E6CCEB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68CF05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室</w:t>
            </w:r>
            <w:r>
              <w:rPr>
                <w:rFonts w:hint="eastAsia" w:ascii="仿宋_GB2312" w:hAnsi="仿宋_GB2312" w:eastAsia="仿宋_GB2312" w:cs="仿宋_GB2312"/>
                <w:b w:val="0"/>
                <w:bCs w:val="0"/>
                <w:color w:val="auto"/>
                <w:sz w:val="24"/>
                <w:szCs w:val="24"/>
                <w:lang w:val="en-US" w:eastAsia="zh-CN"/>
              </w:rPr>
              <w:t>外</w:t>
            </w:r>
            <w:r>
              <w:rPr>
                <w:rFonts w:hint="eastAsia" w:ascii="仿宋_GB2312" w:hAnsi="仿宋_GB2312" w:eastAsia="仿宋_GB2312" w:cs="仿宋_GB2312"/>
                <w:b w:val="0"/>
                <w:bCs w:val="0"/>
                <w:color w:val="auto"/>
                <w:sz w:val="24"/>
                <w:szCs w:val="24"/>
              </w:rPr>
              <w:t>全彩</w:t>
            </w:r>
            <w:r>
              <w:rPr>
                <w:rFonts w:hint="eastAsia" w:ascii="仿宋_GB2312" w:hAnsi="仿宋_GB2312" w:eastAsia="仿宋_GB2312" w:cs="仿宋_GB2312"/>
                <w:b w:val="0"/>
                <w:bCs w:val="0"/>
                <w:color w:val="auto"/>
                <w:sz w:val="24"/>
                <w:szCs w:val="24"/>
                <w:lang w:val="en-US" w:eastAsia="zh-CN"/>
              </w:rPr>
              <w:t>LED</w:t>
            </w:r>
            <w:r>
              <w:rPr>
                <w:rFonts w:hint="eastAsia" w:ascii="仿宋_GB2312" w:hAnsi="仿宋_GB2312" w:eastAsia="仿宋_GB2312" w:cs="仿宋_GB2312"/>
                <w:b w:val="0"/>
                <w:bCs w:val="0"/>
                <w:color w:val="auto"/>
                <w:sz w:val="24"/>
                <w:szCs w:val="24"/>
              </w:rPr>
              <w:t>屏</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65AFD7A">
            <w:pPr>
              <w:keepNext w:val="0"/>
              <w:keepLines w:val="0"/>
              <w:pageBreakBefore w:val="0"/>
              <w:widowControl w:val="0"/>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ascii="仿宋_GB2312" w:eastAsia="仿宋_GB2312"/>
                <w:b/>
                <w:bCs/>
                <w:color w:val="auto"/>
                <w:sz w:val="24"/>
              </w:rPr>
              <w:t>★</w:t>
            </w:r>
            <w:r>
              <w:rPr>
                <w:rFonts w:hint="eastAsia" w:ascii="仿宋_GB2312" w:hAnsi="仿宋_GB2312" w:eastAsia="仿宋_GB2312" w:cs="仿宋_GB2312"/>
                <w:color w:val="auto"/>
                <w:kern w:val="0"/>
                <w:sz w:val="24"/>
                <w:szCs w:val="24"/>
                <w:highlight w:val="none"/>
                <w:lang w:val="en-US" w:eastAsia="zh-CN"/>
              </w:rPr>
              <w:t>1.像素点间距：≤4mm，模组尺寸：320mm*160mm，像素密度：≥62500Dots/㎡，亮度：≥4500cd/㎡；</w:t>
            </w:r>
          </w:p>
          <w:p w14:paraId="627E0CDA">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w:t>
            </w:r>
            <w:r>
              <w:rPr>
                <w:rFonts w:hint="eastAsia" w:ascii="仿宋_GB2312" w:hAnsi="仿宋_GB2312" w:eastAsia="仿宋_GB2312" w:cs="仿宋_GB2312"/>
                <w:color w:val="auto"/>
                <w:sz w:val="24"/>
                <w:szCs w:val="24"/>
              </w:rPr>
              <w:t>屏体面积</w:t>
            </w:r>
            <w:r>
              <w:rPr>
                <w:rFonts w:hint="eastAsia" w:ascii="仿宋_GB2312" w:hAnsi="仿宋_GB2312" w:eastAsia="仿宋_GB2312" w:cs="仿宋_GB2312"/>
                <w:color w:val="auto"/>
                <w:sz w:val="24"/>
                <w:szCs w:val="24"/>
                <w:lang w:val="en-US" w:eastAsia="zh-CN"/>
              </w:rPr>
              <w:t>尺寸：长5.44米*高3.68米</w:t>
            </w:r>
            <w:r>
              <w:rPr>
                <w:rFonts w:hint="eastAsia" w:ascii="仿宋_GB2312" w:hAnsi="仿宋_GB2312" w:eastAsia="仿宋_GB2312" w:cs="仿宋_GB2312"/>
                <w:color w:val="auto"/>
                <w:sz w:val="24"/>
                <w:szCs w:val="24"/>
              </w:rPr>
              <w:t>≈20.</w:t>
            </w:r>
            <w:r>
              <w:rPr>
                <w:rFonts w:hint="eastAsia" w:ascii="仿宋_GB2312" w:hAnsi="仿宋_GB2312" w:eastAsia="仿宋_GB2312" w:cs="仿宋_GB2312"/>
                <w:color w:val="auto"/>
                <w:sz w:val="24"/>
                <w:szCs w:val="24"/>
                <w:lang w:val="en-US" w:eastAsia="zh-CN"/>
              </w:rPr>
              <w:t>02平方米，</w:t>
            </w:r>
            <w:r>
              <w:rPr>
                <w:rFonts w:hint="eastAsia" w:ascii="仿宋_GB2312" w:hAnsi="仿宋_GB2312" w:eastAsia="仿宋_GB2312" w:cs="仿宋_GB2312"/>
                <w:color w:val="auto"/>
                <w:kern w:val="0"/>
                <w:sz w:val="24"/>
                <w:szCs w:val="24"/>
                <w:highlight w:val="none"/>
                <w:lang w:val="en-US" w:eastAsia="zh-CN"/>
              </w:rPr>
              <w:t>失真效果检测：显示画面无几何畸变、扭曲、比例失调情况，无亮度、色温非线性失真；</w:t>
            </w:r>
            <w:r>
              <w:rPr>
                <w:rFonts w:hint="eastAsia" w:ascii="仿宋_GB2312" w:hAnsi="仿宋_GB2312" w:eastAsia="仿宋_GB2312" w:cs="仿宋_GB2312"/>
                <w:color w:val="auto"/>
                <w:kern w:val="0"/>
                <w:sz w:val="24"/>
                <w:szCs w:val="24"/>
                <w:highlight w:val="none"/>
                <w:lang w:val="en-US" w:eastAsia="zh-CN"/>
              </w:rPr>
              <w:br w:type="textWrapping"/>
            </w:r>
            <w:r>
              <w:rPr>
                <w:rFonts w:hint="eastAsia" w:ascii="仿宋_GB2312" w:hAnsi="仿宋_GB2312" w:eastAsia="仿宋_GB2312" w:cs="仿宋_GB2312"/>
                <w:color w:val="auto"/>
                <w:kern w:val="0"/>
                <w:sz w:val="24"/>
                <w:szCs w:val="24"/>
                <w:highlight w:val="none"/>
                <w:lang w:val="en-US" w:eastAsia="zh-CN"/>
              </w:rPr>
              <w:t>3.支持图像锐化功能，支持补偿图像边缘及灰度跳变；</w:t>
            </w:r>
          </w:p>
          <w:p w14:paraId="2DA5530B">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4.在1×10</w:t>
            </w:r>
            <w:r>
              <w:rPr>
                <w:rFonts w:hint="eastAsia" w:ascii="仿宋_GB2312" w:hAnsi="仿宋_GB2312" w:eastAsia="仿宋_GB2312" w:cs="仿宋_GB2312"/>
                <w:color w:val="auto"/>
                <w:kern w:val="0"/>
                <w:sz w:val="24"/>
                <w:szCs w:val="24"/>
                <w:highlight w:val="none"/>
                <w:vertAlign w:val="superscript"/>
                <w:lang w:val="en-US" w:eastAsia="zh-CN"/>
              </w:rPr>
              <w:t>5</w:t>
            </w:r>
            <w:r>
              <w:rPr>
                <w:rFonts w:hint="eastAsia" w:ascii="仿宋_GB2312" w:hAnsi="仿宋_GB2312" w:eastAsia="仿宋_GB2312" w:cs="仿宋_GB2312"/>
                <w:color w:val="auto"/>
                <w:kern w:val="0"/>
                <w:sz w:val="24"/>
                <w:szCs w:val="24"/>
                <w:highlight w:val="none"/>
                <w:lang w:val="en-US" w:eastAsia="zh-CN"/>
              </w:rPr>
              <w:t>～1×10</w:t>
            </w:r>
            <w:r>
              <w:rPr>
                <w:rFonts w:hint="eastAsia" w:ascii="仿宋_GB2312" w:hAnsi="仿宋_GB2312" w:eastAsia="仿宋_GB2312" w:cs="仿宋_GB2312"/>
                <w:color w:val="auto"/>
                <w:kern w:val="0"/>
                <w:sz w:val="24"/>
                <w:szCs w:val="24"/>
                <w:highlight w:val="none"/>
                <w:vertAlign w:val="superscript"/>
                <w:lang w:val="en-US" w:eastAsia="zh-CN"/>
              </w:rPr>
              <w:t>9</w:t>
            </w:r>
            <w:r>
              <w:rPr>
                <w:rFonts w:hint="eastAsia" w:ascii="仿宋_GB2312" w:hAnsi="仿宋_GB2312" w:eastAsia="仿宋_GB2312" w:cs="仿宋_GB2312"/>
                <w:color w:val="auto"/>
                <w:kern w:val="0"/>
                <w:sz w:val="24"/>
                <w:szCs w:val="24"/>
                <w:highlight w:val="none"/>
                <w:lang w:val="en-US" w:eastAsia="zh-CN"/>
              </w:rPr>
              <w:t>Ω技术要求下满足点对点电阻（A面）≤2.69×10</w:t>
            </w:r>
            <w:r>
              <w:rPr>
                <w:rFonts w:hint="eastAsia" w:ascii="仿宋_GB2312" w:hAnsi="仿宋_GB2312" w:eastAsia="仿宋_GB2312" w:cs="仿宋_GB2312"/>
                <w:color w:val="auto"/>
                <w:kern w:val="0"/>
                <w:sz w:val="24"/>
                <w:szCs w:val="24"/>
                <w:highlight w:val="none"/>
                <w:vertAlign w:val="superscript"/>
                <w:lang w:val="en-US" w:eastAsia="zh-CN"/>
              </w:rPr>
              <w:t>8</w:t>
            </w:r>
            <w:r>
              <w:rPr>
                <w:rFonts w:hint="eastAsia" w:ascii="仿宋_GB2312" w:hAnsi="仿宋_GB2312" w:eastAsia="仿宋_GB2312" w:cs="仿宋_GB2312"/>
                <w:color w:val="auto"/>
                <w:kern w:val="0"/>
                <w:sz w:val="24"/>
                <w:szCs w:val="24"/>
                <w:highlight w:val="none"/>
                <w:lang w:val="en-US" w:eastAsia="zh-CN"/>
              </w:rPr>
              <w:t>；点对点电阻（B面）≤2.35×10</w:t>
            </w:r>
            <w:r>
              <w:rPr>
                <w:rFonts w:hint="eastAsia" w:ascii="仿宋_GB2312" w:hAnsi="仿宋_GB2312" w:eastAsia="仿宋_GB2312" w:cs="仿宋_GB2312"/>
                <w:color w:val="auto"/>
                <w:kern w:val="0"/>
                <w:sz w:val="24"/>
                <w:szCs w:val="24"/>
                <w:highlight w:val="none"/>
                <w:vertAlign w:val="superscript"/>
                <w:lang w:val="en-US" w:eastAsia="zh-CN"/>
              </w:rPr>
              <w:t>8</w:t>
            </w:r>
            <w:r>
              <w:rPr>
                <w:rFonts w:hint="eastAsia" w:ascii="仿宋_GB2312" w:hAnsi="仿宋_GB2312" w:eastAsia="仿宋_GB2312" w:cs="仿宋_GB2312"/>
                <w:color w:val="auto"/>
                <w:kern w:val="0"/>
                <w:sz w:val="24"/>
                <w:szCs w:val="24"/>
                <w:highlight w:val="none"/>
                <w:lang w:val="en-US" w:eastAsia="zh-CN"/>
              </w:rPr>
              <w:t>；</w:t>
            </w:r>
          </w:p>
          <w:p w14:paraId="4EE819E6">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5.支持通过实时智能分析算法，识别高亮画面，自动调整高亮亮度，解决刺眼问题，提高人眼观看舒适度，并实现功耗降低≥20％；</w:t>
            </w:r>
          </w:p>
          <w:p w14:paraId="675370FC">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6.模组可触及表面的温度，以及金属零部件温度，热能量源分级符合TS1级；</w:t>
            </w:r>
          </w:p>
          <w:p w14:paraId="150E2593">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7.灰度处理能力：红、绿、蓝各16384级，支持色彩和亮度自动调整，对色彩及亮度自动调整，保持色彩亮度一致性；</w:t>
            </w:r>
          </w:p>
          <w:p w14:paraId="10080889">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8.最大亮度白色连续工作2小时，表面温升小于15℃,符合GB 4943.1-2022要求；</w:t>
            </w:r>
          </w:p>
          <w:p w14:paraId="7933E7D8">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9.在单一故障条件下，显示屏无起火和电击的危险发生；</w:t>
            </w:r>
          </w:p>
          <w:p w14:paraId="381869E0">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10.具有智能的白平衡补偿和修正功能；</w:t>
            </w:r>
          </w:p>
          <w:p w14:paraId="67FE57B6">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11.可抵抗太阳光等强光干扰，照度在95KLux能正常观看；</w:t>
            </w:r>
          </w:p>
          <w:p w14:paraId="4AAE8E9E">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12.支持无信号输入自动熄屏待机，有信号时输入自动唤醒屏体；</w:t>
            </w:r>
          </w:p>
          <w:p w14:paraId="302A40DC">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13.红、绿、蓝色坐标偏差绝对值＜0.1；</w:t>
            </w:r>
          </w:p>
          <w:p w14:paraId="71698D0C">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14.在1/2亮度值（2500cd/㎡）时，左右水平视角各位≥82.5°，上下垂直视角各位≥82.5°；</w:t>
            </w:r>
          </w:p>
          <w:p w14:paraId="1C77D232">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15.一体化驱动控制，同时具有独特的消隐、节能处理、EMC处理、智能模组存储处理功能电路；</w:t>
            </w:r>
          </w:p>
          <w:p w14:paraId="311428BB">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16.具有白场亮色度补偿技术，能够快速准确地对当前LED显示屏亮色度进行补偿，使显示屏白场亮色度达到目标状态；</w:t>
            </w:r>
          </w:p>
          <w:p w14:paraId="3A4243D3">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17.通过大面积色彩还原测试，主观评价优，检测结果评分：5分；</w:t>
            </w:r>
          </w:p>
          <w:p w14:paraId="0E229B18">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18.表面应力≥110MPa；</w:t>
            </w:r>
          </w:p>
          <w:p w14:paraId="73B6F4BF">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19.散热系数：≤200（W/m·K）；</w:t>
            </w:r>
          </w:p>
          <w:p w14:paraId="529C1FE6">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20.LED显示单元具备一键色彩调整功能，配合独有的色彩调校传感器和核心算法可实现快速调整屏幕色差；</w:t>
            </w:r>
          </w:p>
          <w:p w14:paraId="2C8A5517">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kern w:val="0"/>
                <w:sz w:val="24"/>
                <w:szCs w:val="24"/>
                <w:highlight w:val="none"/>
                <w:lang w:val="en-US" w:eastAsia="zh-CN"/>
              </w:rPr>
              <w:t>21.具有信号加密传输功能，支持控制器与屏体之间信号加密传输，防止网络恶意入侵。</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CD6C0D7">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20.02㎡</w:t>
            </w:r>
          </w:p>
        </w:tc>
      </w:tr>
      <w:tr w14:paraId="4DBC1DF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6EAC88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DC9E07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LED备用模组</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A9677B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1.模组尺寸：320mm*160mm，与主LED屏同批次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A15A30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6张</w:t>
            </w:r>
          </w:p>
        </w:tc>
      </w:tr>
      <w:tr w14:paraId="5A93A0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BF91CE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6B918D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简易防水箱体</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82F6847">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定制箱体尺寸</w:t>
            </w:r>
          </w:p>
          <w:p w14:paraId="44DCE639">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2.</w:t>
            </w:r>
            <w:r>
              <w:rPr>
                <w:rFonts w:hint="eastAsia" w:ascii="仿宋_GB2312" w:hAnsi="仿宋_GB2312" w:eastAsia="仿宋_GB2312" w:cs="仿宋_GB2312"/>
                <w:color w:val="auto"/>
                <w:sz w:val="24"/>
                <w:szCs w:val="24"/>
              </w:rPr>
              <w:t>板材：冷轧钢板</w:t>
            </w:r>
          </w:p>
          <w:p w14:paraId="48245018">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3.</w:t>
            </w:r>
            <w:r>
              <w:rPr>
                <w:rFonts w:hint="eastAsia" w:ascii="仿宋_GB2312" w:hAnsi="仿宋_GB2312" w:eastAsia="仿宋_GB2312" w:cs="仿宋_GB2312"/>
                <w:color w:val="auto"/>
                <w:sz w:val="24"/>
                <w:szCs w:val="24"/>
              </w:rPr>
              <w:t>颜色：黑色</w:t>
            </w:r>
          </w:p>
          <w:p w14:paraId="63D7875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配件：电源板、卡托、连接件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416AC84">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20.02㎡</w:t>
            </w:r>
          </w:p>
        </w:tc>
      </w:tr>
      <w:tr w14:paraId="6C2717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92BA1B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DEC16E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LED电源</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3DD40BD">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1.输入电压：200-240Vac,40-63Hz</w:t>
            </w:r>
          </w:p>
          <w:p w14:paraId="37761F3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2.输出电流：40A/输出电压：5V</w:t>
            </w:r>
          </w:p>
          <w:p w14:paraId="6212438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3.泄漏电流：&lt;1ma（Vin：230）</w:t>
            </w:r>
          </w:p>
          <w:p w14:paraId="262B483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4.保护功能：输入欠压；过载保护；短路保护</w:t>
            </w:r>
          </w:p>
          <w:p w14:paraId="4DA3EC8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5.工作温度：-30~50℃/储存温度：-40~80℃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60DFA5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100台</w:t>
            </w:r>
          </w:p>
        </w:tc>
      </w:tr>
      <w:tr w14:paraId="07B309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E99596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21DFD4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接收卡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46A999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单卡最大带载 512×384像素，支持 24组 RGB 并行数据。采用12个HUB75接口，具有高稳定性和高可靠性，适用于多种环境的搭建</w:t>
            </w:r>
          </w:p>
          <w:p w14:paraId="7F9BC6D6">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 xml:space="preserve">支持逐点亮色度校正，配合调试软件和校正软件，对每个灯点的亮度和色度进行校正。 </w:t>
            </w:r>
          </w:p>
          <w:p w14:paraId="13B0973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支持普通修缝，可在对应调试软件上进行修缝，用来消除灯板与灯板、箱体与箱体之间的缝隙。</w:t>
            </w:r>
          </w:p>
          <w:p w14:paraId="0E0344FD">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支持低延时，降低视频源在接收卡端的延迟，延迟低至1帧。</w:t>
            </w:r>
          </w:p>
          <w:p w14:paraId="72E462A0">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支持配合支持 3D 功能的独立主控，在调试软件或独立主控的操作面板上开启 3D 功能，并设置 3D 参数，使画面显示 3D 效果</w:t>
            </w:r>
          </w:p>
          <w:p w14:paraId="01324591">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支持四种级联方向（0°/90°/180°/270°）的画面进行切换。</w:t>
            </w:r>
          </w:p>
          <w:p w14:paraId="4DB05B8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支持异形构造，可轻松实现异形屏、球形屏等创意显示屏。</w:t>
            </w:r>
          </w:p>
          <w:p w14:paraId="09473FBC">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支持误码率监测，配合对应版本的调试软件 ，监测接收卡间通讯时传输链路上的数据丢包情况。</w:t>
            </w:r>
          </w:p>
          <w:p w14:paraId="7269410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支持固件程序回读，在对应版本软件上可以回读接收卡的固件程序并保存到本地。</w:t>
            </w:r>
          </w:p>
          <w:p w14:paraId="1CEFA851">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支持配置参数回读，在 调试软件上可以回读接收卡配置参数并保存到本地。</w:t>
            </w:r>
          </w:p>
          <w:p w14:paraId="0EE2C37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11.</w:t>
            </w:r>
            <w:r>
              <w:rPr>
                <w:rFonts w:hint="eastAsia" w:ascii="仿宋_GB2312" w:hAnsi="仿宋_GB2312" w:eastAsia="仿宋_GB2312" w:cs="仿宋_GB2312"/>
                <w:color w:val="auto"/>
                <w:sz w:val="24"/>
                <w:szCs w:val="24"/>
              </w:rPr>
              <w:t>支持环路备份，利用冗余网口增加与发送设备之间的连接，增加设备之间级联的可靠性，当一路出现故障时可实现无缝切换至另一路，保障屏体正常显示。</w:t>
            </w:r>
          </w:p>
          <w:p w14:paraId="4FC0CF71">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12.</w:t>
            </w:r>
            <w:r>
              <w:rPr>
                <w:rFonts w:hint="eastAsia" w:ascii="仿宋_GB2312" w:hAnsi="仿宋_GB2312" w:eastAsia="仿宋_GB2312" w:cs="仿宋_GB2312"/>
                <w:color w:val="auto"/>
                <w:sz w:val="24"/>
                <w:szCs w:val="24"/>
              </w:rPr>
              <w:t>支持双程序备份，接收卡出厂时保存了两份应用程序，以防程序更新异常导致的升级卡死。</w:t>
            </w:r>
          </w:p>
          <w:p w14:paraId="1D51B6E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eastAsia="zh-CN"/>
              </w:rPr>
              <w:t>13.</w:t>
            </w:r>
            <w:r>
              <w:rPr>
                <w:rFonts w:hint="eastAsia" w:ascii="仿宋_GB2312" w:hAnsi="仿宋_GB2312" w:eastAsia="仿宋_GB2312" w:cs="仿宋_GB2312"/>
                <w:color w:val="auto"/>
                <w:sz w:val="24"/>
                <w:szCs w:val="24"/>
              </w:rPr>
              <w:t>支持连接多功能卡。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45ABDD6">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26张</w:t>
            </w:r>
          </w:p>
        </w:tc>
      </w:tr>
      <w:tr w14:paraId="28882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4407E3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BCA294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视频处理器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ECCC7E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支持多路输入接口：包括但不限于1 路 DVI，1 路 HDMI，1 路 VGA，1 路 USB ，1 路 CVBS，以适用各种前端输入信号；</w:t>
            </w:r>
          </w:p>
          <w:p w14:paraId="54CA2D61">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发送卡和视频处理器二合一，减少系统连线，有效提升系统的稳定性及兼容性；</w:t>
            </w:r>
          </w:p>
          <w:p w14:paraId="352F5211">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支持插入U盘播放，最大支持1920x1080@60Hz视频输入；</w:t>
            </w:r>
          </w:p>
          <w:p w14:paraId="7EDCF81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设备前面板配备直观的 LCD 显示界面，可实时显示型号、ip地址、窗口及信号源的分辨率、网口的状态、屏幕大小及帧频、USB 连接或网线连接状态和屏体亮度等信息；</w:t>
            </w:r>
          </w:p>
          <w:p w14:paraId="295A413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支持配合多功能卡，实现对屏体电源的手动控制，自动控制，以及软件控制</w:t>
            </w:r>
          </w:p>
          <w:p w14:paraId="2BA881F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支持 DVI、HDMI 的输入分辨率自定义调节。</w:t>
            </w:r>
          </w:p>
          <w:p w14:paraId="21F3134C">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支持逐点亮度校正，可以对每个灯点的亮度和色度进行采集校正，有效消除色差，使整屏的亮度和色度达到高度均匀一致，提高显示屏的画质。</w:t>
            </w:r>
          </w:p>
          <w:p w14:paraId="696A8C6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支持通过设备旋转按钮实现快捷配屏和高级配屏功能点亮屏体；</w:t>
            </w:r>
          </w:p>
          <w:p w14:paraId="09BBD97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支持不少于 4个千兆网口输出，最大带载可达260万像素。</w:t>
            </w:r>
          </w:p>
          <w:p w14:paraId="36526358">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支持创建不少于6个用户场景作为模板保存，方便快速调用。</w:t>
            </w:r>
          </w:p>
          <w:p w14:paraId="6E37B84B">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eastAsia="zh-CN"/>
              </w:rPr>
              <w:t>11.</w:t>
            </w:r>
            <w:r>
              <w:rPr>
                <w:rFonts w:hint="eastAsia" w:ascii="仿宋_GB2312" w:hAnsi="仿宋_GB2312" w:eastAsia="仿宋_GB2312" w:cs="仿宋_GB2312"/>
                <w:color w:val="auto"/>
                <w:sz w:val="24"/>
                <w:szCs w:val="24"/>
              </w:rPr>
              <w:t>支持通过中控设备进行统一控制。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A34ABA7">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0DD5ED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09C220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48ACF9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多功能卡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A7A968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使用 RS232 串口或千兆网口通信；</w:t>
            </w:r>
          </w:p>
          <w:p w14:paraId="4D725127">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支持用网口级联在接收卡之间或最后；</w:t>
            </w:r>
          </w:p>
          <w:p w14:paraId="2721BBA8">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具有定时功能，可以替代定时器和延时器；</w:t>
            </w:r>
          </w:p>
          <w:p w14:paraId="5B1A92E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支持板载温度检测；</w:t>
            </w:r>
          </w:p>
          <w:p w14:paraId="0D97411B">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支持板载湿度检测；</w:t>
            </w:r>
          </w:p>
          <w:p w14:paraId="56D6F2E7">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支持音频输出；</w:t>
            </w:r>
          </w:p>
          <w:p w14:paraId="5B8310E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支持接 4 路光探头实现自动亮度调节；</w:t>
            </w:r>
          </w:p>
          <w:p w14:paraId="2081F83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支持外接温湿度模块、烟雾模块、噪声、空气质量、亮度传感器；</w:t>
            </w:r>
          </w:p>
          <w:p w14:paraId="1776801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支持8路电源开关控制。</w:t>
            </w:r>
          </w:p>
          <w:p w14:paraId="359FBA50">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具有定时功能，可以替代定时器和延时器。</w:t>
            </w:r>
          </w:p>
          <w:p w14:paraId="673BF98B">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eastAsia="zh-CN"/>
              </w:rPr>
              <w:t>11.</w:t>
            </w:r>
            <w:r>
              <w:rPr>
                <w:rFonts w:hint="eastAsia" w:ascii="仿宋_GB2312" w:hAnsi="仿宋_GB2312" w:eastAsia="仿宋_GB2312" w:cs="仿宋_GB2312"/>
                <w:color w:val="auto"/>
                <w:sz w:val="24"/>
                <w:szCs w:val="24"/>
              </w:rPr>
              <w:t>支持多卡级联统一控制。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ECB9FB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1张</w:t>
            </w:r>
          </w:p>
        </w:tc>
      </w:tr>
      <w:tr w14:paraId="20B817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393D1E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08BE77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计算机</w:t>
            </w:r>
            <w:r>
              <w:rPr>
                <w:rFonts w:hint="eastAsia" w:ascii="仿宋_GB2312" w:hAnsi="仿宋_GB2312" w:eastAsia="仿宋_GB2312" w:cs="仿宋_GB2312"/>
                <w:b/>
                <w:bCs/>
                <w:color w:val="auto"/>
                <w:sz w:val="24"/>
                <w:szCs w:val="24"/>
              </w:rPr>
              <w:t>（强制采购节能产品，详见采购需求说明第八点）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1037135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★一、CPU规格</w:t>
            </w:r>
          </w:p>
          <w:p w14:paraId="4927EB2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核8线程，主频≥2.7GHz，末级缓存≥8M，内存≥双通道DDR4-2666，热设计功耗≤70W，位宽≥64位；</w:t>
            </w:r>
          </w:p>
          <w:p w14:paraId="0E3533E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★二、内存规格</w:t>
            </w:r>
          </w:p>
          <w:p w14:paraId="04E26F2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1.内存配置容量：≥16GB；</w:t>
            </w:r>
          </w:p>
          <w:p w14:paraId="7389832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2.内存类型：支持 DDR4/LPDDR4/LPDDR4X及以上内存类型；</w:t>
            </w:r>
          </w:p>
          <w:p w14:paraId="41F2E9E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3.内存条配置数量（板载内存不涉及）：≥1；</w:t>
            </w:r>
          </w:p>
          <w:p w14:paraId="37693CC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★三、主板规格</w:t>
            </w:r>
          </w:p>
          <w:p w14:paraId="5E6963D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1.主板集成模块：集成资源扩展模块、计算处理模块、音频扩展模块等，主板的互联拓扑可通过处理器或交换电路实现；</w:t>
            </w:r>
          </w:p>
          <w:p w14:paraId="41DB0B9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2.主板支持的 CPU 和内存情况：≥</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核8线程，主频≥2.7GHz，末级缓存≥8M，内存≥双通道DDR4-2666，热设计功耗≤70W，位宽≥64位；内存条数量≥</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w:t>
            </w:r>
          </w:p>
          <w:p w14:paraId="135B06D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3.主板其他内置接口：≥SATA接口*4，≥M.2接口*1，</w:t>
            </w:r>
            <w:r>
              <w:rPr>
                <w:rFonts w:hint="eastAsia" w:ascii="仿宋_GB2312" w:hAnsi="仿宋_GB2312" w:eastAsia="仿宋_GB2312" w:cs="仿宋_GB2312"/>
                <w:color w:val="auto"/>
                <w:sz w:val="24"/>
                <w:szCs w:val="24"/>
                <w:highlight w:val="none"/>
              </w:rPr>
              <w:t>≥USB接口*1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rPr>
              <w:t>，固态硬盘占用M.2接口*1，机械硬盘占用SATA接口*1</w:t>
            </w:r>
          </w:p>
          <w:p w14:paraId="7A1C057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4.单内存插槽最大可支持容量（板载内存不涉及）：≥16GB；</w:t>
            </w:r>
          </w:p>
          <w:p w14:paraId="418E88F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5.内存插槽满配时提供的最高内存总容量：≥64GB；</w:t>
            </w:r>
          </w:p>
          <w:p w14:paraId="66F4472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★四、存储设备规格</w:t>
            </w:r>
          </w:p>
          <w:p w14:paraId="7116085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1.固态盘数量：≥1 个；</w:t>
            </w:r>
          </w:p>
          <w:p w14:paraId="636AB11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2.固态存储容量：≥512GB；</w:t>
            </w:r>
          </w:p>
          <w:p w14:paraId="6954133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3.机械硬盘数量：≥1 个；</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4.机械硬盘总容量：≥1TB；</w:t>
            </w:r>
          </w:p>
          <w:p w14:paraId="2FE7597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5.机械硬盘转速：≥5400rpm；</w:t>
            </w:r>
          </w:p>
          <w:p w14:paraId="5B6547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6.机械硬盘形态：3.5 英寸等；</w:t>
            </w:r>
          </w:p>
          <w:p w14:paraId="0DC8236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7.固态存储形态：采用插卡或板载等形态，可选用符合M.2 或 2.5寸SATA或mSATA等标准的插卡形态；</w:t>
            </w:r>
          </w:p>
          <w:p w14:paraId="10AC3C4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8.存储设备其他参数要求：a)固态盘应符合 SJ/T 11654 相关规定；b)机械硬盘准备时间应不大于 30s；侧面固定螺丝孔数量可为4孔或6孔；工作状态环境温度应满足 5℃~55℃；其它参数应符合 GB/T 12628 相关规定；</w:t>
            </w:r>
          </w:p>
          <w:p w14:paraId="3631ADB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★五、显卡规格</w:t>
            </w:r>
          </w:p>
          <w:p w14:paraId="03EC531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1.显卡类型：独立显卡；</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2.独立显卡显存类型：显存类型为DDR3/DDR4/GDDR5 /GDDR6/LPDDR4；</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3.独立显卡显存位宽：显存位宽≥16 位；</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4.独立显卡显存容量：显存容量≥1GB；</w:t>
            </w:r>
          </w:p>
          <w:p w14:paraId="24333F1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★六、显示设备规格</w:t>
            </w:r>
          </w:p>
          <w:p w14:paraId="57CECA4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1.显示屏屏占比：≥</w:t>
            </w:r>
            <w:r>
              <w:rPr>
                <w:rFonts w:hint="eastAsia" w:ascii="仿宋_GB2312" w:hAnsi="仿宋_GB2312" w:eastAsia="仿宋_GB2312" w:cs="仿宋_GB2312"/>
                <w:color w:val="auto"/>
                <w:sz w:val="24"/>
                <w:szCs w:val="24"/>
                <w:lang w:val="en-US" w:eastAsia="zh-CN"/>
              </w:rPr>
              <w:t>9</w:t>
            </w:r>
            <w:r>
              <w:rPr>
                <w:rFonts w:hint="eastAsia" w:ascii="仿宋_GB2312" w:hAnsi="仿宋_GB2312" w:eastAsia="仿宋_GB2312" w:cs="仿宋_GB2312"/>
                <w:color w:val="auto"/>
                <w:sz w:val="24"/>
                <w:szCs w:val="24"/>
              </w:rPr>
              <w:t>0%；</w:t>
            </w:r>
          </w:p>
          <w:p w14:paraId="3F8E41E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2.显示屏分辨率：≥1920*1080；</w:t>
            </w:r>
          </w:p>
          <w:p w14:paraId="78625C0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3.显示屏尺寸：≥23英寸；</w:t>
            </w:r>
          </w:p>
          <w:p w14:paraId="419CACC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4.显示屏屏幕比例：16:9；</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5.显示器外观颜色：黑色商务色系；</w:t>
            </w:r>
          </w:p>
          <w:p w14:paraId="52D04E3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rPr>
              <w:t>6.显示屏防蓝光：支持防蓝光模式，蓝光加权辐射亮度比应≤0.0012W/(·cd·sr)（瓦每坎特拉每球面度）</w:t>
            </w:r>
            <w:r>
              <w:rPr>
                <w:rFonts w:hint="eastAsia" w:ascii="仿宋_GB2312" w:hAnsi="仿宋_GB2312" w:eastAsia="仿宋_GB2312" w:cs="仿宋_GB2312"/>
                <w:color w:val="auto"/>
                <w:sz w:val="24"/>
                <w:szCs w:val="24"/>
                <w:highlight w:val="none"/>
              </w:rPr>
              <w:t>；</w:t>
            </w:r>
          </w:p>
          <w:p w14:paraId="01BCEFB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7.显示屏低频闪：显示屏应支持低频闪≤-35dB；</w:t>
            </w:r>
          </w:p>
          <w:p w14:paraId="10ACAF2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8.显示屏防炫目：显示屏镜面反射率≤10%；</w:t>
            </w:r>
          </w:p>
          <w:p w14:paraId="7F771CF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★七、外设规格</w:t>
            </w:r>
          </w:p>
          <w:p w14:paraId="1B7B484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1.鼠标数量：≥1个；</w:t>
            </w:r>
          </w:p>
          <w:p w14:paraId="4C6978C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2.键盘数量：≥1个；</w:t>
            </w:r>
          </w:p>
          <w:p w14:paraId="6423B9A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3.键盘按键数目：≥10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键；</w:t>
            </w:r>
          </w:p>
          <w:p w14:paraId="1C73CC4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4.键盘连接方式：有线；</w:t>
            </w:r>
          </w:p>
          <w:p w14:paraId="68068FB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5.键盘键程：2.3mm-4.0mm；</w:t>
            </w:r>
          </w:p>
          <w:p w14:paraId="2BD7CAF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6.键盘按键压力：按键压力应在0.54N±0.14N；</w:t>
            </w:r>
          </w:p>
          <w:p w14:paraId="7A2DEF3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7.有线键盘连接线：≥1.5 米；</w:t>
            </w:r>
          </w:p>
          <w:p w14:paraId="60EA65A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8.键盘颜色：黑色商务色系；</w:t>
            </w:r>
          </w:p>
          <w:p w14:paraId="751F2F0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9.鼠标连接方式：有线；</w:t>
            </w:r>
          </w:p>
          <w:p w14:paraId="79B78FE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10.有线鼠标连接线：≥1.5米；</w:t>
            </w:r>
          </w:p>
          <w:p w14:paraId="27E05E1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11.鼠标DPI分辨率：800-1600；</w:t>
            </w:r>
          </w:p>
          <w:p w14:paraId="03692D5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12.鼠标颜色：黑色商务色系；</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13.鼠标其他要求：其它参数应符合 GB/T 26245 的相关规定；</w:t>
            </w:r>
          </w:p>
          <w:p w14:paraId="150096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★八、网络设备规格</w:t>
            </w:r>
          </w:p>
          <w:p w14:paraId="009A30E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1.有线网卡数量：≥1；</w:t>
            </w:r>
          </w:p>
          <w:p w14:paraId="792478B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★九、外部接口规格</w:t>
            </w:r>
          </w:p>
          <w:p w14:paraId="492516F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1.USB 接口数量：机箱前面板应提供不少于</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个USB 接口（含 2个USB3.0 及以上接口</w:t>
            </w:r>
            <w:r>
              <w:rPr>
                <w:rFonts w:hint="eastAsia" w:ascii="仿宋_GB2312" w:hAnsi="仿宋_GB2312" w:eastAsia="仿宋_GB2312" w:cs="仿宋_GB2312"/>
                <w:color w:val="auto"/>
                <w:sz w:val="24"/>
                <w:szCs w:val="24"/>
                <w:highlight w:val="none"/>
                <w:lang w:val="en-US" w:eastAsia="zh-CN"/>
              </w:rPr>
              <w:t>额外支持USB接口在关机状态下对外充电</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rPr>
              <w:t>2.视频接口数量：≥1；</w:t>
            </w:r>
          </w:p>
          <w:p w14:paraId="40DD788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3.音频接口数量：≥1；</w:t>
            </w:r>
          </w:p>
          <w:p w14:paraId="1D3799B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★十、整机基础规格</w:t>
            </w:r>
          </w:p>
          <w:p w14:paraId="720CB18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1.整机外观：a) 产品表面不应有凹痕、划伤、裂缝、变形和污染等。表面涂层均匀，不应起泡、龟裂、脱落和磨损，金属零部件无锈蚀及其它机械损伤；b) 产品表面说明功能的文字、符号、标志，应清晰、端正、牢固；</w:t>
            </w:r>
          </w:p>
          <w:p w14:paraId="38A180D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2.状态指示灯：在产品显著位置提供状态指示功能；</w:t>
            </w:r>
          </w:p>
          <w:p w14:paraId="625F07A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3.整机结构：a) 机箱应符合 GB/T 420</w:t>
            </w: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760A31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4.机箱防护要求：机箱应符合 GB/T 4208 中 IP20 防护要求；</w:t>
            </w:r>
          </w:p>
          <w:p w14:paraId="7FB2C87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5.整机噪音：产品工作在空闲状态下，产品的声功率级≤</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.5Bel；</w:t>
            </w:r>
          </w:p>
          <w:p w14:paraId="39AD269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4797FF2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7.整机能效限定值：产品能效限定值应达到 GB 28380-2012标准中能效等级 2 级及以上；</w:t>
            </w:r>
          </w:p>
          <w:p w14:paraId="7907E68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8.机身材质：塑料/金属等；</w:t>
            </w:r>
          </w:p>
          <w:p w14:paraId="7B5605F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9.机身颜色：黑色商务色系；</w:t>
            </w:r>
          </w:p>
          <w:p w14:paraId="3F39392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10.机箱尺寸容量：机箱体积≤</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0L;</w:t>
            </w:r>
          </w:p>
          <w:p w14:paraId="6741833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★十一、CPU性能</w:t>
            </w:r>
          </w:p>
          <w:p w14:paraId="76B3B63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 物理核数：≥</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w:t>
            </w:r>
          </w:p>
          <w:p w14:paraId="26EF785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2.CPU 主频：≥2.7GHz；</w:t>
            </w:r>
          </w:p>
          <w:p w14:paraId="76053ED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3.CPU 末级缓存容量：≥8MB；</w:t>
            </w:r>
          </w:p>
          <w:p w14:paraId="25BA1CB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4.CPU 支持的内存最高速率：≥2666MT/s；</w:t>
            </w:r>
          </w:p>
          <w:p w14:paraId="2222CCB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★十二、内存性能</w:t>
            </w:r>
          </w:p>
          <w:p w14:paraId="2671E1A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1.内存读写速率：≥2666MT/s；</w:t>
            </w:r>
          </w:p>
          <w:p w14:paraId="7CA829D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★十三、显卡性能</w:t>
            </w:r>
          </w:p>
          <w:p w14:paraId="1E6D4EF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1.显示分辨率：≥1920*1080；</w:t>
            </w:r>
          </w:p>
          <w:p w14:paraId="1412094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2.显卡显示芯片核心频率：≥300MHz；</w:t>
            </w:r>
          </w:p>
          <w:p w14:paraId="2EA0EDC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3.显存等效频率：≥1000MT/s；</w:t>
            </w:r>
          </w:p>
          <w:p w14:paraId="3E05184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4.显卡可支持多屏同时显示数量：显卡应支持2块屏幕同时显示，分辨率应不低于1920*1080；</w:t>
            </w:r>
          </w:p>
          <w:p w14:paraId="2F931CF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★十四、显示设备性能</w:t>
            </w:r>
          </w:p>
          <w:p w14:paraId="518D641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1.显示屏刷新率：≥</w:t>
            </w:r>
            <w:r>
              <w:rPr>
                <w:rFonts w:hint="eastAsia" w:ascii="仿宋_GB2312" w:hAnsi="仿宋_GB2312" w:eastAsia="仿宋_GB2312" w:cs="仿宋_GB2312"/>
                <w:color w:val="auto"/>
                <w:sz w:val="24"/>
                <w:szCs w:val="24"/>
                <w:lang w:val="en-US" w:eastAsia="zh-CN"/>
              </w:rPr>
              <w:t>90</w:t>
            </w:r>
            <w:r>
              <w:rPr>
                <w:rFonts w:hint="eastAsia" w:ascii="仿宋_GB2312" w:hAnsi="仿宋_GB2312" w:eastAsia="仿宋_GB2312" w:cs="仿宋_GB2312"/>
                <w:color w:val="auto"/>
                <w:sz w:val="24"/>
                <w:szCs w:val="24"/>
              </w:rPr>
              <w:t>Hz；</w:t>
            </w:r>
          </w:p>
          <w:p w14:paraId="3AFADEE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2.显示屏位深：≥8位；</w:t>
            </w:r>
          </w:p>
          <w:p w14:paraId="00BCE39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3.显示屏色域：≥99%sRGB</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≥90%DCI-P3</w:t>
            </w:r>
            <w:r>
              <w:rPr>
                <w:rFonts w:hint="eastAsia" w:ascii="仿宋_GB2312" w:hAnsi="仿宋_GB2312" w:eastAsia="仿宋_GB2312" w:cs="仿宋_GB2312"/>
                <w:color w:val="auto"/>
                <w:sz w:val="24"/>
                <w:szCs w:val="24"/>
                <w:lang w:val="en-US" w:eastAsia="zh-CN"/>
              </w:rPr>
              <w:t>;</w:t>
            </w:r>
          </w:p>
          <w:p w14:paraId="1CD65FE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4.显示屏色准：△E≤4；</w:t>
            </w:r>
          </w:p>
          <w:p w14:paraId="3F6F363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5.显示屏响应时间：≤8ms；</w:t>
            </w:r>
          </w:p>
          <w:p w14:paraId="32534B7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6.显示屏亮度：≥250尼特；</w:t>
            </w:r>
          </w:p>
          <w:p w14:paraId="52C1498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7.显示屏亮度一致性：≥70%；</w:t>
            </w:r>
          </w:p>
          <w:p w14:paraId="3C4CA63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8.显示屏对比度：≥500：1；</w:t>
            </w:r>
          </w:p>
          <w:p w14:paraId="4C8ECE6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9.显示屏其他参数：其它参数应符合 SJ/T 11292 的相关规定；</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lang w:eastAsia="zh-CN"/>
              </w:rPr>
              <w:t>★十五、网络设备性能</w:t>
            </w:r>
          </w:p>
          <w:p w14:paraId="4164A24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1.有线网卡速率：最高速率应不低于1000Mbps，应支持10Mbps、100Mbps、1000Mbps 速率自适应；</w:t>
            </w:r>
          </w:p>
          <w:p w14:paraId="2BBC2AC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★十六、主板功能</w:t>
            </w:r>
          </w:p>
          <w:p w14:paraId="0D3B875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1.内存扩展接口(板载内存不涉及)：≥2个；</w:t>
            </w:r>
          </w:p>
          <w:p w14:paraId="39D964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2.主板USB瞬间过流保护：支持有瞬间过流保护功能；</w:t>
            </w:r>
          </w:p>
          <w:p w14:paraId="311B71E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3.主板防静电保护：支持防静电保护功能；</w:t>
            </w:r>
          </w:p>
          <w:p w14:paraId="654BF5D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117791F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★十七、显卡功能</w:t>
            </w:r>
          </w:p>
          <w:p w14:paraId="453F19D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1.显卡外接显示接口：显卡至少支持 VGA、HDMI、DVI、DP、Type-C 中 1 种显示接口，并与显示器接口相匹配；</w:t>
            </w:r>
          </w:p>
          <w:p w14:paraId="39F896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★十八、显示设备功能</w:t>
            </w:r>
          </w:p>
          <w:p w14:paraId="1F6E21A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1.显示器接口：显示器应与显卡外接显示接口匹配；</w:t>
            </w:r>
          </w:p>
          <w:p w14:paraId="4C80B83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2.显示器支架：显示器应提供显示器支架；</w:t>
            </w:r>
          </w:p>
          <w:p w14:paraId="794387E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3.显示器参数调节：a)提供 OSD 选单按钮用于调节色彩、模式等；b)支持色温、亮度、对比度调节；</w:t>
            </w:r>
          </w:p>
          <w:p w14:paraId="3094988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★十九、存储功能</w:t>
            </w:r>
          </w:p>
          <w:p w14:paraId="79CE274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1.存储功能：通过 SATA 固态存储/PCIe 固态存储/UFS 固态存储/SATA 硬磁盘等存储部件提供存储功能；</w:t>
            </w:r>
          </w:p>
          <w:p w14:paraId="724CE84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★二十、网络设备功能</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1.网络功能：a)支持网络连接、网络开启/关闭功能；b)支持访问网络和数据交换功能；</w:t>
            </w:r>
          </w:p>
          <w:p w14:paraId="520ADFA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2.数据传输：支持数据传输能力，并提供数据流量和异常日志记录功能；</w:t>
            </w:r>
          </w:p>
          <w:p w14:paraId="70E8F77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3.有线网卡接口类型：支持 RJ45 接口；</w:t>
            </w:r>
          </w:p>
          <w:p w14:paraId="32C259C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4.网络设备拆装：网络设备支持物理拆装，包括无线网卡和蓝牙模块等；</w:t>
            </w:r>
          </w:p>
          <w:p w14:paraId="02EE701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★二十一、外部接口功能</w:t>
            </w:r>
          </w:p>
          <w:p w14:paraId="702D630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1.音频接口类型：支持 3.5mm 孔径 3 段式或 4 段式接口；</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2.视频接口类型：至少支持 VGA、HDMI、DVI、DP、Type-C中 1 种显示接口；</w:t>
            </w:r>
          </w:p>
          <w:p w14:paraId="4C5327A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3.HDMI、DP、Type-C 显示接口要求：若提供 HDMI 或 DP 或 Type-C 作为显示接口，应支持音频和视频同步输出；</w:t>
            </w:r>
          </w:p>
          <w:p w14:paraId="367A6E8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★二十二、电源功能</w:t>
            </w:r>
          </w:p>
          <w:p w14:paraId="6ED5FEF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1.电源线适配能力：电源适配器电线组件应符合 GB/T15934 的要求；</w:t>
            </w:r>
          </w:p>
          <w:p w14:paraId="69D9B10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★二十三、操作系统及软件功能</w:t>
            </w:r>
          </w:p>
          <w:p w14:paraId="0DC87AB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1.中文信息处理要求：符合 GB 18030 的相关规定；</w:t>
            </w:r>
          </w:p>
          <w:p w14:paraId="34D463F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2.操作系统备份及还原功能：支持操作系统备份及还原功能；</w:t>
            </w:r>
          </w:p>
          <w:p w14:paraId="6BA590E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3.固件备份还原能力：支持备份及还原固件的功能；</w:t>
            </w:r>
          </w:p>
          <w:p w14:paraId="4637CD9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4.操作系统及驱动升级：支持通过网络、闪存盘等方式对操作系统、驱动进行升级；</w:t>
            </w:r>
          </w:p>
          <w:p w14:paraId="2949CAE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5.固件升级：支持通过网络、闪存盘等方式对固件进行升级；</w:t>
            </w:r>
          </w:p>
          <w:p w14:paraId="7D57661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6.BIOS 支持关闭通讯接口：支持 BIOS 关闭以太网及 USB 接口；</w:t>
            </w:r>
          </w:p>
          <w:p w14:paraId="7970AC9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7.固件查看信息：支持查看固件版本、内存信息、主板信息、处理器信息和系统时间信息等功能；</w:t>
            </w:r>
          </w:p>
          <w:p w14:paraId="537AEEA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8.固件设置启动顺序：支持设置启动顺序功能，并按照设置的启动顺序启动；</w:t>
            </w:r>
          </w:p>
          <w:p w14:paraId="34E78A2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9.固件设置口令：支持设置口令、修改口令、验证口令功能；</w:t>
            </w:r>
          </w:p>
          <w:p w14:paraId="63B3148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10.固件设置网络引导：支持网络引导启动和关闭功能；</w:t>
            </w:r>
          </w:p>
          <w:p w14:paraId="5D4965B1">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strike/>
                <w:color w:val="auto"/>
                <w:sz w:val="24"/>
                <w:szCs w:val="24"/>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en-US" w:eastAsia="zh-CN"/>
              </w:rPr>
              <w:t>提供功能至少有文字处理、电子表格、演示文稿三大应用模块的办公软件，授权≥3年</w:t>
            </w:r>
          </w:p>
          <w:p w14:paraId="6431611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★二十四、存储设备可靠性</w:t>
            </w:r>
          </w:p>
          <w:p w14:paraId="4630F43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1.固态存储寿命：TBW≥80TB（条件：512GB 硬盘容量）；</w:t>
            </w:r>
          </w:p>
          <w:p w14:paraId="752A6F3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2.机械硬盘寿命：通电时间≥5万小时；</w:t>
            </w:r>
          </w:p>
          <w:p w14:paraId="00AA47D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★二十五、显示设备可靠性</w:t>
            </w:r>
          </w:p>
          <w:p w14:paraId="379B8B0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1.显示屏屏幕失效点：符合 GB/T 9813.2 的要求；</w:t>
            </w:r>
          </w:p>
          <w:p w14:paraId="5AEDF26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★二十六、外设可靠性</w:t>
            </w:r>
          </w:p>
          <w:p w14:paraId="7204F3D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1.键盘按键寿命：≥1000 万次；</w:t>
            </w:r>
          </w:p>
          <w:p w14:paraId="7AAA1D5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2.鼠标按键寿命：≥500 万次；</w:t>
            </w:r>
          </w:p>
          <w:p w14:paraId="6A5D8D1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3.键盘鼠标线材寿命：键盘鼠标所用线材经±60°弯折不低于 3000 次，功能、外观完好；</w:t>
            </w:r>
          </w:p>
          <w:p w14:paraId="36331C8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4.风扇寿命：≥4 万小时；</w:t>
            </w:r>
          </w:p>
          <w:p w14:paraId="5FC90A6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★二十七、整机可靠性要求</w:t>
            </w:r>
          </w:p>
          <w:p w14:paraId="4FA776C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1.电磁兼容性要求的抗扰度：符合 GB/T 9254.2 的规定；</w:t>
            </w:r>
          </w:p>
          <w:p w14:paraId="0AD48DC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2.环境条件要求的气候环境适应性：符合 GB/T 9813.1 中规定；</w:t>
            </w:r>
          </w:p>
          <w:p w14:paraId="6DD112D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3.环境条件要求的振动适应性：符合 GB/T 9813.1 中规定；</w:t>
            </w:r>
          </w:p>
          <w:p w14:paraId="6E3A919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4.环境条件要求的冲击适应性：符合 GB/T 9813.1 中规定；</w:t>
            </w:r>
          </w:p>
          <w:p w14:paraId="115EB44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5.环境条件要求的碰撞适应性：符合 GB/T 9813.1 中规定；</w:t>
            </w:r>
          </w:p>
          <w:p w14:paraId="21A2006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6.环境条件要求的运输包装件跌落适应性：符合 GB/T 9813.1 中规定；</w:t>
            </w:r>
          </w:p>
          <w:p w14:paraId="777BD13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7.MTBF 测试：MTBF(m1)≥</w:t>
            </w:r>
            <w:r>
              <w:rPr>
                <w:rFonts w:hint="eastAsia" w:ascii="仿宋_GB2312" w:hAnsi="仿宋_GB2312" w:eastAsia="仿宋_GB2312" w:cs="仿宋_GB2312"/>
                <w:color w:val="auto"/>
                <w:sz w:val="24"/>
                <w:szCs w:val="24"/>
                <w:highlight w:val="none"/>
                <w:lang w:val="en-US" w:eastAsia="zh-CN"/>
              </w:rPr>
              <w:t>99</w:t>
            </w:r>
            <w:r>
              <w:rPr>
                <w:rFonts w:hint="eastAsia" w:ascii="仿宋_GB2312" w:hAnsi="仿宋_GB2312" w:eastAsia="仿宋_GB2312" w:cs="仿宋_GB2312"/>
                <w:color w:val="auto"/>
                <w:sz w:val="24"/>
                <w:szCs w:val="24"/>
                <w:highlight w:val="none"/>
              </w:rPr>
              <w:t>万小时；</w:t>
            </w:r>
          </w:p>
          <w:p w14:paraId="3C8FC65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★二十八、兼容要求</w:t>
            </w:r>
          </w:p>
          <w:p w14:paraId="7FE7C19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1.常用软件兼容：支持流式软件、版式软件、浏览器、邮件采购人端、解压软件、多媒体、图形图像处理等常用软件；</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2.数据库兼容：兼容 3 个及以上厂商的数据库产品；</w:t>
            </w:r>
          </w:p>
          <w:p w14:paraId="7C16ACA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3.中间件兼容：兼容 3 个及以上厂商中间件产品；</w:t>
            </w:r>
          </w:p>
          <w:p w14:paraId="3450171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4.平台软件兼容：兼容 3 个及以上厂商云计算及大数据平台；</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lang w:eastAsia="zh-CN"/>
              </w:rPr>
              <w:t>★二十九、包装及运输要求</w:t>
            </w:r>
          </w:p>
          <w:p w14:paraId="240E689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1.标志、包装、运输和贮存：符合 GB/T 9813.1 和商品包装政府采购需求标准的相关规定；</w:t>
            </w:r>
          </w:p>
          <w:p w14:paraId="4D40343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★三十、服务要求</w:t>
            </w:r>
          </w:p>
          <w:p w14:paraId="7E08167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1.配置检查工具：供应商提供自检测试工具；</w:t>
            </w:r>
          </w:p>
          <w:p w14:paraId="42D0139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17FD9F7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3.服务周期：a) 设备停产后应继续提供质量保障服务（含备品备件），服务终止时间与最后一批设备交付时间间隔不低于</w:t>
            </w:r>
          </w:p>
          <w:p w14:paraId="544ED1D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 年；b) 产品停止服务时间应提前 1 年告知；c) 应明确产品发布日期；</w:t>
            </w:r>
          </w:p>
          <w:p w14:paraId="1FDF29C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5.培训服务：供应商提供培训材料、产品手册、培训视频等培训相关内容；</w:t>
            </w:r>
          </w:p>
          <w:p w14:paraId="6D59D8F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6.典型问题解决手册：供应商提供典型问题解决说明文档或视频；</w:t>
            </w:r>
          </w:p>
          <w:p w14:paraId="4B26691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7.厂家升级软件与扩容服务：供应商提供上门升级部件/软件与扩容的增值服务；</w:t>
            </w:r>
          </w:p>
          <w:p w14:paraId="284ACDC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8.整机质量服务要求：免费服务周期（含换件和维修）应不小于 3 年；</w:t>
            </w:r>
          </w:p>
          <w:p w14:paraId="433DEE4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9.合格证书要求：供应商提供产品合格证；</w:t>
            </w:r>
          </w:p>
          <w:p w14:paraId="65A26CA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10.开箱组装/使用指导要求：供应商提供开箱组装/使用指导；</w:t>
            </w:r>
          </w:p>
          <w:p w14:paraId="4BEC51E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11.驱动下载服务要求：供应商提供驱动光盘或下载方式；</w:t>
            </w:r>
          </w:p>
          <w:p w14:paraId="7C34F24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12.兼容适配软件下载服务要求：供应商提供兼容适配软件下载渠道（光盘、网站）；</w:t>
            </w:r>
          </w:p>
          <w:p w14:paraId="3B90D69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★三十一、供应链合规性</w:t>
            </w:r>
          </w:p>
          <w:p w14:paraId="6FF3D7A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 产品部件保障：供应商保障产品主要部件，提供 6 年的备件服务能力（自购买之日起），或提供可兼容原设备的升级换代产品；</w:t>
            </w:r>
          </w:p>
          <w:p w14:paraId="7AEE83E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★三十二、供应链质量</w:t>
            </w:r>
          </w:p>
          <w:p w14:paraId="169D6AB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1.抗干扰性：当产品部件出现供应风险时，供应商应通知采购人并提供风险应对方案确保产品的服务保障；</w:t>
            </w:r>
          </w:p>
          <w:p w14:paraId="07734BA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 供应能力证明：供应商承诺供应链稳定，确保产品的部件在产品服务周期内稳定供货；</w:t>
            </w:r>
          </w:p>
          <w:p w14:paraId="69C172E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★三十三、关键部件安全</w:t>
            </w:r>
          </w:p>
          <w:p w14:paraId="56ADD26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b/>
                <w:bCs/>
                <w:color w:val="auto"/>
                <w:sz w:val="24"/>
                <w:szCs w:val="24"/>
              </w:rPr>
            </w:pPr>
            <w:r>
              <w:rPr>
                <w:rFonts w:hint="eastAsia" w:ascii="仿宋_GB2312" w:hAnsi="仿宋_GB2312" w:eastAsia="仿宋_GB2312" w:cs="仿宋_GB2312"/>
                <w:color w:val="auto"/>
                <w:sz w:val="24"/>
                <w:szCs w:val="24"/>
              </w:rPr>
              <w:t>1.关键部件安全要求：CPU 和操作系统等关键部件应当符合安全可靠测评要求；</w:t>
            </w:r>
            <w:r>
              <w:rPr>
                <w:rFonts w:hint="eastAsia" w:ascii="仿宋_GB2312" w:hAnsi="仿宋_GB2312" w:eastAsia="仿宋_GB2312" w:cs="仿宋_GB2312"/>
                <w:b/>
                <w:bCs/>
                <w:color w:val="auto"/>
                <w:sz w:val="24"/>
                <w:szCs w:val="24"/>
              </w:rPr>
              <w:t>（通过政府有关部门指定的中国信息安全测评中心和国家保密科技测评中心网站查看安全可靠测评结果）；</w:t>
            </w:r>
          </w:p>
          <w:p w14:paraId="5FE6D8B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注：投标人在填写《技术响应表》时，在“投标文件响应技术参数”明确给出所投</w:t>
            </w:r>
            <w:r>
              <w:rPr>
                <w:rFonts w:hint="eastAsia" w:ascii="仿宋_GB2312" w:hAnsi="仿宋_GB2312" w:eastAsia="仿宋_GB2312" w:cs="仿宋_GB2312"/>
                <w:b/>
                <w:bCs/>
                <w:color w:val="auto"/>
                <w:sz w:val="24"/>
                <w:szCs w:val="24"/>
                <w:lang w:val="en-US" w:eastAsia="zh-CN"/>
              </w:rPr>
              <w:t>计算机</w:t>
            </w:r>
            <w:r>
              <w:rPr>
                <w:rFonts w:hint="eastAsia" w:ascii="仿宋_GB2312" w:hAnsi="仿宋_GB2312" w:eastAsia="仿宋_GB2312" w:cs="仿宋_GB2312"/>
                <w:b/>
                <w:bCs/>
                <w:color w:val="auto"/>
                <w:sz w:val="24"/>
                <w:szCs w:val="24"/>
              </w:rPr>
              <w:t>“CPU型号”及“操作系统”名称，否则视为投标无效。</w:t>
            </w:r>
          </w:p>
          <w:p w14:paraId="3334303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★三十四、整机安全性要求</w:t>
            </w:r>
          </w:p>
          <w:p w14:paraId="22065F4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1.密码算法实现：CPU 芯片应符合 GM/T 0008 的相关规定，或芯片密码模块应符合 GB/T 37092或 GM/T 0028 的相关规定；（通过商用密码检测机构检测并经商用密码认证机构认证合格）</w:t>
            </w:r>
          </w:p>
          <w:p w14:paraId="6EB9CDE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1300D37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3.固件安全启动：支持固件安全启动功能，固件启动过程中只有通过启动校验才能正常启动；</w:t>
            </w:r>
          </w:p>
          <w:p w14:paraId="5F23BB65">
            <w:pPr>
              <w:keepNext w:val="0"/>
              <w:keepLines w:val="0"/>
              <w:pageBreakBefore w:val="0"/>
              <w:widowControl/>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4.限用物质的限量要求：符合 GB/T 26572 中规定；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0174F1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78F8C5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CC05EC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6085E8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钢结构改造+包边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5DDB456">
            <w:pPr>
              <w:keepNext w:val="0"/>
              <w:keepLines w:val="0"/>
              <w:pageBreakBefore w:val="0"/>
              <w:numPr>
                <w:ilvl w:val="0"/>
                <w:numId w:val="0"/>
              </w:numPr>
              <w:kinsoku/>
              <w:overflowPunct/>
              <w:topLinePunct w:val="0"/>
              <w:autoSpaceDE/>
              <w:autoSpaceDN/>
              <w:bidi w:val="0"/>
              <w:snapToGrid w:val="0"/>
              <w:spacing w:line="400" w:lineRule="exact"/>
              <w:ind w:left="0" w:leftChars="0" w:firstLine="0" w:firstLineChars="0"/>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内部钢结构改造、铝塑板包边，防水处理。</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89C707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4B1539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A68DC1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E16A34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配电箱</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6B82A73">
            <w:pPr>
              <w:keepNext w:val="0"/>
              <w:keepLines w:val="0"/>
              <w:pageBreakBefore w:val="0"/>
              <w:numPr>
                <w:ilvl w:val="0"/>
                <w:numId w:val="0"/>
              </w:numPr>
              <w:kinsoku/>
              <w:overflowPunct/>
              <w:topLinePunct w:val="0"/>
              <w:autoSpaceDE/>
              <w:autoSpaceDN/>
              <w:bidi w:val="0"/>
              <w:snapToGrid w:val="0"/>
              <w:spacing w:line="400" w:lineRule="exact"/>
              <w:ind w:left="0" w:leftChars="0" w:firstLine="0" w:firstLineChars="0"/>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30KW，支持分步延时上电、远程设置、具有短路、过流、过压、过载、避雷、过温等保护特性。</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A120BD6">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1个</w:t>
            </w:r>
          </w:p>
        </w:tc>
      </w:tr>
      <w:tr w14:paraId="7C23B6D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609A23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06AF3C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制冷设备</w:t>
            </w:r>
            <w:r>
              <w:rPr>
                <w:rFonts w:hint="eastAsia" w:ascii="仿宋_GB2312" w:hAnsi="仿宋_GB2312" w:eastAsia="仿宋_GB2312" w:cs="仿宋_GB2312"/>
                <w:b/>
                <w:bCs/>
                <w:color w:val="auto"/>
                <w:sz w:val="24"/>
                <w:szCs w:val="24"/>
              </w:rPr>
              <w:t>（强制采购节能产品，详见采购需求说明第八点）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D93F51C">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1.变频壁挂空调</w:t>
            </w:r>
          </w:p>
          <w:p w14:paraId="1E1E8B35">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2.匹数：2匹</w:t>
            </w:r>
          </w:p>
          <w:p w14:paraId="39D891D2">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3.适用面积：22-30平方</w:t>
            </w:r>
          </w:p>
          <w:p w14:paraId="037EA69C">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4.能效等级：不低于3级</w:t>
            </w:r>
          </w:p>
          <w:p w14:paraId="56897E63">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5.能效比：3.2</w:t>
            </w:r>
          </w:p>
          <w:p w14:paraId="5F3F8077">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6.额定制冷量：5000W</w:t>
            </w:r>
          </w:p>
          <w:p w14:paraId="0263D34B">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7.工作制式：冷暖</w:t>
            </w:r>
          </w:p>
          <w:p w14:paraId="462BD0F1">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8.电源规格：200V/50HZ</w:t>
            </w:r>
          </w:p>
          <w:p w14:paraId="30798604">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9.最大输入功率：1500W</w:t>
            </w:r>
          </w:p>
          <w:p w14:paraId="455B3F59">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10.最大输入电流：12A</w:t>
            </w:r>
          </w:p>
          <w:p w14:paraId="0E7FB61A">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11.运行噪音室内不超过：45分贝</w:t>
            </w:r>
          </w:p>
          <w:p w14:paraId="1A6C0981">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12.运行噪音室外不超过：55分贝</w:t>
            </w:r>
          </w:p>
          <w:p w14:paraId="4A74CDF9">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13.循环风量不低于：900立方米/小时</w:t>
            </w:r>
          </w:p>
          <w:p w14:paraId="1DE23440">
            <w:pPr>
              <w:keepNext w:val="0"/>
              <w:keepLines w:val="0"/>
              <w:pageBreakBefore w:val="0"/>
              <w:widowControl w:val="0"/>
              <w:numPr>
                <w:ilvl w:val="0"/>
                <w:numId w:val="0"/>
              </w:numPr>
              <w:kinsoku/>
              <w:wordWrap/>
              <w:overflowPunct/>
              <w:topLinePunct w:val="0"/>
              <w:autoSpaceDE/>
              <w:autoSpaceDN/>
              <w:bidi w:val="0"/>
              <w:adjustRightInd/>
              <w:snapToGrid w:val="0"/>
              <w:spacing w:line="400" w:lineRule="exact"/>
              <w:ind w:left="0" w:leftChars="0" w:firstLine="0" w:firstLineChars="0"/>
              <w:jc w:val="both"/>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lang w:val="en-US" w:eastAsia="zh-CN"/>
              </w:rPr>
              <w:t>14.</w:t>
            </w:r>
            <w:r>
              <w:rPr>
                <w:rFonts w:hint="eastAsia" w:ascii="仿宋_GB2312" w:hAnsi="仿宋_GB2312" w:eastAsia="仿宋_GB2312" w:cs="仿宋_GB2312"/>
                <w:color w:val="auto"/>
                <w:sz w:val="24"/>
                <w:szCs w:val="24"/>
                <w:lang w:val="en-US" w:eastAsia="zh-CN"/>
              </w:rPr>
              <w:t>保修：≥5年</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674C9C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4849D0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00EA10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AE993A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网络跳线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9ACB896">
            <w:pPr>
              <w:keepNext w:val="0"/>
              <w:keepLines w:val="0"/>
              <w:pageBreakBefore w:val="0"/>
              <w:numPr>
                <w:ilvl w:val="0"/>
                <w:numId w:val="0"/>
              </w:numPr>
              <w:kinsoku/>
              <w:overflowPunct/>
              <w:topLinePunct w:val="0"/>
              <w:autoSpaceDE/>
              <w:autoSpaceDN/>
              <w:bidi w:val="0"/>
              <w:snapToGrid w:val="0"/>
              <w:spacing w:line="400" w:lineRule="exact"/>
              <w:ind w:left="0" w:leftChars="0" w:firstLine="0" w:firstLineChars="0"/>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RJ45超五类网络跳线（</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米）。</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4EE6063">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42条</w:t>
            </w:r>
          </w:p>
        </w:tc>
      </w:tr>
      <w:tr w14:paraId="4C5473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2AD1F1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9A1547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内部电源线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DF4520B">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lang w:val="en-US" w:eastAsia="zh-CN" w:bidi="ar-SA"/>
              </w:rPr>
              <w:t>1.</w:t>
            </w: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2.5</w:t>
            </w:r>
            <w:r>
              <w:rPr>
                <w:rFonts w:hint="eastAsia" w:ascii="仿宋_GB2312" w:hAnsi="仿宋_GB2312" w:eastAsia="仿宋_GB2312" w:cs="仿宋_GB2312"/>
                <w:color w:val="auto"/>
                <w:sz w:val="24"/>
                <w:szCs w:val="24"/>
                <w:highlight w:val="none"/>
              </w:rPr>
              <w:t>mm²，铜芯阻燃交联聚乙烯绝缘聚氯乙烯护套电力电缆</w:t>
            </w:r>
          </w:p>
          <w:p w14:paraId="0E9ABDC8">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2.</w:t>
            </w:r>
            <w:r>
              <w:rPr>
                <w:rFonts w:hint="eastAsia" w:ascii="仿宋_GB2312" w:hAnsi="仿宋_GB2312" w:eastAsia="仿宋_GB2312" w:cs="仿宋_GB2312"/>
                <w:color w:val="auto"/>
                <w:sz w:val="24"/>
                <w:szCs w:val="24"/>
                <w:highlight w:val="none"/>
              </w:rPr>
              <w:t>额定电压0.6/1KV</w:t>
            </w:r>
          </w:p>
          <w:p w14:paraId="1343FE7C">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3.</w:t>
            </w:r>
            <w:r>
              <w:rPr>
                <w:rFonts w:hint="eastAsia" w:ascii="仿宋_GB2312" w:hAnsi="仿宋_GB2312" w:eastAsia="仿宋_GB2312" w:cs="仿宋_GB2312"/>
                <w:color w:val="auto"/>
                <w:sz w:val="24"/>
                <w:szCs w:val="24"/>
                <w:highlight w:val="none"/>
              </w:rPr>
              <w:t>导体电阻≤1.15Ω/km</w:t>
            </w:r>
          </w:p>
          <w:p w14:paraId="2C76841B">
            <w:pPr>
              <w:keepNext w:val="0"/>
              <w:keepLines w:val="0"/>
              <w:pageBreakBefore w:val="0"/>
              <w:numPr>
                <w:ilvl w:val="0"/>
                <w:numId w:val="0"/>
              </w:numPr>
              <w:kinsoku/>
              <w:overflowPunct/>
              <w:topLinePunct w:val="0"/>
              <w:autoSpaceDE/>
              <w:autoSpaceDN/>
              <w:bidi w:val="0"/>
              <w:snapToGrid w:val="0"/>
              <w:spacing w:line="400" w:lineRule="exact"/>
              <w:ind w:left="0" w:leftChars="0" w:firstLine="0" w:firstLineChars="0"/>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4.</w:t>
            </w:r>
            <w:r>
              <w:rPr>
                <w:rFonts w:hint="eastAsia" w:ascii="仿宋_GB2312" w:hAnsi="仿宋_GB2312" w:eastAsia="仿宋_GB2312" w:cs="仿宋_GB2312"/>
                <w:color w:val="auto"/>
                <w:sz w:val="24"/>
                <w:szCs w:val="24"/>
                <w:highlight w:val="none"/>
              </w:rPr>
              <w:t>电压试验3500V/5min不击穿。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BEF066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110米</w:t>
            </w:r>
          </w:p>
        </w:tc>
      </w:tr>
      <w:tr w14:paraId="5ADEC6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8AA273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E87B5D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网线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1476F94">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1．六类非屏蔽双绞线，纯铜芯，传输无衰减，采用PVC环保外皮，包装长度305米；</w:t>
            </w:r>
          </w:p>
          <w:p w14:paraId="7AA706E2">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2．芯数: 4*2含十字骨架；导体直径：0.57±0.05mm；外护套材质：PVC；外径：6.3±0.2mm； PVC外护套符合国标相关规定。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8A6655E">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1箱</w:t>
            </w:r>
          </w:p>
        </w:tc>
      </w:tr>
      <w:tr w14:paraId="5B1D02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D496E7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3C3C50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辅助材料及施工等</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D92A4EA">
            <w:pPr>
              <w:keepNext w:val="0"/>
              <w:keepLines w:val="0"/>
              <w:pageBreakBefore w:val="0"/>
              <w:kinsoku/>
              <w:overflowPunct/>
              <w:topLinePunct w:val="0"/>
              <w:autoSpaceDE/>
              <w:autoSpaceDN/>
              <w:bidi w:val="0"/>
              <w:snapToGrid w:val="0"/>
              <w:spacing w:line="400" w:lineRule="exac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含布线施工及设计，安装调试及培训、辅材等。按柳州市教育系统工程施工规范要求实施。</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DAA0CB7">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10E69E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7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152BF492">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bCs/>
                <w:color w:val="auto"/>
                <w:kern w:val="0"/>
                <w:sz w:val="24"/>
                <w:lang w:val="en-US" w:eastAsia="zh-CN" w:bidi="ar"/>
              </w:rPr>
              <w:t>（四）市十五中旧屏改造</w:t>
            </w:r>
          </w:p>
        </w:tc>
      </w:tr>
      <w:tr w14:paraId="17A1682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5FEB29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C53389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室</w:t>
            </w:r>
            <w:r>
              <w:rPr>
                <w:rFonts w:hint="eastAsia" w:ascii="仿宋_GB2312" w:hAnsi="仿宋_GB2312" w:eastAsia="仿宋_GB2312" w:cs="仿宋_GB2312"/>
                <w:b w:val="0"/>
                <w:bCs w:val="0"/>
                <w:color w:val="auto"/>
                <w:sz w:val="24"/>
                <w:szCs w:val="24"/>
                <w:lang w:val="en-US" w:eastAsia="zh-CN"/>
              </w:rPr>
              <w:t>外</w:t>
            </w:r>
            <w:r>
              <w:rPr>
                <w:rFonts w:hint="eastAsia" w:ascii="仿宋_GB2312" w:hAnsi="仿宋_GB2312" w:eastAsia="仿宋_GB2312" w:cs="仿宋_GB2312"/>
                <w:b w:val="0"/>
                <w:bCs w:val="0"/>
                <w:color w:val="auto"/>
                <w:sz w:val="24"/>
                <w:szCs w:val="24"/>
              </w:rPr>
              <w:t>全彩屏</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35944145">
            <w:pPr>
              <w:keepNext w:val="0"/>
              <w:keepLines w:val="0"/>
              <w:pageBreakBefore w:val="0"/>
              <w:widowControl w:val="0"/>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w:t>
            </w:r>
            <w:r>
              <w:rPr>
                <w:rFonts w:hint="eastAsia" w:ascii="仿宋_GB2312" w:hAnsi="仿宋_GB2312" w:eastAsia="仿宋_GB2312" w:cs="仿宋_GB2312"/>
                <w:color w:val="auto"/>
                <w:sz w:val="24"/>
                <w:szCs w:val="24"/>
              </w:rPr>
              <w:t>屏体面积</w:t>
            </w:r>
            <w:r>
              <w:rPr>
                <w:rFonts w:hint="eastAsia" w:ascii="仿宋_GB2312" w:hAnsi="仿宋_GB2312" w:eastAsia="仿宋_GB2312" w:cs="仿宋_GB2312"/>
                <w:color w:val="auto"/>
                <w:sz w:val="24"/>
                <w:szCs w:val="24"/>
                <w:lang w:val="en-US" w:eastAsia="zh-CN"/>
              </w:rPr>
              <w:t>尺寸：长6.4米*高3.2米</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20.48平方米，</w:t>
            </w:r>
            <w:r>
              <w:rPr>
                <w:rFonts w:hint="eastAsia" w:ascii="仿宋_GB2312" w:hAnsi="仿宋_GB2312" w:eastAsia="仿宋_GB2312" w:cs="仿宋_GB2312"/>
                <w:color w:val="auto"/>
                <w:kern w:val="0"/>
                <w:sz w:val="24"/>
                <w:szCs w:val="24"/>
                <w:highlight w:val="none"/>
                <w:lang w:val="en-US" w:eastAsia="zh-CN"/>
              </w:rPr>
              <w:t>像素点间距：≤4mm，模组尺寸：320mm*160mm，像素密度：≥62500Dots/㎡，亮度：≥4500cd/㎡；</w:t>
            </w:r>
          </w:p>
          <w:p w14:paraId="0535BB9F">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2.失真效果检测：显示画面无几何畸变、扭曲、比例失调情况，无亮度、色温非线性失真；</w:t>
            </w:r>
            <w:r>
              <w:rPr>
                <w:rFonts w:hint="eastAsia" w:ascii="仿宋_GB2312" w:hAnsi="仿宋_GB2312" w:eastAsia="仿宋_GB2312" w:cs="仿宋_GB2312"/>
                <w:color w:val="auto"/>
                <w:kern w:val="0"/>
                <w:sz w:val="24"/>
                <w:szCs w:val="24"/>
                <w:highlight w:val="none"/>
                <w:lang w:val="en-US" w:eastAsia="zh-CN"/>
              </w:rPr>
              <w:br w:type="textWrapping"/>
            </w:r>
            <w:r>
              <w:rPr>
                <w:rFonts w:hint="eastAsia" w:ascii="仿宋_GB2312" w:hAnsi="仿宋_GB2312" w:eastAsia="仿宋_GB2312" w:cs="仿宋_GB2312"/>
                <w:color w:val="auto"/>
                <w:kern w:val="0"/>
                <w:sz w:val="24"/>
                <w:szCs w:val="24"/>
                <w:highlight w:val="none"/>
                <w:lang w:val="en-US" w:eastAsia="zh-CN"/>
              </w:rPr>
              <w:t>3.支持图像锐化功能，支持补偿图像边缘及灰度跳变；</w:t>
            </w:r>
          </w:p>
          <w:p w14:paraId="6D63302B">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4.在1×10</w:t>
            </w:r>
            <w:r>
              <w:rPr>
                <w:rFonts w:hint="eastAsia" w:ascii="仿宋_GB2312" w:hAnsi="仿宋_GB2312" w:eastAsia="仿宋_GB2312" w:cs="仿宋_GB2312"/>
                <w:color w:val="auto"/>
                <w:kern w:val="0"/>
                <w:sz w:val="24"/>
                <w:szCs w:val="24"/>
                <w:highlight w:val="none"/>
                <w:vertAlign w:val="superscript"/>
                <w:lang w:val="en-US" w:eastAsia="zh-CN"/>
              </w:rPr>
              <w:t>5</w:t>
            </w:r>
            <w:r>
              <w:rPr>
                <w:rFonts w:hint="eastAsia" w:ascii="仿宋_GB2312" w:hAnsi="仿宋_GB2312" w:eastAsia="仿宋_GB2312" w:cs="仿宋_GB2312"/>
                <w:color w:val="auto"/>
                <w:kern w:val="0"/>
                <w:sz w:val="24"/>
                <w:szCs w:val="24"/>
                <w:highlight w:val="none"/>
                <w:lang w:val="en-US" w:eastAsia="zh-CN"/>
              </w:rPr>
              <w:t>～1×10</w:t>
            </w:r>
            <w:r>
              <w:rPr>
                <w:rFonts w:hint="eastAsia" w:ascii="仿宋_GB2312" w:hAnsi="仿宋_GB2312" w:eastAsia="仿宋_GB2312" w:cs="仿宋_GB2312"/>
                <w:color w:val="auto"/>
                <w:kern w:val="0"/>
                <w:sz w:val="24"/>
                <w:szCs w:val="24"/>
                <w:highlight w:val="none"/>
                <w:vertAlign w:val="superscript"/>
                <w:lang w:val="en-US" w:eastAsia="zh-CN"/>
              </w:rPr>
              <w:t>9</w:t>
            </w:r>
            <w:r>
              <w:rPr>
                <w:rFonts w:hint="eastAsia" w:ascii="仿宋_GB2312" w:hAnsi="仿宋_GB2312" w:eastAsia="仿宋_GB2312" w:cs="仿宋_GB2312"/>
                <w:color w:val="auto"/>
                <w:kern w:val="0"/>
                <w:sz w:val="24"/>
                <w:szCs w:val="24"/>
                <w:highlight w:val="none"/>
                <w:lang w:val="en-US" w:eastAsia="zh-CN"/>
              </w:rPr>
              <w:t>Ω技术要求下满足点对点电阻（A面）≤2.69×10</w:t>
            </w:r>
            <w:r>
              <w:rPr>
                <w:rFonts w:hint="eastAsia" w:ascii="仿宋_GB2312" w:hAnsi="仿宋_GB2312" w:eastAsia="仿宋_GB2312" w:cs="仿宋_GB2312"/>
                <w:color w:val="auto"/>
                <w:kern w:val="0"/>
                <w:sz w:val="24"/>
                <w:szCs w:val="24"/>
                <w:highlight w:val="none"/>
                <w:vertAlign w:val="superscript"/>
                <w:lang w:val="en-US" w:eastAsia="zh-CN"/>
              </w:rPr>
              <w:t>8</w:t>
            </w:r>
            <w:r>
              <w:rPr>
                <w:rFonts w:hint="eastAsia" w:ascii="仿宋_GB2312" w:hAnsi="仿宋_GB2312" w:eastAsia="仿宋_GB2312" w:cs="仿宋_GB2312"/>
                <w:color w:val="auto"/>
                <w:kern w:val="0"/>
                <w:sz w:val="24"/>
                <w:szCs w:val="24"/>
                <w:highlight w:val="none"/>
                <w:lang w:val="en-US" w:eastAsia="zh-CN"/>
              </w:rPr>
              <w:t>；点对点电阻（B面）≤2.35×10</w:t>
            </w:r>
            <w:r>
              <w:rPr>
                <w:rFonts w:hint="eastAsia" w:ascii="仿宋_GB2312" w:hAnsi="仿宋_GB2312" w:eastAsia="仿宋_GB2312" w:cs="仿宋_GB2312"/>
                <w:color w:val="auto"/>
                <w:kern w:val="0"/>
                <w:sz w:val="24"/>
                <w:szCs w:val="24"/>
                <w:highlight w:val="none"/>
                <w:vertAlign w:val="superscript"/>
                <w:lang w:val="en-US" w:eastAsia="zh-CN"/>
              </w:rPr>
              <w:t>8</w:t>
            </w:r>
            <w:r>
              <w:rPr>
                <w:rFonts w:hint="eastAsia" w:ascii="仿宋_GB2312" w:hAnsi="仿宋_GB2312" w:eastAsia="仿宋_GB2312" w:cs="仿宋_GB2312"/>
                <w:color w:val="auto"/>
                <w:kern w:val="0"/>
                <w:sz w:val="24"/>
                <w:szCs w:val="24"/>
                <w:highlight w:val="none"/>
                <w:lang w:val="en-US" w:eastAsia="zh-CN"/>
              </w:rPr>
              <w:t>；</w:t>
            </w:r>
          </w:p>
          <w:p w14:paraId="552F97BE">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5.支持通过实时智能分析算法，识别高亮画面，自动调整高亮亮度，解决刺眼问题，提高人眼观看舒适度，并实现功耗降低≥20％；</w:t>
            </w:r>
          </w:p>
          <w:p w14:paraId="709EC9CC">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6.模组可触及表面的温度，以及金属零部件温度，热能量源分级符合TS1级；</w:t>
            </w:r>
          </w:p>
          <w:p w14:paraId="29543AC7">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7.灰度处理能力：红、绿、蓝各16384级，支持色彩和亮度自动调整，对色彩及亮度自动调整，保持色彩亮度一致性；</w:t>
            </w:r>
          </w:p>
          <w:p w14:paraId="5F54B920">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8.最大亮度白色连续工作2小时，表面温升小于15℃,符合GB 4943.1-2022要求；</w:t>
            </w:r>
          </w:p>
          <w:p w14:paraId="2A0CFB87">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9.在单一故障条件下，显示屏无起火和电击的危险发生；</w:t>
            </w:r>
          </w:p>
          <w:p w14:paraId="03258F98">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10.具有智能的白平衡补偿和修正功能；</w:t>
            </w:r>
          </w:p>
          <w:p w14:paraId="437B0179">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11.可抵抗太阳光等强光干扰，照度在95KLux能正常观看；</w:t>
            </w:r>
          </w:p>
          <w:p w14:paraId="4D7093C7">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12.支持无信号输入自动熄屏待机，有信号时输入自动唤醒屏体；</w:t>
            </w:r>
          </w:p>
          <w:p w14:paraId="5E988C5B">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13.红、绿、蓝色坐标偏差绝对值＜0.1；</w:t>
            </w:r>
          </w:p>
          <w:p w14:paraId="6EC1F292">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14.在1/2亮度值（2500cd/㎡）时，左右水平视角各位≥82.5°，上下垂直视角各位≥82.5°；</w:t>
            </w:r>
          </w:p>
          <w:p w14:paraId="32642D95">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15.一体化驱动控制，同时具有独特的消隐、节能处理、EMC处理、智能模组存储处理功能电路；</w:t>
            </w:r>
          </w:p>
          <w:p w14:paraId="06E4587B">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16.具有白场亮色度补偿技术，能够快速准确地对当前LED显示屏亮色度进行补偿，使显示屏白场亮色度达到目标状态；</w:t>
            </w:r>
          </w:p>
          <w:p w14:paraId="5310C055">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17.通过大面积色彩还原测试，主观评价优，检测结果评分：5分；</w:t>
            </w:r>
          </w:p>
          <w:p w14:paraId="2C826021">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18.表面应力≥110MPa；</w:t>
            </w:r>
          </w:p>
          <w:p w14:paraId="252E3864">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19.散热系数：≤200（W/m·K）；</w:t>
            </w:r>
          </w:p>
          <w:p w14:paraId="4AEF68CA">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jc w:val="left"/>
              <w:textAlignment w:val="auto"/>
              <w:rPr>
                <w:rFonts w:hint="eastAsia" w:ascii="仿宋_GB2312" w:hAnsi="仿宋_GB2312" w:eastAsia="仿宋_GB2312" w:cs="仿宋_GB2312"/>
                <w:color w:val="auto"/>
                <w:kern w:val="0"/>
                <w:sz w:val="24"/>
                <w:szCs w:val="24"/>
                <w:highlight w:val="none"/>
                <w:lang w:val="en-US" w:eastAsia="zh-CN"/>
              </w:rPr>
            </w:pPr>
            <w:r>
              <w:rPr>
                <w:rFonts w:hint="eastAsia" w:ascii="仿宋_GB2312" w:hAnsi="仿宋_GB2312" w:eastAsia="仿宋_GB2312" w:cs="仿宋_GB2312"/>
                <w:color w:val="auto"/>
                <w:kern w:val="0"/>
                <w:sz w:val="24"/>
                <w:szCs w:val="24"/>
                <w:highlight w:val="none"/>
                <w:lang w:val="en-US" w:eastAsia="zh-CN"/>
              </w:rPr>
              <w:t>20.LED显示单元具备一键色彩调整功能，配合独有的色彩调校传感器和核心算法可实现快速调整屏幕色差；</w:t>
            </w:r>
          </w:p>
          <w:p w14:paraId="7086C7F0">
            <w:pPr>
              <w:pStyle w:val="2"/>
              <w:keepNext w:val="0"/>
              <w:keepLines w:val="0"/>
              <w:pageBreakBefore w:val="0"/>
              <w:widowControl w:val="0"/>
              <w:numPr>
                <w:ilvl w:val="0"/>
                <w:numId w:val="0"/>
              </w:numPr>
              <w:kinsoku/>
              <w:wordWrap w:val="0"/>
              <w:overflowPunct/>
              <w:topLinePunct w:val="0"/>
              <w:autoSpaceDE/>
              <w:autoSpaceDN/>
              <w:bidi w:val="0"/>
              <w:adjustRightInd w:val="0"/>
              <w:snapToGrid w:val="0"/>
              <w:spacing w:after="0" w:line="400" w:lineRule="exact"/>
              <w:ind w:left="0" w:leftChars="0" w:firstLine="0" w:firstLineChars="0"/>
              <w:jc w:val="left"/>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kern w:val="0"/>
                <w:sz w:val="24"/>
                <w:szCs w:val="24"/>
                <w:highlight w:val="none"/>
                <w:lang w:val="en-US" w:eastAsia="zh-CN"/>
              </w:rPr>
              <w:t>21.具有信号加密传输功能，支持控制器与屏体之间信号加密传输，防止网络恶意入侵。</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93627D1">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20.48㎡</w:t>
            </w:r>
          </w:p>
        </w:tc>
      </w:tr>
      <w:tr w14:paraId="3A4E12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840925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29ABDE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LED备用模组</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F3D048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1.模组尺寸：320mm*160mm，与主LED屏同批次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557D0A8">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6张</w:t>
            </w:r>
          </w:p>
        </w:tc>
      </w:tr>
      <w:tr w14:paraId="69F964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DF315E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17E97C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简易防水箱体</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D281926">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定制箱体尺寸</w:t>
            </w:r>
          </w:p>
          <w:p w14:paraId="31551951">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2.</w:t>
            </w:r>
            <w:r>
              <w:rPr>
                <w:rFonts w:hint="eastAsia" w:ascii="仿宋_GB2312" w:hAnsi="仿宋_GB2312" w:eastAsia="仿宋_GB2312" w:cs="仿宋_GB2312"/>
                <w:color w:val="auto"/>
                <w:sz w:val="24"/>
                <w:szCs w:val="24"/>
              </w:rPr>
              <w:t>板材：冷轧钢板</w:t>
            </w:r>
          </w:p>
          <w:p w14:paraId="65F2BCD5">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3.</w:t>
            </w:r>
            <w:r>
              <w:rPr>
                <w:rFonts w:hint="eastAsia" w:ascii="仿宋_GB2312" w:hAnsi="仿宋_GB2312" w:eastAsia="仿宋_GB2312" w:cs="仿宋_GB2312"/>
                <w:color w:val="auto"/>
                <w:sz w:val="24"/>
                <w:szCs w:val="24"/>
              </w:rPr>
              <w:t>颜色：黑色</w:t>
            </w:r>
          </w:p>
          <w:p w14:paraId="0E27BEB2">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配件：电源板、卡托、连接件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B199AF8">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20.48㎡</w:t>
            </w:r>
          </w:p>
        </w:tc>
      </w:tr>
      <w:tr w14:paraId="2E8B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3BB673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2CA9E8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LED电源</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E3DD266">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1.输入电压：200-240Vac,40-63Hz</w:t>
            </w:r>
          </w:p>
          <w:p w14:paraId="50A18B08">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2.输出电流：40A/输出电压：5V</w:t>
            </w:r>
          </w:p>
          <w:p w14:paraId="026AD24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3.泄漏电流：&lt;1ma（Vin：230）</w:t>
            </w:r>
          </w:p>
          <w:p w14:paraId="0B86D6E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4.保护功能：输入欠压；过载保护；短路保护</w:t>
            </w:r>
          </w:p>
          <w:p w14:paraId="014ABC8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5.工作温度：-30~50℃/储存温度：-40~80℃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6E2588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118台</w:t>
            </w:r>
          </w:p>
        </w:tc>
      </w:tr>
      <w:tr w14:paraId="745C8EE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7A7E4D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2EA80A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接收卡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E1B2731">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1.单卡最大带载 512×512像素，最多支持 32 组RGB 并行数据；</w:t>
            </w:r>
          </w:p>
          <w:p w14:paraId="6924AE12">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2.采用 16个标准HUB75接口，具有高稳定性和高可靠性，适用于多种环境的搭建；</w:t>
            </w:r>
          </w:p>
          <w:p w14:paraId="2DC38E6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3.支持逐点亮度校正，可以对每个灯点的亮度进行校正，使整屏的亮度达到高度均匀一致，提高显示屏的画质</w:t>
            </w:r>
          </w:p>
          <w:p w14:paraId="71E3342B">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4.快速亮暗线调节在调试软件上进行快速亮暗线调节，快速解决因箱体及模组拼接造成的显示屏亮暗线，调节过程中即时生效，简单易用。</w:t>
            </w:r>
          </w:p>
          <w:p w14:paraId="4D805CD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5.配合支持 3D 功能的独立主控，在软件或独立主控的操作面板上开启 3D 功能，并设置 3D 参数，使画面显示 3D 效果。</w:t>
            </w:r>
          </w:p>
          <w:p w14:paraId="679C66D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6.支持Mapping功能开启，每个箱体上会显示数字，清楚告诉您当前箱体是哪个网口下的哪张接收卡，直观的看到显示屏连接状况。</w:t>
            </w:r>
          </w:p>
          <w:p w14:paraId="590EE47D">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7.可以将指定图片设置为显示屏的开机、网线断开或无视频源信号时的画面或者最后一帧画面</w:t>
            </w:r>
          </w:p>
          <w:p w14:paraId="1A9F468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8.可以监测自身的温度和电压，无需其他外设，在软件上可以查看接收卡的温度和电压，检测发送设备与接收卡间或接收卡与接收卡间的网络通讯质量，记录错误包数，协助排除网络通讯隐患，</w:t>
            </w:r>
          </w:p>
          <w:p w14:paraId="4F70869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9.支持5pin 液晶模块，用于显示接收卡的温度、电压、单次运行时间和总运行时间。支持千兆网，可通过网线直接连接PC端进行调试和显示，无需发送卡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47BCF29">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30张</w:t>
            </w:r>
          </w:p>
        </w:tc>
      </w:tr>
      <w:tr w14:paraId="52847D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2807E8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B078EE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视频处理器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3457355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支持多路输入接口：包括但不限于1 路 DVI，1 路 HDMI，1 路 VGA，1 路 USB ，1 路 CVBS，以适用各种前端输入信号；</w:t>
            </w:r>
          </w:p>
          <w:p w14:paraId="43128EB2">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发送卡和视频处理器二合一，减少系统连线，有效提升系统的稳定性及兼容性；</w:t>
            </w:r>
          </w:p>
          <w:p w14:paraId="16D5892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支持插入U盘播放，最大支持1920x1080@60Hz视频输入；</w:t>
            </w:r>
          </w:p>
          <w:p w14:paraId="50B40BB2">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设备前面板配备直观的 LCD 显示界面，可实时显示型号、ip地址、窗口及信号源的分辨率、网口的状态、屏幕大小及帧频、USB 连接或网线连接状态和屏体亮度等信息；</w:t>
            </w:r>
          </w:p>
          <w:p w14:paraId="73D4E77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支持配合多功能卡，实现对屏体电源的手动控制，自动控制，以及软件控制</w:t>
            </w:r>
          </w:p>
          <w:p w14:paraId="6A5CA7F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支持 DVI、HDMI 的输入分辨率自定义调节。</w:t>
            </w:r>
          </w:p>
          <w:p w14:paraId="06466E3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支持逐点亮度校正，可以对每个灯点的亮度和色度进行采集校正，有效消除色差，使整屏的亮度和色度达到高度均匀一致，提高显示屏的画质。</w:t>
            </w:r>
          </w:p>
          <w:p w14:paraId="6524EFC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支持通过设备旋转按钮实现快捷配屏和高级配屏功能点亮屏体；</w:t>
            </w:r>
          </w:p>
          <w:p w14:paraId="31FD31F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支持不少于 4个千兆网口输出，最大带载可达260万像素。</w:t>
            </w:r>
          </w:p>
          <w:p w14:paraId="7F03BAA2">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支持创建不少于6个用户场景作为模板保存，方便快速调用。</w:t>
            </w:r>
          </w:p>
          <w:p w14:paraId="4DC4E6AC">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eastAsia="zh-CN"/>
              </w:rPr>
              <w:t>11.</w:t>
            </w:r>
            <w:r>
              <w:rPr>
                <w:rFonts w:hint="eastAsia" w:ascii="仿宋_GB2312" w:hAnsi="仿宋_GB2312" w:eastAsia="仿宋_GB2312" w:cs="仿宋_GB2312"/>
                <w:color w:val="auto"/>
                <w:sz w:val="24"/>
                <w:szCs w:val="24"/>
              </w:rPr>
              <w:t>支持通过中控设备进行统一控制。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3766D4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3DEB59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ED9CAB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665B95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多功能卡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3E86238">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使用 RS232 串口或千兆网口通信；</w:t>
            </w:r>
          </w:p>
          <w:p w14:paraId="5F295927">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支持用网口级联在接收卡之间或最后；</w:t>
            </w:r>
          </w:p>
          <w:p w14:paraId="0AFE71D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具有定时功能，可以替代定时器和延时器；</w:t>
            </w:r>
          </w:p>
          <w:p w14:paraId="10595E5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支持板载温度检测；</w:t>
            </w:r>
          </w:p>
          <w:p w14:paraId="30033DA7">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支持板载湿度检测；</w:t>
            </w:r>
          </w:p>
          <w:p w14:paraId="5040BF9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支持音频输出；</w:t>
            </w:r>
          </w:p>
          <w:p w14:paraId="100C1F8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支持接 4 路光探头实现自动亮度调节；</w:t>
            </w:r>
          </w:p>
          <w:p w14:paraId="6D9BAE9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支持外接温湿度模块、烟雾模块、噪声、空气质量、亮度传感器；</w:t>
            </w:r>
          </w:p>
          <w:p w14:paraId="461ACDD2">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支持8路电源开关控制。</w:t>
            </w:r>
          </w:p>
          <w:p w14:paraId="5D33C788">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具有定时功能，可以替代定时器和延时器。</w:t>
            </w:r>
          </w:p>
          <w:p w14:paraId="2A3561FC">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eastAsia="zh-CN"/>
              </w:rPr>
              <w:t>11.</w:t>
            </w:r>
            <w:r>
              <w:rPr>
                <w:rFonts w:hint="eastAsia" w:ascii="仿宋_GB2312" w:hAnsi="仿宋_GB2312" w:eastAsia="仿宋_GB2312" w:cs="仿宋_GB2312"/>
                <w:color w:val="auto"/>
                <w:sz w:val="24"/>
                <w:szCs w:val="24"/>
              </w:rPr>
              <w:t>支持多卡级联统一控制。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E37925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34D7BB6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FA1325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B3480F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显示屏框架</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2AA697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1.框体尺寸：</w:t>
            </w:r>
            <w:r>
              <w:rPr>
                <w:rFonts w:hint="eastAsia" w:ascii="仿宋_GB2312" w:hAnsi="仿宋_GB2312" w:eastAsia="仿宋_GB2312" w:cs="仿宋_GB2312"/>
                <w:color w:val="auto"/>
                <w:sz w:val="24"/>
                <w:szCs w:val="24"/>
                <w:lang w:val="en-US" w:eastAsia="zh-CN"/>
              </w:rPr>
              <w:t>6500</w:t>
            </w:r>
            <w:r>
              <w:rPr>
                <w:rFonts w:hint="eastAsia" w:ascii="仿宋_GB2312" w:hAnsi="仿宋_GB2312" w:eastAsia="仿宋_GB2312" w:cs="仿宋_GB2312"/>
                <w:color w:val="auto"/>
                <w:sz w:val="24"/>
                <w:szCs w:val="24"/>
              </w:rPr>
              <w:t>mm*</w:t>
            </w:r>
            <w:r>
              <w:rPr>
                <w:rFonts w:hint="eastAsia" w:ascii="仿宋_GB2312" w:hAnsi="仿宋_GB2312" w:eastAsia="仿宋_GB2312" w:cs="仿宋_GB2312"/>
                <w:color w:val="auto"/>
                <w:sz w:val="24"/>
                <w:szCs w:val="24"/>
                <w:lang w:val="en-US" w:eastAsia="zh-CN"/>
              </w:rPr>
              <w:t>3460</w:t>
            </w:r>
            <w:r>
              <w:rPr>
                <w:rFonts w:hint="eastAsia" w:ascii="仿宋_GB2312" w:hAnsi="仿宋_GB2312" w:eastAsia="仿宋_GB2312" w:cs="仿宋_GB2312"/>
                <w:color w:val="auto"/>
                <w:sz w:val="24"/>
                <w:szCs w:val="24"/>
              </w:rPr>
              <w:t>mm，贴墙壁挂安装;</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2,含钢结构、定制包边。采用专用钢结构支架；</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3.按照国家钢结构设计规范，满足屏体安全承载需求制；</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lang w:eastAsia="zh-CN"/>
              </w:rPr>
              <w:t>显示屏采用支撑钢结构材料。</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A2E69F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22.49</w:t>
            </w:r>
            <w:r>
              <w:rPr>
                <w:rFonts w:hint="eastAsia" w:ascii="宋体" w:hAnsi="宋体" w:eastAsia="宋体" w:cs="宋体"/>
                <w:b w:val="0"/>
                <w:bCs w:val="0"/>
                <w:color w:val="auto"/>
                <w:kern w:val="0"/>
                <w:sz w:val="24"/>
                <w:lang w:val="en-US" w:eastAsia="zh-CN" w:bidi="ar"/>
              </w:rPr>
              <w:t>㎡</w:t>
            </w:r>
          </w:p>
        </w:tc>
      </w:tr>
      <w:tr w14:paraId="746F7EF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27340B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D0E907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配电箱</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82D07DC">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30KW，支持分步延时上电、远程设置、具有短路、过流、过压、过载、避雷、过温等保护特性。</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687A813">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1个</w:t>
            </w:r>
          </w:p>
        </w:tc>
      </w:tr>
      <w:tr w14:paraId="594512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4F0ACD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C2C38D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leftChars="0" w:right="0" w:rightChars="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制冷设备</w:t>
            </w:r>
            <w:r>
              <w:rPr>
                <w:rFonts w:hint="eastAsia" w:ascii="仿宋_GB2312" w:hAnsi="仿宋_GB2312" w:eastAsia="仿宋_GB2312" w:cs="仿宋_GB2312"/>
                <w:b/>
                <w:bCs/>
                <w:color w:val="auto"/>
                <w:sz w:val="24"/>
                <w:szCs w:val="24"/>
              </w:rPr>
              <w:t>（强制采购节能产品，详见采购需求说明第八点）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269760A">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1.变频壁挂空调</w:t>
            </w:r>
          </w:p>
          <w:p w14:paraId="480DB030">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2.匹数：2匹</w:t>
            </w:r>
          </w:p>
          <w:p w14:paraId="0A4CFCA6">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3.适用面积：22-30平方</w:t>
            </w:r>
          </w:p>
          <w:p w14:paraId="384D4164">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4.能效等级：不低于3级</w:t>
            </w:r>
          </w:p>
          <w:p w14:paraId="5906D3B1">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5.能效比：3.2</w:t>
            </w:r>
          </w:p>
          <w:p w14:paraId="6D0F47F0">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6.额定制冷量：5000W</w:t>
            </w:r>
          </w:p>
          <w:p w14:paraId="68A025EB">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7.工作制式：冷暖</w:t>
            </w:r>
          </w:p>
          <w:p w14:paraId="406A1D5A">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8.电源规格：200V/50HZ</w:t>
            </w:r>
          </w:p>
          <w:p w14:paraId="0A653D29">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9.最大输入功率：1500W</w:t>
            </w:r>
          </w:p>
          <w:p w14:paraId="38FE90E4">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10.最大输入电流：12A</w:t>
            </w:r>
          </w:p>
          <w:p w14:paraId="63224C28">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11.运行噪音室内不超过：45分贝</w:t>
            </w:r>
          </w:p>
          <w:p w14:paraId="7CB3DC84">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12.运行噪音室外不超过：55分贝</w:t>
            </w:r>
          </w:p>
          <w:p w14:paraId="570B54EA">
            <w:pPr>
              <w:pStyle w:val="39"/>
              <w:keepNext w:val="0"/>
              <w:keepLines w:val="0"/>
              <w:pageBreakBefore w:val="0"/>
              <w:widowControl w:val="0"/>
              <w:numPr>
                <w:ilvl w:val="0"/>
                <w:numId w:val="0"/>
              </w:numPr>
              <w:kinsoku/>
              <w:wordWrap/>
              <w:overflowPunct/>
              <w:topLinePunct w:val="0"/>
              <w:autoSpaceDE/>
              <w:autoSpaceDN/>
              <w:bidi w:val="0"/>
              <w:adjustRightInd/>
              <w:snapToGrid w:val="0"/>
              <w:spacing w:after="0" w:line="400" w:lineRule="exact"/>
              <w:textAlignment w:val="auto"/>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13.循环风量不低于：900立方米/小时</w:t>
            </w:r>
          </w:p>
          <w:p w14:paraId="31C737BE">
            <w:pPr>
              <w:keepNext w:val="0"/>
              <w:keepLines w:val="0"/>
              <w:pageBreakBefore w:val="0"/>
              <w:widowControl w:val="0"/>
              <w:kinsoku/>
              <w:wordWrap/>
              <w:overflowPunct/>
              <w:topLinePunct w:val="0"/>
              <w:autoSpaceDE/>
              <w:autoSpaceDN/>
              <w:bidi w:val="0"/>
              <w:adjustRightInd/>
              <w:snapToGrid w:val="0"/>
              <w:spacing w:line="400" w:lineRule="exact"/>
              <w:jc w:val="both"/>
              <w:textAlignment w:val="auto"/>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14.保修：≥5年</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8E7C99E">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leftChars="0" w:right="0" w:rightChars="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4A9EFA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16062D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9B11DF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leftChars="0" w:right="0" w:rightChars="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lang w:val="en-US" w:eastAsia="zh-CN"/>
              </w:rPr>
              <w:t>主电线缆</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525AFD6">
            <w:pPr>
              <w:keepNext w:val="0"/>
              <w:keepLines w:val="0"/>
              <w:pageBreakBefore w:val="0"/>
              <w:numPr>
                <w:ilvl w:val="0"/>
                <w:numId w:val="0"/>
              </w:numPr>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2"/>
                <w:sz w:val="24"/>
                <w:szCs w:val="24"/>
                <w:lang w:val="en-US" w:eastAsia="zh-CN" w:bidi="ar-SA"/>
              </w:rPr>
              <w:t>1.</w:t>
            </w:r>
            <w:r>
              <w:rPr>
                <w:rFonts w:hint="eastAsia" w:ascii="仿宋_GB2312" w:hAnsi="仿宋_GB2312" w:eastAsia="仿宋_GB2312" w:cs="仿宋_GB2312"/>
                <w:color w:val="auto"/>
                <w:sz w:val="24"/>
                <w:szCs w:val="24"/>
              </w:rPr>
              <w:t>YJV</w:t>
            </w:r>
            <w:r>
              <w:rPr>
                <w:rFonts w:hint="eastAsia" w:ascii="仿宋_GB2312" w:hAnsi="仿宋_GB2312" w:eastAsia="仿宋_GB2312" w:cs="仿宋_GB2312"/>
                <w:color w:val="auto"/>
                <w:sz w:val="24"/>
                <w:szCs w:val="24"/>
                <w:lang w:val="en-US" w:eastAsia="zh-CN"/>
              </w:rPr>
              <w:t>3x10+2x6</w:t>
            </w:r>
            <w:r>
              <w:rPr>
                <w:rFonts w:hint="eastAsia" w:ascii="仿宋_GB2312" w:hAnsi="仿宋_GB2312" w:eastAsia="仿宋_GB2312" w:cs="仿宋_GB2312"/>
                <w:color w:val="auto"/>
                <w:sz w:val="24"/>
                <w:szCs w:val="24"/>
              </w:rPr>
              <w:t>mm²，铜芯阻燃交联聚乙烯绝缘聚氯乙烯护套电力电缆，</w:t>
            </w:r>
          </w:p>
          <w:p w14:paraId="7DDE4437">
            <w:pPr>
              <w:keepNext w:val="0"/>
              <w:keepLines w:val="0"/>
              <w:pageBreakBefore w:val="0"/>
              <w:numPr>
                <w:ilvl w:val="0"/>
                <w:numId w:val="0"/>
              </w:numPr>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b w:val="0"/>
                <w:bCs w:val="0"/>
                <w:color w:val="auto"/>
                <w:kern w:val="2"/>
                <w:sz w:val="24"/>
                <w:szCs w:val="24"/>
                <w:lang w:val="en-US" w:eastAsia="zh-CN" w:bidi="ar-SA"/>
              </w:rPr>
              <w:t>2.</w:t>
            </w:r>
            <w:r>
              <w:rPr>
                <w:rFonts w:hint="eastAsia" w:ascii="仿宋_GB2312" w:hAnsi="仿宋_GB2312" w:eastAsia="仿宋_GB2312" w:cs="仿宋_GB2312"/>
                <w:color w:val="auto"/>
                <w:sz w:val="24"/>
                <w:szCs w:val="24"/>
              </w:rPr>
              <w:t>额定电压0.6/1KV，</w:t>
            </w:r>
          </w:p>
          <w:p w14:paraId="0D8664D1">
            <w:pPr>
              <w:keepNext w:val="0"/>
              <w:keepLines w:val="0"/>
              <w:pageBreakBefore w:val="0"/>
              <w:numPr>
                <w:ilvl w:val="0"/>
                <w:numId w:val="0"/>
              </w:numPr>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导体电阻≤1.15Ω/km，</w:t>
            </w:r>
          </w:p>
          <w:p w14:paraId="0EC9F857">
            <w:pPr>
              <w:keepNext w:val="0"/>
              <w:keepLines w:val="0"/>
              <w:pageBreakBefore w:val="0"/>
              <w:numPr>
                <w:ilvl w:val="0"/>
                <w:numId w:val="0"/>
              </w:numPr>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4.</w:t>
            </w:r>
            <w:r>
              <w:rPr>
                <w:rFonts w:hint="eastAsia" w:ascii="仿宋_GB2312" w:hAnsi="仿宋_GB2312" w:eastAsia="仿宋_GB2312" w:cs="仿宋_GB2312"/>
                <w:color w:val="auto"/>
                <w:sz w:val="24"/>
                <w:szCs w:val="24"/>
              </w:rPr>
              <w:t>电压试验3500V/5min不击穿。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0345D1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leftChars="0" w:right="0" w:rightChars="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90米</w:t>
            </w:r>
          </w:p>
        </w:tc>
      </w:tr>
      <w:tr w14:paraId="71C85EC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BC2598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B5841F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leftChars="0" w:right="0" w:rightChars="0"/>
              <w:jc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网线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2D610F8">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1．六类非屏蔽双绞线，纯铜芯，传输无衰减，采用PVC环保外皮，包装长度305米；</w:t>
            </w:r>
          </w:p>
          <w:p w14:paraId="7C32696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eastAsia="zh-CN"/>
              </w:rPr>
              <w:t>2．芯数: 4*2含十字骨架；导体直径：0.57±0.05mm；外护套材质：PVC；外径：6.3±0.2mm； PVC外护套符合</w:t>
            </w:r>
            <w:r>
              <w:rPr>
                <w:rFonts w:hint="eastAsia" w:ascii="仿宋_GB2312" w:hAnsi="仿宋_GB2312" w:eastAsia="仿宋_GB2312" w:cs="仿宋_GB2312"/>
                <w:color w:val="auto"/>
                <w:sz w:val="24"/>
                <w:szCs w:val="24"/>
                <w:lang w:val="en-US" w:eastAsia="zh-CN"/>
              </w:rPr>
              <w:t>国标</w:t>
            </w:r>
            <w:r>
              <w:rPr>
                <w:rFonts w:hint="eastAsia" w:ascii="仿宋_GB2312" w:hAnsi="仿宋_GB2312" w:eastAsia="仿宋_GB2312" w:cs="仿宋_GB2312"/>
                <w:color w:val="auto"/>
                <w:sz w:val="24"/>
                <w:szCs w:val="24"/>
                <w:lang w:eastAsia="zh-CN"/>
              </w:rPr>
              <w:t>相关规定。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DF71FB6">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leftChars="0" w:right="0" w:rightChars="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1箱</w:t>
            </w:r>
          </w:p>
        </w:tc>
      </w:tr>
      <w:tr w14:paraId="6AF37A1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256E88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EF4778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leftChars="0" w:right="0" w:rightChars="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eastAsia="zh-CN"/>
              </w:rPr>
              <w:t>网络跳线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76F8094A">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RJ45超五类网络跳线（</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米）。</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0DD6163">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leftChars="0" w:right="0" w:rightChars="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30条</w:t>
            </w:r>
          </w:p>
        </w:tc>
      </w:tr>
      <w:tr w14:paraId="72531D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C8A49B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F57CA0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leftChars="0" w:right="0" w:rightChars="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eastAsia="zh-CN"/>
              </w:rPr>
              <w:t>内部电源线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5BBD6BF">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kern w:val="2"/>
                <w:sz w:val="24"/>
                <w:szCs w:val="24"/>
                <w:lang w:val="en-US" w:eastAsia="zh-CN" w:bidi="ar-SA"/>
              </w:rPr>
              <w:t>1.</w:t>
            </w:r>
            <w:r>
              <w:rPr>
                <w:rFonts w:hint="eastAsia" w:ascii="仿宋_GB2312" w:hAnsi="仿宋_GB2312" w:eastAsia="仿宋_GB2312" w:cs="仿宋_GB2312"/>
                <w:color w:val="auto"/>
                <w:sz w:val="24"/>
                <w:szCs w:val="24"/>
                <w:highlight w:val="none"/>
              </w:rPr>
              <w:t>YJV</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lang w:val="en-US" w:eastAsia="zh-CN"/>
              </w:rPr>
              <w:t>2.5</w:t>
            </w:r>
            <w:r>
              <w:rPr>
                <w:rFonts w:hint="eastAsia" w:ascii="仿宋_GB2312" w:hAnsi="仿宋_GB2312" w:eastAsia="仿宋_GB2312" w:cs="仿宋_GB2312"/>
                <w:color w:val="auto"/>
                <w:sz w:val="24"/>
                <w:szCs w:val="24"/>
                <w:highlight w:val="none"/>
              </w:rPr>
              <w:t>mm²，铜芯阻燃交联聚乙烯绝缘聚氯乙烯护套电力电缆</w:t>
            </w:r>
          </w:p>
          <w:p w14:paraId="124598F8">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2.</w:t>
            </w:r>
            <w:r>
              <w:rPr>
                <w:rFonts w:hint="eastAsia" w:ascii="仿宋_GB2312" w:hAnsi="仿宋_GB2312" w:eastAsia="仿宋_GB2312" w:cs="仿宋_GB2312"/>
                <w:color w:val="auto"/>
                <w:sz w:val="24"/>
                <w:szCs w:val="24"/>
                <w:highlight w:val="none"/>
              </w:rPr>
              <w:t>额定电压0.6/1KV</w:t>
            </w:r>
          </w:p>
          <w:p w14:paraId="10ACC25D">
            <w:pPr>
              <w:keepNext w:val="0"/>
              <w:keepLines w:val="0"/>
              <w:pageBreakBefore w:val="0"/>
              <w:numPr>
                <w:ilvl w:val="0"/>
                <w:numId w:val="0"/>
              </w:numPr>
              <w:kinsoku/>
              <w:wordWrap/>
              <w:overflowPunct/>
              <w:topLinePunct w:val="0"/>
              <w:autoSpaceDE/>
              <w:autoSpaceDN/>
              <w:bidi w:val="0"/>
              <w:snapToGrid w:val="0"/>
              <w:spacing w:line="400" w:lineRule="atLeast"/>
              <w:jc w:val="lef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3.</w:t>
            </w:r>
            <w:r>
              <w:rPr>
                <w:rFonts w:hint="eastAsia" w:ascii="仿宋_GB2312" w:hAnsi="仿宋_GB2312" w:eastAsia="仿宋_GB2312" w:cs="仿宋_GB2312"/>
                <w:color w:val="auto"/>
                <w:sz w:val="24"/>
                <w:szCs w:val="24"/>
                <w:highlight w:val="none"/>
              </w:rPr>
              <w:t>导体电阻≤1.15Ω/km</w:t>
            </w:r>
          </w:p>
          <w:p w14:paraId="23783D8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4.</w:t>
            </w:r>
            <w:r>
              <w:rPr>
                <w:rFonts w:hint="eastAsia" w:ascii="仿宋_GB2312" w:hAnsi="仿宋_GB2312" w:eastAsia="仿宋_GB2312" w:cs="仿宋_GB2312"/>
                <w:color w:val="auto"/>
                <w:sz w:val="24"/>
                <w:szCs w:val="24"/>
                <w:highlight w:val="none"/>
              </w:rPr>
              <w:t>电压试验3500V/5min不击穿。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55C9B0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leftChars="0" w:right="0" w:rightChars="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105米</w:t>
            </w:r>
          </w:p>
        </w:tc>
      </w:tr>
      <w:tr w14:paraId="6439DC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DDC819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CAC255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leftChars="0" w:right="0" w:rightChars="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eastAsia="zh-CN"/>
              </w:rPr>
              <w:t>辅助材料及施工等</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3C6D42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含布线施工及设计，</w:t>
            </w:r>
            <w:r>
              <w:rPr>
                <w:rFonts w:hint="eastAsia" w:ascii="仿宋_GB2312" w:hAnsi="仿宋_GB2312" w:eastAsia="仿宋_GB2312" w:cs="仿宋_GB2312"/>
                <w:color w:val="auto"/>
                <w:sz w:val="24"/>
                <w:szCs w:val="24"/>
                <w:lang w:val="en-US" w:eastAsia="zh-CN"/>
              </w:rPr>
              <w:t>旧屏拆除、</w:t>
            </w:r>
            <w:r>
              <w:rPr>
                <w:rFonts w:hint="eastAsia" w:ascii="仿宋_GB2312" w:hAnsi="仿宋_GB2312" w:eastAsia="仿宋_GB2312" w:cs="仿宋_GB2312"/>
                <w:color w:val="auto"/>
                <w:sz w:val="24"/>
                <w:szCs w:val="24"/>
              </w:rPr>
              <w:t>安装调试及培训、辅材等。按柳州市教育系统工程施工规范要求实施。</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540492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leftChars="0" w:right="0" w:rightChars="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75F2407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7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D3273EE">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bCs/>
                <w:color w:val="auto"/>
                <w:kern w:val="0"/>
                <w:sz w:val="24"/>
                <w:lang w:val="en-US" w:eastAsia="zh-CN" w:bidi="ar"/>
              </w:rPr>
              <w:t>（五）市十二中文昌校区室内全彩LED屏</w:t>
            </w:r>
          </w:p>
        </w:tc>
      </w:tr>
      <w:tr w14:paraId="0310A0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CC8D2E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623C3A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eastAsia="仿宋_GB2312"/>
                <w:b/>
                <w:bCs/>
                <w:color w:val="auto"/>
                <w:sz w:val="24"/>
              </w:rPr>
              <w:t>▲</w:t>
            </w:r>
            <w:r>
              <w:rPr>
                <w:rFonts w:hint="eastAsia" w:ascii="仿宋_GB2312" w:hAnsi="仿宋_GB2312" w:eastAsia="仿宋_GB2312" w:cs="仿宋_GB2312"/>
                <w:b w:val="0"/>
                <w:bCs w:val="0"/>
                <w:color w:val="auto"/>
                <w:sz w:val="24"/>
                <w:szCs w:val="24"/>
                <w:lang w:val="en-US" w:eastAsia="zh-CN"/>
              </w:rPr>
              <w:t>室内</w:t>
            </w:r>
            <w:r>
              <w:rPr>
                <w:rFonts w:hint="eastAsia" w:ascii="仿宋_GB2312" w:hAnsi="仿宋_GB2312" w:eastAsia="仿宋_GB2312" w:cs="仿宋_GB2312"/>
                <w:b w:val="0"/>
                <w:bCs w:val="0"/>
                <w:color w:val="auto"/>
                <w:sz w:val="24"/>
                <w:szCs w:val="24"/>
                <w:lang w:eastAsia="zh-CN"/>
              </w:rPr>
              <w:t>全彩</w:t>
            </w:r>
            <w:r>
              <w:rPr>
                <w:rFonts w:hint="eastAsia" w:ascii="仿宋_GB2312" w:hAnsi="仿宋_GB2312" w:eastAsia="仿宋_GB2312" w:cs="仿宋_GB2312"/>
                <w:b w:val="0"/>
                <w:bCs w:val="0"/>
                <w:color w:val="auto"/>
                <w:sz w:val="24"/>
                <w:szCs w:val="24"/>
                <w:lang w:val="en-US" w:eastAsia="zh-CN"/>
              </w:rPr>
              <w:t>LED</w:t>
            </w:r>
            <w:r>
              <w:rPr>
                <w:rFonts w:hint="eastAsia" w:ascii="仿宋_GB2312" w:hAnsi="仿宋_GB2312" w:eastAsia="仿宋_GB2312" w:cs="仿宋_GB2312"/>
                <w:b w:val="0"/>
                <w:bCs w:val="0"/>
                <w:color w:val="auto"/>
                <w:sz w:val="24"/>
                <w:szCs w:val="24"/>
                <w:lang w:eastAsia="zh-CN"/>
              </w:rPr>
              <w:t>屏</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C7F059D">
            <w:pPr>
              <w:keepNext w:val="0"/>
              <w:keepLines w:val="0"/>
              <w:pageBreakBefore w:val="0"/>
              <w:widowControl/>
              <w:numPr>
                <w:ilvl w:val="-1"/>
                <w:numId w:val="0"/>
              </w:numPr>
              <w:suppressLineNumbers w:val="0"/>
              <w:kinsoku/>
              <w:overflowPunct/>
              <w:topLinePunct w:val="0"/>
              <w:autoSpaceDE/>
              <w:autoSpaceDN/>
              <w:bidi w:val="0"/>
              <w:snapToGrid w:val="0"/>
              <w:spacing w:line="400" w:lineRule="exact"/>
              <w:jc w:val="both"/>
              <w:textAlignment w:val="auto"/>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w:t>
            </w:r>
            <w:r>
              <w:rPr>
                <w:rFonts w:hint="eastAsia" w:ascii="仿宋_GB2312" w:hAnsi="仿宋_GB2312" w:eastAsia="仿宋_GB2312" w:cs="仿宋_GB2312"/>
                <w:color w:val="auto"/>
                <w:sz w:val="24"/>
                <w:szCs w:val="24"/>
                <w:lang w:val="en-US" w:eastAsia="zh-CN"/>
              </w:rPr>
              <w:t>屏体面积尺寸：长9.6米*高4.16米≈39.94平方米，</w:t>
            </w:r>
            <w:r>
              <w:rPr>
                <w:rFonts w:hint="eastAsia" w:ascii="仿宋_GB2312" w:hAnsi="仿宋_GB2312" w:eastAsia="仿宋_GB2312" w:cs="仿宋_GB2312"/>
                <w:i w:val="0"/>
                <w:iCs w:val="0"/>
                <w:color w:val="auto"/>
                <w:kern w:val="0"/>
                <w:sz w:val="24"/>
                <w:szCs w:val="24"/>
                <w:u w:val="none"/>
                <w:lang w:val="en-US" w:eastAsia="zh-CN" w:bidi="ar"/>
              </w:rPr>
              <w:t>点间距≤2.5mm；</w:t>
            </w:r>
          </w:p>
          <w:p w14:paraId="340076D6">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2.采用TOP型SMD封装的灯珠，1R1G1B；灯珠结构支持PPA碗杯结构、点胶封装、出光方式为单面发光；支持PCB平面结构，molding封装、切割、出光方式为五面发光；</w:t>
            </w:r>
          </w:p>
          <w:p w14:paraId="3A7C62D0">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u w:val="wav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3.LED显示模组亮度均匀性≥99%（校正后）；</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4.LED显示模组的基色主波长的测量误差∆入D≤2nm；</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5.依据SJ/T11281-2025第4.2.2测试，垂直≥177度，水平≥177度</w:t>
            </w:r>
          </w:p>
          <w:p w14:paraId="5F99281B">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6.色温（K）：9300K，20—20000可调，调节步长100K，色温为6500K时，100%、75%、50%、25%四档电平白场调节色温误差≤±200K；色温为8500K时，100%、75%、50%、25%四档电平白场调节色温误差≤±100K；</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7.电流增益调节级别≥10位，电流增益调节范围1%-199%</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8.视觉舒适度(VICO指数)测试值在O≤VICO＜1,满足CSA035.2-2017标准量化分级1级，视觉舒适度等级为1级；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9.色度均匀性：±0.001(Cx,Cy之内)；</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10.对比度≥20000:1；</w:t>
            </w:r>
          </w:p>
          <w:p w14:paraId="18A24C93">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2"/>
                <w:sz w:val="24"/>
                <w:szCs w:val="24"/>
                <w:u w:val="none"/>
                <w:lang w:val="en-US" w:eastAsia="zh-CN" w:bidi="ar-SA"/>
              </w:rPr>
            </w:pPr>
            <w:r>
              <w:rPr>
                <w:rFonts w:hint="eastAsia" w:ascii="仿宋_GB2312" w:hAnsi="仿宋_GB2312" w:eastAsia="仿宋_GB2312" w:cs="仿宋_GB2312"/>
                <w:i w:val="0"/>
                <w:iCs w:val="0"/>
                <w:color w:val="auto"/>
                <w:kern w:val="0"/>
                <w:sz w:val="24"/>
                <w:szCs w:val="24"/>
                <w:u w:val="none"/>
                <w:lang w:val="en-US" w:eastAsia="zh-CN" w:bidi="ar"/>
              </w:rPr>
              <w:t>11.模组间隙≤0.01mm，拼接模组间隙≤0.01mm，像素中心距相对偏差等级Jx≤0.5%，垂直相对错位等级Cc≤0.5%，水平相对错位等级Cs≤0.5%；</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12.刷新率≥3840Hz；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13.NTSC 色域覆盖率≥125%，色域重合度≥99.3%；</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14.PCB 采用 FR-4 四层板同等级或更高材料，表面沉金处理，板厚≥1.58mm，铜厚≥0.8 盎司，TG≥148，PCB 板表面具备防潮/防尘/防静电/抗氧化，防霉等级≤1 级。采用抗消隐设计，无“毛毛虫”“鬼影”跟随现象，模组与HUB板采用排线连接，无级联，可直接插拔和热插拔；</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15.显示屏塑料面罩底壳应能通过550℃灼热丝试验要求，满足HB等级要求；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16.显示屏经蓝光危害检测结果为无危害；</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17.噪声测试（符合GB22337-2008社会生活环境噪声排放标准）屏前、屏后、屏左、屏右1m处，噪声声压≤3dB；</w:t>
            </w:r>
          </w:p>
          <w:p w14:paraId="0E6764DA">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18.符合CQC3158-2016(LED显示单元节能认证技术规范),具有智能节电和黑屏节电功能，节能模式节电60%以上；</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19.平均修复时间≤2分钟，平均无故障工作时间≥110000小时，支持7*24小时不间断工作；</w:t>
            </w:r>
          </w:p>
          <w:p w14:paraId="67FC46A4">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Chars="0"/>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20.LED显示屏所使用的各种材料和元器件，铅、汞、六价铬、多溴联苯、多溴二苯醚(十溴二苯醚除外)的含量不应超过0.1%,镉的含量不应超过0.01%；</w:t>
            </w:r>
          </w:p>
          <w:p w14:paraId="3CA4F129">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21.LED显示屏图像质量主观评价方法进行，运动图像清晰度、灰度表现力2（伪轮廓现象）主观感受满足图像质量好，评价优级；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22.采用印制板测试方法，IPC-TM-650 2.5.7D、IPC-TM-650 2.5.7.1.IPC-TM-6502.5.6B、IPC-TM-650 2.5.6.2AASTM D149 在工业用电频率时实心电绝缘材料的介电击穿电压与介电强度的试验方法，印刷板在经过湿热箱处理120h后进行测试，绝缘部分未被击穿；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23.采用 MC 多通道校正技术，消除屏体在不同灰阶下的麻点和色块问题，保证全灰阶显示均匀一致；</w:t>
            </w:r>
          </w:p>
          <w:p w14:paraId="65AC7A9F">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24.支持鬼影消除、低灰偏色补偿、去除坏点、毛毛虫消除、余辉消除、亮度缓慢变亮功能；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25.摩擦起电电压|V|≤100V;静电电压衰减期 (±1000-±100V）≤2S;</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26.具备20条以上可调节的γ校正曲线；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27.采用 MWFRFT 多层多参数智慧调节技术处理技术，打破传统单层 WFRFT 结构模式扩展为多层 MWFRFT 结构，提升大屏低灰刷新不足引起的闪烁问题；</w:t>
            </w:r>
          </w:p>
          <w:p w14:paraId="7C02F82D">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28.模组采用4P接插头，免工具维护，具有防呆设置，避免线路接错的问题。采用集成hub接收卡控制，支持通讯状态监测，高灰度，高刷新；</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29.支持HDR信号显示,支持HDR高动态光照渲染技米。依据CESI/TS008-2019《HDR 显示认证技术规范》，支持高动态范围(HDR，Higi-Dynamic Range)检测项目峰值亮度1000-1500、黑色亮度≤0.05cd/m2.EOTF 曲线拟合度0.7-1.3.色域覆盖率≥90（相对DCILP3色空间）、色域重合度≥60%；</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30.支持模组级的 LED 灯防撞灯保护装置；</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31.粒子尺寸＜75μm 的滑石粉，尘降量 600g/（㎡ ·d）， 自由降尘，试验时间8h，产品未发现尘沉积及侵入；</w:t>
            </w:r>
          </w:p>
          <w:p w14:paraId="4C613B6E">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32.电源插头或电源接入端子与外壳裸露金属部件之间绝缘电阻在正常大气条件下应≥500MΩ，湿热条件下应≥20MΩ;</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33.亮度调节支持手动/自动/远程调节；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34.通过灯管耐焊耐热测试：灯珠引脚无氧化,焊接正常,灯珠胶体正常,点亮正常；</w:t>
            </w:r>
          </w:p>
          <w:p w14:paraId="4FFB023F">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35.通过抗静电(ESD)测试:HBM模式:ESD＞2000V,灯珠点亮无异常；</w:t>
            </w:r>
          </w:p>
          <w:p w14:paraId="5CA27264">
            <w:pPr>
              <w:keepNext w:val="0"/>
              <w:keepLines w:val="0"/>
              <w:pageBreakBefore w:val="0"/>
              <w:widowControl/>
              <w:numPr>
                <w:ilvl w:val="0"/>
                <w:numId w:val="0"/>
              </w:numPr>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36.PCB板及塑胶底壳、面罩满足UL94 V-0级要求；</w:t>
            </w:r>
          </w:p>
          <w:p w14:paraId="506716AC">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37.</w:t>
            </w:r>
            <w:r>
              <w:rPr>
                <w:rFonts w:hint="eastAsia" w:ascii="仿宋_GB2312" w:hAnsi="仿宋_GB2312" w:eastAsia="仿宋_GB2312" w:cs="仿宋_GB2312"/>
                <w:color w:val="auto"/>
                <w:kern w:val="0"/>
                <w:sz w:val="24"/>
                <w:szCs w:val="24"/>
                <w:lang w:bidi="ar"/>
              </w:rPr>
              <w:t>功</w:t>
            </w:r>
            <w:r>
              <w:rPr>
                <w:rFonts w:hint="eastAsia" w:ascii="仿宋_GB2312" w:hAnsi="仿宋_GB2312" w:eastAsia="仿宋_GB2312" w:cs="仿宋_GB2312"/>
                <w:color w:val="auto"/>
                <w:kern w:val="0"/>
                <w:sz w:val="24"/>
                <w:szCs w:val="24"/>
                <w:lang w:eastAsia="zh-CN" w:bidi="ar"/>
              </w:rPr>
              <w:t>耗</w:t>
            </w:r>
            <w:r>
              <w:rPr>
                <w:rFonts w:hint="eastAsia" w:ascii="仿宋_GB2312" w:hAnsi="仿宋_GB2312" w:eastAsia="仿宋_GB2312" w:cs="仿宋_GB2312"/>
                <w:color w:val="auto"/>
                <w:kern w:val="0"/>
                <w:sz w:val="24"/>
                <w:szCs w:val="24"/>
                <w:lang w:bidi="ar"/>
              </w:rPr>
              <w:t>：最大功耗(W/㎡) 352 ，平均功率(W/㎡) 1</w:t>
            </w:r>
            <w:r>
              <w:rPr>
                <w:rFonts w:hint="eastAsia" w:ascii="仿宋_GB2312" w:hAnsi="仿宋_GB2312" w:eastAsia="仿宋_GB2312" w:cs="仿宋_GB2312"/>
                <w:color w:val="auto"/>
                <w:kern w:val="0"/>
                <w:sz w:val="24"/>
                <w:szCs w:val="24"/>
                <w:lang w:val="en-US" w:eastAsia="zh-CN" w:bidi="ar"/>
              </w:rPr>
              <w:t>2</w:t>
            </w:r>
            <w:r>
              <w:rPr>
                <w:rFonts w:hint="eastAsia" w:ascii="仿宋_GB2312" w:hAnsi="仿宋_GB2312" w:eastAsia="仿宋_GB2312" w:cs="仿宋_GB2312"/>
                <w:color w:val="auto"/>
                <w:kern w:val="0"/>
                <w:sz w:val="24"/>
                <w:szCs w:val="24"/>
                <w:lang w:bidi="ar"/>
              </w:rPr>
              <w:t>6</w:t>
            </w:r>
            <w:r>
              <w:rPr>
                <w:rFonts w:hint="eastAsia" w:ascii="仿宋_GB2312" w:hAnsi="仿宋_GB2312" w:eastAsia="仿宋_GB2312" w:cs="仿宋_GB2312"/>
                <w:color w:val="auto"/>
                <w:kern w:val="0"/>
                <w:sz w:val="24"/>
                <w:szCs w:val="24"/>
                <w:lang w:eastAsia="zh-CN" w:bidi="ar"/>
              </w:rPr>
              <w:t>。</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01D4C7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39.94㎡</w:t>
            </w:r>
          </w:p>
        </w:tc>
      </w:tr>
      <w:tr w14:paraId="035AA5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48F18F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FC85FF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LED备用模组</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37ABBF1D">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1.模组尺寸：320mm*160mm，与主LED屏同批次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4DAC321">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15张</w:t>
            </w:r>
          </w:p>
        </w:tc>
      </w:tr>
      <w:tr w14:paraId="255FB1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91B39D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E014F8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简易箱体</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3002E50">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定制箱体尺寸，板材：冷轧钢板，颜色：黑色，配件：电源板、卡托、连接件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75B15E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39.94㎡</w:t>
            </w:r>
          </w:p>
        </w:tc>
      </w:tr>
      <w:tr w14:paraId="7BB1A1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600430B">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4EED0E1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eastAsia="zh-CN"/>
              </w:rPr>
              <w:t>LED电源</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341191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1.输入电压：200-240Vac,40-63Hz</w:t>
            </w:r>
          </w:p>
          <w:p w14:paraId="2F7C5847">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2.输出电流：40A/输出电压：5V</w:t>
            </w:r>
          </w:p>
          <w:p w14:paraId="2687FF8B">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3.泄漏电流：&lt;1ma（Vin：230）</w:t>
            </w:r>
          </w:p>
          <w:p w14:paraId="62D4135C">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4.保护功能：输入欠压；过载保护；短路保护</w:t>
            </w:r>
          </w:p>
          <w:p w14:paraId="5D87536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5.工作温度：-30~50℃/储存温度：-40~80℃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B1BD869">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150台</w:t>
            </w:r>
          </w:p>
        </w:tc>
      </w:tr>
      <w:tr w14:paraId="6DF201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E09CD6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C84F0B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eastAsia="zh-CN"/>
              </w:rPr>
              <w:t>接收卡</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26E8A42">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单卡最大带载 512×384像素，支持 24组 RGB 并行数据。采用12个HUB75接口，具有高稳定性和高可靠性，适用于多种环境的搭建</w:t>
            </w:r>
          </w:p>
          <w:p w14:paraId="6EE035D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 xml:space="preserve">支持逐点亮色度校正，配合调试软件和校正软件，对每个灯点的亮度和色度进行校正。 </w:t>
            </w:r>
          </w:p>
          <w:p w14:paraId="2FA4C00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支持普通修缝，可在对应调试软件上进行修缝，用来消除灯板与灯板、箱体与箱体之间的缝隙。</w:t>
            </w:r>
          </w:p>
          <w:p w14:paraId="7D4C6A6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支持低延时，降低视频源在接收卡端的延迟，延迟低至1帧。</w:t>
            </w:r>
          </w:p>
          <w:p w14:paraId="78F3E680">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支持配合支持 3D 功能的独立主控，在调试软件或独立主控的操作面板上开启 3D 功能，并设置 3D 参数，使画面显示 3D 效果</w:t>
            </w:r>
          </w:p>
          <w:p w14:paraId="0A0E0EB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支持四种级联方向（0°/90°/180°/270°）的画面进行切换。</w:t>
            </w:r>
          </w:p>
          <w:p w14:paraId="52C059C2">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支持异形构造，可轻松实现异形屏、球形屏等创意显示屏。</w:t>
            </w:r>
          </w:p>
          <w:p w14:paraId="7F29F034">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支持误码率监测，配合对应版本的调试软件 ，监测接收卡间通讯时传输链路上的数据丢包情况。</w:t>
            </w:r>
          </w:p>
          <w:p w14:paraId="32EF50B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9.</w:t>
            </w:r>
            <w:r>
              <w:rPr>
                <w:rFonts w:hint="eastAsia" w:ascii="仿宋_GB2312" w:hAnsi="仿宋_GB2312" w:eastAsia="仿宋_GB2312" w:cs="仿宋_GB2312"/>
                <w:color w:val="auto"/>
                <w:sz w:val="24"/>
                <w:szCs w:val="24"/>
              </w:rPr>
              <w:t>支持固件程序回读，在对应版本软件上可以回读接收卡的固件程序并保存到本地。</w:t>
            </w:r>
          </w:p>
          <w:p w14:paraId="67CAD437">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10.</w:t>
            </w:r>
            <w:r>
              <w:rPr>
                <w:rFonts w:hint="eastAsia" w:ascii="仿宋_GB2312" w:hAnsi="仿宋_GB2312" w:eastAsia="仿宋_GB2312" w:cs="仿宋_GB2312"/>
                <w:color w:val="auto"/>
                <w:sz w:val="24"/>
                <w:szCs w:val="24"/>
              </w:rPr>
              <w:t>支持配置参数回读，在 调试软件上可以回读接收卡配置参数并保存到本地。</w:t>
            </w:r>
          </w:p>
          <w:p w14:paraId="6479C3B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11.</w:t>
            </w:r>
            <w:r>
              <w:rPr>
                <w:rFonts w:hint="eastAsia" w:ascii="仿宋_GB2312" w:hAnsi="仿宋_GB2312" w:eastAsia="仿宋_GB2312" w:cs="仿宋_GB2312"/>
                <w:color w:val="auto"/>
                <w:sz w:val="24"/>
                <w:szCs w:val="24"/>
              </w:rPr>
              <w:t>支持环路备份，利用冗余网口增加与发送设备之间的连接，增加设备之间级联的可靠性，当一路出现故障时可实现无缝切换至另一路，保障屏体正常显示。</w:t>
            </w:r>
          </w:p>
          <w:p w14:paraId="7E984736">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12.</w:t>
            </w:r>
            <w:r>
              <w:rPr>
                <w:rFonts w:hint="eastAsia" w:ascii="仿宋_GB2312" w:hAnsi="仿宋_GB2312" w:eastAsia="仿宋_GB2312" w:cs="仿宋_GB2312"/>
                <w:color w:val="auto"/>
                <w:sz w:val="24"/>
                <w:szCs w:val="24"/>
              </w:rPr>
              <w:t>支持双程序备份，接收卡出厂时保存了两份应用程序，以防程序更新异常导致的升级卡死。</w:t>
            </w:r>
          </w:p>
          <w:p w14:paraId="33B3564E">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eastAsia="zh-CN"/>
              </w:rPr>
              <w:t>13.</w:t>
            </w:r>
            <w:r>
              <w:rPr>
                <w:rFonts w:hint="eastAsia" w:ascii="仿宋_GB2312" w:hAnsi="仿宋_GB2312" w:eastAsia="仿宋_GB2312" w:cs="仿宋_GB2312"/>
                <w:color w:val="auto"/>
                <w:sz w:val="24"/>
                <w:szCs w:val="24"/>
              </w:rPr>
              <w:t>支持连接多功能卡。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80DE7E9">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65张</w:t>
            </w:r>
          </w:p>
        </w:tc>
      </w:tr>
      <w:tr w14:paraId="04703D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341510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35D216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eastAsia="zh-CN"/>
              </w:rPr>
              <w:t>视频处理器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1813D7D">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1.</w:t>
            </w:r>
            <w:r>
              <w:rPr>
                <w:rFonts w:hint="eastAsia" w:ascii="仿宋_GB2312" w:hAnsi="仿宋_GB2312" w:eastAsia="仿宋_GB2312" w:cs="仿宋_GB2312"/>
                <w:color w:val="auto"/>
                <w:sz w:val="24"/>
                <w:szCs w:val="24"/>
              </w:rPr>
              <w:t>标配1路HDMI2.0输入，2路HDMI1.3</w:t>
            </w:r>
            <w:r>
              <w:rPr>
                <w:rFonts w:hint="eastAsia" w:ascii="仿宋_GB2312" w:hAnsi="仿宋_GB2312" w:eastAsia="仿宋_GB2312" w:cs="仿宋_GB2312"/>
                <w:color w:val="auto"/>
                <w:sz w:val="24"/>
                <w:szCs w:val="24"/>
                <w:lang w:eastAsia="zh-CN"/>
              </w:rPr>
              <w:t>，</w:t>
            </w:r>
            <w:r>
              <w:rPr>
                <w:rFonts w:hint="eastAsia" w:ascii="仿宋_GB2312" w:hAnsi="仿宋_GB2312" w:eastAsia="仿宋_GB2312" w:cs="仿宋_GB2312"/>
                <w:color w:val="auto"/>
                <w:sz w:val="24"/>
                <w:szCs w:val="24"/>
              </w:rPr>
              <w:t>1路</w:t>
            </w:r>
            <w:r>
              <w:rPr>
                <w:rFonts w:hint="eastAsia" w:ascii="仿宋_GB2312" w:hAnsi="仿宋_GB2312" w:eastAsia="仿宋_GB2312" w:cs="仿宋_GB2312"/>
                <w:color w:val="auto"/>
                <w:sz w:val="24"/>
                <w:szCs w:val="24"/>
                <w:lang w:val="en-US" w:eastAsia="zh-CN"/>
              </w:rPr>
              <w:t>USB3.0等信号</w:t>
            </w:r>
            <w:r>
              <w:rPr>
                <w:rFonts w:hint="eastAsia" w:ascii="仿宋_GB2312" w:hAnsi="仿宋_GB2312" w:eastAsia="仿宋_GB2312" w:cs="仿宋_GB2312"/>
                <w:color w:val="auto"/>
                <w:sz w:val="24"/>
                <w:szCs w:val="24"/>
              </w:rPr>
              <w:t>输入</w:t>
            </w:r>
            <w:r>
              <w:rPr>
                <w:rFonts w:hint="eastAsia" w:ascii="仿宋_GB2312" w:hAnsi="仿宋_GB2312" w:eastAsia="仿宋_GB2312" w:cs="仿宋_GB2312"/>
                <w:color w:val="auto"/>
                <w:sz w:val="24"/>
                <w:szCs w:val="24"/>
                <w:lang w:eastAsia="zh-CN"/>
              </w:rPr>
              <w:t>，支持选配1路SDI</w:t>
            </w:r>
            <w:r>
              <w:rPr>
                <w:rFonts w:hint="eastAsia" w:ascii="仿宋_GB2312" w:hAnsi="仿宋_GB2312" w:eastAsia="仿宋_GB2312" w:cs="仿宋_GB2312"/>
                <w:color w:val="auto"/>
                <w:sz w:val="24"/>
                <w:szCs w:val="24"/>
              </w:rPr>
              <w:t>；</w:t>
            </w:r>
          </w:p>
          <w:p w14:paraId="6F6EA56F">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2.</w:t>
            </w:r>
            <w:r>
              <w:rPr>
                <w:rFonts w:hint="eastAsia" w:ascii="仿宋_GB2312" w:hAnsi="仿宋_GB2312" w:eastAsia="仿宋_GB2312" w:cs="仿宋_GB2312"/>
                <w:color w:val="auto"/>
                <w:sz w:val="24"/>
                <w:szCs w:val="24"/>
              </w:rPr>
              <w:t>集成</w:t>
            </w:r>
            <w:r>
              <w:rPr>
                <w:rFonts w:hint="eastAsia" w:ascii="仿宋_GB2312" w:hAnsi="仿宋_GB2312" w:eastAsia="仿宋_GB2312" w:cs="仿宋_GB2312"/>
                <w:color w:val="auto"/>
                <w:sz w:val="24"/>
                <w:szCs w:val="24"/>
                <w:lang w:val="en-US" w:eastAsia="zh-CN"/>
              </w:rPr>
              <w:t>12</w:t>
            </w:r>
            <w:r>
              <w:rPr>
                <w:rFonts w:hint="eastAsia" w:ascii="仿宋_GB2312" w:hAnsi="仿宋_GB2312" w:eastAsia="仿宋_GB2312" w:cs="仿宋_GB2312"/>
                <w:color w:val="auto"/>
                <w:sz w:val="24"/>
                <w:szCs w:val="24"/>
              </w:rPr>
              <w:t>路千兆网口输出，</w:t>
            </w:r>
            <w:r>
              <w:rPr>
                <w:rFonts w:hint="eastAsia" w:ascii="仿宋_GB2312" w:hAnsi="仿宋_GB2312" w:eastAsia="仿宋_GB2312" w:cs="仿宋_GB2312"/>
                <w:color w:val="auto"/>
                <w:sz w:val="24"/>
                <w:szCs w:val="24"/>
                <w:lang w:eastAsia="zh-CN"/>
              </w:rPr>
              <w:t>带载</w:t>
            </w:r>
            <w:r>
              <w:rPr>
                <w:rFonts w:hint="eastAsia" w:ascii="仿宋_GB2312" w:hAnsi="仿宋_GB2312" w:eastAsia="仿宋_GB2312" w:cs="仿宋_GB2312"/>
                <w:color w:val="auto"/>
                <w:sz w:val="24"/>
                <w:szCs w:val="24"/>
                <w:lang w:val="en-US" w:eastAsia="zh-CN"/>
              </w:rPr>
              <w:t>780万 ，</w:t>
            </w:r>
            <w:r>
              <w:rPr>
                <w:rFonts w:hint="eastAsia" w:ascii="仿宋_GB2312" w:hAnsi="仿宋_GB2312" w:eastAsia="仿宋_GB2312" w:cs="仿宋_GB2312"/>
                <w:color w:val="auto"/>
                <w:sz w:val="24"/>
                <w:szCs w:val="24"/>
              </w:rPr>
              <w:t>最大</w:t>
            </w:r>
            <w:r>
              <w:rPr>
                <w:rFonts w:hint="eastAsia" w:ascii="仿宋_GB2312" w:hAnsi="仿宋_GB2312" w:eastAsia="仿宋_GB2312" w:cs="仿宋_GB2312"/>
                <w:color w:val="auto"/>
                <w:sz w:val="24"/>
                <w:szCs w:val="24"/>
                <w:lang w:eastAsia="zh-CN"/>
              </w:rPr>
              <w:t>宽度可达</w:t>
            </w:r>
            <w:r>
              <w:rPr>
                <w:rFonts w:hint="eastAsia" w:ascii="仿宋_GB2312" w:hAnsi="仿宋_GB2312" w:eastAsia="仿宋_GB2312" w:cs="仿宋_GB2312"/>
                <w:color w:val="auto"/>
                <w:sz w:val="24"/>
                <w:szCs w:val="24"/>
              </w:rPr>
              <w:t>10</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40像素，最</w:t>
            </w:r>
            <w:r>
              <w:rPr>
                <w:rFonts w:hint="eastAsia" w:ascii="仿宋_GB2312" w:hAnsi="仿宋_GB2312" w:eastAsia="仿宋_GB2312" w:cs="仿宋_GB2312"/>
                <w:color w:val="auto"/>
                <w:sz w:val="24"/>
                <w:szCs w:val="24"/>
                <w:lang w:eastAsia="zh-CN"/>
              </w:rPr>
              <w:t>高</w:t>
            </w:r>
            <w:r>
              <w:rPr>
                <w:rFonts w:hint="eastAsia" w:ascii="仿宋_GB2312" w:hAnsi="仿宋_GB2312" w:eastAsia="仿宋_GB2312" w:cs="仿宋_GB2312"/>
                <w:color w:val="auto"/>
                <w:sz w:val="24"/>
                <w:szCs w:val="24"/>
              </w:rPr>
              <w:t>带载8192</w:t>
            </w:r>
            <w:r>
              <w:rPr>
                <w:rFonts w:hint="eastAsia" w:ascii="仿宋_GB2312" w:hAnsi="仿宋_GB2312" w:eastAsia="仿宋_GB2312" w:cs="仿宋_GB2312"/>
                <w:color w:val="auto"/>
                <w:sz w:val="24"/>
                <w:szCs w:val="24"/>
                <w:lang w:eastAsia="zh-CN"/>
              </w:rPr>
              <w:t>像素</w:t>
            </w:r>
            <w:r>
              <w:rPr>
                <w:rFonts w:hint="eastAsia" w:ascii="仿宋_GB2312" w:hAnsi="仿宋_GB2312" w:eastAsia="仿宋_GB2312" w:cs="仿宋_GB2312"/>
                <w:color w:val="auto"/>
                <w:sz w:val="24"/>
                <w:szCs w:val="24"/>
              </w:rPr>
              <w:t>；</w:t>
            </w:r>
          </w:p>
          <w:p w14:paraId="17D9CBB9">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3.</w:t>
            </w:r>
            <w:r>
              <w:rPr>
                <w:rFonts w:hint="eastAsia" w:ascii="仿宋_GB2312" w:hAnsi="仿宋_GB2312" w:eastAsia="仿宋_GB2312" w:cs="仿宋_GB2312"/>
                <w:color w:val="auto"/>
                <w:sz w:val="24"/>
                <w:szCs w:val="24"/>
              </w:rPr>
              <w:t>集成视频处理+发送卡功能，最大支持</w:t>
            </w:r>
            <w:r>
              <w:rPr>
                <w:rFonts w:hint="eastAsia" w:ascii="仿宋_GB2312" w:hAnsi="仿宋_GB2312" w:eastAsia="仿宋_GB2312" w:cs="仿宋_GB2312"/>
                <w:color w:val="auto"/>
                <w:sz w:val="24"/>
                <w:szCs w:val="24"/>
                <w:lang w:val="en-US" w:eastAsia="zh-CN"/>
              </w:rPr>
              <w:t>5</w:t>
            </w:r>
            <w:r>
              <w:rPr>
                <w:rFonts w:hint="eastAsia" w:ascii="仿宋_GB2312" w:hAnsi="仿宋_GB2312" w:eastAsia="仿宋_GB2312" w:cs="仿宋_GB2312"/>
                <w:color w:val="auto"/>
                <w:sz w:val="24"/>
                <w:szCs w:val="24"/>
              </w:rPr>
              <w:t>路输入源支持 6 个图层资源</w:t>
            </w:r>
          </w:p>
          <w:p w14:paraId="2B65B823">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4.</w:t>
            </w:r>
            <w:r>
              <w:rPr>
                <w:rFonts w:hint="eastAsia" w:ascii="仿宋_GB2312" w:hAnsi="仿宋_GB2312" w:eastAsia="仿宋_GB2312" w:cs="仿宋_GB2312"/>
                <w:color w:val="auto"/>
                <w:sz w:val="24"/>
                <w:szCs w:val="24"/>
              </w:rPr>
              <w:t>支持全彩液晶屏，对信号输入状态、图层状态，网口通讯状态实时显示；</w:t>
            </w:r>
          </w:p>
          <w:p w14:paraId="3336971B">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5.</w:t>
            </w:r>
            <w:r>
              <w:rPr>
                <w:rFonts w:hint="eastAsia" w:ascii="仿宋_GB2312" w:hAnsi="仿宋_GB2312" w:eastAsia="仿宋_GB2312" w:cs="仿宋_GB2312"/>
                <w:color w:val="auto"/>
                <w:sz w:val="24"/>
                <w:szCs w:val="24"/>
              </w:rPr>
              <w:t>支持一键切换输入源，一键调用预设场景；</w:t>
            </w:r>
          </w:p>
          <w:p w14:paraId="3032564D">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6.</w:t>
            </w:r>
            <w:r>
              <w:rPr>
                <w:rFonts w:hint="eastAsia" w:ascii="仿宋_GB2312" w:hAnsi="仿宋_GB2312" w:eastAsia="仿宋_GB2312" w:cs="仿宋_GB2312"/>
                <w:color w:val="auto"/>
                <w:sz w:val="24"/>
                <w:szCs w:val="24"/>
              </w:rPr>
              <w:t>支持多种大屏亮度调节方式，旋钮调节、上位机软件调节；</w:t>
            </w:r>
          </w:p>
          <w:p w14:paraId="7A714E5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7.</w:t>
            </w:r>
            <w:r>
              <w:rPr>
                <w:rFonts w:hint="eastAsia" w:ascii="仿宋_GB2312" w:hAnsi="仿宋_GB2312" w:eastAsia="仿宋_GB2312" w:cs="仿宋_GB2312"/>
                <w:color w:val="auto"/>
                <w:sz w:val="24"/>
                <w:szCs w:val="24"/>
              </w:rPr>
              <w:t>开放网络及RS232串口中控协议便于第三方系统集成；</w:t>
            </w:r>
          </w:p>
          <w:p w14:paraId="747B80BA">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支持网口远距离调试及控制</w:t>
            </w:r>
            <w:r>
              <w:rPr>
                <w:rFonts w:hint="eastAsia" w:ascii="仿宋_GB2312" w:hAnsi="仿宋_GB2312" w:eastAsia="仿宋_GB2312" w:cs="仿宋_GB2312"/>
                <w:color w:val="auto"/>
                <w:sz w:val="24"/>
                <w:szCs w:val="24"/>
                <w:lang w:eastAsia="zh-CN"/>
              </w:rPr>
              <w:t>。</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6A9EF1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518671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776666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4002FC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计算机</w:t>
            </w:r>
            <w:r>
              <w:rPr>
                <w:rFonts w:hint="eastAsia" w:ascii="仿宋_GB2312" w:hAnsi="仿宋_GB2312" w:eastAsia="仿宋_GB2312" w:cs="仿宋_GB2312"/>
                <w:b/>
                <w:bCs/>
                <w:color w:val="auto"/>
                <w:sz w:val="24"/>
                <w:szCs w:val="24"/>
              </w:rPr>
              <w:t>（强制采购节能产品，详见采购需求说明第八点）</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53A0E61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★一、CPU规格</w:t>
            </w:r>
          </w:p>
          <w:p w14:paraId="7DB3AA1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核8线程，主频≥2.7GHz，末级缓存≥8M，内存≥双通道DDR4-2666，热设计功耗≤70W，位宽≥64位；</w:t>
            </w:r>
          </w:p>
          <w:p w14:paraId="713257F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★二、内存规格</w:t>
            </w:r>
          </w:p>
          <w:p w14:paraId="2105BCB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1.内存配置容量：≥16GB；</w:t>
            </w:r>
          </w:p>
          <w:p w14:paraId="73D70AD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2.内存类型：支持 DDR4/LPDDR4/LPDDR4X及以上内存类型；</w:t>
            </w:r>
          </w:p>
          <w:p w14:paraId="27FA819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3.内存条配置数量（板载内存不涉及）：≥1；</w:t>
            </w:r>
          </w:p>
          <w:p w14:paraId="3F60737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★三、主板规格</w:t>
            </w:r>
          </w:p>
          <w:p w14:paraId="7B46E25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1.主板集成模块：集成资源扩展模块、计算处理模块、音频扩展模块等，主板的互联拓扑可通过处理器或交换电路实现；</w:t>
            </w:r>
          </w:p>
          <w:p w14:paraId="575F5E2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2.主板支持的 CPU 和内存情况：≥</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核8线程，主频≥2.7GHz，末级缓存≥8M，内存≥双通道DDR4-2666，热设计功耗≤70W，位宽≥64位；内存条数量≥</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w:t>
            </w:r>
          </w:p>
          <w:p w14:paraId="41E3B39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3.主板其他内置接口：≥SATA接口*4，≥M.2接口*1，</w:t>
            </w:r>
            <w:r>
              <w:rPr>
                <w:rFonts w:hint="eastAsia" w:ascii="仿宋_GB2312" w:hAnsi="仿宋_GB2312" w:eastAsia="仿宋_GB2312" w:cs="仿宋_GB2312"/>
                <w:color w:val="auto"/>
                <w:sz w:val="24"/>
                <w:szCs w:val="24"/>
                <w:highlight w:val="none"/>
              </w:rPr>
              <w:t>≥USB接口*1</w:t>
            </w:r>
            <w:r>
              <w:rPr>
                <w:rFonts w:hint="eastAsia" w:ascii="仿宋_GB2312" w:hAnsi="仿宋_GB2312" w:eastAsia="仿宋_GB2312" w:cs="仿宋_GB2312"/>
                <w:color w:val="auto"/>
                <w:sz w:val="24"/>
                <w:szCs w:val="24"/>
                <w:highlight w:val="none"/>
                <w:lang w:val="en-US" w:eastAsia="zh-CN"/>
              </w:rPr>
              <w:t>2</w:t>
            </w:r>
            <w:r>
              <w:rPr>
                <w:rFonts w:hint="eastAsia" w:ascii="仿宋_GB2312" w:hAnsi="仿宋_GB2312" w:eastAsia="仿宋_GB2312" w:cs="仿宋_GB2312"/>
                <w:color w:val="auto"/>
                <w:sz w:val="24"/>
                <w:szCs w:val="24"/>
              </w:rPr>
              <w:t>，固态硬盘占用M.2接口*1，机械硬盘占用SATA接口*1</w:t>
            </w:r>
          </w:p>
          <w:p w14:paraId="79CCDD8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4.单内存插槽最大可支持容量（板载内存不涉及）：≥16GB；</w:t>
            </w:r>
          </w:p>
          <w:p w14:paraId="7B5A914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5.内存插槽满配时提供的最高内存总容量：≥64GB；</w:t>
            </w:r>
          </w:p>
          <w:p w14:paraId="7ABB698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★四、存储设备规格</w:t>
            </w:r>
          </w:p>
          <w:p w14:paraId="06EFE5D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1.固态盘数量：≥1 个；</w:t>
            </w:r>
          </w:p>
          <w:p w14:paraId="126CF00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2.固态存储容量：≥512GB；</w:t>
            </w:r>
          </w:p>
          <w:p w14:paraId="77D8044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3.机械硬盘数量：≥1 个；</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4.机械硬盘总容量：≥1TB；</w:t>
            </w:r>
          </w:p>
          <w:p w14:paraId="5EB89E6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5.机械硬盘转速：≥5400rpm；</w:t>
            </w:r>
          </w:p>
          <w:p w14:paraId="05F51D2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6.机械硬盘形态：3.5 英寸等；</w:t>
            </w:r>
          </w:p>
          <w:p w14:paraId="00F03D3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7.固态存储形态：采用插卡或板载等形态，可选用符合M.2 或 2.5寸SATA或mSATA等标准的插卡形态；</w:t>
            </w:r>
          </w:p>
          <w:p w14:paraId="04E5472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8.存储设备其他参数要求：a)固态盘应符合 SJ/T 11654 相关规定；b)机械硬盘准备时间应不大于 30s；侧面固定螺丝孔数量可为4孔或6孔；工作状态环境温度应满足 5℃~55℃；其它参数应符合 GB/T 12628 相关规定；</w:t>
            </w:r>
          </w:p>
          <w:p w14:paraId="4FFDC59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★五、显卡规格</w:t>
            </w:r>
          </w:p>
          <w:p w14:paraId="1A17BBD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1.显卡类型：独立显卡；</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2.独立显卡显存类型：显存类型为DDR3/DDR4/GDDR5 /GDDR6/LPDDR4；</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3.独立显卡显存位宽：显存位宽≥16 位；</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4.独立显卡显存容量：显存容量≥1GB；</w:t>
            </w:r>
          </w:p>
          <w:p w14:paraId="1179913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★六、显示设备规格</w:t>
            </w:r>
          </w:p>
          <w:p w14:paraId="38F2652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1.显示屏屏占比：≥</w:t>
            </w:r>
            <w:r>
              <w:rPr>
                <w:rFonts w:hint="eastAsia" w:ascii="仿宋_GB2312" w:hAnsi="仿宋_GB2312" w:eastAsia="仿宋_GB2312" w:cs="仿宋_GB2312"/>
                <w:color w:val="auto"/>
                <w:sz w:val="24"/>
                <w:szCs w:val="24"/>
                <w:lang w:val="en-US" w:eastAsia="zh-CN"/>
              </w:rPr>
              <w:t>9</w:t>
            </w:r>
            <w:r>
              <w:rPr>
                <w:rFonts w:hint="eastAsia" w:ascii="仿宋_GB2312" w:hAnsi="仿宋_GB2312" w:eastAsia="仿宋_GB2312" w:cs="仿宋_GB2312"/>
                <w:color w:val="auto"/>
                <w:sz w:val="24"/>
                <w:szCs w:val="24"/>
              </w:rPr>
              <w:t>0%；</w:t>
            </w:r>
          </w:p>
          <w:p w14:paraId="33820B9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2.显示屏分辨率：≥1920*1080；</w:t>
            </w:r>
          </w:p>
          <w:p w14:paraId="5F045D5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3.显示屏尺寸：≥23英寸；</w:t>
            </w:r>
          </w:p>
          <w:p w14:paraId="25B3C41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4.显示屏屏幕比例：16:9；</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5.显示器外观颜色：黑色商务色系；</w:t>
            </w:r>
          </w:p>
          <w:p w14:paraId="2DF4B9B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rPr>
              <w:t>6.显示屏防蓝光：支持防蓝光模式，蓝光加权辐射亮度比应≤0.0012W/(·cd·sr)（瓦每坎特拉每球面度）</w:t>
            </w:r>
            <w:r>
              <w:rPr>
                <w:rFonts w:hint="eastAsia" w:ascii="仿宋_GB2312" w:hAnsi="仿宋_GB2312" w:eastAsia="仿宋_GB2312" w:cs="仿宋_GB2312"/>
                <w:color w:val="auto"/>
                <w:sz w:val="24"/>
                <w:szCs w:val="24"/>
                <w:highlight w:val="none"/>
              </w:rPr>
              <w:t>；</w:t>
            </w:r>
          </w:p>
          <w:p w14:paraId="70F92EC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7.显示屏低频闪：显示屏应支持低频闪≤-35dB；</w:t>
            </w:r>
          </w:p>
          <w:p w14:paraId="447AE98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8.显示屏防炫目：显示屏镜面反射率≤10%；</w:t>
            </w:r>
          </w:p>
          <w:p w14:paraId="392F55D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lang w:eastAsia="zh-CN"/>
              </w:rPr>
            </w:pPr>
            <w:r>
              <w:rPr>
                <w:rFonts w:hint="eastAsia" w:ascii="仿宋_GB2312" w:hAnsi="仿宋_GB2312" w:eastAsia="仿宋_GB2312" w:cs="仿宋_GB2312"/>
                <w:color w:val="auto"/>
                <w:sz w:val="24"/>
                <w:szCs w:val="24"/>
                <w:highlight w:val="none"/>
                <w:lang w:eastAsia="zh-CN"/>
              </w:rPr>
              <w:t>★七、外设规格</w:t>
            </w:r>
          </w:p>
          <w:p w14:paraId="6751466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1.鼠标数量：≥1个；</w:t>
            </w:r>
          </w:p>
          <w:p w14:paraId="2DE1773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2.键盘数量：≥1个；</w:t>
            </w:r>
          </w:p>
          <w:p w14:paraId="3DB8521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3.键盘按键数目：≥10</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 xml:space="preserve"> 键；</w:t>
            </w:r>
          </w:p>
          <w:p w14:paraId="0EBC3B2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4.键盘连接方式：有线；</w:t>
            </w:r>
          </w:p>
          <w:p w14:paraId="28E7530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5.键盘键程：2.3mm-4.0mm；</w:t>
            </w:r>
          </w:p>
          <w:p w14:paraId="6E211A3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6.键盘按键压力：按键压力应在0.54N±0.14N；</w:t>
            </w:r>
          </w:p>
          <w:p w14:paraId="61035C4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7.有线键盘连接线：≥1.5 米；</w:t>
            </w:r>
          </w:p>
          <w:p w14:paraId="1EE099A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8.键盘颜色：黑色商务色系；</w:t>
            </w:r>
          </w:p>
          <w:p w14:paraId="1C55E71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9.鼠标连接方式：有线；</w:t>
            </w:r>
          </w:p>
          <w:p w14:paraId="4F3B885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10.有线鼠标连接线：≥1.5米；</w:t>
            </w:r>
          </w:p>
          <w:p w14:paraId="77EE8B6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11.鼠标DPI分辨率：800-1600；</w:t>
            </w:r>
          </w:p>
          <w:p w14:paraId="57F7992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12.鼠标颜色：黑色商务色系；</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13.鼠标其他要求：其它参数应符合 GB/T 26245 的相关规定；</w:t>
            </w:r>
          </w:p>
          <w:p w14:paraId="3712A24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★八、网络设备规格</w:t>
            </w:r>
          </w:p>
          <w:p w14:paraId="4FB006C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1.有线网卡数量：≥1；</w:t>
            </w:r>
          </w:p>
          <w:p w14:paraId="2BEEB59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★九、外部接口规格</w:t>
            </w:r>
          </w:p>
          <w:p w14:paraId="3556763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1.USB 接口数量：机箱前面板应提供不少于</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个USB 接口（含 2个USB3.0 及以上接口</w:t>
            </w:r>
            <w:r>
              <w:rPr>
                <w:rFonts w:hint="eastAsia" w:ascii="仿宋_GB2312" w:hAnsi="仿宋_GB2312" w:eastAsia="仿宋_GB2312" w:cs="仿宋_GB2312"/>
                <w:color w:val="auto"/>
                <w:sz w:val="24"/>
                <w:szCs w:val="24"/>
                <w:highlight w:val="none"/>
                <w:lang w:val="en-US" w:eastAsia="zh-CN"/>
              </w:rPr>
              <w:t>额外支持USB接口在关机状态下对外充电</w:t>
            </w:r>
            <w:r>
              <w:rPr>
                <w:rFonts w:hint="eastAsia" w:ascii="仿宋_GB2312" w:hAnsi="仿宋_GB2312" w:eastAsia="仿宋_GB2312" w:cs="仿宋_GB2312"/>
                <w:color w:val="auto"/>
                <w:sz w:val="24"/>
                <w:szCs w:val="24"/>
                <w:highlight w:val="none"/>
              </w:rPr>
              <w:t>）；</w:t>
            </w:r>
            <w:r>
              <w:rPr>
                <w:rFonts w:hint="eastAsia" w:ascii="仿宋_GB2312" w:hAnsi="仿宋_GB2312" w:eastAsia="仿宋_GB2312" w:cs="仿宋_GB2312"/>
                <w:color w:val="auto"/>
                <w:sz w:val="24"/>
                <w:szCs w:val="24"/>
                <w:highlight w:val="none"/>
              </w:rPr>
              <w:cr/>
            </w:r>
            <w:r>
              <w:rPr>
                <w:rFonts w:hint="eastAsia" w:ascii="仿宋_GB2312" w:hAnsi="仿宋_GB2312" w:eastAsia="仿宋_GB2312" w:cs="仿宋_GB2312"/>
                <w:color w:val="auto"/>
                <w:sz w:val="24"/>
                <w:szCs w:val="24"/>
              </w:rPr>
              <w:t>2.视频接口数量：≥1；</w:t>
            </w:r>
          </w:p>
          <w:p w14:paraId="759DF1F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3.音频接口数量：≥1；</w:t>
            </w:r>
          </w:p>
          <w:p w14:paraId="0FC33E7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★十、整机基础规格</w:t>
            </w:r>
          </w:p>
          <w:p w14:paraId="2DD16B1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1.整机外观：a) 产品表面不应有凹痕、划伤、裂缝、变形和污染等。表面涂层均匀，不应起泡、龟裂、脱落和磨损，金属零部件无锈蚀及其它机械损伤；b) 产品表面说明功能的文字、符号、标志，应清晰、端正、牢固；</w:t>
            </w:r>
          </w:p>
          <w:p w14:paraId="487BE15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2.状态指示灯：在产品显著位置提供状态指示功能；</w:t>
            </w:r>
          </w:p>
          <w:p w14:paraId="4B9CDA6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3.整机结构：a) 机箱应符合 GB/T 420</w:t>
            </w:r>
            <w:r>
              <w:rPr>
                <w:rFonts w:hint="eastAsia" w:ascii="仿宋_GB2312" w:hAnsi="仿宋_GB2312" w:eastAsia="仿宋_GB2312" w:cs="仿宋_GB2312"/>
                <w:color w:val="auto"/>
                <w:sz w:val="24"/>
                <w:szCs w:val="24"/>
                <w:lang w:eastAsia="zh-CN"/>
              </w:rPr>
              <w:t>8.</w:t>
            </w:r>
            <w:r>
              <w:rPr>
                <w:rFonts w:hint="eastAsia" w:ascii="仿宋_GB2312" w:hAnsi="仿宋_GB2312" w:eastAsia="仿宋_GB2312" w:cs="仿宋_GB2312"/>
                <w:color w:val="auto"/>
                <w:sz w:val="24"/>
                <w:szCs w:val="24"/>
              </w:rPr>
              <w:t>GB/T 26246的相关规定；b) 产品内部结构应符合通用部件的安装需求；c) 所有输入输出接口应符合相关国家或行业标准；d) 产品零部件应紧固无松动，可插拔部件应可靠连接，开关、按钮和其它控制部件应灵活可靠，布局应方便使用；e) 所有 I/O 连接器及需插接线缆的部位应预留采购人操作空间，方便插拔解锁与插拔线缆；f) 可插拔板卡插槽部位应预留安装、拆卸或更换板卡空间；g) 拆装可能接触到的金属剪口或金属尖角部位应做防划伤处理，以保证安全；h) 整机内部走线应规整，固线结构和位置要合理可靠并做防割线处理，需便于理线和插拔操作，走线应不影响系统各主要部件组装和拆卸；i) 如需通过孔走线，过线孔应做防割线处理；j) 各插头位置和插拔方向应合理，应做到插拔无障碍设计，具备防呆设计，有效避免误操作；k) 各主要部件拆装无障碍，使用常规工具拆装，无特殊拆装工具需求；l) 各主要部件拆装步骤要少，各自拆装需避免相互干扰；m) 对于整机或零部件外表面为高亮面的，应粘贴保护膜，保护膜需粘贴牢固，运输、组装等过程不易脱落，撕下无残留；n) 其它要求应符合 GB/T 9813.1 的相关规定；</w:t>
            </w:r>
          </w:p>
          <w:p w14:paraId="60ECC5E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4.机箱防护要求：机箱应符合 GB/T 4208 中 IP20 防护要求；</w:t>
            </w:r>
          </w:p>
          <w:p w14:paraId="4FCF115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5.整机噪音：产品工作在空闲状态下，产品的声功率级≤</w:t>
            </w:r>
            <w:r>
              <w:rPr>
                <w:rFonts w:hint="eastAsia" w:ascii="仿宋_GB2312" w:hAnsi="仿宋_GB2312" w:eastAsia="仿宋_GB2312" w:cs="仿宋_GB2312"/>
                <w:color w:val="auto"/>
                <w:sz w:val="24"/>
                <w:szCs w:val="24"/>
                <w:highlight w:val="none"/>
                <w:lang w:val="en-US" w:eastAsia="zh-CN"/>
              </w:rPr>
              <w:t>4.</w:t>
            </w:r>
            <w:r>
              <w:rPr>
                <w:rFonts w:hint="eastAsia" w:ascii="仿宋_GB2312" w:hAnsi="仿宋_GB2312" w:eastAsia="仿宋_GB2312" w:cs="仿宋_GB2312"/>
                <w:color w:val="auto"/>
                <w:sz w:val="24"/>
                <w:szCs w:val="24"/>
                <w:highlight w:val="none"/>
              </w:rPr>
              <w:t>5Bel；</w:t>
            </w:r>
          </w:p>
          <w:p w14:paraId="001A54F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6.整机散热：在环境温度 25℃及处理器满载情况下，产品表面温度应符合如下要求：a) 出风口在机箱后面板情况下，出风口温度不高于 55℃；b) 可触及面温度不高于 45℃；c) 显示器表面温度：显示屏不高于38℃，显示屏上下灯带位置温度（如涉及）不高于 40℃，出风口温度不高于 45℃；</w:t>
            </w:r>
          </w:p>
          <w:p w14:paraId="1664457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7.整机能效限定值：产品能效限定值应达到 GB 28380-2012标准中能效等级 2 级及以上；</w:t>
            </w:r>
          </w:p>
          <w:p w14:paraId="0D7BB72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8.机身材质：塑料/金属等；</w:t>
            </w:r>
          </w:p>
          <w:p w14:paraId="2A71B1D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9.机身颜色：黑色商务色系；</w:t>
            </w:r>
          </w:p>
          <w:p w14:paraId="5F9A16A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10.机箱尺寸容量：机箱体积≤</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0L;</w:t>
            </w:r>
          </w:p>
          <w:p w14:paraId="54A2562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★十一、CPU性能</w:t>
            </w:r>
          </w:p>
          <w:p w14:paraId="06E9F80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1.CPU 物理核数：≥</w:t>
            </w:r>
            <w:r>
              <w:rPr>
                <w:rFonts w:hint="eastAsia" w:ascii="仿宋_GB2312" w:hAnsi="仿宋_GB2312" w:eastAsia="仿宋_GB2312" w:cs="仿宋_GB2312"/>
                <w:color w:val="auto"/>
                <w:sz w:val="24"/>
                <w:szCs w:val="24"/>
                <w:lang w:val="en-US" w:eastAsia="zh-CN"/>
              </w:rPr>
              <w:t>8</w:t>
            </w:r>
            <w:r>
              <w:rPr>
                <w:rFonts w:hint="eastAsia" w:ascii="仿宋_GB2312" w:hAnsi="仿宋_GB2312" w:eastAsia="仿宋_GB2312" w:cs="仿宋_GB2312"/>
                <w:color w:val="auto"/>
                <w:sz w:val="24"/>
                <w:szCs w:val="24"/>
              </w:rPr>
              <w:t>；</w:t>
            </w:r>
          </w:p>
          <w:p w14:paraId="3AB26BDD">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2.CPU 主频：≥2.7GHz；</w:t>
            </w:r>
          </w:p>
          <w:p w14:paraId="113F923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3.CPU 末级缓存容量：≥8MB；</w:t>
            </w:r>
          </w:p>
          <w:p w14:paraId="4D6BDD4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4.CPU 支持的内存最高速率：≥2666MT/s；</w:t>
            </w:r>
          </w:p>
          <w:p w14:paraId="66DED77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★十二、内存性能</w:t>
            </w:r>
          </w:p>
          <w:p w14:paraId="6FA64A7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1.内存读写速率：≥2666MT/s；</w:t>
            </w:r>
          </w:p>
          <w:p w14:paraId="47F7FB2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★十三、显卡性能</w:t>
            </w:r>
          </w:p>
          <w:p w14:paraId="2ADBE32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1.显示分辨率：≥1920*1080；</w:t>
            </w:r>
          </w:p>
          <w:p w14:paraId="34784FB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2.显卡显示芯片核心频率：≥300MHz；</w:t>
            </w:r>
          </w:p>
          <w:p w14:paraId="15F914B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3.显存等效频率：≥1000MT/s；</w:t>
            </w:r>
          </w:p>
          <w:p w14:paraId="6DFE96E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4.显卡可支持多屏同时显示数量：显卡应支持2块屏幕同时显示，分辨率应不低于1920*1080；</w:t>
            </w:r>
          </w:p>
          <w:p w14:paraId="1DB2595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★十四、显示设备性能</w:t>
            </w:r>
          </w:p>
          <w:p w14:paraId="1780714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1.显示屏刷新率：≥</w:t>
            </w:r>
            <w:r>
              <w:rPr>
                <w:rFonts w:hint="eastAsia" w:ascii="仿宋_GB2312" w:hAnsi="仿宋_GB2312" w:eastAsia="仿宋_GB2312" w:cs="仿宋_GB2312"/>
                <w:color w:val="auto"/>
                <w:sz w:val="24"/>
                <w:szCs w:val="24"/>
                <w:lang w:val="en-US" w:eastAsia="zh-CN"/>
              </w:rPr>
              <w:t>90</w:t>
            </w:r>
            <w:r>
              <w:rPr>
                <w:rFonts w:hint="eastAsia" w:ascii="仿宋_GB2312" w:hAnsi="仿宋_GB2312" w:eastAsia="仿宋_GB2312" w:cs="仿宋_GB2312"/>
                <w:color w:val="auto"/>
                <w:sz w:val="24"/>
                <w:szCs w:val="24"/>
              </w:rPr>
              <w:t>Hz；</w:t>
            </w:r>
          </w:p>
          <w:p w14:paraId="789FD82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2.显示屏位深：≥8位；</w:t>
            </w:r>
          </w:p>
          <w:p w14:paraId="144C4D1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rPr>
              <w:t>3.显示屏色域：≥99%sRGB</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≥90%DCI-P3</w:t>
            </w:r>
            <w:r>
              <w:rPr>
                <w:rFonts w:hint="eastAsia" w:ascii="仿宋_GB2312" w:hAnsi="仿宋_GB2312" w:eastAsia="仿宋_GB2312" w:cs="仿宋_GB2312"/>
                <w:color w:val="auto"/>
                <w:sz w:val="24"/>
                <w:szCs w:val="24"/>
                <w:lang w:val="en-US" w:eastAsia="zh-CN"/>
              </w:rPr>
              <w:t>;</w:t>
            </w:r>
          </w:p>
          <w:p w14:paraId="2909B9E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4.显示屏色准：△E≤4；</w:t>
            </w:r>
          </w:p>
          <w:p w14:paraId="573808A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5.显示屏响应时间：≤8ms；</w:t>
            </w:r>
          </w:p>
          <w:p w14:paraId="791883F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6.显示屏亮度：≥250尼特；</w:t>
            </w:r>
          </w:p>
          <w:p w14:paraId="572991E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7.显示屏亮度一致性：≥70%；</w:t>
            </w:r>
          </w:p>
          <w:p w14:paraId="49319C5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8.显示屏对比度：≥500：1；</w:t>
            </w:r>
          </w:p>
          <w:p w14:paraId="1CD6E4C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9.显示屏其他参数：其它参数应符合 SJ/T 11292 的相关规定；</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lang w:eastAsia="zh-CN"/>
              </w:rPr>
              <w:t>★十五、网络设备性能</w:t>
            </w:r>
          </w:p>
          <w:p w14:paraId="130F9CF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1.有线网卡速率：最高速率应不低于1000Mbps，应支持10Mbps、100Mbps、1000Mbps 速率自适应；</w:t>
            </w:r>
          </w:p>
          <w:p w14:paraId="16BD8D8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★十六、主板功能</w:t>
            </w:r>
          </w:p>
          <w:p w14:paraId="4F3F65E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1.内存扩展接口(板载内存不涉及)：≥2个；</w:t>
            </w:r>
          </w:p>
          <w:p w14:paraId="1C29A2C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2.主板USB瞬间过流保护：支持有瞬间过流保护功能；</w:t>
            </w:r>
          </w:p>
          <w:p w14:paraId="2ED2DBC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3.主板防静电保护：支持防静电保护功能；</w:t>
            </w:r>
          </w:p>
          <w:p w14:paraId="337D05E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I/O接口功能：提供基于标准USB接口外设连接功能、基于音频输入输出接口的音频扩展功能、基于PCIe接口板卡扩展功能、基于HDMI或VGA或Type-C或DVI或DP等接口外接显示器扩展功能、基于存储接口对产品进行增容功能等。产品I/O接口，应具备外接标准USB设备、显示器、音频设备等内外部设备能力；</w:t>
            </w:r>
          </w:p>
          <w:p w14:paraId="0D42CB8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★十七、显卡功能</w:t>
            </w:r>
          </w:p>
          <w:p w14:paraId="6E9C6ED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1.显卡外接显示接口：显卡至少支持 VGA、HDMI、DVI、DP、Type-C 中 1 种显示接口，并与显示器接口相匹配；</w:t>
            </w:r>
          </w:p>
          <w:p w14:paraId="51080F8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★十八、显示设备功能</w:t>
            </w:r>
          </w:p>
          <w:p w14:paraId="5169086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1.显示器接口：显示器应与显卡外接显示接口匹配；</w:t>
            </w:r>
          </w:p>
          <w:p w14:paraId="0D9CBD7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2.显示器支架：显示器应提供显示器支架；</w:t>
            </w:r>
          </w:p>
          <w:p w14:paraId="7445F52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3.显示器参数调节：a)提供 OSD 选单按钮用于调节色彩、模式等；b)支持色温、亮度、对比度调节；</w:t>
            </w:r>
          </w:p>
          <w:p w14:paraId="06F7751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★十九、存储功能</w:t>
            </w:r>
          </w:p>
          <w:p w14:paraId="0D66BC4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1.存储功能：通过 SATA 固态存储/PCIe 固态存储/UFS 固态存储/SATA 硬磁盘等存储部件提供存储功能；</w:t>
            </w:r>
          </w:p>
          <w:p w14:paraId="75829A2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lang w:eastAsia="zh-CN"/>
              </w:rPr>
              <w:t>★二十、网络设备功能</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1.网络功能：a)支持网络连接、网络开启/关闭功能；b)支持访问网络和数据交换功能；</w:t>
            </w:r>
          </w:p>
          <w:p w14:paraId="4AC4CAA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2.数据传输：支持数据传输能力，并提供数据流量和异常日志记录功能；</w:t>
            </w:r>
          </w:p>
          <w:p w14:paraId="108897D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3.有线网卡接口类型：支持 RJ45 接口；</w:t>
            </w:r>
          </w:p>
          <w:p w14:paraId="0B82F4E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4.网络设备拆装：网络设备支持物理拆装，包括无线网卡和蓝牙模块等；</w:t>
            </w:r>
          </w:p>
          <w:p w14:paraId="0CB2C0A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★二十一、外部接口功能</w:t>
            </w:r>
          </w:p>
          <w:p w14:paraId="3562ACB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1.音频接口类型：支持 3.5mm 孔径 3 段式或 4 段式接口；</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2.视频接口类型：至少支持 VGA、HDMI、DVI、DP、Type-C中 1 种显示接口；</w:t>
            </w:r>
          </w:p>
          <w:p w14:paraId="48680C0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3.HDMI、DP、Type-C 显示接口要求：若提供 HDMI 或 DP 或 Type-C 作为显示接口，应支持音频和视频同步输出；</w:t>
            </w:r>
          </w:p>
          <w:p w14:paraId="5146278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★二十二、电源功能</w:t>
            </w:r>
          </w:p>
          <w:p w14:paraId="5944C17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1.电源线适配能力：电源适配器电线组件应符合 GB/T15934 的要求；</w:t>
            </w:r>
          </w:p>
          <w:p w14:paraId="2818DAA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★二十三、操作系统及软件功能</w:t>
            </w:r>
          </w:p>
          <w:p w14:paraId="06B00E4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1.中文信息处理要求：符合 GB 18030 的相关规定；</w:t>
            </w:r>
          </w:p>
          <w:p w14:paraId="3A5A5C6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2.操作系统备份及还原功能：支持操作系统备份及还原功能；</w:t>
            </w:r>
          </w:p>
          <w:p w14:paraId="579D388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3.固件备份还原能力：支持备份及还原固件的功能；</w:t>
            </w:r>
          </w:p>
          <w:p w14:paraId="02156B7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4.操作系统及驱动升级：支持通过网络、闪存盘等方式对操作系统、驱动进行升级；</w:t>
            </w:r>
          </w:p>
          <w:p w14:paraId="61FB86B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5.固件升级：支持通过网络、闪存盘等方式对固件进行升级；</w:t>
            </w:r>
          </w:p>
          <w:p w14:paraId="6B94C6A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6.BIOS 支持关闭通讯接口：支持 BIOS 关闭以太网及 USB 接口；</w:t>
            </w:r>
          </w:p>
          <w:p w14:paraId="5459AE9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7.固件查看信息：支持查看固件版本、内存信息、主板信息、处理器信息和系统时间信息等功能；</w:t>
            </w:r>
          </w:p>
          <w:p w14:paraId="61F192C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8.固件设置启动顺序：支持设置启动顺序功能，并按照设置的启动顺序启动；</w:t>
            </w:r>
          </w:p>
          <w:p w14:paraId="46C1496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9.固件设置口令：支持设置口令、修改口令、验证口令功能；</w:t>
            </w:r>
          </w:p>
          <w:p w14:paraId="7B70AC4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10.固件设置网络引导：支持网络引导启动和关闭功能；</w:t>
            </w:r>
          </w:p>
          <w:p w14:paraId="054318C6">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strike/>
                <w:color w:val="auto"/>
                <w:sz w:val="24"/>
                <w:szCs w:val="24"/>
              </w:rPr>
            </w:pPr>
            <w:r>
              <w:rPr>
                <w:rFonts w:hint="eastAsia" w:ascii="仿宋_GB2312" w:hAnsi="仿宋_GB2312" w:eastAsia="仿宋_GB2312" w:cs="仿宋_GB2312"/>
                <w:color w:val="auto"/>
                <w:sz w:val="24"/>
                <w:szCs w:val="24"/>
                <w:highlight w:val="none"/>
              </w:rPr>
              <w:t>11.</w:t>
            </w:r>
            <w:r>
              <w:rPr>
                <w:rFonts w:hint="eastAsia" w:ascii="仿宋_GB2312" w:hAnsi="仿宋_GB2312" w:eastAsia="仿宋_GB2312" w:cs="仿宋_GB2312"/>
                <w:color w:val="auto"/>
                <w:sz w:val="24"/>
                <w:szCs w:val="24"/>
                <w:highlight w:val="none"/>
                <w:lang w:val="en-US" w:eastAsia="zh-CN"/>
              </w:rPr>
              <w:t>提供功能至少有文字处理、电子表格、演示文稿三大应用模块的办公软件，授权≥3年</w:t>
            </w:r>
          </w:p>
          <w:p w14:paraId="63EA836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★二十四、存储设备可靠性</w:t>
            </w:r>
          </w:p>
          <w:p w14:paraId="6C8B710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1.固态存储寿命：TBW≥80TB（条件：512GB 硬盘容量）；</w:t>
            </w:r>
          </w:p>
          <w:p w14:paraId="0AEE3A2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2.机械硬盘寿命：通电时间≥5万小时；</w:t>
            </w:r>
          </w:p>
          <w:p w14:paraId="18FA384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★二十五、显示设备可靠性</w:t>
            </w:r>
          </w:p>
          <w:p w14:paraId="3F5DE5B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1.显示屏屏幕失效点：符合 GB/T 9813.2 的要求；</w:t>
            </w:r>
          </w:p>
          <w:p w14:paraId="795CD2B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★二十六、外设可靠性</w:t>
            </w:r>
          </w:p>
          <w:p w14:paraId="4E7716B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1.键盘按键寿命：≥1000 万次；</w:t>
            </w:r>
          </w:p>
          <w:p w14:paraId="0957FFE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2.鼠标按键寿命：≥500 万次；</w:t>
            </w:r>
          </w:p>
          <w:p w14:paraId="1094810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3.键盘鼠标线材寿命：键盘鼠标所用线材经±60°弯折不低于 3000 次，功能、外观完好；</w:t>
            </w:r>
          </w:p>
          <w:p w14:paraId="364EA75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4.风扇寿命：≥4 万小时；</w:t>
            </w:r>
          </w:p>
          <w:p w14:paraId="7B0AF60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★二十七、整机可靠性要求</w:t>
            </w:r>
          </w:p>
          <w:p w14:paraId="6B1C0AD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1.电磁兼容性要求的抗扰度：符合 GB/T 9254.2 的规定；</w:t>
            </w:r>
          </w:p>
          <w:p w14:paraId="45AA143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2.环境条件要求的气候环境适应性：符合 GB/T 9813.1 中规定；</w:t>
            </w:r>
          </w:p>
          <w:p w14:paraId="6060EC8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3.环境条件要求的振动适应性：符合 GB/T 9813.1 中规定；</w:t>
            </w:r>
          </w:p>
          <w:p w14:paraId="1D31287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4.环境条件要求的冲击适应性：符合 GB/T 9813.1 中规定；</w:t>
            </w:r>
          </w:p>
          <w:p w14:paraId="01E53A8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5.环境条件要求的碰撞适应性：符合 GB/T 9813.1 中规定；</w:t>
            </w:r>
          </w:p>
          <w:p w14:paraId="2184284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6.环境条件要求的运输包装件跌落适应性：符合 GB/T 9813.1 中规定；</w:t>
            </w:r>
          </w:p>
          <w:p w14:paraId="25AD163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highlight w:val="none"/>
              </w:rPr>
            </w:pPr>
            <w:r>
              <w:rPr>
                <w:rFonts w:hint="eastAsia" w:ascii="仿宋_GB2312" w:hAnsi="仿宋_GB2312" w:eastAsia="仿宋_GB2312" w:cs="仿宋_GB2312"/>
                <w:color w:val="auto"/>
                <w:sz w:val="24"/>
                <w:szCs w:val="24"/>
                <w:highlight w:val="none"/>
              </w:rPr>
              <w:t>7.MTBF 测试：MTBF(m1)≥</w:t>
            </w:r>
            <w:r>
              <w:rPr>
                <w:rFonts w:hint="eastAsia" w:ascii="仿宋_GB2312" w:hAnsi="仿宋_GB2312" w:eastAsia="仿宋_GB2312" w:cs="仿宋_GB2312"/>
                <w:color w:val="auto"/>
                <w:sz w:val="24"/>
                <w:szCs w:val="24"/>
                <w:highlight w:val="none"/>
                <w:lang w:val="en-US" w:eastAsia="zh-CN"/>
              </w:rPr>
              <w:t>99</w:t>
            </w:r>
            <w:r>
              <w:rPr>
                <w:rFonts w:hint="eastAsia" w:ascii="仿宋_GB2312" w:hAnsi="仿宋_GB2312" w:eastAsia="仿宋_GB2312" w:cs="仿宋_GB2312"/>
                <w:color w:val="auto"/>
                <w:sz w:val="24"/>
                <w:szCs w:val="24"/>
                <w:highlight w:val="none"/>
              </w:rPr>
              <w:t>万小时；</w:t>
            </w:r>
          </w:p>
          <w:p w14:paraId="7CC4D3D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★二十八、兼容要求</w:t>
            </w:r>
          </w:p>
          <w:p w14:paraId="1081D5E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1.常用软件兼容：支持流式软件、版式软件、浏览器、邮件采购人端、解压软件、多媒体、图形图像处理等常用软件；</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2.数据库兼容：兼容 3 个及以上厂商的数据库产品；</w:t>
            </w:r>
          </w:p>
          <w:p w14:paraId="33A83C3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3.中间件兼容：兼容 3 个及以上厂商中间件产品；</w:t>
            </w:r>
          </w:p>
          <w:p w14:paraId="245ACED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rPr>
              <w:t>4.平台软件兼容：兼容 3 个及以上厂商云计算及大数据平台；</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lang w:eastAsia="zh-CN"/>
              </w:rPr>
              <w:t>★二十九、包装及运输要求</w:t>
            </w:r>
          </w:p>
          <w:p w14:paraId="69C2121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1.标志、包装、运输和贮存：符合 GB/T 9813.1 和商品包装政府采购需求标准的相关规定；</w:t>
            </w:r>
          </w:p>
          <w:p w14:paraId="4728618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★三十、服务要求</w:t>
            </w:r>
          </w:p>
          <w:p w14:paraId="3F561EF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1.配置检查工具：供应商提供自检测试工具；</w:t>
            </w:r>
          </w:p>
          <w:p w14:paraId="7FB4AF0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2.服务响应：a)供应商提供电话、电子邮件、远程连接等多种形式服务；b)供应商提供同城 4h、异地 12h 技术响应服务，2 个工作日解决问题，对于未能解决的问题和故障应提供可行的升级方案，并提供周转设备或更换设备；c)建立全国技术服务体系和服务团体，符合专业服务体系标准要求，提供原厂中文服务；d)服务周期内提供产品的维修、换件和升级服务；</w:t>
            </w:r>
          </w:p>
          <w:p w14:paraId="52A1290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3.服务周期：a) 设备停产后应继续提供质量保障服务（含备品备件），服务终止时间与最后一批设备交付时间间隔不低于</w:t>
            </w:r>
          </w:p>
          <w:p w14:paraId="480AE2D5">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 年；b) 产品停止服务时间应提前 1 年告知；c) 应明确产品发布日期；</w:t>
            </w:r>
          </w:p>
          <w:p w14:paraId="0B171B7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4.预装操作系统：预装符合桌面操作系统政府采购需求标准的正版操作系统；预装的操作系统符合《操作系统政府采购需求标准》中加*指标要求（财政部工业和信息化部关于印发《操作系统政府采购需求标准（2023年版）》的通知）；</w:t>
            </w:r>
            <w:r>
              <w:rPr>
                <w:rFonts w:hint="eastAsia" w:ascii="仿宋_GB2312" w:hAnsi="仿宋_GB2312" w:eastAsia="仿宋_GB2312" w:cs="仿宋_GB2312"/>
                <w:color w:val="auto"/>
                <w:sz w:val="24"/>
                <w:szCs w:val="24"/>
              </w:rPr>
              <w:cr/>
            </w:r>
            <w:r>
              <w:rPr>
                <w:rFonts w:hint="eastAsia" w:ascii="仿宋_GB2312" w:hAnsi="仿宋_GB2312" w:eastAsia="仿宋_GB2312" w:cs="仿宋_GB2312"/>
                <w:color w:val="auto"/>
                <w:sz w:val="24"/>
                <w:szCs w:val="24"/>
              </w:rPr>
              <w:t>5.培训服务：供应商提供培训材料、产品手册、培训视频等培训相关内容；</w:t>
            </w:r>
          </w:p>
          <w:p w14:paraId="62DCC2E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6.典型问题解决手册：供应商提供典型问题解决说明文档或视频；</w:t>
            </w:r>
          </w:p>
          <w:p w14:paraId="4D705C61">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7.厂家升级软件与扩容服务：供应商提供上门升级部件/软件与扩容的增值服务；</w:t>
            </w:r>
          </w:p>
          <w:p w14:paraId="7A56AE4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8.整机质量服务要求：免费服务周期（含换件和维修）应不小于 3 年；</w:t>
            </w:r>
          </w:p>
          <w:p w14:paraId="359267C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9.合格证书要求：供应商提供产品合格证；</w:t>
            </w:r>
          </w:p>
          <w:p w14:paraId="5F738C79">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10.开箱组装/使用指导要求：供应商提供开箱组装/使用指导；</w:t>
            </w:r>
          </w:p>
          <w:p w14:paraId="2F4ADB8E">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11.驱动下载服务要求：供应商提供驱动光盘或下载方式；</w:t>
            </w:r>
          </w:p>
          <w:p w14:paraId="0BD4DD53">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12.兼容适配软件下载服务要求：供应商提供兼容适配软件下载渠道（光盘、网站）；</w:t>
            </w:r>
          </w:p>
          <w:p w14:paraId="1491505C">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★三十一、供应链合规性</w:t>
            </w:r>
          </w:p>
          <w:p w14:paraId="72965E2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 产品部件保障：供应商保障产品主要部件，提供 6 年的备件服务能力（自购买之日起），或提供可兼容原设备的升级换代产品；</w:t>
            </w:r>
          </w:p>
          <w:p w14:paraId="6C25F97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★三十二、供应链质量</w:t>
            </w:r>
          </w:p>
          <w:p w14:paraId="1E067410">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1.抗干扰性：当产品部件出现供应风险时，供应商应通知采购人并提供风险应对方案确保产品的服务保障；</w:t>
            </w:r>
          </w:p>
          <w:p w14:paraId="6E83F8D6">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 供应能力证明：供应商承诺供应链稳定，确保产品的部件在产品服务周期内稳定供货；</w:t>
            </w:r>
          </w:p>
          <w:p w14:paraId="7A32CEBA">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★三十三、关键部件安全</w:t>
            </w:r>
          </w:p>
          <w:p w14:paraId="58051CC7">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b/>
                <w:bCs/>
                <w:color w:val="auto"/>
                <w:sz w:val="24"/>
                <w:szCs w:val="24"/>
              </w:rPr>
            </w:pPr>
            <w:r>
              <w:rPr>
                <w:rFonts w:hint="eastAsia" w:ascii="仿宋_GB2312" w:hAnsi="仿宋_GB2312" w:eastAsia="仿宋_GB2312" w:cs="仿宋_GB2312"/>
                <w:color w:val="auto"/>
                <w:sz w:val="24"/>
                <w:szCs w:val="24"/>
              </w:rPr>
              <w:t>1.关键部件安全要求：CPU 和操作系统等关键部件应当符合安全可靠测评要求；</w:t>
            </w:r>
            <w:r>
              <w:rPr>
                <w:rFonts w:hint="eastAsia" w:ascii="仿宋_GB2312" w:hAnsi="仿宋_GB2312" w:eastAsia="仿宋_GB2312" w:cs="仿宋_GB2312"/>
                <w:b/>
                <w:bCs/>
                <w:color w:val="auto"/>
                <w:sz w:val="24"/>
                <w:szCs w:val="24"/>
              </w:rPr>
              <w:t>（通过政府有关部门指定的中国信息安全测评中心和国家保密科技测评中心网站查看安全可靠测评结果）；</w:t>
            </w:r>
          </w:p>
          <w:p w14:paraId="42F3F0DB">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b/>
                <w:bCs/>
                <w:color w:val="auto"/>
                <w:sz w:val="24"/>
                <w:szCs w:val="24"/>
              </w:rPr>
              <w:t>注：投标人在填写《技术响应表》时，在“投标文件响应技术参数”明确给出所投</w:t>
            </w:r>
            <w:r>
              <w:rPr>
                <w:rFonts w:hint="eastAsia" w:ascii="仿宋_GB2312" w:hAnsi="仿宋_GB2312" w:eastAsia="仿宋_GB2312" w:cs="仿宋_GB2312"/>
                <w:b/>
                <w:bCs/>
                <w:color w:val="auto"/>
                <w:sz w:val="24"/>
                <w:szCs w:val="24"/>
                <w:lang w:val="en-US" w:eastAsia="zh-CN"/>
              </w:rPr>
              <w:t>计算机</w:t>
            </w:r>
            <w:r>
              <w:rPr>
                <w:rFonts w:hint="eastAsia" w:ascii="仿宋_GB2312" w:hAnsi="仿宋_GB2312" w:eastAsia="仿宋_GB2312" w:cs="仿宋_GB2312"/>
                <w:b/>
                <w:bCs/>
                <w:color w:val="auto"/>
                <w:sz w:val="24"/>
                <w:szCs w:val="24"/>
              </w:rPr>
              <w:t>“CPU型号”及“操作系统”名称，否则视为投标无效。</w:t>
            </w:r>
          </w:p>
          <w:p w14:paraId="7DF3EB0F">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lang w:eastAsia="zh-CN"/>
              </w:rPr>
            </w:pPr>
            <w:r>
              <w:rPr>
                <w:rFonts w:hint="eastAsia" w:ascii="仿宋_GB2312" w:hAnsi="仿宋_GB2312" w:eastAsia="仿宋_GB2312" w:cs="仿宋_GB2312"/>
                <w:color w:val="auto"/>
                <w:sz w:val="24"/>
                <w:szCs w:val="24"/>
                <w:lang w:eastAsia="zh-CN"/>
              </w:rPr>
              <w:t>★三十四、整机安全性要求</w:t>
            </w:r>
          </w:p>
          <w:p w14:paraId="34966718">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1.密码算法实现：CPU 芯片应符合 GM/T 0008 的相关规定，或芯片密码模块应符合 GB/T 37092或 GM/T 0028 的相关规定；（通过商用密码检测机构检测并经商用密码认证机构认证合格）</w:t>
            </w:r>
          </w:p>
          <w:p w14:paraId="68D55004">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2.信息安全基本要求：a) 产品应符合 GB/T 39276 的 5.2 的规定；b) 生产厂商应建立漏洞跟踪表，保证产品版本涉及到的漏洞(如驱动程序等)可查看；c) 产品不得包含已知的恶意代码或漏洞，不存在未声明的指令、功能、接口；</w:t>
            </w:r>
          </w:p>
          <w:p w14:paraId="5FFC8502">
            <w:pPr>
              <w:keepNext w:val="0"/>
              <w:keepLines w:val="0"/>
              <w:pageBreakBefore w:val="0"/>
              <w:widowControl/>
              <w:kinsoku/>
              <w:overflowPunct/>
              <w:topLinePunct w:val="0"/>
              <w:autoSpaceDE/>
              <w:autoSpaceDN/>
              <w:bidi w:val="0"/>
              <w:snapToGrid w:val="0"/>
              <w:spacing w:line="400" w:lineRule="exact"/>
              <w:jc w:val="lef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3.固件安全启动：支持固件安全启动功能，固件启动过程中只有通过启动校验才能正常启动；</w:t>
            </w:r>
          </w:p>
          <w:p w14:paraId="7D6E8BB3">
            <w:pPr>
              <w:keepNext w:val="0"/>
              <w:keepLines w:val="0"/>
              <w:pageBreakBefore w:val="0"/>
              <w:widowControl/>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4.限用物质的限量要求：符合 GB/T 26572 中规定；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44DB582">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03D754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DC8561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9F735D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智慧电源管理器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7BC0450E">
            <w:pPr>
              <w:keepNext w:val="0"/>
              <w:keepLines w:val="0"/>
              <w:pageBreakBefore w:val="0"/>
              <w:widowControl/>
              <w:suppressLineNumbers w:val="0"/>
              <w:kinsoku/>
              <w:overflowPunct/>
              <w:topLinePunct w:val="0"/>
              <w:autoSpaceDE/>
              <w:autoSpaceDN/>
              <w:bidi w:val="0"/>
              <w:snapToGrid w:val="0"/>
              <w:spacing w:line="400" w:lineRule="exact"/>
              <w:jc w:val="left"/>
              <w:textAlignment w:val="top"/>
              <w:rPr>
                <w:rFonts w:hint="eastAsia" w:ascii="仿宋_GB2312" w:hAnsi="仿宋_GB2312" w:eastAsia="仿宋_GB2312" w:cs="仿宋_GB2312"/>
                <w:i w:val="0"/>
                <w:iCs w:val="0"/>
                <w:color w:val="auto"/>
                <w:kern w:val="0"/>
                <w:sz w:val="24"/>
                <w:szCs w:val="24"/>
                <w:u w:val="none"/>
                <w:lang w:val="en-US" w:eastAsia="zh-CN" w:bidi="ar"/>
              </w:rPr>
            </w:pPr>
            <w:r>
              <w:rPr>
                <w:rFonts w:ascii="仿宋_GB2312" w:eastAsia="仿宋_GB2312"/>
                <w:b/>
                <w:bCs/>
                <w:color w:val="auto"/>
                <w:sz w:val="24"/>
              </w:rPr>
              <w:t>★</w:t>
            </w:r>
            <w:r>
              <w:rPr>
                <w:rFonts w:hint="eastAsia" w:ascii="仿宋_GB2312" w:hAnsi="仿宋_GB2312" w:eastAsia="仿宋_GB2312" w:cs="仿宋_GB2312"/>
                <w:i w:val="0"/>
                <w:iCs w:val="0"/>
                <w:color w:val="auto"/>
                <w:kern w:val="0"/>
                <w:sz w:val="24"/>
                <w:szCs w:val="24"/>
                <w:u w:val="none"/>
                <w:lang w:val="en-US" w:eastAsia="zh-CN" w:bidi="ar"/>
              </w:rPr>
              <w:t>一、功能指标：</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本机基于网络与物联运维平台进行深度互联互通，并进行数字平台化集中管控作业；基于物联运维Web平台自动化执行访问业务功能，实时生成可视化系统链路拓扑图，可视化链路拓扑图中本机图标可一键进入执行对本机深度管控业务；基于物联运维Web平台执行多项数据的监测监控，包括但不限于本机在线/离线状态、电流、电压、功率、温度、用电量、运行时长与三相平衡等工作状态监测，多种异常情况自动报警，显示报警原因并自动上传报警日志至云端，在手机和电脑可远程实时监控；具备多项电气参数预设：包括但不限于输入电压过压和欠压阈值，每路输出单独设置电流、功率、温度断电阈值，超阈值范围报警，自动识别未正常工作设备，可选择是否断开输出；系统耗电量可自动生成功率走势图，可实时查看耗电情况；具备自定义选择输出通道定时开启和关闭，可自定义任意通道开关顺序，一键自定义顺序开关，可单次执行，也可循环执行；基于物联运维Web平台自动识别本机型号，执行修改本机名称和ID以及固件升级。必须保证接入“ 智慧物联管理平台”实现以上全部管控和监测功能。</w:t>
            </w:r>
          </w:p>
          <w:p w14:paraId="0158217B">
            <w:pPr>
              <w:keepNext w:val="0"/>
              <w:keepLines w:val="0"/>
              <w:pageBreakBefore w:val="0"/>
              <w:widowControl/>
              <w:suppressLineNumbers w:val="0"/>
              <w:kinsoku/>
              <w:overflowPunct/>
              <w:topLinePunct w:val="0"/>
              <w:autoSpaceDE/>
              <w:autoSpaceDN/>
              <w:bidi w:val="0"/>
              <w:snapToGrid w:val="0"/>
              <w:spacing w:line="400" w:lineRule="exact"/>
              <w:jc w:val="left"/>
              <w:textAlignment w:val="top"/>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2.本机具备多台组网运行功能，所有组网设备一键开关，保存所有当前开关状态为场景，可保存多个场景，开关状态可一键恢复；</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3.手机和平板APP在线可对本机管控，包含但不限于一键开关、并机运行、场景保存、定时控制、参数监测、报警管理、安全设置等操作管理。</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4.本机可开启和关闭远程操作，防止远端误操作；</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5.本机支持第三方协议控制通道开关,可以通过RS485向设备发送通讯协议控制设备通道开关；</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二、性能指标：</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1.输入接口不少于：1路三相五线制（AC 380 ±10％）；</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2.输出：不少于12路独立输出，每路相电压AC 220V±10％，每路带载≥4kW，12路输出最大可带载≥48kW；每路输出配有液压电磁式≥19A断路器，断路器可提供过载，短路保护；</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3.中控接口不少于：1路RS485;</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4.外网接口不少于：1路RJ45；</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5.触摸控制显示屏不小于：2.8英寸，亮度可调节，可触摸操控本机；</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6.显示屏显示功能需包含：设备状态、日期、通道状态、每路漏电、过压、过载等告警状态，方便本地直观管控。</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25AEB4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42A199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EBDB4A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4A5E92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智慧物联管理平台</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5FFA65A">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ascii="仿宋_GB2312" w:eastAsia="仿宋_GB2312"/>
                <w:b/>
                <w:bCs/>
                <w:color w:val="auto"/>
                <w:sz w:val="24"/>
              </w:rPr>
              <w:t>★</w:t>
            </w:r>
            <w:r>
              <w:rPr>
                <w:rFonts w:hint="eastAsia" w:ascii="仿宋_GB2312" w:hAnsi="仿宋_GB2312" w:eastAsia="仿宋_GB2312" w:cs="仿宋_GB2312"/>
                <w:i w:val="0"/>
                <w:iCs w:val="0"/>
                <w:color w:val="auto"/>
                <w:kern w:val="0"/>
                <w:sz w:val="24"/>
                <w:szCs w:val="24"/>
                <w:u w:val="none"/>
                <w:lang w:val="en-US" w:eastAsia="zh-CN" w:bidi="ar"/>
              </w:rPr>
              <w:t>（一）平台系统：</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1.系统基于大数据、人工智能和物联网进行技术构建，采用B/S架构，用户仅需通过浏览器访问即可访问系统实现系统设备平台化管控；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2.搭载基于物联网可视化建模引擎的全域开发架构，定义标准化物模型，对第三方物联终端的协议化集成与语义化交互，对每个设备设定可视化编程界面；</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3.系统支持可视化编程，内置各类组件，可自由编辑组合，生成可视化一体管控界面，针对系统音视频设备进行集中平台化管控；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4.支持系统设备多维度管控，具有项目总览工作台，通过图标方式实时显示系统场所数量，设备在线、离线、异常告警情况，进行设备类型以及告警趋势统计；</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5.系统内置多种物联设备管控模块，涵盖声、光、电、视、讯设备，支持设备物联管控，异常情况上报告警，可生成实时系统架构链路图，直观展示系统设备连接状态，异常链路实时告警；</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6.全面的设备实时监测功能，用户可查看物联网设备的在线状态、历史数据记录，并进行远程控制操作；</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7.具备多种场所类型建立，可将设备绑定至对应场所，通过控制面板、系统拓扑图对场所设备进行状态管理和物联管控；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具备批量导入用户列表，管理员可为每位用户配置详细信息(如用户名、手机号码、所属部门)并分配相应角色，从而获得特定的权限集合，提供便捷的账号生命周期管理功能，包括添加、修改、删除及权限变更等操作；</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9.各功能模块的访问权限可根据需求灵活配置。管理员可以创建自定义角色，并为每个角色分配特定的权限项，分配给不同用户或用户组，实现精确的权限控制；</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10.具有ONVIF摄像头组件，通过平台实时显示终端画面，通过系统提供的更高层次的内容分层服务和层间功能 (如网络分层、媒体分层和应用分层)，实现画面质量的提升和低延迟传输；</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11.具有环境监测系统接入功能，获取下属环境子设备上报信息，可策动灯光、窗帘、空调等环境设备进行环境控制；</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12.详细告警信息展示：包括告警ID、设备唯一标识符(Device ID)、 设备名称、所属项目及场所、发生时间、具体告警描述以及累计告警次数等关键信息，快速定位和解决问题，处理完告警事件后，可通过系统界面完成告警确认和关闭，确保告警处理过程的完整性和追踪性。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13.场景：支持自定义场景，将系统物联网设备进行预设，并进行手动场景、自动、条件触发，可根据场景类型，可根据需求选择设置，根据不同场景类型，可选择场景名称、执行方式、执行设备、条件类型、执行时间等进行设置。</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14.场景日志：平台能够显示场景日志，可查看具体信息，显示场景是否运行成功。</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ascii="仿宋_GB2312" w:eastAsia="仿宋_GB2312"/>
                <w:b/>
                <w:bCs/>
                <w:color w:val="auto"/>
                <w:sz w:val="24"/>
              </w:rPr>
              <w:t>★</w:t>
            </w:r>
            <w:r>
              <w:rPr>
                <w:rFonts w:hint="eastAsia" w:ascii="仿宋_GB2312" w:hAnsi="仿宋_GB2312" w:eastAsia="仿宋_GB2312" w:cs="仿宋_GB2312"/>
                <w:i w:val="0"/>
                <w:iCs w:val="0"/>
                <w:color w:val="auto"/>
                <w:kern w:val="0"/>
                <w:sz w:val="24"/>
                <w:szCs w:val="24"/>
                <w:u w:val="none"/>
                <w:lang w:val="en-US" w:eastAsia="zh-CN" w:bidi="ar"/>
              </w:rPr>
              <w:t>（二）设备管控：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支持电源管理，远程控制智慧电源设备每路独立开关，支持正序全部开启、逆序全部开启、正序全部关闭、逆序全部关闭，自由任意组合顺序开启与关闭，可监测设备上线/离线时间；支持设置编辑定时开关：可编辑定时开关名称、选择日期时间、选择生效通道，≥14个编辑定时任务列表；实时图形显示监测电源A、B、C三相中每相的功率负荷数据，独立显示监测每相实时电压、电流、功率、温度等数据，实时显示监测电源A、B、C三相总的设备总功率、设备用电量、设备运行时长、湿度等数据；支持实时监测显示每一路通道名称、控制状态、电流、功率、异常状态（过压、过流、欠压、欠流等异常情况告警）、运行时长等数据，每一路通道名称可任意命名修改；支持电气设置：可编辑电过压、欠压、温度温度阈值，可编辑每个通道的电流最小/最大阈值、功率最小/最大阈值，可设置异常数据告警和是否断电；平台可自动生成每个通道近23小时内耗电量功率走势图，可实时查看耗电情况；物联运维Web平台自动识别接入设备型号，执行修改接入设备名称和ID以及固件升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平台内置音视频管理模块，支持音频设备每个输入/输出通道实时电平监测显示，可通过平台对输入/输出音频通道进行路由矩阵混音，对音频/视频矩阵任意切换控制，可对每个输入/输出音频通道进行增益调整、静音等控制，可编辑保存≥15预设场景调用；</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3.分布式管控：对节点进行远程管理，实时监测 其HDMI、音频、电源、指示灯、232.485.IO/IR、主板、继电器接口、USB接口等状态，远程切换音频输入输出的模式、更改接口模式、更改分辨率、更改编码类型等。对节点 进行在线模式切换(in、out、kvm、in/out)，对设备进行在线重启、设备复位、恢复出厂设置等；</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4.环境管控：可视化编辑中系统提供产品组件进行自定义拓扑编辑，对智慧开关灯光组件以及窗帘组件等，通过平台实现远程控制智慧开关进行开关灯、控制灯控器进行灯光亮度调整以及控制窗帘开关等环境场景</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控制；</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功率放大器管控：实时显示物联音频功放模块、DSP模块状态，异常情况上报，可调整设备每个输入通道增益、静音并实时显示每个输入通道动态电平信号，调整设备每个输出通道增益、静音并实时显示每个输出通道动态电平信号，输入/输出增益微调范围:-80dB～+12dB，步进≤2dB；可获取设备每个通道状态，实时显示每个通道功放、DSP的状态，控制本机开启与关闭。</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6.音频终端管控：实时显示物联音频终端功放模块、DSP模块状态，异常情况上报，实时远程管理物联音柱输入输出增益，并进行一键静音。</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ascii="仿宋_GB2312" w:eastAsia="仿宋_GB2312"/>
                <w:b/>
                <w:bCs/>
                <w:color w:val="auto"/>
                <w:sz w:val="24"/>
              </w:rPr>
              <w:t>★</w:t>
            </w:r>
            <w:r>
              <w:rPr>
                <w:rFonts w:hint="eastAsia" w:ascii="仿宋_GB2312" w:hAnsi="仿宋_GB2312" w:eastAsia="仿宋_GB2312" w:cs="仿宋_GB2312"/>
                <w:i w:val="0"/>
                <w:iCs w:val="0"/>
                <w:color w:val="auto"/>
                <w:kern w:val="0"/>
                <w:sz w:val="24"/>
                <w:szCs w:val="24"/>
                <w:u w:val="none"/>
                <w:lang w:val="en-US" w:eastAsia="zh-CN" w:bidi="ar"/>
              </w:rPr>
              <w:t>（三）配套APP管控：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1.配套物联网智联APP,对所有的物联网设备进行云端管理和局域网管理；</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2.APP具有对物联网功放、音箱、运算处理中心、电源管理中心等设备进行远程控制和数据管理；</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3.APP具有对电源管理中心进行实时电流、电压、功率、温度、运行时长检测，自定义设备通道名称，进行电气设置，编辑设备告警和断电阈值；</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4.APP具有对物联网音频终端进行在线监测及调试，支持对其进行电流、电压、功率、温度的在线监测，设备自检，输出输出通道进行信号调节；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5.APP具有对音频设备输入输出增益进行实时控制，实时切换系统 矩阵混音，进行视频矩阵控制；</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6.APP具有对分布式节点进行管理，实时监测其HDMI、音频、电源、指示灯、232.485.IO/IR、主板、继电器接口、USB接口等状态，并能远程切换音频输入输出的模式、 更改接口模式、更改分辨率、更改编码类型等。支持对节点进行 在线模式切换(in、out、kvm、in/out),支持对设备进行在线重启、设备复位、恢复出厂设置等。</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233A088">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1套</w:t>
            </w:r>
          </w:p>
        </w:tc>
      </w:tr>
      <w:tr w14:paraId="5E622C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8BBF66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A6A7DB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交换机</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591B8D5">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千兆交换机，24口10/100/1000Mbps自适应电门交换机，支持VLAN、ACL、像、端口聚合等功能。</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7A1987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5EE338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6CC1A9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048C52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显示屏框架</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3E2D4FB8">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1.框体尺寸：</w:t>
            </w:r>
            <w:r>
              <w:rPr>
                <w:rFonts w:hint="eastAsia" w:ascii="仿宋_GB2312" w:hAnsi="仿宋_GB2312" w:eastAsia="仿宋_GB2312" w:cs="仿宋_GB2312"/>
                <w:color w:val="auto"/>
                <w:sz w:val="24"/>
                <w:szCs w:val="24"/>
                <w:lang w:val="en-US" w:eastAsia="zh-CN"/>
              </w:rPr>
              <w:t>≥9700</w:t>
            </w:r>
            <w:r>
              <w:rPr>
                <w:rFonts w:hint="eastAsia" w:ascii="仿宋_GB2312" w:hAnsi="仿宋_GB2312" w:eastAsia="仿宋_GB2312" w:cs="仿宋_GB2312"/>
                <w:color w:val="auto"/>
                <w:sz w:val="24"/>
                <w:szCs w:val="24"/>
              </w:rPr>
              <w:t>mm*</w:t>
            </w:r>
            <w:r>
              <w:rPr>
                <w:rFonts w:hint="eastAsia" w:ascii="仿宋_GB2312" w:hAnsi="仿宋_GB2312" w:eastAsia="仿宋_GB2312" w:cs="仿宋_GB2312"/>
                <w:color w:val="auto"/>
                <w:sz w:val="24"/>
                <w:szCs w:val="24"/>
                <w:lang w:val="en-US" w:eastAsia="zh-CN"/>
              </w:rPr>
              <w:t>426</w:t>
            </w:r>
            <w:r>
              <w:rPr>
                <w:rFonts w:hint="eastAsia" w:ascii="仿宋_GB2312" w:hAnsi="仿宋_GB2312" w:eastAsia="仿宋_GB2312" w:cs="仿宋_GB2312"/>
                <w:color w:val="auto"/>
                <w:sz w:val="24"/>
                <w:szCs w:val="24"/>
              </w:rPr>
              <w:t>0mm，壁挂安装;</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2</w:t>
            </w:r>
            <w:r>
              <w:rPr>
                <w:rFonts w:hint="eastAsia" w:ascii="仿宋_GB2312" w:hAnsi="仿宋_GB2312" w:eastAsia="仿宋_GB2312" w:cs="仿宋_GB2312"/>
                <w:color w:val="auto"/>
                <w:sz w:val="24"/>
                <w:szCs w:val="24"/>
                <w:lang w:val="en-US" w:eastAsia="zh-CN"/>
              </w:rPr>
              <w:t>.</w:t>
            </w:r>
            <w:r>
              <w:rPr>
                <w:rFonts w:hint="eastAsia" w:ascii="仿宋_GB2312" w:hAnsi="仿宋_GB2312" w:eastAsia="仿宋_GB2312" w:cs="仿宋_GB2312"/>
                <w:color w:val="auto"/>
                <w:sz w:val="24"/>
                <w:szCs w:val="24"/>
              </w:rPr>
              <w:t>含钢结构、定制包边。采用专用钢结构支架；</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3.按照国家钢结构设计规范，满足屏体安全承载需求制；</w:t>
            </w:r>
            <w:r>
              <w:rPr>
                <w:rFonts w:hint="eastAsia" w:ascii="仿宋_GB2312" w:hAnsi="仿宋_GB2312" w:eastAsia="仿宋_GB2312" w:cs="仿宋_GB2312"/>
                <w:color w:val="auto"/>
                <w:sz w:val="24"/>
                <w:szCs w:val="24"/>
              </w:rPr>
              <w:br w:type="textWrapping"/>
            </w:r>
            <w:r>
              <w:rPr>
                <w:rFonts w:hint="eastAsia" w:ascii="仿宋_GB2312" w:hAnsi="仿宋_GB2312" w:eastAsia="仿宋_GB2312" w:cs="仿宋_GB2312"/>
                <w:color w:val="auto"/>
                <w:sz w:val="24"/>
                <w:szCs w:val="24"/>
              </w:rPr>
              <w:t>4.</w:t>
            </w:r>
            <w:r>
              <w:rPr>
                <w:rFonts w:hint="eastAsia" w:ascii="仿宋_GB2312" w:hAnsi="仿宋_GB2312" w:eastAsia="仿宋_GB2312" w:cs="仿宋_GB2312"/>
                <w:color w:val="auto"/>
                <w:sz w:val="24"/>
                <w:szCs w:val="24"/>
                <w:lang w:eastAsia="zh-CN"/>
              </w:rPr>
              <w:t>显示屏采用支撑钢结构材料。</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EA3C7E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41.32㎡</w:t>
            </w:r>
          </w:p>
        </w:tc>
      </w:tr>
      <w:tr w14:paraId="6FA50A7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D12947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08081A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主电线缆</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F397819">
            <w:pPr>
              <w:keepNext w:val="0"/>
              <w:keepLines w:val="0"/>
              <w:pageBreakBefore w:val="0"/>
              <w:numPr>
                <w:ilvl w:val="0"/>
                <w:numId w:val="11"/>
              </w:numPr>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sz w:val="24"/>
                <w:szCs w:val="24"/>
              </w:rPr>
              <w:t>YJV</w:t>
            </w:r>
            <w:r>
              <w:rPr>
                <w:rFonts w:hint="eastAsia" w:ascii="仿宋_GB2312" w:hAnsi="仿宋_GB2312" w:eastAsia="仿宋_GB2312" w:cs="仿宋_GB2312"/>
                <w:color w:val="auto"/>
                <w:sz w:val="24"/>
                <w:szCs w:val="24"/>
                <w:lang w:val="en-US" w:eastAsia="zh-CN"/>
              </w:rPr>
              <w:t>3</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16+2*6</w:t>
            </w:r>
            <w:r>
              <w:rPr>
                <w:rFonts w:hint="eastAsia" w:ascii="仿宋_GB2312" w:hAnsi="仿宋_GB2312" w:eastAsia="仿宋_GB2312" w:cs="仿宋_GB2312"/>
                <w:color w:val="auto"/>
                <w:sz w:val="24"/>
                <w:szCs w:val="24"/>
              </w:rPr>
              <w:t>mm²，铜芯阻燃交联聚乙烯绝缘聚氯乙烯护套电力电缆</w:t>
            </w:r>
          </w:p>
          <w:p w14:paraId="31C02C76">
            <w:pPr>
              <w:keepNext w:val="0"/>
              <w:keepLines w:val="0"/>
              <w:pageBreakBefore w:val="0"/>
              <w:numPr>
                <w:ilvl w:val="0"/>
                <w:numId w:val="11"/>
              </w:numPr>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额定电压0.6/1KV</w:t>
            </w:r>
          </w:p>
          <w:p w14:paraId="68B23862">
            <w:pPr>
              <w:keepNext w:val="0"/>
              <w:keepLines w:val="0"/>
              <w:pageBreakBefore w:val="0"/>
              <w:numPr>
                <w:ilvl w:val="0"/>
                <w:numId w:val="11"/>
              </w:numPr>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导体电阻≤1.15Ω/km</w:t>
            </w:r>
          </w:p>
          <w:p w14:paraId="10931DA4">
            <w:pPr>
              <w:keepNext w:val="0"/>
              <w:keepLines w:val="0"/>
              <w:pageBreakBefore w:val="0"/>
              <w:numPr>
                <w:ilvl w:val="0"/>
                <w:numId w:val="11"/>
              </w:numPr>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电压试验3500V/5min不击穿</w:t>
            </w:r>
            <w:r>
              <w:rPr>
                <w:rFonts w:hint="eastAsia" w:ascii="仿宋_GB2312" w:hAnsi="仿宋_GB2312" w:eastAsia="仿宋_GB2312" w:cs="仿宋_GB2312"/>
                <w:color w:val="auto"/>
                <w:sz w:val="24"/>
                <w:szCs w:val="24"/>
                <w:lang w:eastAsia="zh-CN"/>
              </w:rPr>
              <w:t>，挖地、埋管</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0CED074">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260米</w:t>
            </w:r>
          </w:p>
        </w:tc>
      </w:tr>
      <w:tr w14:paraId="1B50CE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AB18C5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9C8495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网络跳线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17B0335">
            <w:pPr>
              <w:keepNext w:val="0"/>
              <w:keepLines w:val="0"/>
              <w:pageBreakBefore w:val="0"/>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RJ45超五类网络跳线（</w:t>
            </w:r>
            <w:r>
              <w:rPr>
                <w:rFonts w:hint="eastAsia" w:ascii="仿宋_GB2312" w:hAnsi="仿宋_GB2312" w:eastAsia="仿宋_GB2312" w:cs="仿宋_GB2312"/>
                <w:color w:val="auto"/>
                <w:sz w:val="24"/>
                <w:szCs w:val="24"/>
                <w:lang w:val="en-US" w:eastAsia="zh-CN"/>
              </w:rPr>
              <w:t>1</w:t>
            </w:r>
            <w:r>
              <w:rPr>
                <w:rFonts w:hint="eastAsia" w:ascii="仿宋_GB2312" w:hAnsi="仿宋_GB2312" w:eastAsia="仿宋_GB2312" w:cs="仿宋_GB2312"/>
                <w:color w:val="auto"/>
                <w:sz w:val="24"/>
                <w:szCs w:val="24"/>
              </w:rPr>
              <w:t>米）。</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4A58011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65条</w:t>
            </w:r>
          </w:p>
        </w:tc>
      </w:tr>
      <w:tr w14:paraId="7BD67D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A95CC8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E15609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内部电源线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78E6B7D">
            <w:pPr>
              <w:keepNext w:val="0"/>
              <w:keepLines w:val="0"/>
              <w:pageBreakBefore w:val="0"/>
              <w:numPr>
                <w:ilvl w:val="0"/>
                <w:numId w:val="0"/>
              </w:numPr>
              <w:kinsoku/>
              <w:overflowPunct/>
              <w:topLinePunct w:val="0"/>
              <w:autoSpaceDE/>
              <w:autoSpaceDN/>
              <w:bidi w:val="0"/>
              <w:snapToGrid w:val="0"/>
              <w:spacing w:line="400" w:lineRule="exact"/>
              <w:rPr>
                <w:rFonts w:hint="eastAsia" w:ascii="仿宋_GB2312" w:hAnsi="仿宋_GB2312" w:eastAsia="仿宋_GB2312" w:cs="仿宋_GB2312"/>
                <w:color w:val="auto"/>
                <w:sz w:val="24"/>
                <w:szCs w:val="24"/>
              </w:rPr>
            </w:pPr>
            <w:r>
              <w:rPr>
                <w:rFonts w:hint="eastAsia" w:ascii="仿宋_GB2312" w:hAnsi="仿宋_GB2312" w:eastAsia="仿宋_GB2312" w:cs="仿宋_GB2312"/>
                <w:color w:val="auto"/>
                <w:kern w:val="2"/>
                <w:sz w:val="24"/>
                <w:szCs w:val="24"/>
                <w:lang w:val="en-US" w:eastAsia="zh-CN" w:bidi="ar-SA"/>
              </w:rPr>
              <w:t>1.</w:t>
            </w:r>
            <w:r>
              <w:rPr>
                <w:rFonts w:hint="eastAsia" w:ascii="仿宋_GB2312" w:hAnsi="仿宋_GB2312" w:eastAsia="仿宋_GB2312" w:cs="仿宋_GB2312"/>
                <w:color w:val="auto"/>
                <w:sz w:val="24"/>
                <w:szCs w:val="24"/>
              </w:rPr>
              <w:t>YJV</w:t>
            </w:r>
            <w:r>
              <w:rPr>
                <w:rFonts w:hint="eastAsia" w:ascii="仿宋_GB2312" w:hAnsi="仿宋_GB2312" w:eastAsia="仿宋_GB2312" w:cs="仿宋_GB2312"/>
                <w:color w:val="auto"/>
                <w:sz w:val="24"/>
                <w:szCs w:val="24"/>
                <w:lang w:val="en-US" w:eastAsia="zh-CN"/>
              </w:rPr>
              <w:t>2</w:t>
            </w:r>
            <w:r>
              <w:rPr>
                <w:rFonts w:hint="eastAsia" w:ascii="仿宋_GB2312" w:hAnsi="仿宋_GB2312" w:eastAsia="仿宋_GB2312" w:cs="仿宋_GB2312"/>
                <w:color w:val="auto"/>
                <w:sz w:val="24"/>
                <w:szCs w:val="24"/>
              </w:rPr>
              <w:t>×</w:t>
            </w:r>
            <w:r>
              <w:rPr>
                <w:rFonts w:hint="eastAsia" w:ascii="仿宋_GB2312" w:hAnsi="仿宋_GB2312" w:eastAsia="仿宋_GB2312" w:cs="仿宋_GB2312"/>
                <w:color w:val="auto"/>
                <w:sz w:val="24"/>
                <w:szCs w:val="24"/>
                <w:lang w:val="en-US" w:eastAsia="zh-CN"/>
              </w:rPr>
              <w:t>2.5</w:t>
            </w:r>
            <w:r>
              <w:rPr>
                <w:rFonts w:hint="eastAsia" w:ascii="仿宋_GB2312" w:hAnsi="仿宋_GB2312" w:eastAsia="仿宋_GB2312" w:cs="仿宋_GB2312"/>
                <w:color w:val="auto"/>
                <w:sz w:val="24"/>
                <w:szCs w:val="24"/>
              </w:rPr>
              <w:t>mm²，铜芯阻燃交联聚乙烯绝缘聚氯乙烯护套电力电缆</w:t>
            </w:r>
          </w:p>
          <w:p w14:paraId="5BF9725F">
            <w:pPr>
              <w:keepNext w:val="0"/>
              <w:keepLines w:val="0"/>
              <w:pageBreakBefore w:val="0"/>
              <w:numPr>
                <w:ilvl w:val="0"/>
                <w:numId w:val="0"/>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2.</w:t>
            </w:r>
            <w:r>
              <w:rPr>
                <w:rFonts w:hint="eastAsia" w:ascii="仿宋_GB2312" w:hAnsi="仿宋_GB2312" w:eastAsia="仿宋_GB2312" w:cs="仿宋_GB2312"/>
                <w:color w:val="auto"/>
                <w:sz w:val="24"/>
                <w:szCs w:val="24"/>
              </w:rPr>
              <w:t>额定电压0.6/1KV</w:t>
            </w:r>
          </w:p>
          <w:p w14:paraId="514F35B2">
            <w:pPr>
              <w:keepNext w:val="0"/>
              <w:keepLines w:val="0"/>
              <w:pageBreakBefore w:val="0"/>
              <w:numPr>
                <w:ilvl w:val="0"/>
                <w:numId w:val="0"/>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3.</w:t>
            </w:r>
            <w:r>
              <w:rPr>
                <w:rFonts w:hint="eastAsia" w:ascii="仿宋_GB2312" w:hAnsi="仿宋_GB2312" w:eastAsia="仿宋_GB2312" w:cs="仿宋_GB2312"/>
                <w:color w:val="auto"/>
                <w:sz w:val="24"/>
                <w:szCs w:val="24"/>
              </w:rPr>
              <w:t>导体电阻≤1.15Ω/km</w:t>
            </w:r>
          </w:p>
          <w:p w14:paraId="487BB182">
            <w:pPr>
              <w:keepNext w:val="0"/>
              <w:keepLines w:val="0"/>
              <w:pageBreakBefore w:val="0"/>
              <w:numPr>
                <w:ilvl w:val="0"/>
                <w:numId w:val="0"/>
              </w:numPr>
              <w:kinsoku/>
              <w:overflowPunct/>
              <w:topLinePunct w:val="0"/>
              <w:autoSpaceDE/>
              <w:autoSpaceDN/>
              <w:bidi w:val="0"/>
              <w:snapToGrid w:val="0"/>
              <w:spacing w:line="400" w:lineRule="exact"/>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kern w:val="2"/>
                <w:sz w:val="24"/>
                <w:szCs w:val="24"/>
                <w:lang w:val="en-US" w:eastAsia="zh-CN" w:bidi="ar-SA"/>
              </w:rPr>
              <w:t>4.</w:t>
            </w:r>
            <w:r>
              <w:rPr>
                <w:rFonts w:hint="eastAsia" w:ascii="仿宋_GB2312" w:hAnsi="仿宋_GB2312" w:eastAsia="仿宋_GB2312" w:cs="仿宋_GB2312"/>
                <w:color w:val="auto"/>
                <w:sz w:val="24"/>
                <w:szCs w:val="24"/>
              </w:rPr>
              <w:t>电压试验3500V/5min不击穿。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363426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210米</w:t>
            </w:r>
          </w:p>
        </w:tc>
      </w:tr>
      <w:tr w14:paraId="3F72D63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27B3D75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FD7EA0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eastAsia="zh-CN"/>
              </w:rPr>
              <w:t>网线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DF107B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color w:val="auto"/>
                <w:sz w:val="24"/>
                <w:szCs w:val="24"/>
                <w:lang w:val="en-US" w:eastAsia="zh-CN"/>
              </w:rPr>
            </w:pPr>
            <w:r>
              <w:rPr>
                <w:rFonts w:hint="eastAsia" w:ascii="仿宋_GB2312" w:hAnsi="仿宋_GB2312" w:eastAsia="仿宋_GB2312" w:cs="仿宋_GB2312"/>
                <w:color w:val="auto"/>
                <w:sz w:val="24"/>
                <w:szCs w:val="24"/>
                <w:lang w:val="en-US" w:eastAsia="zh-CN"/>
              </w:rPr>
              <w:t>1．六类非屏蔽双绞线，纯铜芯，传输无衰减，采用PVC环保外皮，包装长度305米；</w:t>
            </w:r>
          </w:p>
          <w:p w14:paraId="105CAD4B">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lang w:val="en-US" w:eastAsia="zh-CN"/>
              </w:rPr>
              <w:t>2．芯数: 4*2含十字骨架；导体直径：0.57±0.05mm；外护套材质：PVC；外径：6.3±0.2mm； PVC外护套符合国标相关规定。</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1AF6D0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2箱</w:t>
            </w:r>
          </w:p>
        </w:tc>
      </w:tr>
      <w:tr w14:paraId="5B9286D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4D916BAC">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34D30D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eastAsia="zh-CN"/>
              </w:rPr>
              <w:t>辅助材料及施工等</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F2B0065">
            <w:pPr>
              <w:keepNext w:val="0"/>
              <w:keepLines w:val="0"/>
              <w:pageBreakBefore w:val="0"/>
              <w:kinsoku/>
              <w:overflowPunct/>
              <w:topLinePunct w:val="0"/>
              <w:autoSpaceDE/>
              <w:autoSpaceDN/>
              <w:bidi w:val="0"/>
              <w:snapToGrid w:val="0"/>
              <w:spacing w:line="400" w:lineRule="exact"/>
              <w:jc w:val="both"/>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color w:val="auto"/>
                <w:sz w:val="24"/>
                <w:szCs w:val="24"/>
              </w:rPr>
              <w:t>含布线施工及设计，安装调试及培训、辅材等。按柳州市教育系统工程施工规范要求实施。</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6F3AD674">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26E18B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9475" w:type="dxa"/>
            <w:gridSpan w:val="4"/>
            <w:tcBorders>
              <w:top w:val="single" w:color="auto" w:sz="4" w:space="0"/>
              <w:left w:val="single" w:color="auto" w:sz="4" w:space="0"/>
              <w:bottom w:val="single" w:color="auto" w:sz="4" w:space="0"/>
              <w:right w:val="single" w:color="auto" w:sz="4" w:space="0"/>
            </w:tcBorders>
            <w:shd w:val="clear" w:color="auto" w:fill="auto"/>
            <w:vAlign w:val="center"/>
          </w:tcPr>
          <w:p w14:paraId="43EC35E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bCs/>
                <w:color w:val="auto"/>
                <w:kern w:val="0"/>
                <w:sz w:val="24"/>
                <w:lang w:val="en-US" w:eastAsia="zh-CN" w:bidi="ar"/>
              </w:rPr>
              <w:t>（六）市十二中文昌校区音响系统</w:t>
            </w:r>
          </w:p>
        </w:tc>
      </w:tr>
      <w:tr w14:paraId="48F61F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F40AAFF">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541EDE8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eastAsia="zh-CN"/>
              </w:rPr>
              <w:t>线阵列音箱</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005F9CCE">
            <w:pPr>
              <w:keepNext w:val="0"/>
              <w:keepLines w:val="0"/>
              <w:pageBreakBefore w:val="0"/>
              <w:widowControl/>
              <w:suppressLineNumbers w:val="0"/>
              <w:kinsoku/>
              <w:overflowPunct/>
              <w:topLinePunct w:val="0"/>
              <w:autoSpaceDE/>
              <w:autoSpaceDN/>
              <w:bidi w:val="0"/>
              <w:snapToGrid w:val="0"/>
              <w:spacing w:line="400" w:lineRule="exact"/>
              <w:jc w:val="left"/>
              <w:textAlignment w:val="top"/>
              <w:rPr>
                <w:rFonts w:hint="eastAsia" w:ascii="仿宋_GB2312" w:hAnsi="仿宋_GB2312" w:eastAsia="仿宋_GB2312" w:cs="仿宋_GB2312"/>
                <w:b w:val="0"/>
                <w:bCs w:val="0"/>
                <w:color w:val="auto"/>
                <w:sz w:val="24"/>
                <w:szCs w:val="24"/>
              </w:rPr>
            </w:pPr>
            <w:r>
              <w:rPr>
                <w:rFonts w:ascii="仿宋_GB2312" w:eastAsia="仿宋_GB2312"/>
                <w:b/>
                <w:bCs/>
                <w:color w:val="auto"/>
                <w:sz w:val="24"/>
              </w:rPr>
              <w:t>★</w:t>
            </w:r>
            <w:r>
              <w:rPr>
                <w:rFonts w:hint="eastAsia" w:ascii="仿宋_GB2312" w:hAnsi="仿宋_GB2312" w:eastAsia="仿宋_GB2312" w:cs="仿宋_GB2312"/>
                <w:i w:val="0"/>
                <w:iCs w:val="0"/>
                <w:color w:val="auto"/>
                <w:kern w:val="0"/>
                <w:sz w:val="24"/>
                <w:szCs w:val="24"/>
                <w:u w:val="none"/>
                <w:lang w:val="en-US" w:eastAsia="zh-CN" w:bidi="ar"/>
              </w:rPr>
              <w:t>1.二分频模块式线性阵列扬声器，内置分频器，箱体采用桦木板，外表喷涂撒点漆，中低音单元采用4只10寸扬声器，高音采用4只3寸（75mm）音圈的高频扬声器，8只高、低频扬声器成线性阵列式排列安装在同一只弧形结构箱体内，吊挂式安装（需配专用线阵吊挂架）。</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2.额定功率(RMS): ≥HF380W（190+190）/LF1150W（575+575）；</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3.输入阻抗： 8</w:t>
            </w:r>
            <w:r>
              <w:rPr>
                <w:rStyle w:val="701"/>
                <w:rFonts w:hint="eastAsia" w:ascii="仿宋_GB2312" w:hAnsi="仿宋_GB2312" w:eastAsia="仿宋_GB2312" w:cs="仿宋_GB2312"/>
                <w:color w:val="auto"/>
                <w:sz w:val="24"/>
                <w:szCs w:val="24"/>
                <w:lang w:val="en-US" w:eastAsia="zh-CN" w:bidi="ar"/>
              </w:rPr>
              <w:t>Ω</w:t>
            </w:r>
            <w:r>
              <w:rPr>
                <w:rFonts w:hint="eastAsia" w:ascii="仿宋_GB2312" w:hAnsi="仿宋_GB2312" w:eastAsia="仿宋_GB2312" w:cs="仿宋_GB2312"/>
                <w:i w:val="0"/>
                <w:iCs w:val="0"/>
                <w:color w:val="auto"/>
                <w:kern w:val="0"/>
                <w:sz w:val="24"/>
                <w:szCs w:val="24"/>
                <w:u w:val="none"/>
                <w:lang w:val="en-US" w:eastAsia="zh-CN" w:bidi="ar"/>
              </w:rPr>
              <w:t>；</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4.频率响应：低频截止频率≤：70Hz，高频截止频率≥：17KHz (±3dB)；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5.分频点： 1.2KHz；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6.灵 敏 度：≥HF:106 dB/LF:99 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7.连续声压级：≥HF：132dB/LF：129dB；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8.最大声压级：≥ HF：138dB/LF：135dB；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9.覆盖角度： 90ºH × 50ºV；</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10.接口：4个4芯专业音箱插口。</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011C281">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2组</w:t>
            </w:r>
          </w:p>
        </w:tc>
      </w:tr>
      <w:tr w14:paraId="7278A2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CC1B70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07F30AE">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功率放大器（一）</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62B405B">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color w:val="auto"/>
                <w:lang w:eastAsia="zh-CN"/>
              </w:rPr>
            </w:pPr>
            <w:r>
              <w:rPr>
                <w:rFonts w:ascii="仿宋_GB2312" w:eastAsia="仿宋_GB2312"/>
                <w:b/>
                <w:bCs/>
                <w:color w:val="auto"/>
                <w:sz w:val="24"/>
              </w:rPr>
              <w:t>★</w:t>
            </w:r>
            <w:r>
              <w:rPr>
                <w:rFonts w:hint="eastAsia" w:ascii="仿宋_GB2312" w:hAnsi="仿宋_GB2312" w:eastAsia="仿宋_GB2312" w:cs="仿宋_GB2312"/>
                <w:i w:val="0"/>
                <w:iCs w:val="0"/>
                <w:color w:val="auto"/>
                <w:kern w:val="0"/>
                <w:sz w:val="24"/>
                <w:szCs w:val="24"/>
                <w:u w:val="none"/>
                <w:lang w:val="en-US" w:eastAsia="zh-CN" w:bidi="ar"/>
              </w:rPr>
              <w:t>1.本机基于网络与物联运维平台进行深度互联互通，并进行数字平台化集中管控作业；基于物联运维Web平台自动化执行访问业务功能，实时生成工作链路拓扑图，可视化链路中本机图标可一键进入执行对本机深度管控业务；基于物联运维Web平台执行多项业务功能的实时交互，包括但不限于调整本机增益、噪声门、延时、均衡、压限、信号路由等；基于物联运维Web平台执行多项数据的监测监控，包括但不限于本机电压、电流、温度、音频信号、上线/离线时间、故障报警等工作状态；基于物联运维Web平台自动识别本机型号，执行修改本机名称和ID以及固件升级，</w:t>
            </w:r>
            <w:r>
              <w:rPr>
                <w:rFonts w:hint="eastAsia" w:ascii="仿宋_GB2312" w:hAnsi="仿宋_GB2312" w:eastAsia="仿宋_GB2312" w:cs="仿宋_GB2312"/>
                <w:color w:val="auto"/>
                <w:sz w:val="24"/>
              </w:rPr>
              <w:t>必须保证接入本项目中</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rPr>
              <w:t>（五）市十二中文昌校区室内全彩LED屏序号9 智慧物联管理平台</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rPr>
              <w:t>实现以上全部管控和监测功能</w:t>
            </w:r>
            <w:r>
              <w:rPr>
                <w:rFonts w:hint="eastAsia" w:ascii="仿宋_GB2312" w:hAnsi="仿宋_GB2312" w:eastAsia="仿宋_GB2312" w:cs="仿宋_GB2312"/>
                <w:color w:val="auto"/>
                <w:sz w:val="24"/>
                <w:lang w:eastAsia="zh-CN"/>
              </w:rPr>
              <w:t>。</w:t>
            </w:r>
          </w:p>
          <w:p w14:paraId="6D293515">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2.DSP功能：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内置DSP模块，可通过电脑软件调试处理音效、智能化网络监测功放和DSP的工作状态；支持矩阵混音；≥24个用户程序保存和调用，可从设备导出至电脑或从电脑导入至设备；可对设备参数进行锁定和解锁；具备物联网运维管理平台接入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输入通道具有静音、增益、噪声门、延时相位、分频和均衡功能；输入/输出增益微调:-80dB～+12dB，步进≤0.2dB；输入噪声门:-120dB～0dB可调，步进≤0.5dB；输入分频器至少具有高通和低通2个滤波器:频率20-20000Hz可调，步进1Hz:至少具备巴特沃斯、宁克、贝塞尔三种类型选择，至少具有6dB\12dB\18dB\24dB\30dB\36dB\42dB\48dB共8种斜率选择，支持直通功能；输入至少具备7段参量均衡，均衡频率 20-20000Hz可调，步进≤1Hz，增益-20dB ～+15dB 可调，步进≤0.1dB，Q值 0.404-28.852可调，至少具有E0、高架、低架、全通1.全通2共5种均衡类型选择，至少具有直通/全直通/复位功能。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输出通道至少具有静音、增益、延时、相位、分频、均衡和压限功能；输出分频器至少具有高通和低通2个滤波器:频率20-20000Hz可调，步进≤1Hz，至少具有巴特沃斯、宁克、贝塞尔三种类型选择，至少具有6dB\12dB\18dB\24dB\30dB\36dB\42dB\48dB共8种斜率选择，支持直通功能；输出至少具备7段参量均衡，均衡频率20-20000Hz可调，步进≤1Hz;增益-20dB～+15dB可调，步进～0.1dB:Q值0.404-28.852可调，至少具有EQ.高架、低架、全通1.全通2共5种均衡类型选择，具有直通/全直通/复位功能，输出压限:阀值-40dBu～20dBu，步进≤1dBu。</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3.本机内置软启动，短路、过载、直流、过热保护、变压器过热保护和DC飘移等多重检测保护装置；具备(电源、信号、削峰、保护、桥接)LED工作状态指示灯。</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4.输出功率：≥2x700W/8Ω 2x1050W/4Ω；桥接：2100W/8Ω；</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5.总谐波失真(1KHz)：≤0.2%；</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6.信噪比(A计权)：≥100dB；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7.串音衰减(1kHz)：≥70dB；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8.频率响应：20Hz-20kHz；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9.输入阻抗：平衡≥20KΩ  非平衡≥10KΩ；</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10.增益差：≤1dB；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11.阻尼系数：≥250（8Ω，20-200Hz)；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color w:val="auto"/>
                <w:sz w:val="24"/>
                <w:szCs w:val="24"/>
              </w:rPr>
              <w:t>◆</w:t>
            </w:r>
            <w:r>
              <w:rPr>
                <w:rFonts w:hint="eastAsia" w:ascii="仿宋_GB2312" w:hAnsi="仿宋_GB2312" w:eastAsia="仿宋_GB2312" w:cs="仿宋_GB2312"/>
                <w:i w:val="0"/>
                <w:iCs w:val="0"/>
                <w:color w:val="auto"/>
                <w:kern w:val="0"/>
                <w:sz w:val="24"/>
                <w:szCs w:val="24"/>
                <w:u w:val="none"/>
                <w:lang w:val="en-US" w:eastAsia="zh-CN" w:bidi="ar"/>
              </w:rPr>
              <w:t>12.耐压测试：对电源端子与金属外壳之间进行测试:</w:t>
            </w:r>
            <w:r>
              <w:rPr>
                <w:rFonts w:hint="eastAsia" w:ascii="仿宋_GB2312" w:hAnsi="仿宋_GB2312" w:eastAsia="仿宋_GB2312" w:cs="仿宋_GB2312"/>
                <w:i w:val="0"/>
                <w:iCs w:val="0"/>
                <w:color w:val="auto"/>
                <w:kern w:val="0"/>
                <w:sz w:val="24"/>
                <w:szCs w:val="24"/>
                <w:highlight w:val="yellow"/>
                <w:u w:val="wave"/>
                <w:lang w:val="en-US" w:eastAsia="zh-CN" w:bidi="ar"/>
              </w:rPr>
              <w:t>高压≥1000V AC(10mA)冲击 60s</w:t>
            </w:r>
            <w:r>
              <w:rPr>
                <w:rFonts w:hint="eastAsia" w:ascii="仿宋_GB2312" w:hAnsi="仿宋_GB2312" w:eastAsia="仿宋_GB2312" w:cs="仿宋_GB2312"/>
                <w:i w:val="0"/>
                <w:iCs w:val="0"/>
                <w:color w:val="auto"/>
                <w:kern w:val="0"/>
                <w:sz w:val="24"/>
                <w:szCs w:val="24"/>
                <w:u w:val="none"/>
                <w:lang w:val="en-US" w:eastAsia="zh-CN" w:bidi="ar"/>
              </w:rPr>
              <w:t>，无飞弧，无击穿。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B1CE86B">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14D126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5891159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3CE2141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功率放大器（二）</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C5C759A">
            <w:pPr>
              <w:pStyle w:val="19"/>
              <w:keepNext w:val="0"/>
              <w:keepLines w:val="0"/>
              <w:pageBreakBefore w:val="0"/>
              <w:kinsoku/>
              <w:overflowPunct/>
              <w:topLinePunct w:val="0"/>
              <w:autoSpaceDE/>
              <w:autoSpaceDN/>
              <w:bidi w:val="0"/>
              <w:snapToGrid w:val="0"/>
              <w:spacing w:line="400" w:lineRule="exact"/>
              <w:rPr>
                <w:color w:val="auto"/>
              </w:rPr>
            </w:pPr>
            <w:r>
              <w:rPr>
                <w:rFonts w:hint="eastAsia" w:ascii="仿宋_GB2312" w:hAnsi="仿宋_GB2312" w:eastAsia="仿宋_GB2312" w:cs="仿宋_GB2312"/>
                <w:i w:val="0"/>
                <w:iCs w:val="0"/>
                <w:color w:val="auto"/>
                <w:kern w:val="0"/>
                <w:sz w:val="24"/>
                <w:szCs w:val="24"/>
                <w:u w:val="none"/>
                <w:lang w:val="en-US" w:eastAsia="zh-CN" w:bidi="ar"/>
              </w:rPr>
              <w:t>1.本机基于网络与物联运维平台进行深度互联互通，并进行数字平台化集中管控作业；基于物联运维Web平台自动化执行访问业务功能，实时生成工作链路拓扑图，可视化链路中本机图标可一键进入执行对本机深度管控业务；基于物联运维Web平台执行多项业务功能的实时交互，包括但不限于调整本机增益、噪声门、延时、均衡、压限、信号路由等；基于物联运维Web平台执行多项数据的监测监控，包括但不限于本机电压、电流、温度、音频信号、上线/离线时间、故障报警等工作状态；基于物联运维Web平台自动识别本机型号，执行修改本机名称和ID以及固件升级，</w:t>
            </w:r>
            <w:r>
              <w:rPr>
                <w:rFonts w:hint="eastAsia" w:ascii="仿宋_GB2312" w:hAnsi="仿宋_GB2312" w:eastAsia="仿宋_GB2312" w:cs="仿宋_GB2312"/>
                <w:color w:val="auto"/>
                <w:sz w:val="24"/>
              </w:rPr>
              <w:t>必须保证接入本项目中</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rPr>
              <w:t>（五）市十二中文昌校区室内全彩LED屏</w:t>
            </w:r>
            <w:r>
              <w:rPr>
                <w:rFonts w:hint="eastAsia" w:ascii="仿宋_GB2312" w:hAnsi="仿宋_GB2312" w:eastAsia="仿宋_GB2312" w:cs="仿宋_GB2312"/>
                <w:color w:val="auto"/>
                <w:sz w:val="24"/>
                <w:lang w:eastAsia="zh-CN"/>
              </w:rPr>
              <w:t>序号</w:t>
            </w:r>
            <w:r>
              <w:rPr>
                <w:rFonts w:hint="eastAsia" w:ascii="仿宋_GB2312" w:hAnsi="仿宋_GB2312" w:eastAsia="仿宋_GB2312" w:cs="仿宋_GB2312"/>
                <w:color w:val="auto"/>
                <w:sz w:val="24"/>
                <w:lang w:val="en-US" w:eastAsia="zh-CN"/>
              </w:rPr>
              <w:t xml:space="preserve"> </w:t>
            </w:r>
            <w:r>
              <w:rPr>
                <w:rFonts w:hint="eastAsia" w:ascii="仿宋_GB2312" w:hAnsi="仿宋_GB2312" w:eastAsia="仿宋_GB2312" w:cs="仿宋_GB2312"/>
                <w:color w:val="auto"/>
                <w:sz w:val="24"/>
              </w:rPr>
              <w:t>9 智慧物联管理平台</w:t>
            </w:r>
            <w:r>
              <w:rPr>
                <w:rFonts w:hint="eastAsia" w:ascii="仿宋_GB2312" w:hAnsi="仿宋_GB2312" w:eastAsia="仿宋_GB2312" w:cs="仿宋_GB2312"/>
                <w:color w:val="auto"/>
                <w:sz w:val="24"/>
                <w:lang w:eastAsia="zh-CN"/>
              </w:rPr>
              <w:t>”</w:t>
            </w:r>
            <w:r>
              <w:rPr>
                <w:rFonts w:hint="eastAsia" w:ascii="仿宋_GB2312" w:hAnsi="仿宋_GB2312" w:eastAsia="仿宋_GB2312" w:cs="仿宋_GB2312"/>
                <w:color w:val="auto"/>
                <w:sz w:val="24"/>
              </w:rPr>
              <w:t>实现以上全部管控和监测功能</w:t>
            </w:r>
            <w:r>
              <w:rPr>
                <w:rFonts w:hint="eastAsia" w:ascii="仿宋_GB2312" w:hAnsi="仿宋_GB2312" w:eastAsia="仿宋_GB2312" w:cs="仿宋_GB2312"/>
                <w:color w:val="auto"/>
                <w:sz w:val="24"/>
                <w:lang w:eastAsia="zh-CN"/>
              </w:rPr>
              <w:t>。</w:t>
            </w:r>
            <w:r>
              <w:rPr>
                <w:rFonts w:hint="eastAsia" w:ascii="方正仿宋_GB2312" w:hAnsi="方正仿宋_GB2312" w:eastAsia="方正仿宋_GB2312" w:cs="方正仿宋_GB2312"/>
                <w:i w:val="0"/>
                <w:iCs w:val="0"/>
                <w:color w:val="auto"/>
                <w:kern w:val="0"/>
                <w:sz w:val="24"/>
                <w:szCs w:val="24"/>
                <w:u w:val="none"/>
                <w:lang w:val="en-US" w:eastAsia="zh-CN" w:bidi="ar"/>
              </w:rPr>
              <w:br w:type="textWrapping"/>
            </w:r>
            <w:r>
              <w:rPr>
                <w:rFonts w:ascii="仿宋_GB2312" w:eastAsia="仿宋_GB2312"/>
                <w:b/>
                <w:bCs/>
                <w:color w:val="auto"/>
                <w:sz w:val="24"/>
              </w:rPr>
              <w:t>★</w:t>
            </w:r>
            <w:r>
              <w:rPr>
                <w:rFonts w:hint="eastAsia" w:ascii="仿宋_GB2312" w:hAnsi="仿宋_GB2312" w:eastAsia="仿宋_GB2312" w:cs="仿宋_GB2312"/>
                <w:i w:val="0"/>
                <w:iCs w:val="0"/>
                <w:color w:val="auto"/>
                <w:kern w:val="0"/>
                <w:sz w:val="24"/>
                <w:szCs w:val="24"/>
                <w:u w:val="none"/>
                <w:lang w:val="en-US" w:eastAsia="zh-CN" w:bidi="ar"/>
              </w:rPr>
              <w:t>2.DSP功能：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内置DSP模块，可通过电脑软件调试处理音效、智能化网络监测功放和DSP的工作状态；支持矩阵混音；≥24个用户程序保存和调用，可从设备导出至电脑或从电脑导入至设备；可对设备参数进行锁定和解锁；具备物联网运维管理平台接入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输入通道具有静音、增益、噪声门、延时相位、分频和均衡功能；输入/输出增益微调:-80dB～+12dB，步进≤0.2dB；输入噪声门:-120dB～0dB可调，步进≤0.5dB；输入分频器至少具有高通和低通2个滤波器:频率20-20000Hz可调，步进1Hz:至少具备巴特沃斯、宁克、贝塞尔三种类型选择，至少具有6dB\12dB\18dB\24dB\30dB\36dB\42dB\48dB共8种斜率选择，支持直通功能；输入至少具备7段参量均衡，均衡频率 20-20000Hz可调，步进≤1Hz，增益-20dB ～+15dB 可调，步进≤0.1dB，Q值 0.404-28.852可调，至少具有E0、高架、低架、全通1.全通2共5种均衡类型选择，至少具有直通/全直通/复位功能。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输出通道至少具有静音、增益、延时、相位、分频、均衡和压限功能；输出分频器至少具有高通和低通2个滤波器:频率20-20000Hz可调，步进≤1Hz，至少具有巴特沃斯、宁克、贝塞尔三种类型选择，至少具有6dB\12dB\18dB\24dB\30dB\36dB\42dB\48dB共8种斜率选择，支持直通功能；输出至少具备7段参量均衡，均衡频率20-20000Hz可调，步进≤1Hz;增益-20dB～+15dB可调，步进～0.1dB:Q值0.404-28.852可调，至少具有EQ.高架、低架、全通1.全通2共5种均衡类型选择，具有直通/全直通/复位功能，输出压限:阀值-40dBu～20dBu，步进≤1dBu。</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3.本机内置软启动，短路、过载、直流、过热保护、变压器过热保护和DC飘移等多重检测保护装置；具备(电源、信号、削峰、保护、桥接)LED工作状态指示灯。</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4.输出功率：≥2x1200W/8Ω 2x1800W/4Ω；桥接：3600W/8Ω；</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5.总谐波失真(1KHz)：≤0.2%；</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6.信噪比(A计权)：≥100dB；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7.串音衰减(1kHz)：≥70dB；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8.频率响应：20Hz-20kHz；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9.输入阻抗：平衡≥20KΩ  非平衡≥10KΩ；</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10.增益差：≤1dB；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11.阻尼系数：≥250（8Ω，20-200Hz)；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 xml:space="preserve">12.耐压测试：对电源端子与金属外壳之间进行测试: ≥1000V </w:t>
            </w:r>
          </w:p>
          <w:p w14:paraId="436260DF">
            <w:pPr>
              <w:keepNext w:val="0"/>
              <w:keepLines w:val="0"/>
              <w:pageBreakBefore w:val="0"/>
              <w:widowControl/>
              <w:numPr>
                <w:ilvl w:val="0"/>
                <w:numId w:val="0"/>
              </w:numPr>
              <w:suppressLineNumbers w:val="0"/>
              <w:kinsoku/>
              <w:overflowPunct/>
              <w:topLinePunct w:val="0"/>
              <w:autoSpaceDE/>
              <w:autoSpaceDN/>
              <w:bidi w:val="0"/>
              <w:snapToGrid w:val="0"/>
              <w:spacing w:line="400" w:lineRule="exact"/>
              <w:ind w:left="0" w:leftChars="0" w:firstLine="0" w:firstLineChars="0"/>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AC(10mA)冲击 60s，无飞弧，无击穿。</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3B823E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2589AC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0193F52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4</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050BCD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线阵安装架</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2ABFAD33">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铁质田字架，配合线阵音箱使用</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B557A90">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2副</w:t>
            </w:r>
          </w:p>
        </w:tc>
      </w:tr>
      <w:tr w14:paraId="3651E6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20B5E12">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5</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CBB6A67">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数字音频处理器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1F26982">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1.4进10出数字音频处理器;</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2.采用24位DSP技术，高性能AD/DA编解码器，采样率 96kHz；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3.灵活组合的输入输出，多种分频模式，内置分组联调，多编组控制音量等；</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4.输入输出音量调节，范围从-80dB到+12dB，最小步进0.1dB；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5.每个输入通道有9段参量均衡(PEQ)，每个输出通道有15段参量均衡(PEQ)，每段均有有参量，低架和高架等多种EQ类型选择；</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6.输出具备高通和低通滤波器，每个滤波器有多种斜率和类型供选择；</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7.每个输入/输出通道可设置最长延时达1200.00ms；</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8.每个输出通道带相位反转功能；通道复制功能，令调节更省便；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9.输入输出增益：-80dB～+12dB可调，歩进0.1dB；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10.压限阈值-60dBu～+0dBu可调，歩进0.1dBu；启动时间1ms～500ms可调，释放时间1ms～5000ms可调；</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11.多通道链接功能，可同时设置多个通道参数；</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12.支持网络连接或USB连接，支持固件更新，可单独对MCU或DSP升级；</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13.内置FIR滤波器，可选择参数模式/导入模式，内置多种窗类型，如KAISER、HANNINGH、HAMMING、BLACKMAN、BM-HARRIS；</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14.内置30个用户组，可选择用户组，重命名、导入/导出数据，数据迁移保存方便；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15.延时温度设置，可选择环境温度，自动调整声音的传播速度；</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16.内置中控指令，通过UDP或RS232控制设备；设备参数锁定，需要密码解锁才可操作，防误操作；</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17.输入通道不低于4个卡侬接口，输出通道不低于10个卡侬接口；支持接入物联网Web平台，将设备接入物联平台可视化拓扑图系统显示，直观展示设备与设备之间链路与网络系统架构，异常链路显示断联并告警;可在PC端通过公网或者局域网远程对设备进行管理；查看设备IP地址，运行时长等；可通过物联网Web平台控制每路输入、输出通道的电平，还可以进行远程信号路由分配；可通过手机APP进行远程管控，实时操作;必须保证接入本项目中“（五）市十二中文昌校区室内全彩LED屏 9 智慧物联管理平台”实现以上全部管控和监测功能。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18.总谐波失真(1kHz)：≤0.05%；</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19.信噪比：≥110dB；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 xml:space="preserve">20.频率响应：20Hz～20kHz； </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21.最大输入电平：≥18dBu；</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22.最大输出电平：≥18dBu。</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0497B43F">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0B49FD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1FCAFE85">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6</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B72CAE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调音台</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36798DEE">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1.10路模拟输入（6路Mic，2组RCA）；</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2.7寸电容触摸屏1024x600分辨率</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3.9个100mm电动推子</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4.中英文界面随时切换无需重启</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5.内置USB录音、放音功能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6.USB播放器可以识别中文歌曲名</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7.内置6个通道独立的反馈抑制器</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8.集成音箱管理器</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9.开放第三方控制协议 TCP/IP、RS-232控制指令</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10.带2个DCA</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11.摸屏全功能控制，实时数据同步</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12.支持多个终端同时控制</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13.内置1个效果器模块</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14.可通过网络或者USB电子盘升级固件</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15.每个输入通道具有4段参量均衡、噪声门、反馈抑制器、高低通、压缩、反相</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16.每个输出通道具有8段参量均衡、高低通、压缩、反相</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17.输出通道L/R、4BUS、HeadPhone(L/R)</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18.4个BUS混音总线可选择推子前、推子后（PRE/POST）</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19.支持100组场景预设功能，可从USB存储器或电脑导出、导入，便于数据备份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20.100个PEQ模式存储</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21.内置信号发生器：正弦波、粉红噪声、白噪声</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22.通道参数拷贝功能，相同的通道快速复制数据</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23.接线方式：平衡式输入、输出卡侬</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24.8个推子编组、4个静音编组</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25.通道名称可自定义</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26.3个自定义快捷键</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27.频率响应：20Hz～20kHz（-1.6dB，+0.2dB）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28.总谐波失真：≤0.2%@4dBu，20Hz～20kHz</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29.信噪比：≥100dB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30.最大输入电平：≥14dBu</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31.最大输出电平：≥14dBu</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32.串音（1KHz）：≤-99dB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33.增益：≥65dB</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color w:val="auto"/>
                <w:sz w:val="21"/>
                <w:szCs w:val="21"/>
              </w:rPr>
              <w:t>◆</w:t>
            </w:r>
            <w:r>
              <w:rPr>
                <w:rFonts w:hint="eastAsia" w:ascii="仿宋_GB2312" w:hAnsi="仿宋_GB2312" w:eastAsia="仿宋_GB2312" w:cs="仿宋_GB2312"/>
                <w:i w:val="0"/>
                <w:iCs w:val="0"/>
                <w:color w:val="auto"/>
                <w:kern w:val="0"/>
                <w:sz w:val="24"/>
                <w:szCs w:val="24"/>
                <w:u w:val="none"/>
                <w:lang w:val="en-US" w:eastAsia="zh-CN" w:bidi="ar"/>
              </w:rPr>
              <w:t>34.安全抗电强度：对电源端子与金属外壳之间进行测试:</w:t>
            </w:r>
            <w:r>
              <w:rPr>
                <w:rFonts w:hint="eastAsia" w:ascii="仿宋_GB2312" w:hAnsi="仿宋_GB2312" w:eastAsia="仿宋_GB2312" w:cs="仿宋_GB2312"/>
                <w:i w:val="0"/>
                <w:iCs w:val="0"/>
                <w:color w:val="auto"/>
                <w:kern w:val="0"/>
                <w:sz w:val="24"/>
                <w:szCs w:val="24"/>
                <w:highlight w:val="yellow"/>
                <w:u w:val="wave"/>
                <w:lang w:val="en-US" w:eastAsia="zh-CN" w:bidi="ar"/>
              </w:rPr>
              <w:t>≥1000V DC(10mA)冲击(60s)</w:t>
            </w:r>
            <w:r>
              <w:rPr>
                <w:rFonts w:hint="eastAsia" w:ascii="仿宋_GB2312" w:hAnsi="仿宋_GB2312" w:eastAsia="仿宋_GB2312" w:cs="仿宋_GB2312"/>
                <w:i w:val="0"/>
                <w:iCs w:val="0"/>
                <w:color w:val="auto"/>
                <w:kern w:val="0"/>
                <w:sz w:val="24"/>
                <w:szCs w:val="24"/>
                <w:u w:val="none"/>
                <w:lang w:val="en-US" w:eastAsia="zh-CN" w:bidi="ar"/>
              </w:rPr>
              <w:t>，无飞弧，无击穿；</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color w:val="auto"/>
                <w:sz w:val="21"/>
                <w:szCs w:val="21"/>
              </w:rPr>
              <w:t>◆</w:t>
            </w:r>
            <w:r>
              <w:rPr>
                <w:rFonts w:hint="eastAsia" w:ascii="仿宋_GB2312" w:hAnsi="仿宋_GB2312" w:eastAsia="仿宋_GB2312" w:cs="仿宋_GB2312"/>
                <w:i w:val="0"/>
                <w:iCs w:val="0"/>
                <w:color w:val="auto"/>
                <w:kern w:val="0"/>
                <w:sz w:val="24"/>
                <w:szCs w:val="24"/>
                <w:u w:val="none"/>
                <w:lang w:val="en-US" w:eastAsia="zh-CN" w:bidi="ar"/>
              </w:rPr>
              <w:t>35.满足GB/T2423.2-2008《电工电子产品环境试验 第2部分：试验方法 试验B：高温》及GB/T2423.1-2008《电工电子产品环境试验 第2部分：试验方法 试验A： 低温》中的条件和方法对调音台进行高、低温测试:高温≥43℃，</w:t>
            </w:r>
            <w:r>
              <w:rPr>
                <w:rFonts w:hint="eastAsia" w:ascii="仿宋_GB2312" w:hAnsi="仿宋_GB2312" w:eastAsia="仿宋_GB2312" w:cs="仿宋_GB2312"/>
                <w:i w:val="0"/>
                <w:iCs w:val="0"/>
                <w:color w:val="auto"/>
                <w:kern w:val="0"/>
                <w:sz w:val="24"/>
                <w:szCs w:val="24"/>
                <w:highlight w:val="yellow"/>
                <w:u w:val="wave"/>
                <w:lang w:val="en-US" w:eastAsia="zh-CN" w:bidi="ar"/>
              </w:rPr>
              <w:t>低温≤-8℃</w:t>
            </w:r>
            <w:r>
              <w:rPr>
                <w:rFonts w:hint="eastAsia" w:ascii="仿宋_GB2312" w:hAnsi="仿宋_GB2312" w:eastAsia="仿宋_GB2312" w:cs="仿宋_GB2312"/>
                <w:i w:val="0"/>
                <w:iCs w:val="0"/>
                <w:color w:val="auto"/>
                <w:kern w:val="0"/>
                <w:sz w:val="24"/>
                <w:szCs w:val="24"/>
                <w:u w:val="none"/>
                <w:lang w:val="en-US" w:eastAsia="zh-CN" w:bidi="ar"/>
              </w:rPr>
              <w:t>，测试时间:2小时。</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40DEA57">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4DBDE8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AE5EDC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7</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EBD96C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电源时序器</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4508EE17">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ascii="仿宋_GB2312" w:eastAsia="仿宋_GB2312"/>
                <w:b/>
                <w:bCs/>
                <w:color w:val="auto"/>
                <w:sz w:val="24"/>
              </w:rPr>
              <w:t>★</w:t>
            </w:r>
            <w:r>
              <w:rPr>
                <w:rFonts w:hint="eastAsia" w:ascii="仿宋_GB2312" w:hAnsi="仿宋_GB2312" w:eastAsia="仿宋_GB2312" w:cs="仿宋_GB2312"/>
                <w:i w:val="0"/>
                <w:iCs w:val="0"/>
                <w:color w:val="auto"/>
                <w:kern w:val="0"/>
                <w:sz w:val="24"/>
                <w:szCs w:val="24"/>
                <w:u w:val="none"/>
                <w:lang w:val="en-US" w:eastAsia="zh-CN" w:bidi="ar"/>
              </w:rPr>
              <w:t>1.具备80A空气开关，具有漏电保护功能；面板带USB接口, USB接口具备5V直流电源输出（允许误差±1V）；电源电压LED数码管实时显示；每一路交流输出电源具有独立按键及对应的LED指示灯；控制功能：RS232控制、凤凰控制口、单机控制、多机联机控制、远程控制；输出通道：≥14路独立220V（20A）交流电源输出通道，</w:t>
            </w:r>
            <w:r>
              <w:rPr>
                <w:rFonts w:hint="eastAsia" w:ascii="仿宋_GB2312" w:hAnsi="仿宋_GB2312" w:eastAsia="仿宋_GB2312" w:cs="仿宋_GB2312"/>
                <w:color w:val="auto"/>
                <w:sz w:val="24"/>
                <w:szCs w:val="24"/>
                <w:highlight w:val="yellow"/>
                <w:u w:val="wave"/>
                <w:lang w:val="en-US" w:eastAsia="zh-CN"/>
              </w:rPr>
              <w:t>≥5路</w:t>
            </w:r>
            <w:r>
              <w:rPr>
                <w:rFonts w:hint="eastAsia" w:ascii="仿宋_GB2312" w:hAnsi="仿宋_GB2312" w:eastAsia="仿宋_GB2312" w:cs="仿宋_GB2312"/>
                <w:i w:val="0"/>
                <w:iCs w:val="0"/>
                <w:color w:val="auto"/>
                <w:kern w:val="0"/>
                <w:sz w:val="24"/>
                <w:szCs w:val="24"/>
                <w:highlight w:val="yellow"/>
                <w:u w:val="wave"/>
                <w:lang w:val="en-US" w:eastAsia="zh-CN" w:bidi="ar"/>
              </w:rPr>
              <w:t>12V直流电源输出通道（直流电流≥1.2A</w:t>
            </w:r>
            <w:r>
              <w:rPr>
                <w:rFonts w:hint="eastAsia" w:ascii="仿宋_GB2312" w:hAnsi="仿宋_GB2312" w:eastAsia="仿宋_GB2312" w:cs="仿宋_GB2312"/>
                <w:i w:val="0"/>
                <w:iCs w:val="0"/>
                <w:color w:val="auto"/>
                <w:kern w:val="0"/>
                <w:sz w:val="24"/>
                <w:szCs w:val="24"/>
                <w:u w:val="wave"/>
                <w:lang w:val="en-US" w:eastAsia="zh-CN" w:bidi="ar"/>
              </w:rPr>
              <w:t>；</w:t>
            </w:r>
            <w:r>
              <w:rPr>
                <w:rFonts w:hint="eastAsia" w:ascii="仿宋_GB2312" w:hAnsi="仿宋_GB2312" w:eastAsia="仿宋_GB2312" w:cs="仿宋_GB2312"/>
                <w:i w:val="0"/>
                <w:iCs w:val="0"/>
                <w:color w:val="auto"/>
                <w:kern w:val="0"/>
                <w:sz w:val="24"/>
                <w:szCs w:val="24"/>
                <w:u w:val="none"/>
                <w:lang w:val="en-US" w:eastAsia="zh-CN" w:bidi="ar"/>
              </w:rPr>
              <w:t>时序开关频率(延迟时间)：每1步≥0.5秒；</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ascii="仿宋_GB2312" w:eastAsia="仿宋_GB2312"/>
                <w:b/>
                <w:bCs/>
                <w:color w:val="auto"/>
                <w:sz w:val="24"/>
              </w:rPr>
              <w:t>★</w:t>
            </w:r>
            <w:r>
              <w:rPr>
                <w:rFonts w:hint="eastAsia" w:ascii="仿宋_GB2312" w:hAnsi="仿宋_GB2312" w:eastAsia="仿宋_GB2312" w:cs="仿宋_GB2312"/>
                <w:i w:val="0"/>
                <w:iCs w:val="0"/>
                <w:color w:val="auto"/>
                <w:kern w:val="0"/>
                <w:sz w:val="24"/>
                <w:szCs w:val="24"/>
                <w:u w:val="none"/>
                <w:lang w:val="en-US" w:eastAsia="zh-CN" w:bidi="ar"/>
              </w:rPr>
              <w:t>2.抗电强度：对电源L-机壳之间进行测试：符合1500VAC,(1min)应无飞弧或击穿；对电源L-输入口之间、电源-L输出口之间进行测试：符合1500VAC，（1min）应无飞弧或击穿；接地电阻：外壳（远端）对电线插头接地端接地</w:t>
            </w:r>
            <w:r>
              <w:rPr>
                <w:rFonts w:hint="eastAsia" w:ascii="仿宋_GB2312" w:hAnsi="仿宋_GB2312" w:eastAsia="仿宋_GB2312" w:cs="仿宋_GB2312"/>
                <w:i w:val="0"/>
                <w:iCs w:val="0"/>
                <w:color w:val="auto"/>
                <w:kern w:val="0"/>
                <w:sz w:val="24"/>
                <w:szCs w:val="24"/>
                <w:highlight w:val="yellow"/>
                <w:u w:val="wave"/>
                <w:lang w:val="en-US" w:eastAsia="zh-CN" w:bidi="ar"/>
              </w:rPr>
              <w:t>电阻≤0.2Ω（25A60s）</w:t>
            </w:r>
            <w:r>
              <w:rPr>
                <w:rFonts w:hint="eastAsia" w:ascii="仿宋_GB2312" w:hAnsi="仿宋_GB2312" w:eastAsia="仿宋_GB2312" w:cs="仿宋_GB2312"/>
                <w:i w:val="0"/>
                <w:iCs w:val="0"/>
                <w:color w:val="auto"/>
                <w:kern w:val="0"/>
                <w:sz w:val="24"/>
                <w:szCs w:val="24"/>
                <w:u w:val="wave"/>
                <w:lang w:val="en-US" w:eastAsia="zh-CN" w:bidi="ar"/>
              </w:rPr>
              <w:t>；</w:t>
            </w:r>
            <w:r>
              <w:rPr>
                <w:rFonts w:hint="eastAsia" w:ascii="仿宋_GB2312" w:hAnsi="仿宋_GB2312" w:eastAsia="仿宋_GB2312" w:cs="仿宋_GB2312"/>
                <w:i w:val="0"/>
                <w:iCs w:val="0"/>
                <w:color w:val="auto"/>
                <w:kern w:val="0"/>
                <w:sz w:val="24"/>
                <w:szCs w:val="24"/>
                <w:u w:val="wav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机内须采用双电源独立供电，6路12V/1.1A直流输出电源由1个环形变压器分6组≥16V/1.6A交流输出给6个全桥整流器配合相关电路形成6路独立的直流输出电源，为其它音响设备提供稳定干净的直流电源；本机工作电源由1个独立变压器分3组交流输出给3个全桥整流器配合相关电路组成。</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本机80A空气开关输出给主板的主电源线≥10平方毫米，具备≥13个交流输出继电器，继电器负载量≥250V/40A(交流)，后面板具备≥13个多用交流输出插座和6个圆形直流输出插座，至少具备1个凤凰控制接口、1个RS232控制接口、1组（2个双芯6.35插座）级联控制接口。</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5.电压范围：AC220V±10%；</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100666E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08BA010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5D4651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8</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DF75EB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无线手持话筒</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top"/>
          </w:tcPr>
          <w:p w14:paraId="53C30E60">
            <w:pPr>
              <w:keepNext w:val="0"/>
              <w:keepLines w:val="0"/>
              <w:pageBreakBefore w:val="0"/>
              <w:widowControl/>
              <w:numPr>
                <w:ilvl w:val="0"/>
                <w:numId w:val="12"/>
              </w:numPr>
              <w:suppressLineNumbers w:val="0"/>
              <w:kinsoku/>
              <w:overflowPunct/>
              <w:topLinePunct w:val="0"/>
              <w:autoSpaceDE/>
              <w:autoSpaceDN/>
              <w:bidi w:val="0"/>
              <w:snapToGrid w:val="0"/>
              <w:spacing w:line="400" w:lineRule="exact"/>
              <w:jc w:val="left"/>
              <w:textAlignment w:val="top"/>
              <w:rPr>
                <w:rFonts w:hint="eastAsia" w:ascii="仿宋_GB2312" w:hAnsi="仿宋_GB2312" w:eastAsia="仿宋_GB2312" w:cs="仿宋_GB2312"/>
                <w:i w:val="0"/>
                <w:iCs w:val="0"/>
                <w:color w:val="auto"/>
                <w:kern w:val="0"/>
                <w:sz w:val="24"/>
                <w:szCs w:val="24"/>
                <w:u w:val="none"/>
                <w:lang w:val="en-US" w:eastAsia="zh-CN" w:bidi="ar"/>
              </w:rPr>
            </w:pPr>
            <w:r>
              <w:rPr>
                <w:rFonts w:hint="eastAsia" w:ascii="仿宋_GB2312" w:hAnsi="仿宋_GB2312" w:eastAsia="仿宋_GB2312" w:cs="仿宋_GB2312"/>
                <w:i w:val="0"/>
                <w:iCs w:val="0"/>
                <w:color w:val="auto"/>
                <w:kern w:val="0"/>
                <w:sz w:val="24"/>
                <w:szCs w:val="24"/>
                <w:u w:val="none"/>
                <w:lang w:val="en-US" w:eastAsia="zh-CN" w:bidi="ar"/>
              </w:rPr>
              <w:t>具备1个RJ45数据接口，连接互联网，通过TCP/IP协议可对接到物联网平台，进行多频段设备集中控制、状态显示、设备名称自定义、无干扰频率一键部署等；支持通过无线传声器管理系统软件（PC、平板客户端软件）对多频段设备进行集中管控，自定义设备名称、通道名称、自定义排序，无干扰频率一键下发至在线设备，并支持设备加减锁、通道静音控制、接收模式选择、预设群组和通道选择、自定义频率、输出音量设置、静噪设置等，并支持通道射频、音频、发射器电量等实时监测。必须保证接入本项目中“（五）市十二中文昌校区室内全彩LED屏 9 智慧物联管理平台”实现以上全部管控和监测功能。</w:t>
            </w:r>
          </w:p>
          <w:p w14:paraId="6CB25E96">
            <w:pPr>
              <w:keepNext w:val="0"/>
              <w:keepLines w:val="0"/>
              <w:pageBreakBefore w:val="0"/>
              <w:widowControl/>
              <w:numPr>
                <w:ilvl w:val="-1"/>
                <w:numId w:val="0"/>
              </w:numPr>
              <w:suppressLineNumbers w:val="0"/>
              <w:kinsoku/>
              <w:overflowPunct/>
              <w:topLinePunct w:val="0"/>
              <w:autoSpaceDE/>
              <w:autoSpaceDN/>
              <w:bidi w:val="0"/>
              <w:snapToGrid w:val="0"/>
              <w:spacing w:line="400" w:lineRule="exact"/>
              <w:jc w:val="left"/>
              <w:textAlignment w:val="top"/>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2.无线传声器管理系统软件（PC、平板客户端软件）适配windows、安卓、鸿蒙等常用系统；将频谱测试与无线传输系统高效结合和互动，图形化实时监测当前环境射频详情，并自动筛选不受干扰的频点，实现无线系统的稳定运行；</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3.采用标准金属机箱，天线分集式接收线路、CPU控制选讯+导频识别功能；</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4.频率调节采用无互调干扰群组预设、用户自定义调节等方式，单机≥1800个频率可供客户调节；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5.LCD显示器≥4.3寸，可实时显示群组、频率、电池电量、静音位准、电子音量等信息；</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6.接收机具有一键自动搜频（scan）功能，自动搜索及锁定在实际工作环境中不受干扰的频道上；接收机内置开关电源，由AC 220V市电直接供电，并支持电源环出功能；接收机天线座提供偏置电压，可连接有源对数周期天线提升接收距离和信号质量。并支持射频级联功能，无需天线分配器即可实现≥6套叠机使用；各通道可单独或混合平衡输出，支持MIC/LINE两段输出增益可调，切换增益范围≥15dB，具有物理切换开关；各通道支持SQ(降噪)六档独立调节；</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7.具有3个XLR平衡输出、4个TNC-K天线端口、1个RJ45网口，MIC/LINE输出切换开关；</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8.通道数量：两通道，接收频率范围：UHF530.000-690.000MHz（常规 530.000MHz-580.000MHz），音频频率响应（线路）：40Hz-18KHz，总谐波失真（THD+N）:≤0.5%(10mV@1kHz)，延迟：≤5ms（典型值），最大频偏：±45KHz，最大输出电平：≥+10dBV、动态范围：≥100dBA，最大声压级：≥134dB spl；</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9.配置2只手持式发射器，发射器采用动圈式拾音头，指向性：超心形，载波功率：两档可调，音频增益：五档可调，显示方式：TFT多色显示，电源：2×AA碱性电池，连续工作时间：约8小时（发射器为高功率）。</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61493BA">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eastAsia"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2套</w:t>
            </w:r>
          </w:p>
        </w:tc>
      </w:tr>
      <w:tr w14:paraId="0A853E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407647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9</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1CCF5491">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音频线</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B807F78">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1.双芯屏蔽音频线，导体材料选用无氧铜；</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2.外部绝缘采用ROHS聚氯乙烯塑料，内部芯线绝缘材料采用合成PE；</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3.两芯绞合成缆：2×40支，单芯组成：40支直径为0.1mm无氧铜，屏蔽采用铝箔纵包+128根单丝直径0.1mm的无氧铜线编织构成；</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4.护套采用弹性体材料，结构圆整，电缆外观光滑、圆整，手感柔软，成品外径约6.2㎜；</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5.用于室内各种音响设备连接，移动布线或固定布线均可。</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74CEAA8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200米</w:t>
            </w:r>
          </w:p>
        </w:tc>
      </w:tr>
      <w:tr w14:paraId="34B604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78E1CE9">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10</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727F97D4">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4芯工程音箱线缆</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575FD312">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1.4芯专业舞台音响工程线，导体材料选用无氧铜；</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2.外部绝缘采用聚氯乙烯塑料，内部芯线绝缘材料采用合成PE；</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3.四芯绞合成缆：4×2.5mm²，单芯组成：285支直径为0.1mm无氧铜+5支抗干扰神经线构成；</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4.护套采用弹性体材料，结构圆整，电缆外观光滑、圆整，手感柔软，成品外径约12.5㎜；</w:t>
            </w:r>
            <w:r>
              <w:rPr>
                <w:rFonts w:hint="eastAsia" w:ascii="仿宋_GB2312" w:hAnsi="仿宋_GB2312" w:eastAsia="仿宋_GB2312" w:cs="仿宋_GB2312"/>
                <w:i w:val="0"/>
                <w:iCs w:val="0"/>
                <w:color w:val="auto"/>
                <w:kern w:val="0"/>
                <w:sz w:val="24"/>
                <w:szCs w:val="24"/>
                <w:u w:val="none"/>
                <w:lang w:val="en-US" w:eastAsia="zh-CN" w:bidi="ar"/>
              </w:rPr>
              <w:br w:type="textWrapping"/>
            </w:r>
            <w:r>
              <w:rPr>
                <w:rFonts w:hint="eastAsia" w:ascii="仿宋_GB2312" w:hAnsi="仿宋_GB2312" w:eastAsia="仿宋_GB2312" w:cs="仿宋_GB2312"/>
                <w:i w:val="0"/>
                <w:iCs w:val="0"/>
                <w:color w:val="auto"/>
                <w:kern w:val="0"/>
                <w:sz w:val="24"/>
                <w:szCs w:val="24"/>
                <w:u w:val="none"/>
                <w:lang w:val="en-US" w:eastAsia="zh-CN" w:bidi="ar"/>
              </w:rPr>
              <w:t>5.用于室内各种音响设备连接，移动布线或固定布线均可。</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9705D25">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100米</w:t>
            </w:r>
          </w:p>
        </w:tc>
      </w:tr>
      <w:tr w14:paraId="2134E4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661D4E20">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11</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0002AACA">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机柜</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65A06D67">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1.42U标准化网络机柜,≥600mm（宽） ×800mm（长） ×2045mm（高）（宽长高允许误差偏离±5mm）。</w:t>
            </w:r>
          </w:p>
          <w:p w14:paraId="31C5EB33">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2.采用高强度的优质度锌钢板，机柜主体骨架材料厚度≥1.5mm，承重层板材料厚度≥2.0mm，前、后门板材料厚度≥1.2mm，其它材料厚度≥1.0mm。</w:t>
            </w:r>
          </w:p>
          <w:p w14:paraId="711276F9">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3.表面防静电喷涂采用高硬度粉面。</w:t>
            </w:r>
          </w:p>
          <w:p w14:paraId="65900E5D">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4.防护等级满足IP20等级。</w:t>
            </w:r>
          </w:p>
          <w:p w14:paraId="35CBDB61">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b w:val="0"/>
                <w:bCs w:val="0"/>
                <w:color w:val="auto"/>
                <w:sz w:val="24"/>
                <w:szCs w:val="24"/>
              </w:rPr>
              <w:t>5.黑色，前后网孔门。</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245855C2">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1台</w:t>
            </w:r>
          </w:p>
        </w:tc>
      </w:tr>
      <w:tr w14:paraId="714ADF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7136BE66">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12</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20ACD883">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辅助材料</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091C558C">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安装支架、五金件、接头、胶布、焊锡、套管等</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5F79478C">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r w14:paraId="43A418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0" w:hRule="atLeast"/>
        </w:trPr>
        <w:tc>
          <w:tcPr>
            <w:tcW w:w="488" w:type="dxa"/>
            <w:tcBorders>
              <w:top w:val="single" w:color="auto" w:sz="4" w:space="0"/>
              <w:left w:val="single" w:color="auto" w:sz="4" w:space="0"/>
              <w:bottom w:val="single" w:color="auto" w:sz="4" w:space="0"/>
              <w:right w:val="single" w:color="auto" w:sz="4" w:space="0"/>
            </w:tcBorders>
            <w:shd w:val="clear" w:color="auto" w:fill="auto"/>
            <w:vAlign w:val="center"/>
          </w:tcPr>
          <w:p w14:paraId="399FC5D8">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default" w:ascii="仿宋_GB2312" w:hAnsi="仿宋_GB2312" w:eastAsia="仿宋_GB2312" w:cs="仿宋_GB2312"/>
                <w:b w:val="0"/>
                <w:bCs w:val="0"/>
                <w:color w:val="auto"/>
                <w:sz w:val="24"/>
                <w:szCs w:val="24"/>
                <w:lang w:val="en-US" w:eastAsia="zh-CN"/>
              </w:rPr>
            </w:pPr>
            <w:r>
              <w:rPr>
                <w:rFonts w:hint="eastAsia" w:ascii="仿宋_GB2312" w:hAnsi="仿宋_GB2312" w:eastAsia="仿宋_GB2312" w:cs="仿宋_GB2312"/>
                <w:b w:val="0"/>
                <w:bCs w:val="0"/>
                <w:color w:val="auto"/>
                <w:sz w:val="24"/>
                <w:szCs w:val="24"/>
                <w:lang w:val="en-US" w:eastAsia="zh-CN"/>
              </w:rPr>
              <w:t>13</w:t>
            </w:r>
          </w:p>
        </w:tc>
        <w:tc>
          <w:tcPr>
            <w:tcW w:w="1136" w:type="dxa"/>
            <w:tcBorders>
              <w:top w:val="single" w:color="auto" w:sz="4" w:space="0"/>
              <w:left w:val="single" w:color="auto" w:sz="4" w:space="0"/>
              <w:bottom w:val="single" w:color="auto" w:sz="4" w:space="0"/>
              <w:right w:val="single" w:color="auto" w:sz="4" w:space="0"/>
            </w:tcBorders>
            <w:shd w:val="clear" w:color="auto" w:fill="auto"/>
            <w:vAlign w:val="center"/>
          </w:tcPr>
          <w:p w14:paraId="665BAC0D">
            <w:pPr>
              <w:pStyle w:val="27"/>
              <w:keepNext w:val="0"/>
              <w:keepLines w:val="0"/>
              <w:pageBreakBefore w:val="0"/>
              <w:suppressLineNumbers w:val="0"/>
              <w:kinsoku/>
              <w:overflowPunct/>
              <w:topLinePunct w:val="0"/>
              <w:autoSpaceDE/>
              <w:autoSpaceDN/>
              <w:bidi w:val="0"/>
              <w:snapToGrid w:val="0"/>
              <w:spacing w:before="0" w:beforeAutospacing="0" w:after="0" w:afterAutospacing="0" w:line="400" w:lineRule="exact"/>
              <w:ind w:left="0" w:right="0"/>
              <w:jc w:val="center"/>
              <w:rPr>
                <w:rFonts w:hint="eastAsia" w:ascii="仿宋_GB2312" w:hAnsi="仿宋_GB2312" w:eastAsia="仿宋_GB2312" w:cs="仿宋_GB2312"/>
                <w:b w:val="0"/>
                <w:bCs w:val="0"/>
                <w:color w:val="auto"/>
                <w:sz w:val="24"/>
                <w:szCs w:val="24"/>
                <w:lang w:eastAsia="zh-CN"/>
              </w:rPr>
            </w:pPr>
            <w:r>
              <w:rPr>
                <w:rFonts w:hint="eastAsia" w:ascii="仿宋_GB2312" w:hAnsi="仿宋_GB2312" w:eastAsia="仿宋_GB2312" w:cs="仿宋_GB2312"/>
                <w:b w:val="0"/>
                <w:bCs w:val="0"/>
                <w:color w:val="auto"/>
                <w:sz w:val="24"/>
                <w:szCs w:val="24"/>
                <w:lang w:val="en-US" w:eastAsia="zh-CN"/>
              </w:rPr>
              <w:t>施工</w:t>
            </w:r>
          </w:p>
        </w:tc>
        <w:tc>
          <w:tcPr>
            <w:tcW w:w="6951" w:type="dxa"/>
            <w:tcBorders>
              <w:top w:val="single" w:color="auto" w:sz="4" w:space="0"/>
              <w:left w:val="single" w:color="auto" w:sz="4" w:space="0"/>
              <w:bottom w:val="single" w:color="auto" w:sz="4" w:space="0"/>
              <w:right w:val="single" w:color="auto" w:sz="4" w:space="0"/>
            </w:tcBorders>
            <w:shd w:val="clear" w:color="auto" w:fill="auto"/>
            <w:vAlign w:val="center"/>
          </w:tcPr>
          <w:p w14:paraId="13437CE6">
            <w:pPr>
              <w:keepNext w:val="0"/>
              <w:keepLines w:val="0"/>
              <w:pageBreakBefore w:val="0"/>
              <w:widowControl/>
              <w:suppressLineNumbers w:val="0"/>
              <w:kinsoku/>
              <w:overflowPunct/>
              <w:topLinePunct w:val="0"/>
              <w:autoSpaceDE/>
              <w:autoSpaceDN/>
              <w:bidi w:val="0"/>
              <w:snapToGrid w:val="0"/>
              <w:spacing w:line="400" w:lineRule="exact"/>
              <w:jc w:val="left"/>
              <w:textAlignment w:val="center"/>
              <w:rPr>
                <w:rFonts w:hint="eastAsia" w:ascii="仿宋_GB2312" w:hAnsi="仿宋_GB2312" w:eastAsia="仿宋_GB2312" w:cs="仿宋_GB2312"/>
                <w:b w:val="0"/>
                <w:bCs w:val="0"/>
                <w:color w:val="auto"/>
                <w:sz w:val="24"/>
                <w:szCs w:val="24"/>
              </w:rPr>
            </w:pPr>
            <w:r>
              <w:rPr>
                <w:rFonts w:hint="eastAsia" w:ascii="仿宋_GB2312" w:hAnsi="仿宋_GB2312" w:eastAsia="仿宋_GB2312" w:cs="仿宋_GB2312"/>
                <w:i w:val="0"/>
                <w:iCs w:val="0"/>
                <w:color w:val="auto"/>
                <w:kern w:val="0"/>
                <w:sz w:val="24"/>
                <w:szCs w:val="24"/>
                <w:u w:val="none"/>
                <w:lang w:val="en-US" w:eastAsia="zh-CN" w:bidi="ar"/>
              </w:rPr>
              <w:t>含布线施工及设计，安装调试及培训等，原体育馆扩声系统维修维护改造。按柳州市教育系统工程施工规范要求实施。</w:t>
            </w:r>
          </w:p>
        </w:tc>
        <w:tc>
          <w:tcPr>
            <w:tcW w:w="900" w:type="dxa"/>
            <w:tcBorders>
              <w:top w:val="single" w:color="auto" w:sz="4" w:space="0"/>
              <w:left w:val="single" w:color="auto" w:sz="4" w:space="0"/>
              <w:bottom w:val="single" w:color="auto" w:sz="4" w:space="0"/>
              <w:right w:val="single" w:color="auto" w:sz="4" w:space="0"/>
            </w:tcBorders>
            <w:shd w:val="clear" w:color="auto" w:fill="auto"/>
            <w:vAlign w:val="center"/>
          </w:tcPr>
          <w:p w14:paraId="3B41399D">
            <w:pPr>
              <w:keepNext w:val="0"/>
              <w:keepLines w:val="0"/>
              <w:pageBreakBefore w:val="0"/>
              <w:widowControl/>
              <w:suppressLineNumbers w:val="0"/>
              <w:kinsoku/>
              <w:overflowPunct/>
              <w:topLinePunct w:val="0"/>
              <w:autoSpaceDE/>
              <w:autoSpaceDN/>
              <w:bidi w:val="0"/>
              <w:snapToGrid w:val="0"/>
              <w:spacing w:before="0" w:beforeAutospacing="0" w:after="0" w:afterAutospacing="0" w:line="400" w:lineRule="exact"/>
              <w:ind w:left="0" w:right="0"/>
              <w:jc w:val="center"/>
              <w:textAlignment w:val="center"/>
              <w:rPr>
                <w:rFonts w:hint="default" w:ascii="仿宋_GB2312" w:hAnsi="仿宋_GB2312" w:eastAsia="仿宋_GB2312" w:cs="仿宋_GB2312"/>
                <w:b w:val="0"/>
                <w:bCs w:val="0"/>
                <w:color w:val="auto"/>
                <w:kern w:val="0"/>
                <w:sz w:val="24"/>
                <w:lang w:val="en-US" w:eastAsia="zh-CN" w:bidi="ar"/>
              </w:rPr>
            </w:pPr>
            <w:r>
              <w:rPr>
                <w:rFonts w:hint="eastAsia" w:ascii="仿宋_GB2312" w:hAnsi="仿宋_GB2312" w:eastAsia="仿宋_GB2312" w:cs="仿宋_GB2312"/>
                <w:b w:val="0"/>
                <w:bCs w:val="0"/>
                <w:color w:val="auto"/>
                <w:kern w:val="0"/>
                <w:sz w:val="24"/>
                <w:lang w:val="en-US" w:eastAsia="zh-CN" w:bidi="ar"/>
              </w:rPr>
              <w:t>1项</w:t>
            </w:r>
          </w:p>
        </w:tc>
      </w:tr>
    </w:tbl>
    <w:p w14:paraId="1313CEF0">
      <w:pPr>
        <w:adjustRightInd w:val="0"/>
        <w:spacing w:line="276" w:lineRule="auto"/>
        <w:rPr>
          <w:rFonts w:hint="default" w:ascii="仿宋_GB2312" w:eastAsia="仿宋_GB2312"/>
          <w:b/>
          <w:bCs/>
          <w:sz w:val="24"/>
          <w:lang w:val="en-US" w:eastAsia="zh-CN"/>
        </w:rPr>
      </w:pPr>
    </w:p>
    <w:p w14:paraId="6EBE3D4E">
      <w:pPr>
        <w:adjustRightInd w:val="0"/>
        <w:spacing w:line="276" w:lineRule="auto"/>
        <w:rPr>
          <w:rFonts w:ascii="仿宋_GB2312" w:eastAsia="仿宋_GB2312"/>
          <w:b/>
          <w:bCs/>
          <w:sz w:val="24"/>
        </w:rPr>
      </w:pPr>
    </w:p>
    <w:tbl>
      <w:tblPr>
        <w:tblStyle w:val="48"/>
        <w:tblW w:w="9304"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481"/>
        <w:gridCol w:w="60"/>
        <w:gridCol w:w="7763"/>
      </w:tblGrid>
      <w:tr w14:paraId="5A1F022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9304" w:type="dxa"/>
            <w:gridSpan w:val="3"/>
            <w:vAlign w:val="center"/>
          </w:tcPr>
          <w:p w14:paraId="222E0268">
            <w:pPr>
              <w:spacing w:line="276" w:lineRule="auto"/>
              <w:ind w:left="420" w:hanging="420"/>
              <w:jc w:val="left"/>
              <w:rPr>
                <w:rFonts w:hint="eastAsia" w:ascii="仿宋_GB2312" w:hAnsi="宋体" w:eastAsia="仿宋_GB2312"/>
                <w:sz w:val="24"/>
              </w:rPr>
            </w:pPr>
            <w:r>
              <w:rPr>
                <w:rFonts w:ascii="仿宋_GB2312" w:hAnsi="宋体" w:eastAsia="仿宋_GB2312" w:cs="宋体"/>
                <w:b/>
                <w:kern w:val="0"/>
                <w:sz w:val="24"/>
              </w:rPr>
              <w:t>★</w:t>
            </w:r>
            <w:r>
              <w:rPr>
                <w:rFonts w:hint="eastAsia" w:ascii="仿宋_GB2312" w:hAnsi="宋体" w:eastAsia="仿宋_GB2312"/>
                <w:b/>
                <w:sz w:val="24"/>
              </w:rPr>
              <w:t>二、商务要求</w:t>
            </w:r>
          </w:p>
        </w:tc>
      </w:tr>
      <w:tr w14:paraId="6C0DCD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40EF378D">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基本要求</w:t>
            </w:r>
          </w:p>
        </w:tc>
        <w:tc>
          <w:tcPr>
            <w:tcW w:w="7763" w:type="dxa"/>
            <w:vAlign w:val="center"/>
          </w:tcPr>
          <w:p w14:paraId="500C70E9">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本项目投标报价包括货物及货物运抵指定交付地点的各种费用、随配附件、备品备件、易损件、专用工具、安装调试、技术培训、技术资料、包装、售后服务、保险费、税金、验收检验及其他所有成本费用的总和；2.投标人应保证投标产品涉及到的知识产权和所提供的相关技术资料是合法取得，不会因为采购人的使用而被责令停止使用、追偿或要求赔偿损失，如出现此情况，一切经济和法律责任均由投标人承担；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3.投标人所投产品应符合国家有关部门规定的相应技术、节能、安全和环保标准；国家有关部门对所投产品有强制性规定或要求的，必须符合相应规定或要求。</w:t>
            </w:r>
          </w:p>
        </w:tc>
      </w:tr>
      <w:tr w14:paraId="6E27C5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16FE2AED">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质量保证期</w:t>
            </w:r>
          </w:p>
        </w:tc>
        <w:tc>
          <w:tcPr>
            <w:tcW w:w="7763" w:type="dxa"/>
            <w:vAlign w:val="center"/>
          </w:tcPr>
          <w:p w14:paraId="61941444">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质保期从交货、安装调试完毕，产品验收合格之日起计算，</w:t>
            </w:r>
            <w:r>
              <w:rPr>
                <w:rFonts w:hint="eastAsia" w:ascii="仿宋_GB2312" w:hAnsi="仿宋_GB2312" w:eastAsia="仿宋_GB2312" w:cs="仿宋_GB2312"/>
                <w:bCs/>
                <w:color w:val="000000"/>
                <w:sz w:val="24"/>
                <w:highlight w:val="none"/>
              </w:rPr>
              <w:t>提供硬件免费质保和免费升级不少于3年，软件免费质保和免费升级不少于1年。</w:t>
            </w:r>
            <w:r>
              <w:rPr>
                <w:rFonts w:hint="eastAsia" w:ascii="仿宋_GB2312" w:hAnsi="仿宋_GB2312" w:eastAsia="仿宋_GB2312" w:cs="仿宋_GB2312"/>
                <w:bCs/>
                <w:color w:val="000000"/>
                <w:sz w:val="24"/>
                <w:highlight w:val="none"/>
                <w:lang w:eastAsia="zh-CN"/>
              </w:rPr>
              <w:t>（采购需求一、项目技术规格参数及要求中另有要求的按采购需求要求执行）</w:t>
            </w:r>
            <w:r>
              <w:rPr>
                <w:rFonts w:hint="eastAsia" w:ascii="仿宋_GB2312" w:hAnsi="仿宋_GB2312" w:eastAsia="仿宋_GB2312" w:cs="仿宋_GB2312"/>
                <w:bCs/>
                <w:color w:val="000000"/>
                <w:sz w:val="24"/>
              </w:rPr>
              <w:t>在质保期内因质量问题由中标人无条件更换，费用由中标人负责。超过质保期的另行协商，其余按投标人提交的售后服务承诺书执行。</w:t>
            </w:r>
          </w:p>
        </w:tc>
      </w:tr>
      <w:tr w14:paraId="2C5F20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353D8076">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售后服务要求</w:t>
            </w:r>
          </w:p>
        </w:tc>
        <w:tc>
          <w:tcPr>
            <w:tcW w:w="7763" w:type="dxa"/>
            <w:vAlign w:val="center"/>
          </w:tcPr>
          <w:p w14:paraId="46EFE058">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1.投标产品必须是按厂家标准配置的整套全新产品，按国家规定实行“三包”，免费送货上门、免费安装调试（附安装说明书）及人员培训，培训后采购人可熟悉基本操作；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2.故障处理 ：提供7*24小时维修服务，并提供售后服务电话，出现故障应在接到故障通知起</w:t>
            </w:r>
            <w:r>
              <w:rPr>
                <w:rFonts w:hint="eastAsia" w:ascii="仿宋_GB2312" w:hAnsi="仿宋_GB2312" w:eastAsia="仿宋_GB2312" w:cs="仿宋_GB2312"/>
                <w:bCs/>
                <w:color w:val="000000"/>
                <w:sz w:val="24"/>
                <w:lang w:val="en-US" w:eastAsia="zh-CN"/>
              </w:rPr>
              <w:t>2</w:t>
            </w:r>
            <w:r>
              <w:rPr>
                <w:rFonts w:ascii="仿宋_GB2312" w:hAnsi="仿宋_GB2312" w:eastAsia="仿宋_GB2312" w:cs="仿宋_GB2312"/>
                <w:bCs/>
                <w:color w:val="000000"/>
                <w:sz w:val="24"/>
              </w:rPr>
              <w:t>小时内响应，一般问题</w:t>
            </w:r>
            <w:r>
              <w:rPr>
                <w:rFonts w:hint="eastAsia" w:ascii="仿宋_GB2312" w:hAnsi="仿宋_GB2312" w:eastAsia="仿宋_GB2312" w:cs="仿宋_GB2312"/>
                <w:bCs/>
                <w:color w:val="000000"/>
                <w:sz w:val="24"/>
                <w:lang w:val="en-US" w:eastAsia="zh-CN"/>
              </w:rPr>
              <w:t>4</w:t>
            </w:r>
            <w:r>
              <w:rPr>
                <w:rFonts w:ascii="仿宋_GB2312" w:hAnsi="仿宋_GB2312" w:eastAsia="仿宋_GB2312" w:cs="仿宋_GB2312"/>
                <w:bCs/>
                <w:color w:val="000000"/>
                <w:sz w:val="24"/>
              </w:rPr>
              <w:t>小时内通过远程方式解决；遇到大的问题，在接到报修通知后</w:t>
            </w:r>
            <w:r>
              <w:rPr>
                <w:rFonts w:hint="eastAsia" w:ascii="仿宋_GB2312" w:hAnsi="仿宋_GB2312" w:eastAsia="仿宋_GB2312" w:cs="仿宋_GB2312"/>
                <w:bCs/>
                <w:color w:val="000000"/>
                <w:sz w:val="24"/>
                <w:lang w:val="en-US" w:eastAsia="zh-CN"/>
              </w:rPr>
              <w:t>8</w:t>
            </w:r>
            <w:r>
              <w:rPr>
                <w:rFonts w:ascii="仿宋_GB2312" w:hAnsi="仿宋_GB2312" w:eastAsia="仿宋_GB2312" w:cs="仿宋_GB2312"/>
                <w:bCs/>
                <w:color w:val="000000"/>
                <w:sz w:val="24"/>
              </w:rPr>
              <w:t>小时内派技术人员到达现场维修，故障修复时限不超过</w:t>
            </w:r>
            <w:r>
              <w:rPr>
                <w:rFonts w:hint="eastAsia" w:ascii="仿宋_GB2312" w:hAnsi="仿宋_GB2312" w:eastAsia="仿宋_GB2312" w:cs="仿宋_GB2312"/>
                <w:bCs/>
                <w:color w:val="000000"/>
                <w:sz w:val="24"/>
                <w:lang w:val="en-US" w:eastAsia="zh-CN"/>
              </w:rPr>
              <w:t>48</w:t>
            </w:r>
            <w:r>
              <w:rPr>
                <w:rFonts w:ascii="仿宋_GB2312" w:hAnsi="仿宋_GB2312" w:eastAsia="仿宋_GB2312" w:cs="仿宋_GB2312"/>
                <w:bCs/>
                <w:color w:val="000000"/>
                <w:sz w:val="24"/>
              </w:rPr>
              <w:t>小时,如超过时限无法排除故障，免费提供同等质量的产品作为备用品供采购人使用，直到修复完成</w:t>
            </w:r>
            <w:r>
              <w:rPr>
                <w:rFonts w:hint="eastAsia" w:ascii="仿宋_GB2312" w:hAnsi="仿宋_GB2312" w:eastAsia="仿宋_GB2312" w:cs="仿宋_GB2312"/>
                <w:bCs/>
                <w:color w:val="000000"/>
                <w:sz w:val="24"/>
                <w:lang w:eastAsia="zh-CN"/>
              </w:rPr>
              <w:t>；采购需求一、项目技术规格参数及要求中另有要求的按采购需求要求执行</w:t>
            </w:r>
            <w:r>
              <w:rPr>
                <w:rFonts w:ascii="仿宋_GB2312" w:hAnsi="仿宋_GB2312" w:eastAsia="仿宋_GB2312" w:cs="仿宋_GB2312"/>
                <w:bCs/>
                <w:color w:val="000000"/>
                <w:sz w:val="24"/>
              </w:rPr>
              <w:t>。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3.质量保证期内免费提供维修服务（含人工费、配件费、差旅费等各项费用），所更换的所有零配件全部使用原厂配件；保修期以外一律按投标文件承诺的优惠价收费，提供终身上门维修服务。</w:t>
            </w:r>
          </w:p>
        </w:tc>
      </w:tr>
      <w:tr w14:paraId="3EFA105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214AB201">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交货时间及地点</w:t>
            </w:r>
          </w:p>
        </w:tc>
        <w:tc>
          <w:tcPr>
            <w:tcW w:w="7763" w:type="dxa"/>
            <w:vAlign w:val="center"/>
          </w:tcPr>
          <w:p w14:paraId="41F6414D">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1.交货时间：自签订合同之日起30日内安装调试完毕，验收合格并交付使用；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2.交货地点：采购人指定柳州市内地点。</w:t>
            </w:r>
          </w:p>
        </w:tc>
      </w:tr>
      <w:tr w14:paraId="7045F5D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1A47055C">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付款方式</w:t>
            </w:r>
          </w:p>
        </w:tc>
        <w:tc>
          <w:tcPr>
            <w:tcW w:w="7763" w:type="dxa"/>
            <w:vAlign w:val="center"/>
          </w:tcPr>
          <w:p w14:paraId="66E2A7FC">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财政性资金按财政国库集中支付规定程序办理。本项目无预付款，货物全部到货完毕，货物验收合格之日起</w:t>
            </w:r>
            <w:r>
              <w:rPr>
                <w:rFonts w:hint="eastAsia" w:ascii="仿宋_GB2312" w:hAnsi="仿宋_GB2312" w:eastAsia="仿宋_GB2312" w:cs="仿宋_GB2312"/>
                <w:bCs/>
                <w:color w:val="000000"/>
                <w:sz w:val="24"/>
                <w:lang w:val="en-US" w:eastAsia="zh-CN"/>
              </w:rPr>
              <w:t>10</w:t>
            </w:r>
            <w:r>
              <w:rPr>
                <w:rFonts w:ascii="仿宋_GB2312" w:hAnsi="仿宋_GB2312" w:eastAsia="仿宋_GB2312" w:cs="仿宋_GB2312"/>
                <w:bCs/>
                <w:color w:val="000000"/>
                <w:sz w:val="24"/>
              </w:rPr>
              <w:t>个工作日内，支付合同价款的</w:t>
            </w:r>
            <w:r>
              <w:rPr>
                <w:rFonts w:hint="eastAsia" w:ascii="仿宋_GB2312" w:hAnsi="仿宋_GB2312" w:eastAsia="仿宋_GB2312" w:cs="仿宋_GB2312"/>
                <w:bCs/>
                <w:color w:val="000000"/>
                <w:sz w:val="24"/>
                <w:lang w:val="en-US" w:eastAsia="zh-CN"/>
              </w:rPr>
              <w:t>40</w:t>
            </w:r>
            <w:r>
              <w:rPr>
                <w:rFonts w:ascii="仿宋_GB2312" w:hAnsi="仿宋_GB2312" w:eastAsia="仿宋_GB2312" w:cs="仿宋_GB2312"/>
                <w:bCs/>
                <w:color w:val="000000"/>
                <w:sz w:val="24"/>
              </w:rPr>
              <w:t>%；全部安装、调试完毕，项目整体交付使用并通过最终验收合格</w:t>
            </w:r>
            <w:r>
              <w:rPr>
                <w:rFonts w:hint="eastAsia" w:ascii="仿宋_GB2312" w:hAnsi="仿宋_GB2312" w:eastAsia="仿宋_GB2312" w:cs="仿宋_GB2312"/>
                <w:bCs/>
                <w:color w:val="000000"/>
                <w:sz w:val="24"/>
                <w:lang w:val="en-US" w:eastAsia="zh-CN"/>
              </w:rPr>
              <w:t>10</w:t>
            </w:r>
            <w:r>
              <w:rPr>
                <w:rFonts w:ascii="仿宋_GB2312" w:hAnsi="仿宋_GB2312" w:eastAsia="仿宋_GB2312" w:cs="仿宋_GB2312"/>
                <w:bCs/>
                <w:color w:val="000000"/>
                <w:sz w:val="24"/>
              </w:rPr>
              <w:t>个工作日内支付合同价款的</w:t>
            </w:r>
            <w:r>
              <w:rPr>
                <w:rFonts w:hint="eastAsia" w:ascii="仿宋_GB2312" w:hAnsi="仿宋_GB2312" w:eastAsia="仿宋_GB2312" w:cs="仿宋_GB2312"/>
                <w:bCs/>
                <w:color w:val="000000"/>
                <w:sz w:val="24"/>
                <w:lang w:val="en-US" w:eastAsia="zh-CN"/>
              </w:rPr>
              <w:t>60</w:t>
            </w:r>
            <w:r>
              <w:rPr>
                <w:rFonts w:ascii="仿宋_GB2312" w:hAnsi="仿宋_GB2312" w:eastAsia="仿宋_GB2312" w:cs="仿宋_GB2312"/>
                <w:bCs/>
                <w:color w:val="000000"/>
                <w:sz w:val="24"/>
              </w:rPr>
              <w:t>%。
</w:t>
            </w:r>
            <w:r>
              <w:rPr>
                <w:rFonts w:ascii="仿宋_GB2312" w:hAnsi="仿宋_GB2312" w:eastAsia="仿宋_GB2312" w:cs="仿宋_GB2312"/>
                <w:bCs/>
                <w:color w:val="000000"/>
                <w:sz w:val="24"/>
              </w:rPr>
              <w:br w:type="textWrapping"/>
            </w:r>
            <w:r>
              <w:rPr>
                <w:rFonts w:ascii="仿宋_GB2312" w:hAnsi="仿宋_GB2312" w:eastAsia="仿宋_GB2312" w:cs="仿宋_GB2312"/>
                <w:b/>
                <w:bCs w:val="0"/>
                <w:color w:val="000000"/>
                <w:sz w:val="24"/>
              </w:rPr>
              <w:t>注：资金支付等事项按照《保障中小企业款项支付条例》（国务院令第802号）、《广西壮族自治区财政厅关于持续优化政府采购营商环境推动高质量发展的通知》等要求执行。</w:t>
            </w:r>
          </w:p>
        </w:tc>
      </w:tr>
      <w:tr w14:paraId="08D727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jc w:val="center"/>
        </w:trPr>
        <w:tc>
          <w:tcPr>
            <w:tcW w:w="1541" w:type="dxa"/>
            <w:gridSpan w:val="2"/>
            <w:vAlign w:val="center"/>
          </w:tcPr>
          <w:p w14:paraId="41230C08">
            <w:pPr>
              <w:spacing w:line="440" w:lineRule="exact"/>
              <w:jc w:val="left"/>
              <w:rPr>
                <w:rFonts w:hint="eastAsia" w:ascii="等线" w:hAnsi="等线" w:eastAsia="仿宋_GB2312" w:cs="Arial"/>
                <w:bCs/>
                <w:color w:val="000000"/>
                <w:sz w:val="24"/>
                <w:lang w:val="en-GB"/>
              </w:rPr>
            </w:pPr>
            <w:r>
              <w:rPr>
                <w:rFonts w:ascii="仿宋_GB2312" w:hAnsi="仿宋_GB2312" w:eastAsia="仿宋_GB2312" w:cs="仿宋_GB2312"/>
                <w:color w:val="000000"/>
                <w:sz w:val="24"/>
              </w:rPr>
              <w:t>备品备件及耗材等要求</w:t>
            </w:r>
          </w:p>
        </w:tc>
        <w:tc>
          <w:tcPr>
            <w:tcW w:w="7763" w:type="dxa"/>
            <w:vAlign w:val="center"/>
          </w:tcPr>
          <w:p w14:paraId="2A4BE281">
            <w:pPr>
              <w:spacing w:line="440" w:lineRule="exact"/>
              <w:jc w:val="left"/>
              <w:rPr>
                <w:rFonts w:hint="eastAsia" w:ascii="仿宋_GB2312" w:hAnsi="仿宋_GB2312" w:eastAsia="仿宋_GB2312" w:cs="仿宋_GB2312"/>
                <w:bCs/>
                <w:color w:val="000000"/>
                <w:sz w:val="24"/>
              </w:rPr>
            </w:pPr>
            <w:r>
              <w:rPr>
                <w:rFonts w:ascii="仿宋_GB2312" w:hAnsi="仿宋_GB2312" w:eastAsia="仿宋_GB2312" w:cs="仿宋_GB2312"/>
                <w:bCs/>
                <w:color w:val="000000"/>
                <w:sz w:val="24"/>
              </w:rPr>
              <w:t>1.投标人所提供零部件、配件及安装材料必须是符合国家规定质量安全标准的全新、合格产品；该项费用应包含在报价中；
</w:t>
            </w:r>
            <w:r>
              <w:rPr>
                <w:rFonts w:ascii="仿宋_GB2312" w:hAnsi="仿宋_GB2312" w:eastAsia="仿宋_GB2312" w:cs="仿宋_GB2312"/>
                <w:bCs/>
                <w:color w:val="000000"/>
                <w:sz w:val="24"/>
              </w:rPr>
              <w:br w:type="textWrapping"/>
            </w:r>
            <w:r>
              <w:rPr>
                <w:rFonts w:ascii="仿宋_GB2312" w:hAnsi="仿宋_GB2312" w:eastAsia="仿宋_GB2312" w:cs="仿宋_GB2312"/>
                <w:bCs/>
                <w:color w:val="000000"/>
                <w:sz w:val="24"/>
              </w:rPr>
              <w:t>2.投标人所提供完整的全套设备须包括必备的易损耗备件和专用工具；3.投标人必须有完善的备品备件库体系，质保期内能提供相应的免费的措施和配件，保证过质保期后五年内有足够的备品备件，为完成本项目技术支持、服务需求提供可靠保证。</w:t>
            </w:r>
          </w:p>
        </w:tc>
      </w:tr>
      <w:tr w14:paraId="29E159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36" w:hRule="atLeast"/>
          <w:jc w:val="center"/>
        </w:trPr>
        <w:tc>
          <w:tcPr>
            <w:tcW w:w="9304" w:type="dxa"/>
            <w:gridSpan w:val="3"/>
            <w:vAlign w:val="center"/>
          </w:tcPr>
          <w:p w14:paraId="03CEA6CB">
            <w:pPr>
              <w:widowControl/>
              <w:spacing w:line="276" w:lineRule="auto"/>
              <w:jc w:val="left"/>
              <w:rPr>
                <w:rFonts w:ascii="仿宋_GB2312" w:eastAsia="仿宋_GB2312"/>
                <w:bCs/>
                <w:sz w:val="24"/>
              </w:rPr>
            </w:pPr>
            <w:r>
              <w:rPr>
                <w:rFonts w:ascii="仿宋_GB2312" w:hAnsi="宋体" w:eastAsia="仿宋_GB2312" w:cs="宋体"/>
                <w:b/>
                <w:kern w:val="0"/>
                <w:sz w:val="24"/>
              </w:rPr>
              <w:t>★</w:t>
            </w:r>
            <w:r>
              <w:rPr>
                <w:rFonts w:hint="eastAsia" w:ascii="仿宋_GB2312" w:hAnsi="宋体" w:eastAsia="仿宋_GB2312" w:cs="Arial"/>
                <w:b/>
                <w:bCs/>
                <w:color w:val="000000"/>
                <w:sz w:val="24"/>
              </w:rPr>
              <w:t>三、验收要求</w:t>
            </w:r>
          </w:p>
        </w:tc>
      </w:tr>
      <w:tr w14:paraId="6CFE95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jc w:val="center"/>
        </w:trPr>
        <w:tc>
          <w:tcPr>
            <w:tcW w:w="1541" w:type="dxa"/>
            <w:gridSpan w:val="2"/>
            <w:vAlign w:val="center"/>
          </w:tcPr>
          <w:p w14:paraId="23DAD45E">
            <w:pPr>
              <w:snapToGrid w:val="0"/>
              <w:spacing w:line="400" w:lineRule="exact"/>
              <w:jc w:val="center"/>
              <w:rPr>
                <w:rFonts w:hint="eastAsia" w:ascii="等线" w:hAnsi="等线" w:eastAsia="仿宋_GB2312" w:cs="Arial"/>
                <w:bCs/>
                <w:color w:val="000000"/>
                <w:sz w:val="24"/>
                <w:lang w:val="en-GB"/>
              </w:rPr>
            </w:pPr>
            <w:r>
              <w:rPr>
                <w:rFonts w:ascii="仿宋_GB2312" w:hAnsi="仿宋_GB2312" w:eastAsia="仿宋_GB2312" w:cs="仿宋_GB2312"/>
                <w:bCs/>
                <w:color w:val="000000"/>
                <w:sz w:val="24"/>
                <w:szCs w:val="21"/>
              </w:rPr>
              <w:t>验收标准及要求</w:t>
            </w:r>
          </w:p>
        </w:tc>
        <w:tc>
          <w:tcPr>
            <w:tcW w:w="7763" w:type="dxa"/>
            <w:vAlign w:val="center"/>
          </w:tcPr>
          <w:p w14:paraId="29317EE0">
            <w:pPr>
              <w:spacing w:line="440" w:lineRule="exact"/>
              <w:jc w:val="left"/>
              <w:rPr>
                <w:rFonts w:ascii="仿宋_GB2312" w:hAnsi="仿宋_GB2312" w:eastAsia="仿宋_GB2312" w:cs="仿宋_GB2312"/>
                <w:bCs/>
                <w:color w:val="000000"/>
                <w:sz w:val="24"/>
              </w:rPr>
            </w:pPr>
            <w:r>
              <w:rPr>
                <w:rFonts w:hint="eastAsia" w:ascii="仿宋_GB2312" w:hAnsi="仿宋_GB2312" w:eastAsia="仿宋_GB2312" w:cs="仿宋_GB2312"/>
                <w:bCs/>
                <w:color w:val="000000"/>
                <w:sz w:val="24"/>
              </w:rPr>
              <w:t>1.符合国家强制性技术标准及有关规定；</w:t>
            </w:r>
          </w:p>
          <w:p w14:paraId="04DB0A85">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2.交货验收时，采购人已委托监理单位提供监理服务的，参照柳政规〔2020〕7号《柳州市政府投资信息化项目管理办法》的通知，应由当采购人、监理单位、中标人三方共同进行收货验收。必要时可委托国家认可的质量检测机构开展采购项目验收工作；</w:t>
            </w:r>
          </w:p>
          <w:p w14:paraId="2AE3D76F">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3.本项目因中标人提供的货物</w:t>
            </w:r>
            <w:r>
              <w:rPr>
                <w:rFonts w:hint="eastAsia" w:ascii="仿宋_GB2312" w:hAnsi="仿宋_GB2312" w:eastAsia="仿宋_GB2312" w:cs="仿宋_GB2312"/>
                <w:bCs/>
                <w:color w:val="000000"/>
                <w:sz w:val="24"/>
              </w:rPr>
              <w:t>或服务</w:t>
            </w:r>
            <w:r>
              <w:rPr>
                <w:rFonts w:ascii="仿宋_GB2312" w:hAnsi="仿宋_GB2312" w:eastAsia="仿宋_GB2312" w:cs="仿宋_GB2312"/>
                <w:bCs/>
                <w:color w:val="000000"/>
                <w:sz w:val="24"/>
              </w:rPr>
              <w:t>不能满足采购需求的技术参数或其投标文件承诺等原因无法通过验收，造成不能按时、按质、按量完成项目要求的，将按照《中华人民共和国政府采购法》等法律法规由中标人承担相应的法律责任；</w:t>
            </w:r>
          </w:p>
          <w:p w14:paraId="1867BED8">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4.中标人完成安装调试后，可向采购人提出初验申请，采购人可以进行累计运行时间不超过72小时的试运行，以确认所供货物功能参数、兼容性及稳定性符合标准达到初验条件；</w:t>
            </w:r>
          </w:p>
          <w:p w14:paraId="0B3F7029">
            <w:pPr>
              <w:spacing w:line="440" w:lineRule="exact"/>
              <w:jc w:val="left"/>
              <w:rPr>
                <w:rFonts w:ascii="仿宋_GB2312" w:hAnsi="仿宋_GB2312" w:eastAsia="仿宋_GB2312" w:cs="仿宋_GB2312"/>
                <w:bCs/>
                <w:color w:val="000000"/>
                <w:sz w:val="24"/>
              </w:rPr>
            </w:pPr>
            <w:r>
              <w:rPr>
                <w:rFonts w:ascii="仿宋_GB2312" w:hAnsi="仿宋_GB2312" w:eastAsia="仿宋_GB2312" w:cs="仿宋_GB2312"/>
                <w:bCs/>
                <w:color w:val="000000"/>
                <w:sz w:val="24"/>
              </w:rPr>
              <w:t>5.中标人通过初验后向采购人提出最终验收申请，采购人组织聘请验收专家组（3-5人）、监理单位、中标人共同进行验收工作；</w:t>
            </w:r>
          </w:p>
          <w:p w14:paraId="5DE50828">
            <w:pPr>
              <w:spacing w:line="440" w:lineRule="exact"/>
              <w:jc w:val="left"/>
              <w:rPr>
                <w:rFonts w:hint="eastAsia" w:ascii="仿宋_GB2312" w:hAnsi="仿宋_GB2312" w:eastAsia="仿宋_GB2312" w:cs="仿宋_GB2312"/>
                <w:bCs/>
                <w:color w:val="000000"/>
                <w:sz w:val="24"/>
              </w:rPr>
            </w:pPr>
            <w:r>
              <w:rPr>
                <w:rFonts w:hint="eastAsia" w:ascii="仿宋_GB2312" w:hAnsi="仿宋_GB2312" w:eastAsia="仿宋_GB2312" w:cs="仿宋_GB2312"/>
                <w:bCs/>
                <w:color w:val="000000"/>
                <w:sz w:val="24"/>
              </w:rPr>
              <w:t>6</w:t>
            </w:r>
            <w:r>
              <w:rPr>
                <w:rFonts w:ascii="仿宋_GB2312" w:hAnsi="仿宋_GB2312" w:eastAsia="仿宋_GB2312" w:cs="仿宋_GB2312"/>
                <w:bCs/>
                <w:color w:val="000000"/>
                <w:sz w:val="24"/>
              </w:rPr>
              <w:t>.验收费用：验收过程所产生的检验费、验收费及相关的全部费用均由中标人承担（验收费用参照柳财采〔2024〕24 号文件执行），中标人在投标报价时应充分考虑。</w:t>
            </w:r>
          </w:p>
        </w:tc>
      </w:tr>
      <w:tr w14:paraId="2AC069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9304" w:type="dxa"/>
            <w:gridSpan w:val="3"/>
            <w:vAlign w:val="center"/>
          </w:tcPr>
          <w:p w14:paraId="3CD0A115">
            <w:pPr>
              <w:widowControl/>
              <w:snapToGrid w:val="0"/>
              <w:spacing w:before="120" w:after="120" w:line="440" w:lineRule="exact"/>
              <w:jc w:val="left"/>
              <w:rPr>
                <w:rFonts w:hint="eastAsia" w:ascii="仿宋_GB2312" w:hAnsi="宋体" w:eastAsia="仿宋_GB2312" w:cs="宋体"/>
                <w:bCs/>
                <w:color w:val="000000"/>
                <w:sz w:val="24"/>
              </w:rPr>
            </w:pPr>
            <w:r>
              <w:rPr>
                <w:rFonts w:hint="eastAsia" w:ascii="仿宋_GB2312" w:hAnsi="宋体" w:eastAsia="仿宋_GB2312" w:cs="Arial"/>
                <w:b/>
                <w:bCs/>
                <w:color w:val="000000"/>
                <w:sz w:val="24"/>
              </w:rPr>
              <w:t>四、资信要求</w:t>
            </w:r>
          </w:p>
        </w:tc>
      </w:tr>
      <w:tr w14:paraId="0E7DB5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gridSpan w:val="2"/>
            <w:vAlign w:val="center"/>
          </w:tcPr>
          <w:p w14:paraId="68C1E678">
            <w:pPr>
              <w:snapToGrid w:val="0"/>
              <w:spacing w:line="400" w:lineRule="exact"/>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szCs w:val="21"/>
              </w:rPr>
              <w:t>政策性加分条件（如有）</w:t>
            </w:r>
          </w:p>
        </w:tc>
        <w:tc>
          <w:tcPr>
            <w:tcW w:w="7763" w:type="dxa"/>
            <w:vAlign w:val="center"/>
          </w:tcPr>
          <w:p w14:paraId="32B3CBA8">
            <w:pPr>
              <w:pStyle w:val="415"/>
              <w:spacing w:before="0" w:beforeAutospacing="0" w:after="0" w:afterAutospacing="0" w:line="460" w:lineRule="atLeast"/>
              <w:rPr>
                <w:rFonts w:ascii="仿宋_GB2312" w:eastAsia="仿宋_GB2312"/>
                <w:color w:val="000000"/>
              </w:rPr>
            </w:pPr>
            <w:r>
              <w:rPr>
                <w:rFonts w:hint="eastAsia" w:ascii="仿宋_GB2312" w:eastAsia="仿宋_GB2312"/>
                <w:color w:val="000000"/>
              </w:rPr>
              <w:t>1．《政府采购促进中小企业发展管理办法》（财库〔2020〕46号），符合办法规定条件且出具该办法规定的《中小企业声明函》的小型和微型企业报价，对其报价给予20%的扣除。监狱企业、残疾人福利性单位视同小型和微型企业；</w:t>
            </w:r>
          </w:p>
          <w:p w14:paraId="742F4F71">
            <w:pPr>
              <w:pStyle w:val="415"/>
              <w:spacing w:before="0" w:beforeAutospacing="0" w:after="0" w:afterAutospacing="0" w:line="460" w:lineRule="atLeast"/>
              <w:rPr>
                <w:rFonts w:hint="eastAsia" w:ascii="仿宋_GB2312" w:eastAsia="仿宋_GB2312"/>
                <w:color w:val="000000"/>
              </w:rPr>
            </w:pPr>
            <w:r>
              <w:rPr>
                <w:rStyle w:val="416"/>
                <w:rFonts w:hint="eastAsia" w:ascii="仿宋_GB2312" w:eastAsia="仿宋_GB2312"/>
                <w:color w:val="000000"/>
              </w:rPr>
              <w:t>注：（1）采购标的对应的中小企业划分标准所属行</w:t>
            </w:r>
            <w:r>
              <w:rPr>
                <w:rStyle w:val="416"/>
                <w:rFonts w:hint="eastAsia" w:ascii="仿宋_GB2312" w:eastAsia="仿宋_GB2312"/>
                <w:b/>
                <w:bCs/>
                <w:color w:val="000000"/>
              </w:rPr>
              <w:t>业：</w:t>
            </w:r>
            <w:r>
              <w:rPr>
                <w:rStyle w:val="416"/>
                <w:rFonts w:hint="eastAsia" w:ascii="仿宋_GB2312" w:eastAsia="仿宋_GB2312"/>
                <w:b/>
                <w:bCs/>
                <w:color w:val="000000"/>
                <w:u w:val="single"/>
                <w:lang w:val="en-US" w:eastAsia="zh-CN"/>
              </w:rPr>
              <w:t>（一）八中本部新综合楼多功能厅:室内全彩LED屏系统第15项、第28项</w:t>
            </w:r>
            <w:r>
              <w:rPr>
                <w:rStyle w:val="416"/>
                <w:rFonts w:hint="eastAsia" w:ascii="仿宋_GB2312" w:eastAsia="仿宋_GB2312"/>
                <w:b/>
                <w:bCs/>
                <w:color w:val="000000"/>
                <w:u w:val="single"/>
              </w:rPr>
              <w:t>标的货物为软件和信息技术服务业，</w:t>
            </w:r>
            <w:r>
              <w:rPr>
                <w:rStyle w:val="416"/>
                <w:rFonts w:hint="eastAsia" w:ascii="仿宋_GB2312" w:eastAsia="仿宋_GB2312"/>
                <w:b/>
                <w:bCs/>
                <w:color w:val="000000"/>
                <w:u w:val="single"/>
                <w:lang w:val="en-US" w:eastAsia="zh-CN"/>
              </w:rPr>
              <w:t>（一）八中本部新综合楼多功能厅:室内全彩LED屏系统</w:t>
            </w:r>
            <w:r>
              <w:rPr>
                <w:rStyle w:val="416"/>
                <w:rFonts w:hint="eastAsia" w:ascii="仿宋_GB2312" w:eastAsia="仿宋_GB2312"/>
                <w:b/>
                <w:bCs/>
                <w:color w:val="000000"/>
                <w:u w:val="single"/>
                <w:lang w:eastAsia="zh-CN"/>
              </w:rPr>
              <w:t>第</w:t>
            </w:r>
            <w:r>
              <w:rPr>
                <w:rStyle w:val="416"/>
                <w:rFonts w:hint="eastAsia" w:ascii="仿宋_GB2312" w:eastAsia="仿宋_GB2312"/>
                <w:b/>
                <w:bCs/>
                <w:color w:val="000000"/>
                <w:u w:val="single"/>
                <w:lang w:val="en-US" w:eastAsia="zh-CN"/>
              </w:rPr>
              <w:t>24</w:t>
            </w:r>
            <w:r>
              <w:rPr>
                <w:rStyle w:val="416"/>
                <w:rFonts w:hint="eastAsia" w:ascii="仿宋_GB2312" w:eastAsia="仿宋_GB2312"/>
                <w:b/>
                <w:bCs/>
                <w:color w:val="000000"/>
                <w:u w:val="single"/>
                <w:lang w:eastAsia="zh-CN"/>
              </w:rPr>
              <w:t>项、</w:t>
            </w:r>
            <w:r>
              <w:rPr>
                <w:rStyle w:val="416"/>
                <w:rFonts w:hint="eastAsia" w:ascii="仿宋_GB2312" w:eastAsia="仿宋_GB2312"/>
                <w:b/>
                <w:bCs/>
                <w:color w:val="000000"/>
                <w:u w:val="single"/>
                <w:lang w:val="en-US" w:eastAsia="zh-CN"/>
              </w:rPr>
              <w:t>第38-39项、（二）市二十四中室内全彩LED屏</w:t>
            </w:r>
            <w:r>
              <w:rPr>
                <w:rStyle w:val="416"/>
                <w:rFonts w:hint="eastAsia" w:ascii="仿宋_GB2312" w:eastAsia="仿宋_GB2312"/>
                <w:b/>
                <w:bCs/>
                <w:color w:val="000000"/>
                <w:u w:val="single"/>
                <w:lang w:eastAsia="zh-CN"/>
              </w:rPr>
              <w:t>第</w:t>
            </w:r>
            <w:r>
              <w:rPr>
                <w:rStyle w:val="416"/>
                <w:rFonts w:hint="eastAsia" w:ascii="仿宋_GB2312" w:eastAsia="仿宋_GB2312"/>
                <w:b/>
                <w:bCs/>
                <w:color w:val="000000"/>
                <w:u w:val="single"/>
                <w:lang w:val="en-US" w:eastAsia="zh-CN"/>
              </w:rPr>
              <w:t>11</w:t>
            </w:r>
            <w:r>
              <w:rPr>
                <w:rStyle w:val="416"/>
                <w:rFonts w:hint="eastAsia" w:ascii="仿宋_GB2312" w:eastAsia="仿宋_GB2312"/>
                <w:b/>
                <w:bCs/>
                <w:color w:val="000000"/>
                <w:u w:val="single"/>
                <w:lang w:eastAsia="zh-CN"/>
              </w:rPr>
              <w:t>项、</w:t>
            </w:r>
            <w:r>
              <w:rPr>
                <w:rFonts w:hint="eastAsia" w:ascii="仿宋_GB2312" w:hAnsi="仿宋_GB2312" w:eastAsia="仿宋_GB2312" w:cs="仿宋_GB2312"/>
                <w:b/>
                <w:bCs/>
                <w:kern w:val="0"/>
                <w:sz w:val="24"/>
                <w:lang w:val="en-US" w:eastAsia="zh-CN" w:bidi="ar"/>
              </w:rPr>
              <w:t>（三）市十五中室外全彩LED屏</w:t>
            </w:r>
            <w:r>
              <w:rPr>
                <w:rStyle w:val="416"/>
                <w:rFonts w:hint="eastAsia" w:ascii="仿宋_GB2312" w:eastAsia="仿宋_GB2312"/>
                <w:b/>
                <w:bCs/>
                <w:color w:val="000000"/>
                <w:u w:val="single"/>
                <w:lang w:val="en-US" w:eastAsia="zh-CN"/>
              </w:rPr>
              <w:t>第9项、</w:t>
            </w:r>
            <w:r>
              <w:rPr>
                <w:rStyle w:val="416"/>
                <w:rFonts w:hint="eastAsia" w:ascii="仿宋_GB2312" w:eastAsia="仿宋_GB2312"/>
                <w:b/>
                <w:bCs/>
                <w:color w:val="000000"/>
                <w:u w:val="single"/>
                <w:lang w:eastAsia="zh-CN"/>
              </w:rPr>
              <w:t>第</w:t>
            </w:r>
            <w:r>
              <w:rPr>
                <w:rStyle w:val="416"/>
                <w:rFonts w:hint="eastAsia" w:ascii="仿宋_GB2312" w:eastAsia="仿宋_GB2312"/>
                <w:b/>
                <w:bCs/>
                <w:color w:val="000000"/>
                <w:u w:val="single"/>
                <w:lang w:val="en-US" w:eastAsia="zh-CN"/>
              </w:rPr>
              <w:t>15</w:t>
            </w:r>
            <w:r>
              <w:rPr>
                <w:rStyle w:val="416"/>
                <w:rFonts w:hint="eastAsia" w:ascii="仿宋_GB2312" w:eastAsia="仿宋_GB2312"/>
                <w:b/>
                <w:bCs/>
                <w:color w:val="000000"/>
                <w:u w:val="single"/>
                <w:lang w:eastAsia="zh-CN"/>
              </w:rPr>
              <w:t>项、</w:t>
            </w:r>
            <w:r>
              <w:rPr>
                <w:rStyle w:val="416"/>
                <w:rFonts w:hint="eastAsia" w:ascii="仿宋_GB2312" w:eastAsia="仿宋_GB2312"/>
                <w:b/>
                <w:bCs/>
                <w:color w:val="000000"/>
                <w:u w:val="single"/>
                <w:lang w:val="en-US" w:eastAsia="zh-CN"/>
              </w:rPr>
              <w:t>（四）市十五中旧屏改造</w:t>
            </w:r>
            <w:r>
              <w:rPr>
                <w:rStyle w:val="416"/>
                <w:rFonts w:hint="eastAsia" w:ascii="仿宋_GB2312" w:eastAsia="仿宋_GB2312"/>
                <w:b/>
                <w:bCs/>
                <w:color w:val="000000"/>
                <w:u w:val="single"/>
                <w:lang w:eastAsia="zh-CN"/>
              </w:rPr>
              <w:t>第</w:t>
            </w:r>
            <w:r>
              <w:rPr>
                <w:rStyle w:val="416"/>
                <w:rFonts w:hint="eastAsia" w:ascii="仿宋_GB2312" w:eastAsia="仿宋_GB2312"/>
                <w:b/>
                <w:bCs/>
                <w:color w:val="000000"/>
                <w:u w:val="single"/>
                <w:lang w:val="en-US" w:eastAsia="zh-CN"/>
              </w:rPr>
              <w:t>15</w:t>
            </w:r>
            <w:r>
              <w:rPr>
                <w:rStyle w:val="416"/>
                <w:rFonts w:hint="eastAsia" w:ascii="仿宋_GB2312" w:eastAsia="仿宋_GB2312"/>
                <w:b/>
                <w:bCs/>
                <w:color w:val="000000"/>
                <w:u w:val="single"/>
                <w:lang w:eastAsia="zh-CN"/>
              </w:rPr>
              <w:t>项、</w:t>
            </w:r>
            <w:r>
              <w:rPr>
                <w:rStyle w:val="416"/>
                <w:rFonts w:hint="eastAsia" w:ascii="仿宋_GB2312" w:eastAsia="仿宋_GB2312"/>
                <w:b/>
                <w:bCs/>
                <w:color w:val="000000"/>
                <w:u w:val="single"/>
                <w:lang w:val="en-US" w:eastAsia="zh-CN"/>
              </w:rPr>
              <w:t>（六）市十二中文昌校区音响系统</w:t>
            </w:r>
            <w:r>
              <w:rPr>
                <w:rStyle w:val="416"/>
                <w:rFonts w:hint="eastAsia" w:ascii="仿宋_GB2312" w:eastAsia="仿宋_GB2312"/>
                <w:b/>
                <w:bCs/>
                <w:color w:val="000000"/>
                <w:u w:val="single"/>
                <w:lang w:eastAsia="zh-CN"/>
              </w:rPr>
              <w:t>第</w:t>
            </w:r>
            <w:r>
              <w:rPr>
                <w:rStyle w:val="416"/>
                <w:rFonts w:hint="eastAsia" w:ascii="仿宋_GB2312" w:eastAsia="仿宋_GB2312"/>
                <w:b/>
                <w:bCs/>
                <w:color w:val="000000"/>
                <w:u w:val="single"/>
                <w:lang w:val="en-US" w:eastAsia="zh-CN"/>
              </w:rPr>
              <w:t>12-13</w:t>
            </w:r>
            <w:r>
              <w:rPr>
                <w:rStyle w:val="416"/>
                <w:rFonts w:hint="eastAsia" w:ascii="仿宋_GB2312" w:eastAsia="仿宋_GB2312"/>
                <w:b/>
                <w:bCs/>
                <w:color w:val="000000"/>
                <w:u w:val="single"/>
                <w:lang w:eastAsia="zh-CN"/>
              </w:rPr>
              <w:t>项</w:t>
            </w:r>
            <w:r>
              <w:rPr>
                <w:rStyle w:val="416"/>
                <w:rFonts w:hint="eastAsia" w:ascii="仿宋_GB2312" w:eastAsia="仿宋_GB2312"/>
                <w:b/>
                <w:bCs/>
                <w:color w:val="000000"/>
                <w:u w:val="single"/>
              </w:rPr>
              <w:t>标的物不作中小企业划分要求</w:t>
            </w:r>
            <w:r>
              <w:rPr>
                <w:rStyle w:val="416"/>
                <w:rFonts w:hint="eastAsia" w:ascii="仿宋_GB2312" w:eastAsia="仿宋_GB2312"/>
                <w:b/>
                <w:bCs/>
                <w:color w:val="000000"/>
                <w:u w:val="single"/>
                <w:lang w:eastAsia="zh-CN"/>
              </w:rPr>
              <w:t>，其余</w:t>
            </w:r>
            <w:r>
              <w:rPr>
                <w:rStyle w:val="416"/>
                <w:rFonts w:hint="eastAsia" w:ascii="仿宋_GB2312" w:eastAsia="仿宋_GB2312"/>
                <w:b/>
                <w:bCs/>
                <w:color w:val="000000"/>
                <w:u w:val="single"/>
              </w:rPr>
              <w:t>标的货物为工业。</w:t>
            </w:r>
          </w:p>
          <w:p w14:paraId="28AF2F98">
            <w:pPr>
              <w:pStyle w:val="415"/>
              <w:spacing w:before="0" w:beforeAutospacing="0" w:after="0" w:afterAutospacing="0" w:line="460" w:lineRule="atLeast"/>
              <w:rPr>
                <w:rFonts w:hint="eastAsia" w:ascii="仿宋_GB2312" w:eastAsia="仿宋_GB2312"/>
                <w:color w:val="000000"/>
              </w:rPr>
            </w:pPr>
            <w:r>
              <w:rPr>
                <w:rStyle w:val="416"/>
                <w:rFonts w:hint="eastAsia" w:ascii="仿宋_GB2312" w:eastAsia="仿宋_GB2312"/>
                <w:color w:val="000000"/>
              </w:rPr>
              <w:t>（2）中小企业划分有关标准根据工信部等部委发布的《关于印发中小企业划型标准规定的通知》（工信部联企业〔2011〕300号）确定；</w:t>
            </w:r>
          </w:p>
          <w:p w14:paraId="13FB566D">
            <w:pPr>
              <w:pStyle w:val="415"/>
              <w:spacing w:before="0" w:beforeAutospacing="0" w:after="0" w:afterAutospacing="0" w:line="460" w:lineRule="atLeast"/>
              <w:rPr>
                <w:rFonts w:hint="eastAsia" w:ascii="仿宋_GB2312" w:eastAsia="仿宋_GB2312"/>
                <w:color w:val="000000"/>
              </w:rPr>
            </w:pPr>
            <w:r>
              <w:rPr>
                <w:rStyle w:val="416"/>
                <w:rFonts w:hint="eastAsia" w:ascii="仿宋_GB2312" w:eastAsia="仿宋_GB2312"/>
                <w:color w:val="000000"/>
              </w:rPr>
              <w:t>（3）为方便投标人识别企业规模类型，投标人可使用工业和信息化部组织开发的中小企业规模类型自测小程序生成企业规模类型测试结果。自测小程序链接：https://baosong.miit.gov.cn/ScaleTest</w:t>
            </w:r>
          </w:p>
          <w:p w14:paraId="4D2E6030">
            <w:pPr>
              <w:pStyle w:val="41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2.《财政部、司法部关于政府采购支持监狱企业发展有关问题的通知》（财库〔2014〕68号）；</w:t>
            </w:r>
          </w:p>
          <w:p w14:paraId="3E4E4DAF">
            <w:pPr>
              <w:pStyle w:val="41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3.《财政部 民政部 中国残疾人联合会关于促进残疾人就业政府采购政策的通知》（财库〔2017〕141号）；</w:t>
            </w:r>
          </w:p>
          <w:p w14:paraId="435620C8">
            <w:pPr>
              <w:pStyle w:val="41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4.《财政部 发展改革委 生态环境部 市场监管总局关于调整优化节能产品、环境标志产品政府采购执行机制的通知》（财库〔2019〕9号）：对政府采购节能产品、环境标志产品实施品目清单管理，依据品目清单和认证证书实施政府优先采购和强制采购；</w:t>
            </w:r>
          </w:p>
          <w:p w14:paraId="41F95E5C">
            <w:pPr>
              <w:pStyle w:val="41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5.财政部 生态环境部《关于印发环境标志产品政府采购品目清单的通知》（财库〔2019〕18号）；</w:t>
            </w:r>
          </w:p>
          <w:p w14:paraId="511F1F92">
            <w:pPr>
              <w:pStyle w:val="415"/>
              <w:spacing w:before="0" w:beforeAutospacing="0" w:after="0" w:afterAutospacing="0" w:line="460" w:lineRule="atLeast"/>
              <w:rPr>
                <w:rFonts w:hint="eastAsia" w:ascii="仿宋_GB2312" w:eastAsia="仿宋_GB2312"/>
                <w:color w:val="000000"/>
              </w:rPr>
            </w:pPr>
            <w:r>
              <w:rPr>
                <w:rFonts w:hint="eastAsia" w:ascii="仿宋_GB2312" w:eastAsia="仿宋_GB2312"/>
                <w:color w:val="000000"/>
              </w:rPr>
              <w:t>6.财政部 发展改革委《关于印发节能产品政府采购品目清单的通知》（财库〔2019〕19号）；</w:t>
            </w:r>
          </w:p>
        </w:tc>
      </w:tr>
      <w:tr w14:paraId="18CDD0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70" w:hRule="atLeast"/>
          <w:jc w:val="center"/>
        </w:trPr>
        <w:tc>
          <w:tcPr>
            <w:tcW w:w="1541" w:type="dxa"/>
            <w:gridSpan w:val="2"/>
            <w:vAlign w:val="center"/>
          </w:tcPr>
          <w:p w14:paraId="69DB5E7A">
            <w:pPr>
              <w:snapToGrid w:val="0"/>
              <w:spacing w:line="400" w:lineRule="exact"/>
              <w:jc w:val="center"/>
              <w:rPr>
                <w:rFonts w:hint="eastAsia" w:ascii="仿宋_GB2312" w:hAnsi="宋体" w:eastAsia="仿宋_GB2312" w:cs="Arial"/>
                <w:bCs/>
                <w:color w:val="000000"/>
                <w:sz w:val="24"/>
              </w:rPr>
            </w:pPr>
            <w:r>
              <w:rPr>
                <w:rFonts w:ascii="仿宋_GB2312" w:hAnsi="仿宋_GB2312" w:eastAsia="仿宋_GB2312" w:cs="仿宋_GB2312"/>
                <w:bCs/>
                <w:color w:val="000000"/>
                <w:sz w:val="24"/>
                <w:szCs w:val="21"/>
              </w:rPr>
              <w:t xml:space="preserve">质量管理、企业信用要求（如有） </w:t>
            </w:r>
          </w:p>
        </w:tc>
        <w:tc>
          <w:tcPr>
            <w:tcW w:w="7763" w:type="dxa"/>
            <w:vAlign w:val="center"/>
          </w:tcPr>
          <w:p w14:paraId="6EB6BC19">
            <w:pPr>
              <w:pStyle w:val="436"/>
              <w:spacing w:before="0" w:beforeAutospacing="0" w:after="0" w:afterAutospacing="0" w:line="460" w:lineRule="atLeast"/>
              <w:rPr>
                <w:rFonts w:ascii="仿宋_GB2312" w:eastAsia="仿宋_GB2312"/>
                <w:color w:val="000000"/>
              </w:rPr>
            </w:pPr>
            <w:r>
              <w:rPr>
                <w:rFonts w:hint="eastAsia" w:ascii="仿宋_GB2312" w:eastAsia="仿宋_GB2312"/>
                <w:color w:val="000000"/>
              </w:rPr>
              <w:t>1.投标人或所投核心产品生产厂家具备有效的质量管理体系认证证书；</w:t>
            </w:r>
            <w:r>
              <w:rPr>
                <w:rFonts w:hint="eastAsia" w:ascii="仿宋_GB2312" w:eastAsia="仿宋_GB2312"/>
                <w:color w:val="000000"/>
              </w:rPr>
              <w:br w:type="textWrapping"/>
            </w:r>
            <w:r>
              <w:rPr>
                <w:rFonts w:hint="eastAsia" w:ascii="仿宋_GB2312" w:eastAsia="仿宋_GB2312"/>
                <w:color w:val="000000"/>
              </w:rPr>
              <w:t>2.投标人或所投核心产品生产厂家具备有效的职业健康安全管理体系认证证书；</w:t>
            </w:r>
            <w:r>
              <w:rPr>
                <w:rFonts w:hint="eastAsia" w:ascii="仿宋_GB2312" w:eastAsia="仿宋_GB2312"/>
                <w:color w:val="000000"/>
              </w:rPr>
              <w:br w:type="textWrapping"/>
            </w:r>
            <w:r>
              <w:rPr>
                <w:rFonts w:hint="eastAsia" w:ascii="仿宋_GB2312" w:eastAsia="仿宋_GB2312"/>
                <w:color w:val="000000"/>
              </w:rPr>
              <w:t>3.投标人或所投核心产品生产厂家具备有效的环境管理体系认证证书。</w:t>
            </w:r>
          </w:p>
        </w:tc>
      </w:tr>
      <w:tr w14:paraId="6243B6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96" w:hRule="atLeast"/>
          <w:jc w:val="center"/>
        </w:trPr>
        <w:tc>
          <w:tcPr>
            <w:tcW w:w="9304" w:type="dxa"/>
            <w:gridSpan w:val="3"/>
            <w:vAlign w:val="center"/>
          </w:tcPr>
          <w:p w14:paraId="04DB0B0D">
            <w:pPr>
              <w:snapToGrid w:val="0"/>
              <w:spacing w:line="440" w:lineRule="exact"/>
              <w:rPr>
                <w:rFonts w:ascii="仿宋_GB2312" w:hAnsi="Courier New" w:eastAsia="仿宋_GB2312" w:cs="Courier New"/>
                <w:bCs/>
                <w:color w:val="FF0000"/>
                <w:kern w:val="0"/>
                <w:sz w:val="24"/>
                <w:szCs w:val="21"/>
              </w:rPr>
            </w:pPr>
            <w:r>
              <w:rPr>
                <w:rFonts w:hint="eastAsia" w:ascii="仿宋_GB2312" w:hAnsi="宋体" w:eastAsia="仿宋_GB2312" w:cs="Courier New"/>
                <w:b/>
                <w:bCs/>
                <w:kern w:val="0"/>
                <w:sz w:val="24"/>
                <w:szCs w:val="21"/>
              </w:rPr>
              <w:t>五、其他要求</w:t>
            </w:r>
          </w:p>
        </w:tc>
      </w:tr>
      <w:tr w14:paraId="24C0FCA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3" w:hRule="atLeast"/>
          <w:jc w:val="center"/>
        </w:trPr>
        <w:tc>
          <w:tcPr>
            <w:tcW w:w="1481" w:type="dxa"/>
            <w:vAlign w:val="center"/>
          </w:tcPr>
          <w:p w14:paraId="5AC04932">
            <w:pPr>
              <w:jc w:val="center"/>
              <w:rPr>
                <w:rFonts w:hint="eastAsia" w:ascii="仿宋_GB2312" w:hAnsi="宋体" w:eastAsia="仿宋_GB2312"/>
                <w:sz w:val="24"/>
              </w:rPr>
            </w:pPr>
            <w:r>
              <w:rPr>
                <w:rFonts w:ascii="仿宋_GB2312" w:hAnsi="宋体" w:eastAsia="仿宋_GB2312" w:cs="宋体"/>
                <w:bCs/>
                <w:color w:val="000000"/>
                <w:sz w:val="24"/>
              </w:rPr>
              <w:t>无</w:t>
            </w:r>
          </w:p>
        </w:tc>
        <w:tc>
          <w:tcPr>
            <w:tcW w:w="7823" w:type="dxa"/>
            <w:gridSpan w:val="2"/>
            <w:vAlign w:val="center"/>
          </w:tcPr>
          <w:p w14:paraId="1DC4DF8E">
            <w:pPr>
              <w:snapToGrid w:val="0"/>
              <w:spacing w:line="440" w:lineRule="exact"/>
              <w:jc w:val="left"/>
              <w:rPr>
                <w:rFonts w:ascii="仿宋_GB2312" w:eastAsia="仿宋_GB2312"/>
                <w:bCs/>
                <w:color w:val="FF0000"/>
                <w:kern w:val="0"/>
                <w:sz w:val="24"/>
              </w:rPr>
            </w:pPr>
            <w:r>
              <w:rPr>
                <w:rFonts w:ascii="仿宋_GB2312" w:eastAsia="仿宋_GB2312"/>
                <w:bCs/>
                <w:color w:val="000000" w:themeColor="text1"/>
                <w:kern w:val="0"/>
                <w:sz w:val="24"/>
                <w14:textFill>
                  <w14:solidFill>
                    <w14:schemeClr w14:val="tx1"/>
                  </w14:solidFill>
                </w14:textFill>
              </w:rPr>
              <w:t xml:space="preserve"> </w:t>
            </w:r>
          </w:p>
        </w:tc>
      </w:tr>
    </w:tbl>
    <w:p w14:paraId="1AA8DFF2">
      <w:pPr>
        <w:spacing w:line="360" w:lineRule="auto"/>
        <w:rPr>
          <w:rFonts w:hint="eastAsia" w:ascii="仿宋_GB2312" w:hAnsi="宋体" w:eastAsia="仿宋_GB2312"/>
          <w:sz w:val="24"/>
        </w:rPr>
      </w:pPr>
    </w:p>
    <w:p w14:paraId="126DDD2D">
      <w:pPr>
        <w:sectPr>
          <w:pgSz w:w="11906" w:h="16838"/>
          <w:pgMar w:top="1440" w:right="1440" w:bottom="1440" w:left="1440" w:header="851" w:footer="992" w:gutter="0"/>
          <w:cols w:space="720" w:num="1"/>
          <w:docGrid w:linePitch="312" w:charSpace="0"/>
        </w:sectPr>
      </w:pPr>
    </w:p>
    <w:p w14:paraId="1422A870">
      <w:pPr>
        <w:pStyle w:val="5"/>
        <w:spacing w:line="276" w:lineRule="auto"/>
        <w:jc w:val="center"/>
        <w:rPr>
          <w:sz w:val="32"/>
          <w:szCs w:val="32"/>
        </w:rPr>
      </w:pPr>
      <w:bookmarkStart w:id="26" w:name="_Toc29711"/>
      <w:r>
        <w:rPr>
          <w:rFonts w:hint="eastAsia"/>
          <w:sz w:val="32"/>
          <w:szCs w:val="32"/>
        </w:rPr>
        <w:t>第三章 投标人须知</w:t>
      </w:r>
      <w:bookmarkEnd w:id="26"/>
    </w:p>
    <w:p w14:paraId="10A49C25">
      <w:pPr>
        <w:spacing w:line="276" w:lineRule="auto"/>
        <w:jc w:val="center"/>
        <w:rPr>
          <w:rFonts w:ascii="仿宋_GB2312" w:eastAsia="仿宋_GB2312"/>
          <w:b/>
          <w:sz w:val="28"/>
          <w:szCs w:val="28"/>
        </w:rPr>
      </w:pPr>
      <w:r>
        <w:rPr>
          <w:rFonts w:hint="eastAsia" w:ascii="仿宋_GB2312" w:eastAsia="仿宋_GB2312"/>
          <w:b/>
          <w:sz w:val="28"/>
          <w:szCs w:val="28"/>
        </w:rPr>
        <w:t>前附表</w:t>
      </w:r>
    </w:p>
    <w:tbl>
      <w:tblPr>
        <w:tblStyle w:val="48"/>
        <w:tblW w:w="9049"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108" w:type="dxa"/>
          <w:bottom w:w="0" w:type="dxa"/>
          <w:right w:w="108" w:type="dxa"/>
        </w:tblCellMar>
      </w:tblPr>
      <w:tblGrid>
        <w:gridCol w:w="817"/>
        <w:gridCol w:w="8232"/>
      </w:tblGrid>
      <w:tr w14:paraId="36A6E14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tcPr>
          <w:p w14:paraId="1606E78C">
            <w:pPr>
              <w:spacing w:line="400" w:lineRule="exact"/>
              <w:jc w:val="center"/>
              <w:rPr>
                <w:rFonts w:ascii="仿宋_GB2312" w:eastAsia="仿宋_GB2312"/>
                <w:b/>
                <w:sz w:val="24"/>
              </w:rPr>
            </w:pPr>
            <w:r>
              <w:rPr>
                <w:rFonts w:hint="eastAsia" w:ascii="仿宋_GB2312" w:eastAsia="仿宋_GB2312"/>
                <w:b/>
                <w:sz w:val="24"/>
              </w:rPr>
              <w:t>序号</w:t>
            </w:r>
          </w:p>
        </w:tc>
        <w:tc>
          <w:tcPr>
            <w:tcW w:w="8232" w:type="dxa"/>
          </w:tcPr>
          <w:p w14:paraId="21EDB0DD">
            <w:pPr>
              <w:spacing w:line="400" w:lineRule="exact"/>
              <w:jc w:val="center"/>
              <w:rPr>
                <w:rFonts w:ascii="仿宋_GB2312" w:eastAsia="仿宋_GB2312"/>
                <w:b/>
                <w:sz w:val="24"/>
              </w:rPr>
            </w:pPr>
            <w:r>
              <w:rPr>
                <w:rFonts w:hint="eastAsia" w:ascii="仿宋_GB2312" w:eastAsia="仿宋_GB2312"/>
                <w:b/>
                <w:sz w:val="24"/>
              </w:rPr>
              <w:t>内    容</w:t>
            </w:r>
          </w:p>
        </w:tc>
      </w:tr>
      <w:tr w14:paraId="1ED0223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B1E5111">
            <w:pPr>
              <w:spacing w:line="400" w:lineRule="exact"/>
              <w:jc w:val="center"/>
              <w:rPr>
                <w:rFonts w:ascii="仿宋_GB2312" w:eastAsia="仿宋_GB2312"/>
                <w:sz w:val="24"/>
              </w:rPr>
            </w:pPr>
            <w:r>
              <w:rPr>
                <w:rFonts w:hint="eastAsia" w:ascii="仿宋_GB2312" w:eastAsia="仿宋_GB2312"/>
                <w:sz w:val="24"/>
              </w:rPr>
              <w:t>1</w:t>
            </w:r>
          </w:p>
        </w:tc>
        <w:tc>
          <w:tcPr>
            <w:tcW w:w="8232" w:type="dxa"/>
            <w:vAlign w:val="center"/>
          </w:tcPr>
          <w:p w14:paraId="1518C9F4">
            <w:pPr>
              <w:spacing w:line="400" w:lineRule="exact"/>
              <w:rPr>
                <w:rFonts w:ascii="仿宋_GB2312" w:eastAsia="仿宋_GB2312"/>
                <w:sz w:val="24"/>
              </w:rPr>
            </w:pPr>
            <w:r>
              <w:rPr>
                <w:rFonts w:hint="eastAsia" w:ascii="仿宋_GB2312" w:eastAsia="仿宋_GB2312"/>
                <w:sz w:val="24"/>
              </w:rPr>
              <w:t>项目名称：</w:t>
            </w:r>
            <w:r>
              <w:rPr>
                <w:rFonts w:ascii="仿宋_GB2312" w:hAnsi="宋体" w:eastAsia="仿宋_GB2312"/>
                <w:sz w:val="24"/>
              </w:rPr>
              <w:t>中小学增补及常规电教设备采购</w:t>
            </w:r>
          </w:p>
          <w:p w14:paraId="730841C5">
            <w:pPr>
              <w:spacing w:line="400" w:lineRule="exact"/>
              <w:rPr>
                <w:rFonts w:ascii="仿宋_GB2312" w:eastAsia="仿宋_GB2312"/>
                <w:sz w:val="24"/>
              </w:rPr>
            </w:pPr>
            <w:r>
              <w:rPr>
                <w:rFonts w:hint="eastAsia" w:ascii="仿宋_GB2312" w:eastAsia="仿宋_GB2312"/>
                <w:sz w:val="24"/>
              </w:rPr>
              <w:t>项目编号：</w:t>
            </w:r>
            <w:r>
              <w:rPr>
                <w:rFonts w:ascii="仿宋_GB2312" w:hAnsi="宋体" w:eastAsia="仿宋_GB2312"/>
                <w:sz w:val="24"/>
              </w:rPr>
              <w:t>LZZC2025-G1-990813-LZSZ</w:t>
            </w:r>
          </w:p>
        </w:tc>
      </w:tr>
      <w:tr w14:paraId="432BB2B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35A2473">
            <w:pPr>
              <w:spacing w:line="400" w:lineRule="exact"/>
              <w:jc w:val="center"/>
              <w:rPr>
                <w:rFonts w:ascii="仿宋_GB2312" w:eastAsia="仿宋_GB2312"/>
                <w:sz w:val="24"/>
              </w:rPr>
            </w:pPr>
            <w:r>
              <w:rPr>
                <w:rFonts w:ascii="仿宋_GB2312" w:eastAsia="仿宋_GB2312"/>
                <w:sz w:val="24"/>
              </w:rPr>
              <w:t>2</w:t>
            </w:r>
          </w:p>
        </w:tc>
        <w:tc>
          <w:tcPr>
            <w:tcW w:w="8232" w:type="dxa"/>
          </w:tcPr>
          <w:p w14:paraId="3434FA7D">
            <w:pPr>
              <w:autoSpaceDE w:val="0"/>
              <w:autoSpaceDN w:val="0"/>
              <w:spacing w:line="400" w:lineRule="exact"/>
              <w:textAlignment w:val="bottom"/>
              <w:rPr>
                <w:rFonts w:ascii="仿宋_GB2312" w:eastAsia="仿宋_GB2312"/>
                <w:sz w:val="24"/>
              </w:rPr>
            </w:pPr>
            <w:r>
              <w:rPr>
                <w:rFonts w:hint="eastAsia" w:ascii="仿宋_GB2312" w:eastAsia="仿宋_GB2312"/>
                <w:sz w:val="24"/>
              </w:rPr>
              <w:t>采购资金来源：财政性资金</w:t>
            </w:r>
          </w:p>
          <w:p w14:paraId="1283C5F2">
            <w:pPr>
              <w:autoSpaceDE w:val="0"/>
              <w:autoSpaceDN w:val="0"/>
              <w:spacing w:line="400" w:lineRule="exact"/>
              <w:textAlignment w:val="bottom"/>
              <w:rPr>
                <w:rFonts w:hint="eastAsia" w:ascii="仿宋_GB2312" w:eastAsia="仿宋_GB2312"/>
                <w:sz w:val="24"/>
                <w:lang w:eastAsia="zh-CN"/>
              </w:rPr>
            </w:pPr>
            <w:r>
              <w:rPr>
                <w:rFonts w:hint="eastAsia" w:ascii="仿宋_GB2312" w:eastAsia="仿宋_GB2312"/>
                <w:sz w:val="24"/>
              </w:rPr>
              <w:t>预算金额（人民币）：</w:t>
            </w:r>
            <w:r>
              <w:rPr>
                <w:rFonts w:hint="eastAsia" w:ascii="仿宋_GB2312" w:hAnsi="仿宋_GB2312" w:eastAsia="仿宋_GB2312" w:cs="仿宋_GB2312"/>
                <w:sz w:val="24"/>
                <w:szCs w:val="24"/>
              </w:rPr>
              <w:t>叁佰叁拾肆万叁仟贰佰元</w:t>
            </w:r>
            <w:r>
              <w:rPr>
                <w:rFonts w:hint="eastAsia" w:ascii="仿宋_GB2312" w:hAnsi="仿宋_GB2312" w:eastAsia="仿宋_GB2312" w:cs="仿宋_GB2312"/>
                <w:sz w:val="24"/>
                <w:szCs w:val="24"/>
                <w:lang w:eastAsia="zh-CN"/>
              </w:rPr>
              <w:t>（3,343,200.00）</w:t>
            </w:r>
          </w:p>
          <w:p w14:paraId="6F7A556A">
            <w:pPr>
              <w:autoSpaceDE w:val="0"/>
              <w:autoSpaceDN w:val="0"/>
              <w:spacing w:line="400" w:lineRule="exact"/>
              <w:textAlignment w:val="bottom"/>
              <w:rPr>
                <w:rFonts w:ascii="仿宋_GB2312" w:eastAsia="仿宋_GB2312"/>
                <w:sz w:val="24"/>
              </w:rPr>
            </w:pPr>
            <w:r>
              <w:rPr>
                <w:rFonts w:hint="eastAsia" w:ascii="仿宋_GB2312" w:hAnsi="宋体" w:eastAsia="仿宋_GB2312"/>
                <w:sz w:val="24"/>
              </w:rPr>
              <w:t>分标</w:t>
            </w:r>
            <w:r>
              <w:rPr>
                <w:rFonts w:hint="eastAsia" w:ascii="仿宋_GB2312" w:hAnsi="宋体" w:eastAsia="仿宋_GB2312"/>
                <w:sz w:val="24"/>
                <w:lang w:val="en-US" w:eastAsia="zh-CN"/>
              </w:rPr>
              <w:t>1</w:t>
            </w:r>
            <w:r>
              <w:rPr>
                <w:rFonts w:hint="eastAsia" w:ascii="仿宋_GB2312" w:hAnsi="宋体" w:eastAsia="仿宋_GB2312"/>
                <w:sz w:val="24"/>
              </w:rPr>
              <w:t>：壹佰柒拾肆万贰仟捌佰元整（¥1,742,800.00）；</w:t>
            </w:r>
            <w:r>
              <w:rPr>
                <w:rFonts w:hint="eastAsia" w:ascii="仿宋_GB2312" w:hAnsi="宋体" w:eastAsia="仿宋_GB2312"/>
                <w:sz w:val="24"/>
              </w:rPr>
              <w:br w:type="textWrapping"/>
            </w:r>
            <w:r>
              <w:rPr>
                <w:rFonts w:hint="eastAsia" w:ascii="仿宋_GB2312" w:hAnsi="宋体" w:eastAsia="仿宋_GB2312"/>
                <w:sz w:val="24"/>
              </w:rPr>
              <w:t>分标</w:t>
            </w:r>
            <w:r>
              <w:rPr>
                <w:rFonts w:hint="eastAsia" w:ascii="仿宋_GB2312" w:hAnsi="宋体" w:eastAsia="仿宋_GB2312"/>
                <w:sz w:val="24"/>
                <w:lang w:val="en-US" w:eastAsia="zh-CN"/>
              </w:rPr>
              <w:t>2</w:t>
            </w:r>
            <w:r>
              <w:rPr>
                <w:rFonts w:hint="eastAsia" w:ascii="仿宋_GB2312" w:hAnsi="宋体" w:eastAsia="仿宋_GB2312"/>
                <w:sz w:val="24"/>
              </w:rPr>
              <w:t>：壹佰陆拾万零肆佰元整（¥1,600,400.00）。</w:t>
            </w:r>
          </w:p>
        </w:tc>
      </w:tr>
      <w:tr w14:paraId="6774A64B">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1BE9225">
            <w:pPr>
              <w:spacing w:line="400" w:lineRule="exact"/>
              <w:jc w:val="center"/>
              <w:rPr>
                <w:rFonts w:ascii="仿宋_GB2312" w:eastAsia="仿宋_GB2312"/>
                <w:sz w:val="24"/>
              </w:rPr>
            </w:pPr>
            <w:r>
              <w:rPr>
                <w:rFonts w:ascii="仿宋_GB2312" w:eastAsia="仿宋_GB2312"/>
                <w:sz w:val="24"/>
              </w:rPr>
              <w:t>3</w:t>
            </w:r>
          </w:p>
        </w:tc>
        <w:tc>
          <w:tcPr>
            <w:tcW w:w="8232" w:type="dxa"/>
            <w:vAlign w:val="center"/>
          </w:tcPr>
          <w:p w14:paraId="76F96550">
            <w:pPr>
              <w:spacing w:line="400" w:lineRule="exact"/>
              <w:rPr>
                <w:rFonts w:ascii="仿宋_GB2312" w:eastAsia="仿宋_GB2312"/>
                <w:sz w:val="24"/>
              </w:rPr>
            </w:pPr>
            <w:r>
              <w:rPr>
                <w:rFonts w:hint="eastAsia" w:ascii="仿宋_GB2312" w:eastAsia="仿宋_GB2312"/>
                <w:sz w:val="24"/>
              </w:rPr>
              <w:t>投标报价及费用：</w:t>
            </w:r>
          </w:p>
          <w:p w14:paraId="58B0A007">
            <w:pPr>
              <w:spacing w:line="400" w:lineRule="exact"/>
              <w:rPr>
                <w:rFonts w:ascii="仿宋_GB2312" w:eastAsia="仿宋_GB2312"/>
                <w:sz w:val="24"/>
              </w:rPr>
            </w:pPr>
            <w:r>
              <w:rPr>
                <w:rFonts w:hint="eastAsia" w:ascii="仿宋_GB2312" w:eastAsia="仿宋_GB2312"/>
                <w:sz w:val="24"/>
              </w:rPr>
              <w:t>1.本项目投标应以人民币报价；</w:t>
            </w:r>
          </w:p>
          <w:p w14:paraId="0AF81106">
            <w:pPr>
              <w:spacing w:line="400" w:lineRule="exact"/>
              <w:rPr>
                <w:rFonts w:ascii="仿宋_GB2312" w:eastAsia="仿宋_GB2312"/>
                <w:sz w:val="24"/>
              </w:rPr>
            </w:pPr>
            <w:r>
              <w:rPr>
                <w:rFonts w:hint="eastAsia" w:ascii="仿宋_GB2312" w:eastAsia="仿宋_GB2312"/>
                <w:sz w:val="24"/>
              </w:rPr>
              <w:t>2.不论投标结果如何，投标人均应自行承担所有与投标有关的全部费用；</w:t>
            </w:r>
          </w:p>
          <w:p w14:paraId="69B1DCE8">
            <w:pPr>
              <w:spacing w:line="400" w:lineRule="exact"/>
              <w:rPr>
                <w:rFonts w:ascii="仿宋_GB2312" w:eastAsia="仿宋_GB2312"/>
                <w:sz w:val="24"/>
              </w:rPr>
            </w:pPr>
            <w:r>
              <w:rPr>
                <w:rFonts w:hint="eastAsia" w:ascii="仿宋_GB2312" w:eastAsia="仿宋_GB2312"/>
                <w:sz w:val="24"/>
              </w:rPr>
              <w:t>3.本次招标文件和代理服务费用全免。</w:t>
            </w:r>
          </w:p>
        </w:tc>
      </w:tr>
      <w:tr w14:paraId="43FDF14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trHeight w:val="459" w:hRule="atLeast"/>
          <w:jc w:val="center"/>
        </w:trPr>
        <w:tc>
          <w:tcPr>
            <w:tcW w:w="817" w:type="dxa"/>
            <w:vAlign w:val="center"/>
          </w:tcPr>
          <w:p w14:paraId="5373ADF1">
            <w:pPr>
              <w:spacing w:line="400" w:lineRule="exact"/>
              <w:jc w:val="center"/>
              <w:rPr>
                <w:rFonts w:ascii="仿宋_GB2312" w:eastAsia="仿宋_GB2312"/>
                <w:sz w:val="24"/>
              </w:rPr>
            </w:pPr>
            <w:r>
              <w:rPr>
                <w:rFonts w:ascii="仿宋_GB2312" w:eastAsia="仿宋_GB2312"/>
                <w:sz w:val="24"/>
              </w:rPr>
              <w:t>4</w:t>
            </w:r>
          </w:p>
        </w:tc>
        <w:tc>
          <w:tcPr>
            <w:tcW w:w="8232" w:type="dxa"/>
            <w:vAlign w:val="center"/>
          </w:tcPr>
          <w:p w14:paraId="17E4EA51">
            <w:pPr>
              <w:spacing w:line="400" w:lineRule="exact"/>
              <w:rPr>
                <w:rFonts w:ascii="仿宋_GB2312" w:eastAsia="仿宋_GB2312"/>
                <w:sz w:val="24"/>
              </w:rPr>
            </w:pPr>
            <w:r>
              <w:rPr>
                <w:rFonts w:hint="eastAsia" w:ascii="仿宋_GB2312" w:eastAsia="仿宋_GB2312"/>
                <w:sz w:val="24"/>
              </w:rPr>
              <w:t>投标保证金为：本项目无需提交投标保证金。</w:t>
            </w:r>
          </w:p>
        </w:tc>
      </w:tr>
      <w:tr w14:paraId="79620D99">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2EE23166">
            <w:pPr>
              <w:spacing w:line="400" w:lineRule="exact"/>
              <w:jc w:val="center"/>
              <w:rPr>
                <w:rFonts w:ascii="仿宋_GB2312" w:eastAsia="仿宋_GB2312"/>
                <w:sz w:val="24"/>
              </w:rPr>
            </w:pPr>
            <w:r>
              <w:rPr>
                <w:rFonts w:ascii="仿宋_GB2312" w:eastAsia="仿宋_GB2312"/>
                <w:sz w:val="24"/>
              </w:rPr>
              <w:t>5</w:t>
            </w:r>
          </w:p>
        </w:tc>
        <w:tc>
          <w:tcPr>
            <w:tcW w:w="8232" w:type="dxa"/>
            <w:vAlign w:val="center"/>
          </w:tcPr>
          <w:p w14:paraId="368DCF9A">
            <w:pPr>
              <w:spacing w:line="400" w:lineRule="exact"/>
              <w:rPr>
                <w:rFonts w:ascii="仿宋_GB2312" w:eastAsia="仿宋_GB2312"/>
                <w:sz w:val="24"/>
              </w:rPr>
            </w:pPr>
            <w:r>
              <w:rPr>
                <w:rFonts w:hint="eastAsia" w:ascii="仿宋_GB2312" w:hAnsi="宋体" w:eastAsia="仿宋_GB2312"/>
                <w:sz w:val="24"/>
              </w:rPr>
              <w:t>答疑与澄清：投标人如认为招标文件表述不清晰或对政府采购活动事项有疑问的，应当以书面形式向采购人提出询问、澄清；答疑内容是招标文件的组成部分，并将以书面形式送达所有已获取招标文件的投标人；采购人或采购代理机构可以视采购具体情况，延长</w:t>
            </w:r>
            <w:r>
              <w:rPr>
                <w:rFonts w:hint="eastAsia" w:ascii="仿宋_GB2312" w:eastAsia="仿宋_GB2312"/>
                <w:sz w:val="24"/>
              </w:rPr>
              <w:t>招标文件提供期限，并在财政部门指定的政府采购信息发布媒体上发布公告。</w:t>
            </w:r>
          </w:p>
        </w:tc>
      </w:tr>
      <w:tr w14:paraId="091FA596">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703ABC61">
            <w:pPr>
              <w:spacing w:line="400" w:lineRule="exact"/>
              <w:jc w:val="center"/>
              <w:rPr>
                <w:rFonts w:ascii="仿宋_GB2312" w:eastAsia="仿宋_GB2312"/>
                <w:sz w:val="24"/>
              </w:rPr>
            </w:pPr>
            <w:r>
              <w:rPr>
                <w:rFonts w:hint="eastAsia" w:ascii="仿宋_GB2312" w:eastAsia="仿宋_GB2312"/>
                <w:color w:val="000000"/>
                <w:sz w:val="24"/>
              </w:rPr>
              <w:t>6</w:t>
            </w:r>
          </w:p>
        </w:tc>
        <w:tc>
          <w:tcPr>
            <w:tcW w:w="8232" w:type="dxa"/>
            <w:vAlign w:val="center"/>
          </w:tcPr>
          <w:p w14:paraId="1A3D6739">
            <w:pPr>
              <w:pStyle w:val="456"/>
              <w:spacing w:before="0" w:beforeAutospacing="0" w:after="0" w:afterAutospacing="0" w:line="460" w:lineRule="atLeast"/>
              <w:rPr>
                <w:rFonts w:ascii="仿宋_GB2312" w:eastAsia="仿宋_GB2312"/>
                <w:color w:val="000000"/>
              </w:rPr>
            </w:pPr>
            <w:r>
              <w:rPr>
                <w:rStyle w:val="457"/>
                <w:rFonts w:hint="eastAsia" w:ascii="仿宋_GB2312" w:eastAsia="仿宋_GB2312"/>
                <w:color w:val="000000"/>
              </w:rPr>
              <w:t>电子投标文件：</w:t>
            </w:r>
            <w:r>
              <w:rPr>
                <w:rFonts w:hint="eastAsia" w:ascii="仿宋_GB2312" w:eastAsia="仿宋_GB2312"/>
                <w:b/>
                <w:bCs/>
                <w:color w:val="000000"/>
              </w:rPr>
              <w:br w:type="textWrapping"/>
            </w:r>
            <w:r>
              <w:rPr>
                <w:rStyle w:val="457"/>
                <w:rFonts w:hint="eastAsia" w:ascii="仿宋_GB2312" w:eastAsia="仿宋_GB2312"/>
                <w:color w:val="000000"/>
              </w:rPr>
              <w:t>1.投标人应按照本项目公开招标文件和广西政府采购云平台的要求，通过“广西政府采购云平台客户端”编制、加密电子投标文件，并于提交投标文件截止时间前在广西政府采购云平台上提交加密的电子投标文件。</w:t>
            </w:r>
            <w:r>
              <w:rPr>
                <w:rFonts w:hint="eastAsia" w:ascii="仿宋_GB2312" w:eastAsia="仿宋_GB2312"/>
                <w:b/>
                <w:bCs/>
                <w:color w:val="000000"/>
              </w:rPr>
              <w:br w:type="textWrapping"/>
            </w:r>
            <w:r>
              <w:rPr>
                <w:rStyle w:val="457"/>
                <w:rFonts w:hint="eastAsia" w:ascii="仿宋_GB2312" w:eastAsia="仿宋_GB2312"/>
                <w:color w:val="000000"/>
              </w:rPr>
              <w:t>2.未按规定传输提交电子投标文件的将被广西政府采购云平台拒绝。</w:t>
            </w:r>
            <w:r>
              <w:rPr>
                <w:rFonts w:hint="eastAsia" w:ascii="仿宋_GB2312" w:eastAsia="仿宋_GB2312"/>
                <w:b/>
                <w:bCs/>
                <w:color w:val="000000"/>
              </w:rPr>
              <w:br w:type="textWrapping"/>
            </w:r>
            <w:r>
              <w:rPr>
                <w:rStyle w:val="457"/>
                <w:rFonts w:hint="eastAsia" w:ascii="仿宋_GB2312" w:eastAsia="仿宋_GB2312"/>
                <w:color w:val="000000"/>
              </w:rPr>
              <w:t>3.电子投标文件成功提交后，投标人可自行打印投标文件接收回执。</w:t>
            </w:r>
          </w:p>
        </w:tc>
      </w:tr>
      <w:tr w14:paraId="068F4A8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1536735D">
            <w:pPr>
              <w:spacing w:line="400" w:lineRule="exact"/>
              <w:jc w:val="center"/>
              <w:rPr>
                <w:rFonts w:ascii="仿宋_GB2312" w:eastAsia="仿宋_GB2312"/>
                <w:sz w:val="24"/>
              </w:rPr>
            </w:pPr>
            <w:r>
              <w:rPr>
                <w:rFonts w:hint="eastAsia" w:ascii="仿宋_GB2312" w:eastAsia="仿宋_GB2312"/>
                <w:color w:val="000000"/>
                <w:sz w:val="24"/>
              </w:rPr>
              <w:t>7</w:t>
            </w:r>
          </w:p>
        </w:tc>
        <w:tc>
          <w:tcPr>
            <w:tcW w:w="8232" w:type="dxa"/>
            <w:vAlign w:val="center"/>
          </w:tcPr>
          <w:p w14:paraId="7913A8BF">
            <w:pPr>
              <w:pStyle w:val="477"/>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投标文件提交截止时间及地点：详见公开招标公告。</w:t>
            </w:r>
          </w:p>
        </w:tc>
      </w:tr>
      <w:tr w14:paraId="0D642C4F">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0FF932A">
            <w:pPr>
              <w:spacing w:line="400" w:lineRule="exact"/>
              <w:jc w:val="center"/>
              <w:rPr>
                <w:rFonts w:ascii="仿宋_GB2312" w:eastAsia="仿宋_GB2312"/>
                <w:sz w:val="24"/>
              </w:rPr>
            </w:pPr>
            <w:r>
              <w:rPr>
                <w:rFonts w:hint="eastAsia" w:ascii="仿宋_GB2312" w:eastAsia="仿宋_GB2312"/>
                <w:color w:val="000000"/>
                <w:sz w:val="24"/>
              </w:rPr>
              <w:t>8</w:t>
            </w:r>
          </w:p>
        </w:tc>
        <w:tc>
          <w:tcPr>
            <w:tcW w:w="8232" w:type="dxa"/>
            <w:vAlign w:val="center"/>
          </w:tcPr>
          <w:p w14:paraId="5DC7226E">
            <w:pPr>
              <w:pStyle w:val="497"/>
              <w:spacing w:before="0" w:beforeAutospacing="0" w:after="0" w:afterAutospacing="0" w:line="460" w:lineRule="atLeast"/>
              <w:rPr>
                <w:rFonts w:ascii="仿宋_GB2312" w:eastAsia="仿宋_GB2312"/>
                <w:color w:val="000000"/>
              </w:rPr>
            </w:pPr>
            <w:r>
              <w:rPr>
                <w:rFonts w:hint="eastAsia" w:ascii="仿宋_GB2312" w:eastAsia="仿宋_GB2312"/>
                <w:color w:val="000000"/>
              </w:rPr>
              <w:t>开标时间：详见公开招标公告。</w:t>
            </w:r>
          </w:p>
        </w:tc>
      </w:tr>
      <w:tr w14:paraId="29C1E0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D9EE91D">
            <w:pPr>
              <w:spacing w:line="400" w:lineRule="exact"/>
              <w:jc w:val="center"/>
              <w:rPr>
                <w:rFonts w:ascii="仿宋_GB2312" w:eastAsia="仿宋_GB2312"/>
                <w:sz w:val="24"/>
              </w:rPr>
            </w:pPr>
            <w:r>
              <w:rPr>
                <w:rFonts w:hint="eastAsia" w:ascii="仿宋_GB2312" w:eastAsia="仿宋_GB2312"/>
                <w:color w:val="000000"/>
                <w:sz w:val="24"/>
              </w:rPr>
              <w:t>9</w:t>
            </w:r>
          </w:p>
        </w:tc>
        <w:tc>
          <w:tcPr>
            <w:tcW w:w="8232" w:type="dxa"/>
            <w:vAlign w:val="center"/>
          </w:tcPr>
          <w:p w14:paraId="035B371F">
            <w:pPr>
              <w:pStyle w:val="517"/>
              <w:spacing w:before="0" w:beforeAutospacing="0" w:after="0" w:afterAutospacing="0" w:line="460" w:lineRule="atLeast"/>
              <w:rPr>
                <w:rFonts w:ascii="仿宋_GB2312" w:eastAsia="仿宋_GB2312"/>
                <w:color w:val="000000"/>
              </w:rPr>
            </w:pPr>
            <w:r>
              <w:rPr>
                <w:rFonts w:hint="eastAsia" w:ascii="仿宋_GB2312" w:eastAsia="仿宋_GB2312"/>
                <w:color w:val="000000"/>
              </w:rPr>
              <w:t>电子投标文件解密时间：采购代理机构开启解密标书后30分钟内，投标人必须在此时间段内登录广西政府采购云平台，用“项目采购-开标评标”功能完成电子投标文件的解密。若投标人在规定时间内未按时解密的，视为投标无效。</w:t>
            </w:r>
          </w:p>
        </w:tc>
      </w:tr>
      <w:tr w14:paraId="7C52566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6CDB7D2">
            <w:pPr>
              <w:spacing w:line="400" w:lineRule="exact"/>
              <w:jc w:val="center"/>
              <w:rPr>
                <w:rFonts w:ascii="仿宋_GB2312" w:eastAsia="仿宋_GB2312"/>
                <w:sz w:val="24"/>
              </w:rPr>
            </w:pPr>
            <w:r>
              <w:rPr>
                <w:rFonts w:hint="eastAsia" w:ascii="仿宋_GB2312" w:eastAsia="仿宋_GB2312"/>
                <w:color w:val="000000"/>
                <w:sz w:val="24"/>
              </w:rPr>
              <w:t>10</w:t>
            </w:r>
          </w:p>
        </w:tc>
        <w:tc>
          <w:tcPr>
            <w:tcW w:w="8232" w:type="dxa"/>
            <w:vAlign w:val="center"/>
          </w:tcPr>
          <w:p w14:paraId="000805B3">
            <w:pPr>
              <w:pStyle w:val="537"/>
              <w:spacing w:before="0" w:beforeAutospacing="0" w:after="0" w:afterAutospacing="0" w:line="460" w:lineRule="atLeast"/>
              <w:rPr>
                <w:rFonts w:ascii="仿宋_GB2312" w:eastAsia="仿宋_GB2312"/>
                <w:color w:val="000000"/>
              </w:rPr>
            </w:pPr>
            <w:r>
              <w:rPr>
                <w:rFonts w:hint="eastAsia" w:ascii="仿宋_GB2312" w:eastAsia="仿宋_GB2312"/>
                <w:color w:val="000000"/>
              </w:rPr>
              <w:t>评标方法：综合评分法</w:t>
            </w:r>
          </w:p>
        </w:tc>
      </w:tr>
      <w:tr w14:paraId="5257A1CA">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31AADDF">
            <w:pPr>
              <w:spacing w:line="400" w:lineRule="exact"/>
              <w:jc w:val="center"/>
              <w:rPr>
                <w:rFonts w:ascii="仿宋_GB2312" w:eastAsia="仿宋_GB2312"/>
                <w:sz w:val="24"/>
              </w:rPr>
            </w:pPr>
            <w:r>
              <w:rPr>
                <w:rFonts w:hint="eastAsia" w:ascii="仿宋_GB2312" w:eastAsia="仿宋_GB2312"/>
                <w:color w:val="000000"/>
                <w:sz w:val="24"/>
              </w:rPr>
              <w:t>11</w:t>
            </w:r>
          </w:p>
        </w:tc>
        <w:tc>
          <w:tcPr>
            <w:tcW w:w="8232" w:type="dxa"/>
            <w:vAlign w:val="center"/>
          </w:tcPr>
          <w:p w14:paraId="2A498CD4">
            <w:pPr>
              <w:pStyle w:val="557"/>
              <w:spacing w:before="0" w:beforeAutospacing="0" w:after="0" w:afterAutospacing="0" w:line="460" w:lineRule="atLeast"/>
              <w:rPr>
                <w:rFonts w:ascii="仿宋_GB2312" w:eastAsia="仿宋_GB2312"/>
                <w:color w:val="000000"/>
              </w:rPr>
            </w:pPr>
            <w:r>
              <w:rPr>
                <w:rFonts w:hint="eastAsia" w:ascii="仿宋_GB2312" w:eastAsia="仿宋_GB2312"/>
                <w:color w:val="000000"/>
              </w:rPr>
              <w:t>发布媒体：中国政府采购网（www.ccgp.gov.cn）、广西壮族自治区政府采购网（zfcg.gxzf.gov.cn）、柳州市政府采购网（zfcg.lzscz.liuzhou.gov.cn）。</w:t>
            </w:r>
          </w:p>
        </w:tc>
      </w:tr>
      <w:tr w14:paraId="1C26270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2AE2917">
            <w:pPr>
              <w:spacing w:line="400" w:lineRule="exact"/>
              <w:jc w:val="center"/>
              <w:rPr>
                <w:rFonts w:ascii="仿宋_GB2312" w:eastAsia="仿宋_GB2312"/>
                <w:sz w:val="24"/>
              </w:rPr>
            </w:pPr>
            <w:r>
              <w:rPr>
                <w:rFonts w:hint="eastAsia" w:ascii="仿宋_GB2312" w:eastAsia="仿宋_GB2312"/>
                <w:color w:val="000000"/>
                <w:sz w:val="24"/>
              </w:rPr>
              <w:t>12</w:t>
            </w:r>
          </w:p>
        </w:tc>
        <w:tc>
          <w:tcPr>
            <w:tcW w:w="8232" w:type="dxa"/>
            <w:vAlign w:val="center"/>
          </w:tcPr>
          <w:p w14:paraId="4872571E">
            <w:pPr>
              <w:pStyle w:val="577"/>
              <w:spacing w:before="0" w:beforeAutospacing="0" w:after="0" w:afterAutospacing="0" w:line="460" w:lineRule="atLeast"/>
              <w:rPr>
                <w:rFonts w:ascii="仿宋_GB2312" w:eastAsia="仿宋_GB2312"/>
                <w:color w:val="000000"/>
              </w:rPr>
            </w:pPr>
            <w:r>
              <w:rPr>
                <w:rStyle w:val="578"/>
                <w:rFonts w:hint="eastAsia" w:ascii="仿宋_GB2312" w:eastAsia="仿宋_GB2312"/>
                <w:color w:val="000000"/>
              </w:rPr>
              <w:t>一、信用信息使用规则：</w:t>
            </w:r>
            <w:r>
              <w:rPr>
                <w:rFonts w:hint="eastAsia" w:ascii="仿宋_GB2312" w:eastAsia="仿宋_GB2312"/>
                <w:color w:val="000000"/>
              </w:rPr>
              <w:br w:type="textWrapping"/>
            </w:r>
            <w:r>
              <w:rPr>
                <w:rFonts w:hint="eastAsia" w:ascii="仿宋_GB2312" w:eastAsia="仿宋_GB2312"/>
                <w:color w:val="000000"/>
              </w:rPr>
              <w:t>采购人或者采购代理机构将对供应商信用记录进行甄别，对在“信用中国”网站(www.creditchina.gov.cn)、中国政府采购网(www.ccgp.gov.cn)等渠道列入失信被执行人、重大税收违法案件当事人名单、政府采购严重违法失信行为记录名单及其他不符合《中华人民共和国政府采购法》第二十二条规定条件的供应商，拒绝其参与政府采购活动。</w:t>
            </w:r>
            <w:r>
              <w:rPr>
                <w:rFonts w:hint="eastAsia" w:ascii="仿宋_GB2312" w:eastAsia="仿宋_GB2312"/>
                <w:color w:val="000000"/>
              </w:rPr>
              <w:br w:type="textWrapping"/>
            </w:r>
            <w:r>
              <w:rPr>
                <w:rStyle w:val="578"/>
                <w:rFonts w:hint="eastAsia" w:ascii="仿宋_GB2312" w:eastAsia="仿宋_GB2312"/>
                <w:color w:val="000000"/>
              </w:rPr>
              <w:t>二、甄别方式：</w:t>
            </w:r>
            <w:r>
              <w:rPr>
                <w:rFonts w:hint="eastAsia" w:ascii="仿宋_GB2312" w:eastAsia="仿宋_GB2312"/>
                <w:b/>
                <w:bCs/>
                <w:color w:val="000000"/>
              </w:rPr>
              <w:br w:type="textWrapping"/>
            </w:r>
            <w:r>
              <w:rPr>
                <w:rStyle w:val="578"/>
                <w:rFonts w:hint="eastAsia" w:ascii="仿宋_GB2312" w:eastAsia="仿宋_GB2312"/>
                <w:color w:val="000000"/>
              </w:rPr>
              <w:t>1.在本项目资格性审查时，采购人将对投标人信用进行查询，并按照以上信用信息使用规则处理；</w:t>
            </w:r>
            <w:r>
              <w:rPr>
                <w:rFonts w:hint="eastAsia" w:ascii="仿宋_GB2312" w:eastAsia="仿宋_GB2312"/>
                <w:b/>
                <w:bCs/>
                <w:color w:val="000000"/>
              </w:rPr>
              <w:br w:type="textWrapping"/>
            </w:r>
            <w:r>
              <w:rPr>
                <w:rStyle w:val="578"/>
                <w:rFonts w:hint="eastAsia" w:ascii="仿宋_GB2312" w:eastAsia="仿宋_GB2312"/>
                <w:color w:val="000000"/>
              </w:rPr>
              <w:t>2.在中标通知书发出前，采购人或者采购代理机构将对中标人信用进行查询，并按照以上信用信息使用规则处理；</w:t>
            </w:r>
            <w:r>
              <w:rPr>
                <w:rFonts w:hint="eastAsia" w:ascii="仿宋_GB2312" w:eastAsia="仿宋_GB2312"/>
                <w:b/>
                <w:bCs/>
                <w:color w:val="000000"/>
              </w:rPr>
              <w:br w:type="textWrapping"/>
            </w:r>
            <w:r>
              <w:rPr>
                <w:rStyle w:val="578"/>
                <w:rFonts w:hint="eastAsia" w:ascii="仿宋_GB2312" w:eastAsia="仿宋_GB2312"/>
                <w:color w:val="000000"/>
              </w:rPr>
              <w:t>3.根据《财政部关于〈中华人民共和国政府采购法实施条例〉第十九条第一款“较大数额罚款”具体适用问题的意见》（财库〔2022〕3 号），“较大数额罚款”认定为200万元以上的罚款，法律、行政法规以及国务院有关部门明确规定相关领域“较大数额罚款”标准高于200万元的，从其规定。</w:t>
            </w:r>
          </w:p>
        </w:tc>
      </w:tr>
      <w:tr w14:paraId="571D5790">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62EDEF86">
            <w:pPr>
              <w:spacing w:line="400" w:lineRule="exact"/>
              <w:jc w:val="center"/>
              <w:rPr>
                <w:rFonts w:ascii="仿宋_GB2312" w:eastAsia="仿宋_GB2312"/>
                <w:sz w:val="24"/>
              </w:rPr>
            </w:pPr>
            <w:r>
              <w:rPr>
                <w:rFonts w:hint="eastAsia" w:ascii="仿宋_GB2312" w:eastAsia="仿宋_GB2312"/>
                <w:color w:val="000000"/>
                <w:sz w:val="24"/>
              </w:rPr>
              <w:t>13</w:t>
            </w:r>
          </w:p>
        </w:tc>
        <w:tc>
          <w:tcPr>
            <w:tcW w:w="8232" w:type="dxa"/>
            <w:vAlign w:val="center"/>
          </w:tcPr>
          <w:p w14:paraId="68B5B2EE">
            <w:pPr>
              <w:pStyle w:val="598"/>
              <w:spacing w:before="0" w:beforeAutospacing="0" w:after="0" w:afterAutospacing="0" w:line="460" w:lineRule="atLeast"/>
              <w:rPr>
                <w:rFonts w:ascii="仿宋_GB2312" w:eastAsia="仿宋_GB2312"/>
                <w:color w:val="000000"/>
              </w:rPr>
            </w:pPr>
            <w:r>
              <w:rPr>
                <w:rFonts w:hint="eastAsia" w:ascii="仿宋_GB2312" w:eastAsia="仿宋_GB2312"/>
                <w:color w:val="000000"/>
              </w:rPr>
              <w:t>中标公告及中标通知书：采购代理机构在采购人依法确认中标人后两个工作日内发布中标公告和中标通知书。</w:t>
            </w:r>
            <w:r>
              <w:rPr>
                <w:rFonts w:hint="eastAsia" w:ascii="仿宋_GB2312" w:eastAsia="仿宋_GB2312"/>
                <w:color w:val="000000"/>
              </w:rPr>
              <w:br w:type="textWrapping"/>
            </w:r>
            <w:r>
              <w:rPr>
                <w:rStyle w:val="599"/>
                <w:rFonts w:hint="eastAsia" w:ascii="仿宋_GB2312" w:eastAsia="仿宋_GB2312"/>
                <w:color w:val="000000"/>
              </w:rPr>
              <w:t>根据《柳州市财政局 人民银行柳州市中心支行 关于进一步做好线上“政采贷”融资工作的通知》（柳财采〔2022〕19号），供应商可凭中标通知书、政府采购合同，通过中征应收账款融资服务平台向银行在线申请“政采贷”融资。</w:t>
            </w:r>
          </w:p>
        </w:tc>
      </w:tr>
      <w:tr w14:paraId="4EEEFC21">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43DA4565">
            <w:pPr>
              <w:spacing w:line="400" w:lineRule="exact"/>
              <w:jc w:val="center"/>
              <w:rPr>
                <w:rFonts w:ascii="仿宋_GB2312" w:eastAsia="仿宋_GB2312"/>
                <w:sz w:val="24"/>
              </w:rPr>
            </w:pPr>
            <w:r>
              <w:rPr>
                <w:rFonts w:hint="eastAsia" w:ascii="仿宋_GB2312" w:eastAsia="仿宋_GB2312"/>
                <w:color w:val="000000"/>
                <w:sz w:val="24"/>
              </w:rPr>
              <w:t>14</w:t>
            </w:r>
          </w:p>
        </w:tc>
        <w:tc>
          <w:tcPr>
            <w:tcW w:w="8232" w:type="dxa"/>
            <w:vAlign w:val="center"/>
          </w:tcPr>
          <w:p w14:paraId="019D2F51">
            <w:pPr>
              <w:pStyle w:val="619"/>
              <w:spacing w:before="0" w:beforeAutospacing="0" w:after="0" w:afterAutospacing="0" w:line="460" w:lineRule="atLeast"/>
              <w:rPr>
                <w:rFonts w:ascii="仿宋_GB2312" w:eastAsia="仿宋_GB2312"/>
                <w:color w:val="000000"/>
              </w:rPr>
            </w:pPr>
            <w:r>
              <w:rPr>
                <w:rStyle w:val="620"/>
                <w:rFonts w:hint="eastAsia" w:ascii="仿宋_GB2312" w:eastAsia="仿宋_GB2312"/>
                <w:color w:val="000000"/>
              </w:rPr>
              <w:t>签订合同时间：中标通知书发出后</w:t>
            </w:r>
            <w:r>
              <w:rPr>
                <w:rStyle w:val="620"/>
                <w:rFonts w:hint="eastAsia" w:ascii="仿宋_GB2312" w:eastAsia="仿宋_GB2312"/>
                <w:color w:val="000000"/>
                <w:u w:val="single"/>
              </w:rPr>
              <w:t>25</w:t>
            </w:r>
            <w:r>
              <w:rPr>
                <w:rStyle w:val="620"/>
                <w:rFonts w:hint="eastAsia" w:ascii="仿宋_GB2312" w:eastAsia="仿宋_GB2312"/>
                <w:color w:val="000000"/>
              </w:rPr>
              <w:t>日内。</w:t>
            </w:r>
          </w:p>
        </w:tc>
      </w:tr>
      <w:tr w14:paraId="5ABA855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EBD87E2">
            <w:pPr>
              <w:spacing w:line="400" w:lineRule="exact"/>
              <w:jc w:val="center"/>
              <w:rPr>
                <w:rFonts w:ascii="仿宋_GB2312" w:eastAsia="仿宋_GB2312"/>
                <w:sz w:val="24"/>
              </w:rPr>
            </w:pPr>
            <w:r>
              <w:rPr>
                <w:rFonts w:hint="eastAsia" w:ascii="仿宋_GB2312" w:eastAsia="仿宋_GB2312"/>
                <w:color w:val="000000"/>
                <w:sz w:val="24"/>
              </w:rPr>
              <w:t>15</w:t>
            </w:r>
          </w:p>
        </w:tc>
        <w:tc>
          <w:tcPr>
            <w:tcW w:w="8232" w:type="dxa"/>
            <w:vAlign w:val="center"/>
          </w:tcPr>
          <w:p w14:paraId="409A2E35">
            <w:pPr>
              <w:pStyle w:val="640"/>
              <w:spacing w:before="0" w:beforeAutospacing="0" w:after="0" w:afterAutospacing="0" w:line="460" w:lineRule="atLeast"/>
              <w:rPr>
                <w:rFonts w:ascii="仿宋_GB2312" w:eastAsia="仿宋_GB2312"/>
                <w:color w:val="000000"/>
              </w:rPr>
            </w:pPr>
            <w:r>
              <w:rPr>
                <w:rFonts w:hint="eastAsia" w:ascii="仿宋_GB2312" w:eastAsia="仿宋_GB2312"/>
                <w:color w:val="000000"/>
              </w:rPr>
              <w:t>投标文件有效期：投标截止日期后</w:t>
            </w:r>
            <w:r>
              <w:rPr>
                <w:rFonts w:hint="eastAsia" w:ascii="仿宋_GB2312" w:eastAsia="仿宋_GB2312"/>
                <w:color w:val="000000"/>
                <w:u w:val="single"/>
              </w:rPr>
              <w:t>不得少于90天</w:t>
            </w:r>
            <w:r>
              <w:rPr>
                <w:rFonts w:hint="eastAsia" w:ascii="仿宋_GB2312" w:eastAsia="仿宋_GB2312"/>
                <w:color w:val="000000"/>
              </w:rPr>
              <w:t>。</w:t>
            </w:r>
          </w:p>
        </w:tc>
      </w:tr>
      <w:tr w14:paraId="0D392BF4">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002F2222">
            <w:pPr>
              <w:spacing w:line="400" w:lineRule="exact"/>
              <w:jc w:val="center"/>
              <w:rPr>
                <w:rFonts w:ascii="仿宋_GB2312" w:eastAsia="仿宋_GB2312"/>
                <w:sz w:val="24"/>
              </w:rPr>
            </w:pPr>
            <w:r>
              <w:rPr>
                <w:rFonts w:hint="eastAsia" w:ascii="仿宋_GB2312" w:eastAsia="仿宋_GB2312"/>
                <w:color w:val="000000"/>
                <w:sz w:val="24"/>
              </w:rPr>
              <w:t>16</w:t>
            </w:r>
          </w:p>
        </w:tc>
        <w:tc>
          <w:tcPr>
            <w:tcW w:w="8232" w:type="dxa"/>
            <w:vAlign w:val="center"/>
          </w:tcPr>
          <w:p w14:paraId="1E5C7C56">
            <w:pPr>
              <w:pStyle w:val="660"/>
              <w:spacing w:before="0" w:beforeAutospacing="0" w:after="0" w:afterAutospacing="0" w:line="460" w:lineRule="atLeast"/>
              <w:rPr>
                <w:rFonts w:ascii="仿宋_GB2312" w:eastAsia="仿宋_GB2312"/>
                <w:color w:val="000000"/>
              </w:rPr>
            </w:pPr>
            <w:r>
              <w:rPr>
                <w:rFonts w:hint="eastAsia" w:ascii="仿宋_GB2312" w:eastAsia="仿宋_GB2312"/>
                <w:color w:val="000000"/>
              </w:rPr>
              <w:t>解释：本招标文件的解释权属于采购代理机构。</w:t>
            </w:r>
          </w:p>
        </w:tc>
      </w:tr>
      <w:tr w14:paraId="5B082078">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38AFAB86">
            <w:pPr>
              <w:spacing w:line="400" w:lineRule="exact"/>
              <w:jc w:val="center"/>
              <w:rPr>
                <w:rFonts w:ascii="仿宋_GB2312" w:eastAsia="仿宋_GB2312"/>
                <w:sz w:val="24"/>
              </w:rPr>
            </w:pPr>
            <w:r>
              <w:rPr>
                <w:rFonts w:hint="eastAsia" w:ascii="仿宋_GB2312" w:eastAsia="仿宋_GB2312"/>
                <w:color w:val="000000"/>
                <w:sz w:val="24"/>
              </w:rPr>
              <w:t>17</w:t>
            </w:r>
          </w:p>
        </w:tc>
        <w:tc>
          <w:tcPr>
            <w:tcW w:w="8232" w:type="dxa"/>
            <w:vAlign w:val="center"/>
          </w:tcPr>
          <w:p w14:paraId="1346F082">
            <w:pPr>
              <w:pStyle w:val="680"/>
              <w:spacing w:before="0" w:beforeAutospacing="0" w:after="0" w:afterAutospacing="0" w:line="460" w:lineRule="atLeast"/>
              <w:rPr>
                <w:rFonts w:ascii="仿宋_GB2312" w:eastAsia="仿宋_GB2312"/>
                <w:color w:val="000000"/>
              </w:rPr>
            </w:pPr>
            <w:r>
              <w:rPr>
                <w:rFonts w:hint="eastAsia" w:ascii="仿宋_GB2312" w:eastAsia="仿宋_GB2312"/>
                <w:color w:val="000000"/>
              </w:rPr>
              <w:t>政府采购合同公告：根据《中华人民共和国政府采购法实施条例》第五十条规定，采购人应当自政府采购合同签订之日起2个工作日内，将政府采购合同在省级以上人民政府财政部门指定的媒体上公告，但政府采购合同中涉及国家秘密、商业秘密的内容除外。因此请各投标人应在投标文件中注明投标文件内容中涉及商业秘密的部分，未注明的视为投标文件中不涉及商业秘密。</w:t>
            </w:r>
          </w:p>
        </w:tc>
      </w:tr>
      <w:tr w14:paraId="2FEEEA02">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108" w:type="dxa"/>
            <w:bottom w:w="0" w:type="dxa"/>
            <w:right w:w="108" w:type="dxa"/>
          </w:tblCellMar>
        </w:tblPrEx>
        <w:trPr>
          <w:jc w:val="center"/>
        </w:trPr>
        <w:tc>
          <w:tcPr>
            <w:tcW w:w="817" w:type="dxa"/>
            <w:vAlign w:val="center"/>
          </w:tcPr>
          <w:p w14:paraId="58FF95CB">
            <w:pPr>
              <w:spacing w:line="400" w:lineRule="exact"/>
              <w:jc w:val="center"/>
              <w:rPr>
                <w:rFonts w:ascii="仿宋_GB2312" w:eastAsia="仿宋_GB2312"/>
                <w:sz w:val="24"/>
              </w:rPr>
            </w:pPr>
            <w:r>
              <w:rPr>
                <w:rFonts w:hint="eastAsia" w:ascii="仿宋_GB2312" w:eastAsia="仿宋_GB2312"/>
                <w:color w:val="000000"/>
                <w:sz w:val="24"/>
              </w:rPr>
              <w:t>18</w:t>
            </w:r>
          </w:p>
        </w:tc>
        <w:tc>
          <w:tcPr>
            <w:tcW w:w="8232" w:type="dxa"/>
            <w:vAlign w:val="center"/>
          </w:tcPr>
          <w:p w14:paraId="1AA2B431">
            <w:pPr>
              <w:pStyle w:val="700"/>
              <w:spacing w:before="0" w:beforeAutospacing="0" w:after="0" w:afterAutospacing="0" w:line="460" w:lineRule="atLeast"/>
              <w:rPr>
                <w:rFonts w:ascii="仿宋_GB2312" w:eastAsia="仿宋_GB2312"/>
                <w:color w:val="000000"/>
              </w:rPr>
            </w:pPr>
            <w:r>
              <w:rPr>
                <w:rFonts w:hint="eastAsia" w:ascii="仿宋_GB2312" w:eastAsia="仿宋_GB2312"/>
                <w:color w:val="000000"/>
              </w:rPr>
              <w:t>1.本招标文件中描述投标人的“公章”是指投标人的CA电子签章。</w:t>
            </w:r>
            <w:r>
              <w:rPr>
                <w:rFonts w:hint="eastAsia" w:ascii="仿宋_GB2312" w:eastAsia="仿宋_GB2312"/>
                <w:color w:val="000000"/>
              </w:rPr>
              <w:br w:type="textWrapping"/>
            </w:r>
            <w:r>
              <w:rPr>
                <w:rFonts w:hint="eastAsia" w:ascii="仿宋_GB2312" w:eastAsia="仿宋_GB2312"/>
                <w:color w:val="000000"/>
              </w:rPr>
              <w:t>2.本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p>
        </w:tc>
      </w:tr>
    </w:tbl>
    <w:p w14:paraId="2E668826">
      <w:pPr>
        <w:spacing w:line="360" w:lineRule="auto"/>
        <w:jc w:val="center"/>
        <w:rPr>
          <w:b/>
          <w:sz w:val="32"/>
          <w:szCs w:val="32"/>
        </w:rPr>
        <w:sectPr>
          <w:pgSz w:w="11906" w:h="16838"/>
          <w:pgMar w:top="1440" w:right="1440" w:bottom="1440" w:left="1440" w:header="851" w:footer="992" w:gutter="0"/>
          <w:cols w:space="720" w:num="1"/>
          <w:docGrid w:linePitch="312" w:charSpace="0"/>
        </w:sectPr>
      </w:pPr>
    </w:p>
    <w:p w14:paraId="5288A8D3">
      <w:pPr>
        <w:spacing w:line="360" w:lineRule="auto"/>
        <w:jc w:val="center"/>
        <w:rPr>
          <w:b/>
          <w:sz w:val="32"/>
          <w:szCs w:val="32"/>
        </w:rPr>
      </w:pPr>
      <w:r>
        <w:rPr>
          <w:rFonts w:hint="eastAsia"/>
          <w:b/>
          <w:sz w:val="32"/>
          <w:szCs w:val="32"/>
        </w:rPr>
        <w:t>投标人须知</w:t>
      </w:r>
    </w:p>
    <w:p w14:paraId="5FC1764D">
      <w:pPr>
        <w:spacing w:line="300" w:lineRule="exact"/>
        <w:jc w:val="center"/>
        <w:rPr>
          <w:b/>
          <w:sz w:val="32"/>
          <w:szCs w:val="32"/>
        </w:rPr>
      </w:pPr>
    </w:p>
    <w:p w14:paraId="1BE44509">
      <w:pPr>
        <w:pStyle w:val="27"/>
        <w:snapToGrid w:val="0"/>
        <w:spacing w:line="360" w:lineRule="exact"/>
        <w:ind w:right="-330" w:rightChars="-157"/>
        <w:rPr>
          <w:rFonts w:hint="eastAsia" w:ascii="仿宋_GB2312" w:hAnsi="宋体" w:eastAsia="仿宋_GB2312"/>
          <w:b/>
          <w:sz w:val="24"/>
          <w:szCs w:val="24"/>
        </w:rPr>
      </w:pPr>
      <w:r>
        <w:rPr>
          <w:rFonts w:hint="eastAsia" w:ascii="仿宋_GB2312" w:hAnsi="宋体" w:eastAsia="仿宋_GB2312"/>
          <w:b/>
          <w:sz w:val="24"/>
          <w:szCs w:val="24"/>
        </w:rPr>
        <w:t>一、总  则</w:t>
      </w:r>
    </w:p>
    <w:p w14:paraId="1F3934AD">
      <w:pPr>
        <w:snapToGrid w:val="0"/>
        <w:spacing w:line="360" w:lineRule="exact"/>
        <w:ind w:right="-330" w:rightChars="-157" w:firstLine="472" w:firstLineChars="196"/>
        <w:jc w:val="left"/>
        <w:outlineLvl w:val="1"/>
        <w:rPr>
          <w:rFonts w:ascii="仿宋_GB2312" w:eastAsia="仿宋_GB2312"/>
          <w:b/>
          <w:sz w:val="24"/>
        </w:rPr>
      </w:pPr>
      <w:bookmarkStart w:id="27" w:name="_Toc254970527"/>
      <w:bookmarkStart w:id="28" w:name="_Toc254970668"/>
      <w:r>
        <w:rPr>
          <w:rFonts w:hint="eastAsia" w:ascii="仿宋_GB2312" w:eastAsia="仿宋_GB2312"/>
          <w:b/>
          <w:sz w:val="24"/>
        </w:rPr>
        <w:t>1. 适用范围</w:t>
      </w:r>
      <w:bookmarkEnd w:id="27"/>
      <w:bookmarkEnd w:id="28"/>
    </w:p>
    <w:p w14:paraId="70A6927B">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1.1本招标文件适用于</w:t>
      </w:r>
      <w:r>
        <w:rPr>
          <w:rFonts w:hint="eastAsia" w:ascii="仿宋_GB2312" w:hAnsi="宋体" w:eastAsia="仿宋_GB2312"/>
          <w:sz w:val="24"/>
          <w:u w:val="single"/>
        </w:rPr>
        <w:t>中小学增补及常规电教设备采购</w:t>
      </w:r>
      <w:r>
        <w:rPr>
          <w:rFonts w:hint="eastAsia" w:ascii="仿宋_GB2312" w:hAnsi="宋体" w:eastAsia="仿宋_GB2312"/>
          <w:bCs/>
          <w:sz w:val="24"/>
          <w:szCs w:val="24"/>
        </w:rPr>
        <w:t>项目的招标、投标、评标、定标、验收、合同履约、付款等行为（法律、法规另有规定的，从其规定）。</w:t>
      </w:r>
    </w:p>
    <w:p w14:paraId="414E7D62">
      <w:pPr>
        <w:snapToGrid w:val="0"/>
        <w:spacing w:line="360" w:lineRule="exact"/>
        <w:ind w:right="-330" w:rightChars="-157" w:firstLine="354" w:firstLineChars="147"/>
        <w:jc w:val="left"/>
        <w:outlineLvl w:val="1"/>
        <w:rPr>
          <w:rFonts w:ascii="仿宋_GB2312" w:eastAsia="仿宋_GB2312"/>
          <w:b/>
          <w:sz w:val="24"/>
        </w:rPr>
      </w:pPr>
      <w:bookmarkStart w:id="29" w:name="_Toc254970528"/>
      <w:bookmarkStart w:id="30" w:name="_Toc254970669"/>
      <w:r>
        <w:rPr>
          <w:rFonts w:hint="eastAsia" w:ascii="仿宋_GB2312" w:eastAsia="仿宋_GB2312"/>
          <w:b/>
          <w:sz w:val="24"/>
        </w:rPr>
        <w:t>2.定义</w:t>
      </w:r>
      <w:bookmarkEnd w:id="29"/>
      <w:bookmarkEnd w:id="30"/>
    </w:p>
    <w:p w14:paraId="7B2CE673">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2.1“采购人”是指：</w:t>
      </w:r>
      <w:r>
        <w:rPr>
          <w:rFonts w:hint="eastAsia" w:ascii="仿宋_GB2312" w:hAnsi="宋体" w:eastAsia="仿宋_GB2312"/>
          <w:sz w:val="24"/>
          <w:u w:val="single"/>
        </w:rPr>
        <w:t>柳州市电化教育站</w:t>
      </w:r>
      <w:r>
        <w:rPr>
          <w:rFonts w:hint="eastAsia" w:ascii="仿宋_GB2312" w:hAnsi="宋体" w:eastAsia="仿宋_GB2312"/>
          <w:bCs/>
          <w:sz w:val="24"/>
          <w:szCs w:val="24"/>
        </w:rPr>
        <w:t>；“采购代理机构”是指：</w:t>
      </w:r>
      <w:r>
        <w:rPr>
          <w:rFonts w:hint="eastAsia" w:ascii="仿宋_GB2312" w:hAnsi="宋体" w:eastAsia="仿宋_GB2312"/>
          <w:bCs/>
          <w:sz w:val="24"/>
          <w:szCs w:val="24"/>
          <w:u w:val="single"/>
        </w:rPr>
        <w:t>柳州市政府集中采购中心</w:t>
      </w:r>
      <w:r>
        <w:rPr>
          <w:rFonts w:hint="eastAsia" w:ascii="仿宋_GB2312" w:hAnsi="宋体" w:eastAsia="仿宋_GB2312"/>
          <w:bCs/>
          <w:sz w:val="24"/>
          <w:szCs w:val="24"/>
        </w:rPr>
        <w:t>。</w:t>
      </w:r>
    </w:p>
    <w:p w14:paraId="1E8F9858">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2.2“投标人”系指响应本公开招标文件要求，参加投标的法人或其他组织或自然人。如果该投标人在本次投标中中标，即成为“中标人”。</w:t>
      </w:r>
    </w:p>
    <w:p w14:paraId="05D41DC5">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2.3“产品”系指投标人按招标文件规定，须向采购人提供的一切设备（含安装）、保险、税金、备品备件、工具、手册及其它有关技术资料和材料。</w:t>
      </w:r>
    </w:p>
    <w:p w14:paraId="6AECDF1B">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2.4“服务”系指招标文件规定投标人须承担的安装、调试、技术协助、校准、培训、技术指导以及其他类似的义务。</w:t>
      </w:r>
    </w:p>
    <w:p w14:paraId="1C37ECB2">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2.5“项目”系指投标人按招标文件规定向采购人提供的产品和服务。</w:t>
      </w:r>
    </w:p>
    <w:p w14:paraId="28803312">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2.6“签字”系指投标人的法定代表人或授权委托代理人的电子签名或电子签章或手写签名或盖章，表示同意、认可、承担责任或义务的行为。</w:t>
      </w:r>
    </w:p>
    <w:p w14:paraId="6F69D766">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2.7“电子投标文件”系指完整的投标文件，内容包括资格文件、报价要求文件、商务技术文件。</w:t>
      </w:r>
    </w:p>
    <w:p w14:paraId="4A7964B5">
      <w:pPr>
        <w:pStyle w:val="27"/>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2.8“★”系指本次采购项目“第二章 采购需求”中的实质性要求。</w:t>
      </w:r>
    </w:p>
    <w:p w14:paraId="7023129A">
      <w:pPr>
        <w:pStyle w:val="27"/>
        <w:snapToGrid w:val="0"/>
        <w:spacing w:line="360" w:lineRule="exact"/>
        <w:ind w:right="-330" w:rightChars="-157" w:firstLine="480" w:firstLineChars="200"/>
        <w:rPr>
          <w:rFonts w:hint="eastAsia" w:ascii="仿宋_GB2312" w:hAnsi="宋体" w:eastAsia="仿宋_GB2312"/>
          <w:bCs/>
          <w:sz w:val="24"/>
          <w:szCs w:val="24"/>
        </w:rPr>
      </w:pPr>
      <w:bookmarkStart w:id="31" w:name="_Toc254970670"/>
      <w:bookmarkStart w:id="32" w:name="_Toc254970529"/>
      <w:bookmarkStart w:id="33" w:name="_Toc254970536"/>
      <w:bookmarkStart w:id="34" w:name="_Toc254970677"/>
      <w:r>
        <w:rPr>
          <w:rFonts w:hint="eastAsia" w:ascii="仿宋_GB2312" w:hAnsi="宋体" w:eastAsia="仿宋_GB2312"/>
          <w:bCs/>
          <w:sz w:val="24"/>
          <w:szCs w:val="24"/>
        </w:rPr>
        <w:t>2.9“▲”系指本次采购的核心产品。</w:t>
      </w:r>
    </w:p>
    <w:p w14:paraId="0C8D89C5">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2.10公开招标文件中所称的“以上”、“以下”、“内”、“以内”、“届满”，包括本数；所称的“不满”、“不足”、“以外”，不包括本数。</w:t>
      </w:r>
    </w:p>
    <w:p w14:paraId="7F3C76D0">
      <w:pPr>
        <w:pStyle w:val="27"/>
        <w:widowControl/>
        <w:snapToGrid w:val="0"/>
        <w:spacing w:line="400" w:lineRule="exact"/>
        <w:ind w:firstLine="480" w:firstLineChars="200"/>
        <w:rPr>
          <w:rFonts w:hint="eastAsia" w:ascii="仿宋_GB2312" w:hAnsi="宋体" w:eastAsia="仿宋_GB2312"/>
          <w:bCs/>
          <w:sz w:val="24"/>
        </w:rPr>
      </w:pPr>
      <w:r>
        <w:rPr>
          <w:rFonts w:hint="eastAsia" w:ascii="仿宋_GB2312" w:hAnsi="宋体" w:eastAsia="仿宋_GB2312"/>
          <w:bCs/>
          <w:sz w:val="24"/>
        </w:rPr>
        <w:t>2.11“法定代表人”系指投标人的法定代表人、负责人或自然人。</w:t>
      </w:r>
    </w:p>
    <w:p w14:paraId="3A37CBAF">
      <w:pPr>
        <w:snapToGrid w:val="0"/>
        <w:spacing w:line="360" w:lineRule="exact"/>
        <w:ind w:right="-330" w:rightChars="-157" w:firstLine="482" w:firstLineChars="200"/>
        <w:jc w:val="left"/>
        <w:rPr>
          <w:rFonts w:ascii="仿宋_GB2312" w:eastAsia="仿宋_GB2312"/>
          <w:b/>
          <w:sz w:val="24"/>
        </w:rPr>
      </w:pPr>
      <w:r>
        <w:rPr>
          <w:rFonts w:hint="eastAsia" w:ascii="仿宋_GB2312" w:eastAsia="仿宋_GB2312"/>
          <w:b/>
          <w:sz w:val="24"/>
        </w:rPr>
        <w:t>3.招标方式</w:t>
      </w:r>
      <w:bookmarkEnd w:id="31"/>
      <w:bookmarkEnd w:id="32"/>
    </w:p>
    <w:p w14:paraId="098DC65A">
      <w:pPr>
        <w:snapToGrid w:val="0"/>
        <w:spacing w:line="360" w:lineRule="exact"/>
        <w:ind w:right="-330" w:rightChars="-157" w:firstLine="480" w:firstLineChars="200"/>
        <w:jc w:val="left"/>
        <w:rPr>
          <w:rFonts w:ascii="仿宋_GB2312" w:eastAsia="仿宋_GB2312"/>
          <w:sz w:val="24"/>
        </w:rPr>
      </w:pPr>
      <w:r>
        <w:rPr>
          <w:rFonts w:hint="eastAsia" w:ascii="仿宋_GB2312" w:eastAsia="仿宋_GB2312"/>
          <w:sz w:val="24"/>
        </w:rPr>
        <w:t>3.1公开招标方式。</w:t>
      </w:r>
    </w:p>
    <w:p w14:paraId="1EFF3301">
      <w:pPr>
        <w:snapToGrid w:val="0"/>
        <w:spacing w:line="360" w:lineRule="exact"/>
        <w:ind w:right="-330" w:rightChars="-157" w:firstLine="482" w:firstLineChars="200"/>
        <w:jc w:val="left"/>
        <w:rPr>
          <w:rFonts w:ascii="仿宋_GB2312" w:eastAsia="仿宋_GB2312"/>
          <w:b/>
          <w:sz w:val="24"/>
        </w:rPr>
      </w:pPr>
      <w:bookmarkStart w:id="35" w:name="_Toc254970530"/>
      <w:bookmarkStart w:id="36" w:name="_Toc254970671"/>
      <w:r>
        <w:rPr>
          <w:rFonts w:hint="eastAsia" w:ascii="仿宋_GB2312" w:eastAsia="仿宋_GB2312"/>
          <w:b/>
          <w:sz w:val="24"/>
        </w:rPr>
        <w:t>4.投标委托</w:t>
      </w:r>
      <w:bookmarkEnd w:id="35"/>
      <w:bookmarkEnd w:id="36"/>
    </w:p>
    <w:p w14:paraId="3F546BB4">
      <w:pPr>
        <w:pStyle w:val="27"/>
        <w:snapToGrid w:val="0"/>
        <w:spacing w:line="360" w:lineRule="exact"/>
        <w:ind w:right="-330" w:rightChars="-157" w:firstLine="480" w:firstLineChars="200"/>
        <w:rPr>
          <w:rFonts w:hint="eastAsia" w:ascii="仿宋_GB2312" w:hAnsi="宋体" w:eastAsia="仿宋_GB2312"/>
          <w:bCs/>
          <w:sz w:val="24"/>
          <w:szCs w:val="24"/>
        </w:rPr>
      </w:pPr>
      <w:r>
        <w:rPr>
          <w:rFonts w:hint="eastAsia" w:ascii="仿宋_GB2312" w:hAnsi="宋体" w:eastAsia="仿宋_GB2312"/>
          <w:bCs/>
          <w:sz w:val="24"/>
          <w:szCs w:val="24"/>
        </w:rPr>
        <w:t>4.1如投标人代表不是法定代表人，须有法定代表人出具的授权委托书（格式见第六章投标文件格式）。</w:t>
      </w:r>
      <w:bookmarkStart w:id="37" w:name="_Toc254970531"/>
      <w:bookmarkStart w:id="38" w:name="_Toc254970672"/>
    </w:p>
    <w:p w14:paraId="24B4B707">
      <w:pPr>
        <w:snapToGrid w:val="0"/>
        <w:spacing w:line="360" w:lineRule="exact"/>
        <w:ind w:right="-330" w:rightChars="-157" w:firstLine="482" w:firstLineChars="200"/>
        <w:jc w:val="left"/>
        <w:rPr>
          <w:rFonts w:ascii="仿宋_GB2312" w:eastAsia="仿宋_GB2312"/>
          <w:b/>
          <w:sz w:val="24"/>
        </w:rPr>
      </w:pPr>
      <w:r>
        <w:rPr>
          <w:rFonts w:hint="eastAsia" w:ascii="仿宋_GB2312" w:eastAsia="仿宋_GB2312"/>
          <w:b/>
          <w:sz w:val="24"/>
        </w:rPr>
        <w:t>5.投标费用</w:t>
      </w:r>
      <w:bookmarkEnd w:id="37"/>
      <w:bookmarkEnd w:id="38"/>
    </w:p>
    <w:p w14:paraId="43DE4AD4">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5.1投标人均应自行承担所有与投标有关的全部费用（招标文件有相关规定的除外）。</w:t>
      </w:r>
    </w:p>
    <w:p w14:paraId="41E98533">
      <w:pPr>
        <w:snapToGrid w:val="0"/>
        <w:spacing w:line="360" w:lineRule="exact"/>
        <w:ind w:right="-330" w:rightChars="-157" w:firstLine="482" w:firstLineChars="200"/>
        <w:jc w:val="left"/>
        <w:rPr>
          <w:rFonts w:ascii="仿宋_GB2312" w:eastAsia="仿宋_GB2312"/>
          <w:b/>
          <w:sz w:val="24"/>
        </w:rPr>
      </w:pPr>
      <w:r>
        <w:rPr>
          <w:rFonts w:hint="eastAsia" w:ascii="仿宋_GB2312" w:eastAsia="仿宋_GB2312"/>
          <w:b/>
          <w:sz w:val="24"/>
        </w:rPr>
        <w:t>6.联合体投标</w:t>
      </w:r>
    </w:p>
    <w:p w14:paraId="36A7DBBB">
      <w:pPr>
        <w:snapToGrid w:val="0"/>
        <w:spacing w:line="360" w:lineRule="exact"/>
        <w:ind w:right="-330" w:rightChars="-157" w:firstLine="420"/>
        <w:jc w:val="left"/>
        <w:rPr>
          <w:rFonts w:ascii="仿宋_GB2312" w:eastAsia="仿宋_GB2312"/>
          <w:sz w:val="24"/>
        </w:rPr>
      </w:pPr>
      <w:r>
        <w:rPr>
          <w:rFonts w:hint="eastAsia" w:ascii="仿宋_GB2312" w:eastAsia="仿宋_GB2312"/>
          <w:sz w:val="24"/>
        </w:rPr>
        <w:t>6.1本项目</w:t>
      </w:r>
      <w:r>
        <w:rPr>
          <w:rFonts w:hint="eastAsia" w:ascii="仿宋_GB2312" w:eastAsia="仿宋_GB2312"/>
          <w:sz w:val="24"/>
          <w:u w:val="single"/>
        </w:rPr>
        <w:t>不接受</w:t>
      </w:r>
      <w:r>
        <w:rPr>
          <w:rFonts w:hint="eastAsia" w:ascii="仿宋_GB2312" w:eastAsia="仿宋_GB2312"/>
          <w:sz w:val="24"/>
        </w:rPr>
        <w:t>联合体投标。</w:t>
      </w:r>
    </w:p>
    <w:p w14:paraId="60A5657B">
      <w:pPr>
        <w:snapToGrid w:val="0"/>
        <w:spacing w:line="360" w:lineRule="exact"/>
        <w:ind w:right="-330" w:rightChars="-157" w:firstLine="470" w:firstLineChars="195"/>
        <w:rPr>
          <w:rFonts w:ascii="仿宋_GB2312" w:eastAsia="仿宋_GB2312"/>
          <w:b/>
          <w:kern w:val="0"/>
          <w:sz w:val="24"/>
        </w:rPr>
      </w:pPr>
      <w:r>
        <w:rPr>
          <w:rFonts w:hint="eastAsia" w:ascii="仿宋_GB2312" w:eastAsia="仿宋_GB2312"/>
          <w:b/>
          <w:sz w:val="24"/>
        </w:rPr>
        <w:t>7.</w:t>
      </w:r>
      <w:r>
        <w:rPr>
          <w:rFonts w:hint="eastAsia" w:ascii="仿宋_GB2312" w:eastAsia="仿宋_GB2312"/>
          <w:b/>
          <w:kern w:val="0"/>
          <w:sz w:val="24"/>
        </w:rPr>
        <w:t xml:space="preserve">转包与分包             </w:t>
      </w:r>
    </w:p>
    <w:p w14:paraId="503F7BF4">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7.1本项目不允许转包。</w:t>
      </w:r>
    </w:p>
    <w:p w14:paraId="2E831762">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7.2本项目不可以分包。</w:t>
      </w:r>
    </w:p>
    <w:p w14:paraId="1F67C4C8">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7.2.1享受扶持政策获得政府采购合同的，小微企业不得将合同分包给大中型企业，中型企业不得将合同分包给大型企业。</w:t>
      </w:r>
    </w:p>
    <w:p w14:paraId="742E3C52">
      <w:pPr>
        <w:snapToGrid w:val="0"/>
        <w:spacing w:line="360" w:lineRule="exact"/>
        <w:ind w:right="-330" w:rightChars="-157" w:firstLine="472" w:firstLineChars="196"/>
        <w:jc w:val="left"/>
        <w:outlineLvl w:val="1"/>
        <w:rPr>
          <w:rFonts w:ascii="仿宋_GB2312" w:eastAsia="仿宋_GB2312"/>
          <w:b/>
          <w:sz w:val="24"/>
        </w:rPr>
      </w:pPr>
      <w:bookmarkStart w:id="39" w:name="_Toc254970673"/>
      <w:bookmarkStart w:id="40" w:name="_Toc254970532"/>
      <w:r>
        <w:rPr>
          <w:rFonts w:hint="eastAsia" w:ascii="仿宋_GB2312" w:eastAsia="仿宋_GB2312"/>
          <w:b/>
          <w:sz w:val="24"/>
        </w:rPr>
        <w:t>8</w:t>
      </w:r>
      <w:r>
        <w:rPr>
          <w:rFonts w:ascii="仿宋_GB2312" w:eastAsia="仿宋_GB2312"/>
          <w:b/>
          <w:sz w:val="24"/>
        </w:rPr>
        <w:t>.</w:t>
      </w:r>
      <w:r>
        <w:rPr>
          <w:rFonts w:hint="eastAsia" w:ascii="仿宋_GB2312" w:eastAsia="仿宋_GB2312"/>
          <w:b/>
          <w:sz w:val="24"/>
        </w:rPr>
        <w:t>特别说明：</w:t>
      </w:r>
      <w:bookmarkEnd w:id="39"/>
      <w:bookmarkEnd w:id="40"/>
    </w:p>
    <w:p w14:paraId="4BE30151">
      <w:pPr>
        <w:pStyle w:val="27"/>
        <w:snapToGrid w:val="0"/>
        <w:spacing w:line="400" w:lineRule="exact"/>
        <w:ind w:firstLine="480" w:firstLineChars="200"/>
        <w:rPr>
          <w:rFonts w:hint="eastAsia" w:ascii="仿宋_GB2312" w:hAnsi="宋体" w:eastAsia="仿宋_GB2312"/>
          <w:bCs/>
          <w:sz w:val="24"/>
          <w:szCs w:val="24"/>
        </w:rPr>
      </w:pPr>
      <w:bookmarkStart w:id="41" w:name="_Toc254970533"/>
      <w:bookmarkStart w:id="42" w:name="_Toc254970674"/>
      <w:r>
        <w:rPr>
          <w:rFonts w:hint="eastAsia" w:ascii="仿宋_GB2312" w:hAnsi="宋体" w:eastAsia="仿宋_GB2312"/>
          <w:bCs/>
          <w:sz w:val="24"/>
          <w:szCs w:val="24"/>
        </w:rPr>
        <w:t>8.1投标人应仔细阅读招标文件的所有内容，按照招标文件的要求提交投标文件，并对所提供的全部资料的真实性承担法律责任。</w:t>
      </w:r>
    </w:p>
    <w:p w14:paraId="5EB65CA9">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关联供应商不得参加同一合同项下的政府采购活动，否则投标文件将被视为无效：</w:t>
      </w:r>
    </w:p>
    <w:p w14:paraId="150DB03D">
      <w:pPr>
        <w:pStyle w:val="27"/>
        <w:snapToGrid w:val="0"/>
        <w:spacing w:line="400" w:lineRule="exac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2</w:t>
      </w:r>
      <w:r>
        <w:rPr>
          <w:rFonts w:hint="eastAsia" w:ascii="仿宋_GB2312" w:hAnsi="宋体" w:eastAsia="仿宋_GB2312"/>
          <w:sz w:val="24"/>
          <w:szCs w:val="24"/>
        </w:rPr>
        <w:t>.1 单位负责人为同一人或者存在直接控股、管理关系的不同供应商，不得参加同一合同项下的政府采购活动。</w:t>
      </w:r>
    </w:p>
    <w:p w14:paraId="3B748492">
      <w:pPr>
        <w:pStyle w:val="27"/>
        <w:widowControl/>
        <w:snapToGrid w:val="0"/>
        <w:spacing w:line="400" w:lineRule="atLeast"/>
        <w:ind w:firstLine="480" w:firstLineChars="200"/>
        <w:outlineLvl w:val="1"/>
        <w:rPr>
          <w:rFonts w:hint="eastAsia" w:ascii="仿宋_GB2312" w:hAnsi="宋体" w:eastAsia="仿宋_GB2312"/>
          <w:sz w:val="24"/>
          <w:szCs w:val="24"/>
        </w:rPr>
      </w:pPr>
      <w:r>
        <w:rPr>
          <w:rFonts w:hint="eastAsia" w:ascii="仿宋_GB2312" w:hAnsi="宋体" w:eastAsia="仿宋_GB2312"/>
          <w:sz w:val="24"/>
          <w:szCs w:val="24"/>
        </w:rPr>
        <w:t>8.</w:t>
      </w:r>
      <w:r>
        <w:rPr>
          <w:rFonts w:hint="eastAsia" w:ascii="仿宋_GB2312" w:hAnsi="宋体" w:eastAsia="仿宋_GB2312"/>
          <w:sz w:val="24"/>
          <w:szCs w:val="24"/>
          <w:lang w:val="en-US" w:eastAsia="zh-CN"/>
        </w:rPr>
        <w:t>3</w:t>
      </w:r>
      <w:r>
        <w:rPr>
          <w:rFonts w:hint="eastAsia" w:ascii="仿宋_GB2312" w:hAnsi="宋体" w:eastAsia="仿宋_GB2312"/>
          <w:sz w:val="24"/>
          <w:szCs w:val="24"/>
        </w:rPr>
        <w:t>除单一来源采购项目外，为采购项目提供整体设计、规范编制或者项目管理、监理、检测等服务的供应商，不得再参加该采购项目的其他采购活动。</w:t>
      </w:r>
    </w:p>
    <w:bookmarkEnd w:id="41"/>
    <w:bookmarkEnd w:id="42"/>
    <w:p w14:paraId="2DD6C7C7">
      <w:pPr>
        <w:pStyle w:val="27"/>
        <w:snapToGrid w:val="0"/>
        <w:spacing w:line="360" w:lineRule="exact"/>
        <w:ind w:right="-330" w:rightChars="-157" w:firstLine="472" w:firstLineChars="196"/>
        <w:outlineLvl w:val="1"/>
        <w:rPr>
          <w:rFonts w:hint="eastAsia" w:ascii="仿宋_GB2312" w:hAnsi="宋体" w:eastAsia="仿宋_GB2312"/>
          <w:b/>
          <w:bCs/>
          <w:sz w:val="24"/>
          <w:szCs w:val="24"/>
        </w:rPr>
      </w:pPr>
      <w:bookmarkStart w:id="43" w:name="_Toc254970675"/>
      <w:bookmarkStart w:id="44" w:name="_Toc254970534"/>
      <w:r>
        <w:rPr>
          <w:rFonts w:hint="eastAsia" w:ascii="仿宋_GB2312" w:hAnsi="宋体" w:eastAsia="仿宋_GB2312"/>
          <w:b/>
          <w:bCs/>
          <w:sz w:val="24"/>
          <w:szCs w:val="24"/>
        </w:rPr>
        <w:t>9.</w:t>
      </w:r>
      <w:r>
        <w:rPr>
          <w:rFonts w:hint="eastAsia" w:ascii="仿宋_GB2312" w:hAnsi="宋体" w:eastAsia="仿宋_GB2312" w:cs="宋体"/>
          <w:b/>
          <w:sz w:val="24"/>
          <w:szCs w:val="24"/>
        </w:rPr>
        <w:t>质疑和投诉</w:t>
      </w:r>
    </w:p>
    <w:p w14:paraId="0E9BBDA0">
      <w:pPr>
        <w:pStyle w:val="27"/>
        <w:snapToGrid w:val="0"/>
        <w:spacing w:line="400" w:lineRule="exact"/>
        <w:ind w:firstLine="482" w:firstLineChars="200"/>
        <w:rPr>
          <w:rFonts w:hint="eastAsia" w:ascii="仿宋_GB2312" w:hAnsi="宋体" w:eastAsia="仿宋_GB2312"/>
          <w:bCs/>
          <w:sz w:val="24"/>
          <w:szCs w:val="24"/>
        </w:rPr>
      </w:pPr>
      <w:r>
        <w:rPr>
          <w:rFonts w:hint="eastAsia" w:ascii="仿宋_GB2312" w:hAnsi="宋体" w:eastAsia="仿宋_GB2312"/>
          <w:b/>
          <w:sz w:val="24"/>
        </w:rPr>
        <w:t>注：投标人对电子标项目提出质疑和投诉的，应按照《政府采购质疑和投诉办法》（财政部令第94号）规定的方式提交质疑和投诉。</w:t>
      </w:r>
    </w:p>
    <w:p w14:paraId="07C66B5D">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9.1投标人认为招标文件、招标过程或中标结果使自己的合法权益受到损害的，可以在知道或者应知其权益受到损害之日起七个工作日内，以书面形式向采购人或采购代理机构提出质疑。权益受到损害之日是：</w:t>
      </w:r>
    </w:p>
    <w:p w14:paraId="621176CC">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9.1.1对可以质疑的采购文件提出质疑的，为收到采购文件之日或者采购文件公告期限届满之日；</w:t>
      </w:r>
    </w:p>
    <w:p w14:paraId="530749CC">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9.1.2对采购过程提出质疑的，为各采购程序环节结束之日；</w:t>
      </w:r>
    </w:p>
    <w:p w14:paraId="59A70135">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9.1.3对成交结果提出质疑的，为成交结果公告期限届满之日。</w:t>
      </w:r>
    </w:p>
    <w:p w14:paraId="76E62FE2">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投标人对采购人或采购代理机构的答复不满意或者采购人、采购代理机构未在规定时间内作出答复的，可以在答复期满后十五个工作日内向同级政府采购监管部门投诉。</w:t>
      </w:r>
    </w:p>
    <w:p w14:paraId="77C7E4F0">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 xml:space="preserve">9.2采购人或采购代理机构（采购代理机构应当按照有关规定就采购人委托授权范围内的事项）在收到供应商的书面质疑后七个工作日内作出答复，但答复的内容不得涉及商业秘密。 </w:t>
      </w:r>
    </w:p>
    <w:p w14:paraId="4AA6C47F">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9.3质疑、投诉应当采用书面形式，质疑函、投诉书均应明确阐述招标文件、招标过程或中标结果中使自己合法权益受到损害的实质性内容，提供相关事实依据和证据及其来源或线索，便于有关单位调查、答复和处理。</w:t>
      </w:r>
    </w:p>
    <w:p w14:paraId="7ACD18F8">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9.4质疑书面要求</w:t>
      </w:r>
    </w:p>
    <w:p w14:paraId="2943E452">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9.4.1质疑人质疑时须提交质疑</w:t>
      </w:r>
      <w:r>
        <w:rPr>
          <w:rFonts w:ascii="仿宋_GB2312" w:hAnsi="宋体" w:eastAsia="仿宋_GB2312"/>
          <w:sz w:val="24"/>
          <w:szCs w:val="24"/>
        </w:rPr>
        <w:t>函</w:t>
      </w:r>
      <w:r>
        <w:rPr>
          <w:rFonts w:hint="eastAsia" w:ascii="仿宋_GB2312" w:hAnsi="宋体" w:eastAsia="仿宋_GB2312"/>
          <w:sz w:val="24"/>
          <w:szCs w:val="24"/>
        </w:rPr>
        <w:t>和必要的证明材料</w:t>
      </w:r>
      <w:r>
        <w:rPr>
          <w:rFonts w:hint="eastAsia" w:ascii="仿宋_GB2312" w:eastAsia="仿宋_GB2312"/>
          <w:sz w:val="24"/>
        </w:rPr>
        <w:t>，</w:t>
      </w:r>
      <w:r>
        <w:rPr>
          <w:rFonts w:hint="eastAsia" w:ascii="仿宋_GB2312" w:hAnsi="宋体" w:eastAsia="仿宋_GB2312"/>
          <w:sz w:val="24"/>
          <w:szCs w:val="24"/>
        </w:rPr>
        <w:t>供应商须在法定质疑期内一次性提出针对同一采购程序环节的质疑。</w:t>
      </w:r>
      <w:r>
        <w:rPr>
          <w:rFonts w:hint="eastAsia" w:ascii="仿宋_GB2312" w:hAnsi="宋体" w:eastAsia="仿宋_GB2312"/>
          <w:bCs/>
          <w:sz w:val="24"/>
          <w:szCs w:val="24"/>
        </w:rPr>
        <w:t>质疑函至少包括下列主要内容：</w:t>
      </w:r>
    </w:p>
    <w:p w14:paraId="2C9AEBF1">
      <w:pPr>
        <w:pStyle w:val="27"/>
        <w:numPr>
          <w:ilvl w:val="0"/>
          <w:numId w:val="13"/>
        </w:numPr>
        <w:tabs>
          <w:tab w:val="left" w:pos="1150"/>
          <w:tab w:val="left" w:pos="1350"/>
        </w:tabs>
        <w:spacing w:line="400" w:lineRule="exact"/>
        <w:rPr>
          <w:rFonts w:hint="eastAsia" w:ascii="仿宋_GB2312" w:hAnsi="宋体" w:eastAsia="仿宋_GB2312"/>
          <w:sz w:val="24"/>
          <w:szCs w:val="24"/>
        </w:rPr>
      </w:pPr>
      <w:r>
        <w:rPr>
          <w:rFonts w:hint="eastAsia" w:ascii="仿宋_GB2312" w:hAnsi="宋体" w:eastAsia="仿宋_GB2312"/>
          <w:sz w:val="24"/>
          <w:szCs w:val="24"/>
        </w:rPr>
        <w:t>供应商的姓名或名称、地址、邮编、联系人及联系电话；</w:t>
      </w:r>
    </w:p>
    <w:p w14:paraId="4E5A4156">
      <w:pPr>
        <w:pStyle w:val="27"/>
        <w:numPr>
          <w:ilvl w:val="0"/>
          <w:numId w:val="13"/>
        </w:numPr>
        <w:spacing w:line="400" w:lineRule="exact"/>
        <w:rPr>
          <w:rFonts w:hint="eastAsia" w:ascii="仿宋_GB2312" w:hAnsi="宋体" w:eastAsia="仿宋_GB2312"/>
          <w:sz w:val="24"/>
          <w:szCs w:val="24"/>
        </w:rPr>
      </w:pPr>
      <w:r>
        <w:rPr>
          <w:rFonts w:hint="eastAsia" w:ascii="仿宋_GB2312" w:hAnsi="宋体" w:eastAsia="仿宋_GB2312"/>
          <w:sz w:val="24"/>
          <w:szCs w:val="24"/>
        </w:rPr>
        <w:t>质疑项目的名称、编号；</w:t>
      </w:r>
    </w:p>
    <w:p w14:paraId="77895056">
      <w:pPr>
        <w:pStyle w:val="27"/>
        <w:numPr>
          <w:ilvl w:val="0"/>
          <w:numId w:val="13"/>
        </w:numPr>
        <w:spacing w:line="400" w:lineRule="exact"/>
        <w:rPr>
          <w:rFonts w:hint="eastAsia" w:ascii="仿宋_GB2312" w:hAnsi="宋体" w:eastAsia="仿宋_GB2312"/>
          <w:sz w:val="24"/>
          <w:szCs w:val="24"/>
        </w:rPr>
      </w:pPr>
      <w:r>
        <w:rPr>
          <w:rFonts w:hint="eastAsia" w:ascii="仿宋_GB2312" w:hAnsi="宋体" w:eastAsia="仿宋_GB2312"/>
          <w:sz w:val="24"/>
          <w:szCs w:val="24"/>
        </w:rPr>
        <w:t>具体、明确的质疑事项和与质疑事项相关的请求；</w:t>
      </w:r>
    </w:p>
    <w:p w14:paraId="69DBFA1C">
      <w:pPr>
        <w:pStyle w:val="27"/>
        <w:numPr>
          <w:ilvl w:val="0"/>
          <w:numId w:val="13"/>
        </w:numPr>
        <w:spacing w:line="400" w:lineRule="exact"/>
        <w:rPr>
          <w:rFonts w:hint="eastAsia" w:ascii="仿宋_GB2312" w:hAnsi="宋体" w:eastAsia="仿宋_GB2312"/>
          <w:sz w:val="24"/>
          <w:szCs w:val="24"/>
        </w:rPr>
      </w:pPr>
      <w:r>
        <w:rPr>
          <w:rFonts w:hint="eastAsia" w:ascii="仿宋_GB2312" w:hAnsi="宋体" w:eastAsia="仿宋_GB2312"/>
          <w:sz w:val="24"/>
          <w:szCs w:val="24"/>
        </w:rPr>
        <w:t>事实依据；</w:t>
      </w:r>
    </w:p>
    <w:p w14:paraId="37170294">
      <w:pPr>
        <w:pStyle w:val="27"/>
        <w:numPr>
          <w:ilvl w:val="0"/>
          <w:numId w:val="13"/>
        </w:numPr>
        <w:spacing w:line="400" w:lineRule="exact"/>
        <w:rPr>
          <w:rFonts w:hint="eastAsia" w:ascii="仿宋_GB2312" w:hAnsi="宋体" w:eastAsia="仿宋_GB2312"/>
          <w:sz w:val="24"/>
          <w:szCs w:val="24"/>
        </w:rPr>
      </w:pPr>
      <w:r>
        <w:rPr>
          <w:rFonts w:hint="eastAsia" w:ascii="仿宋_GB2312" w:hAnsi="宋体" w:eastAsia="仿宋_GB2312"/>
          <w:sz w:val="24"/>
          <w:szCs w:val="24"/>
        </w:rPr>
        <w:t>必要的法律依据；</w:t>
      </w:r>
    </w:p>
    <w:p w14:paraId="08CAABA8">
      <w:pPr>
        <w:pStyle w:val="27"/>
        <w:numPr>
          <w:ilvl w:val="0"/>
          <w:numId w:val="13"/>
        </w:numPr>
        <w:spacing w:line="400" w:lineRule="exact"/>
        <w:ind w:left="1025" w:hanging="590"/>
        <w:rPr>
          <w:rFonts w:hint="eastAsia" w:ascii="仿宋_GB2312" w:hAnsi="宋体" w:eastAsia="仿宋_GB2312"/>
          <w:sz w:val="24"/>
          <w:szCs w:val="24"/>
        </w:rPr>
      </w:pPr>
      <w:r>
        <w:rPr>
          <w:rFonts w:hint="eastAsia" w:ascii="仿宋_GB2312" w:hAnsi="宋体" w:eastAsia="仿宋_GB2312"/>
          <w:sz w:val="24"/>
          <w:szCs w:val="24"/>
        </w:rPr>
        <w:t>提出质疑的日期。</w:t>
      </w:r>
    </w:p>
    <w:p w14:paraId="6227EEDF">
      <w:pPr>
        <w:pStyle w:val="27"/>
        <w:snapToGrid w:val="0"/>
        <w:spacing w:line="400" w:lineRule="exact"/>
        <w:ind w:firstLine="480" w:firstLineChars="200"/>
        <w:rPr>
          <w:rFonts w:hint="eastAsia" w:ascii="仿宋_GB2312" w:hAnsi="宋体" w:eastAsia="仿宋_GB2312"/>
          <w:bCs/>
          <w:sz w:val="24"/>
          <w:szCs w:val="24"/>
        </w:rPr>
      </w:pPr>
      <w:r>
        <w:rPr>
          <w:rFonts w:hint="eastAsia" w:ascii="仿宋_GB2312" w:hAnsi="宋体" w:eastAsia="仿宋_GB2312"/>
          <w:bCs/>
          <w:sz w:val="24"/>
          <w:szCs w:val="24"/>
        </w:rPr>
        <w:t>供应商为自然人的，应当由本人签字；供应商为法人或者其他组织的，应当由法定代表人、主要负责人，或其授权代表签字或者盖章，并加盖公章。</w:t>
      </w:r>
    </w:p>
    <w:p w14:paraId="3103CC9C">
      <w:pPr>
        <w:pStyle w:val="27"/>
        <w:spacing w:line="400" w:lineRule="exact"/>
        <w:ind w:firstLine="480" w:firstLineChars="200"/>
        <w:rPr>
          <w:rFonts w:hint="eastAsia" w:ascii="仿宋_GB2312" w:hAnsi="宋体" w:eastAsia="仿宋_GB2312"/>
          <w:sz w:val="24"/>
          <w:szCs w:val="24"/>
        </w:rPr>
      </w:pPr>
      <w:r>
        <w:rPr>
          <w:rFonts w:hint="eastAsia" w:ascii="仿宋_GB2312" w:hAnsi="宋体" w:eastAsia="仿宋_GB2312"/>
          <w:bCs/>
          <w:sz w:val="24"/>
          <w:szCs w:val="24"/>
        </w:rPr>
        <w:t>代理人提出质疑和投诉，应当提交供应商签署的授权委托书。</w:t>
      </w:r>
    </w:p>
    <w:p w14:paraId="79CD5037">
      <w:pPr>
        <w:snapToGrid w:val="0"/>
        <w:spacing w:line="400" w:lineRule="exact"/>
        <w:ind w:firstLine="480" w:firstLineChars="200"/>
        <w:jc w:val="left"/>
        <w:rPr>
          <w:rFonts w:ascii="仿宋_GB2312" w:eastAsia="仿宋_GB2312" w:cs="Courier New"/>
          <w:sz w:val="24"/>
        </w:rPr>
      </w:pPr>
      <w:r>
        <w:rPr>
          <w:rFonts w:hint="eastAsia" w:ascii="仿宋_GB2312" w:eastAsia="仿宋_GB2312" w:cs="Courier New"/>
          <w:sz w:val="24"/>
        </w:rPr>
        <w:t>9.5接收质疑函的方式：质疑人必须以书面形式向采购人、采购代理机构提出质疑，质疑人至我中心提交质疑函时必须出示有效证件，法定代表人凭本人有效的居民身份证原件；委托代理人凭法定代表人授权委托书原件（委托授权书应当载明代理人的姓名或者名称、代理事项、具体权限、期限和相关事项，供应商为自然人的，应当由本人签字；供应商为法人或者其他组织的，应当由法定代表人、主要负责人签字或者盖章，并加盖公章）和本人有效的居民身份证原件。</w:t>
      </w:r>
    </w:p>
    <w:p w14:paraId="548B3C2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9.6联系部门：柳州市政府集中采购中心监督科。</w:t>
      </w:r>
    </w:p>
    <w:p w14:paraId="7C8E720F">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9.7联系电话：0772-2992103。</w:t>
      </w:r>
    </w:p>
    <w:p w14:paraId="7FBAB2D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9.8通讯地址：广西</w:t>
      </w:r>
      <w:r>
        <w:rPr>
          <w:rFonts w:ascii="仿宋_GB2312" w:eastAsia="仿宋_GB2312" w:cs="Courier New"/>
          <w:sz w:val="24"/>
        </w:rPr>
        <w:t>柳州市三中路6</w:t>
      </w:r>
      <w:r>
        <w:rPr>
          <w:rFonts w:hint="eastAsia" w:ascii="仿宋_GB2312" w:eastAsia="仿宋_GB2312" w:cs="Courier New"/>
          <w:sz w:val="24"/>
        </w:rPr>
        <w:t>4-2</w:t>
      </w:r>
      <w:r>
        <w:rPr>
          <w:rFonts w:ascii="仿宋_GB2312" w:eastAsia="仿宋_GB2312" w:cs="Courier New"/>
          <w:sz w:val="24"/>
        </w:rPr>
        <w:t>号</w:t>
      </w:r>
      <w:r>
        <w:rPr>
          <w:rFonts w:hint="eastAsia" w:ascii="仿宋_GB2312" w:eastAsia="仿宋_GB2312" w:cs="Courier New"/>
          <w:sz w:val="24"/>
        </w:rPr>
        <w:t>。</w:t>
      </w:r>
    </w:p>
    <w:p w14:paraId="386CCD9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9.9现场提交质疑办理业务时间：工作日8时00分到12时00分，15时00分到18时 00分，业务时间以外、双休日和法定节假日不办理业务。</w:t>
      </w:r>
    </w:p>
    <w:p w14:paraId="4117AC5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9.10投诉的书面要求</w:t>
      </w:r>
    </w:p>
    <w:p w14:paraId="6996C281">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9.10.1符合《政府采购质疑和投诉办法》（财政部第94号令）要求。</w:t>
      </w:r>
    </w:p>
    <w:p w14:paraId="36295E81">
      <w:pPr>
        <w:pStyle w:val="27"/>
        <w:snapToGrid w:val="0"/>
        <w:spacing w:line="360" w:lineRule="exact"/>
        <w:ind w:right="-330" w:rightChars="-157" w:firstLine="472" w:firstLineChars="196"/>
        <w:rPr>
          <w:rFonts w:hint="eastAsia" w:ascii="仿宋_GB2312" w:hAnsi="宋体" w:eastAsia="仿宋_GB2312"/>
          <w:b/>
          <w:sz w:val="24"/>
          <w:szCs w:val="24"/>
        </w:rPr>
      </w:pPr>
      <w:r>
        <w:rPr>
          <w:rFonts w:hint="eastAsia" w:ascii="仿宋_GB2312" w:hAnsi="宋体" w:eastAsia="仿宋_GB2312"/>
          <w:b/>
          <w:sz w:val="24"/>
          <w:szCs w:val="24"/>
        </w:rPr>
        <w:t>二、招标文件</w:t>
      </w:r>
      <w:bookmarkEnd w:id="43"/>
      <w:bookmarkEnd w:id="44"/>
    </w:p>
    <w:p w14:paraId="6C1B5CCB">
      <w:pPr>
        <w:snapToGrid w:val="0"/>
        <w:spacing w:line="360" w:lineRule="exact"/>
        <w:ind w:right="-330" w:rightChars="-157" w:firstLine="472" w:firstLineChars="196"/>
        <w:jc w:val="left"/>
        <w:rPr>
          <w:rFonts w:hint="eastAsia" w:eastAsia="仿宋_GB2312" w:asciiTheme="minorHAnsi" w:hAnsiTheme="minorHAnsi"/>
          <w:b/>
          <w:sz w:val="24"/>
          <w:lang w:val="en-GB"/>
        </w:rPr>
      </w:pPr>
      <w:r>
        <w:rPr>
          <w:rFonts w:hint="eastAsia" w:ascii="仿宋_GB2312" w:eastAsia="仿宋_GB2312" w:cs="Courier New"/>
          <w:b/>
          <w:sz w:val="24"/>
        </w:rPr>
        <w:t>10.招标文件的构成</w:t>
      </w:r>
    </w:p>
    <w:p w14:paraId="055BABF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（1）公开招标公告；</w:t>
      </w:r>
    </w:p>
    <w:p w14:paraId="6A6E88E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（2）采购需求；</w:t>
      </w:r>
    </w:p>
    <w:p w14:paraId="4BC43A83">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（3）投标人须知；</w:t>
      </w:r>
    </w:p>
    <w:p w14:paraId="1066EB06">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（4）评标方法及评标标准；</w:t>
      </w:r>
    </w:p>
    <w:p w14:paraId="7BDD23EE">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（5）合同主要条款及验收书格式；</w:t>
      </w:r>
    </w:p>
    <w:p w14:paraId="0A603BBF">
      <w:pPr>
        <w:tabs>
          <w:tab w:val="left" w:pos="3870"/>
          <w:tab w:val="left" w:pos="4085"/>
        </w:tabs>
        <w:snapToGrid w:val="0"/>
        <w:spacing w:line="360" w:lineRule="exact"/>
        <w:ind w:right="-330" w:rightChars="-157" w:firstLine="720" w:firstLineChars="300"/>
        <w:jc w:val="left"/>
        <w:rPr>
          <w:rFonts w:ascii="仿宋_GB2312" w:eastAsia="仿宋_GB2312"/>
          <w:sz w:val="24"/>
        </w:rPr>
      </w:pPr>
      <w:r>
        <w:rPr>
          <w:rFonts w:ascii="仿宋_GB2312" w:eastAsia="仿宋_GB2312"/>
          <w:sz w:val="24"/>
        </w:rPr>
        <w:t>（6）投标文件格式。</w:t>
      </w:r>
    </w:p>
    <w:p w14:paraId="73E8D0D4">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cs="Courier New"/>
          <w:b/>
          <w:sz w:val="24"/>
        </w:rPr>
        <w:t>11.投标人的风险</w:t>
      </w:r>
    </w:p>
    <w:p w14:paraId="45A03F6A">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11.1投标人没有按照招标文件要求提供全部资料，或者投标人没有对招标文件在各方面作出实质性响应是投标人的风险，并可能导致其投标被拒绝。</w:t>
      </w:r>
    </w:p>
    <w:p w14:paraId="2FAD9CA7">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12.招标文件的澄清与修改</w:t>
      </w:r>
      <w:r>
        <w:rPr>
          <w:rFonts w:hint="eastAsia" w:ascii="仿宋_GB2312" w:eastAsia="仿宋_GB2312"/>
          <w:b/>
          <w:sz w:val="24"/>
        </w:rPr>
        <w:t xml:space="preserve"> </w:t>
      </w:r>
    </w:p>
    <w:p w14:paraId="4A7FC17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12.1投标人应认真阅读本招标文件，发现其中有误或有不合理要求的，投标人必须以书面形式询问采购人或采购代理机构。采购代理机构对已发出的招标文件进行必要澄清、答复、修改或补充的，应当在招标文件要求提交投标文件截止时间十五日前，在财政部门指定的政府采购信息发布媒体上发布更正公告，并以书面形式通知所有获取招标文件的供应商。该澄清或者修改的内容为招标文件的组成部分。</w:t>
      </w:r>
    </w:p>
    <w:p w14:paraId="222D1F1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12.2采购人或采购代理机构以书面形式答复投标人询问的问题，除书面答复以外的其他澄清方式及澄清内容均无效。</w:t>
      </w:r>
    </w:p>
    <w:p w14:paraId="380D6AD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12.3招标文件澄清、答复、修改、补充的内容为招标文件的组成部分。当招标文件与招标文件的答复、澄清、修改、补充通知就同一内容的表述不一致时，以最后发出的书面文件为准。</w:t>
      </w:r>
    </w:p>
    <w:p w14:paraId="75C7FB76">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12.4招标文件的澄清、答复、修改或补充都应该通过本采购代理机构以法定形式发布，采购人非通过代理机构，不得擅自澄清、答复、修改或补充招标文件。</w:t>
      </w:r>
    </w:p>
    <w:p w14:paraId="3B3A6DD8">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12.5</w:t>
      </w:r>
      <w:r>
        <w:rPr>
          <w:rFonts w:hint="eastAsia" w:ascii="仿宋_GB2312" w:hAnsi="宋体" w:eastAsia="仿宋_GB2312"/>
          <w:sz w:val="24"/>
        </w:rPr>
        <w:t>采购人或采购代理机构可以视采购具体情况，延长</w:t>
      </w:r>
      <w:r>
        <w:rPr>
          <w:rFonts w:hint="eastAsia" w:ascii="仿宋_GB2312" w:eastAsia="仿宋_GB2312"/>
          <w:sz w:val="24"/>
        </w:rPr>
        <w:t>招标文件提供期限，并在财政部门指定的政府采购信息发布媒体上发布公告</w:t>
      </w:r>
      <w:r>
        <w:rPr>
          <w:rFonts w:hint="eastAsia" w:ascii="仿宋_GB2312" w:eastAsia="仿宋_GB2312" w:cs="Courier New"/>
          <w:sz w:val="24"/>
        </w:rPr>
        <w:t>。</w:t>
      </w:r>
    </w:p>
    <w:p w14:paraId="4B94C23F">
      <w:pPr>
        <w:snapToGrid w:val="0"/>
        <w:spacing w:line="360" w:lineRule="exact"/>
        <w:ind w:right="-330" w:rightChars="-157" w:firstLine="472" w:firstLineChars="196"/>
        <w:jc w:val="left"/>
        <w:rPr>
          <w:rFonts w:ascii="仿宋_GB2312" w:eastAsia="仿宋_GB2312" w:cs="Courier New"/>
          <w:b/>
          <w:sz w:val="24"/>
        </w:rPr>
      </w:pPr>
      <w:bookmarkStart w:id="45" w:name="_Toc254970535"/>
      <w:bookmarkStart w:id="46" w:name="_Toc254970676"/>
      <w:r>
        <w:rPr>
          <w:rFonts w:hint="eastAsia" w:ascii="仿宋_GB2312" w:eastAsia="仿宋_GB2312" w:cs="Courier New"/>
          <w:b/>
          <w:sz w:val="24"/>
        </w:rPr>
        <w:t>三、投标文件的编制</w:t>
      </w:r>
      <w:bookmarkEnd w:id="45"/>
      <w:bookmarkEnd w:id="46"/>
    </w:p>
    <w:p w14:paraId="24ECCF5E">
      <w:pPr>
        <w:snapToGrid w:val="0"/>
        <w:spacing w:line="360" w:lineRule="exact"/>
        <w:ind w:right="-330" w:rightChars="-157" w:firstLine="472" w:firstLineChars="196"/>
        <w:jc w:val="left"/>
        <w:rPr>
          <w:rFonts w:ascii="仿宋_GB2312" w:eastAsia="仿宋_GB2312"/>
          <w:b/>
          <w:sz w:val="24"/>
        </w:rPr>
      </w:pPr>
      <w:r>
        <w:rPr>
          <w:rFonts w:hint="eastAsia" w:ascii="仿宋_GB2312" w:eastAsia="仿宋_GB2312" w:cs="Courier New"/>
          <w:b/>
          <w:sz w:val="24"/>
        </w:rPr>
        <w:t>13.投标文件的组成</w:t>
      </w:r>
    </w:p>
    <w:p w14:paraId="2BDC12E1">
      <w:pPr>
        <w:snapToGrid w:val="0"/>
        <w:spacing w:line="400" w:lineRule="exact"/>
        <w:ind w:firstLine="482" w:firstLineChars="200"/>
        <w:jc w:val="left"/>
        <w:rPr>
          <w:rFonts w:ascii="仿宋_GB2312" w:eastAsia="仿宋_GB2312"/>
          <w:b/>
          <w:bCs/>
          <w:sz w:val="24"/>
        </w:rPr>
      </w:pPr>
      <w:r>
        <w:rPr>
          <w:rFonts w:hint="eastAsia" w:ascii="仿宋_GB2312" w:eastAsia="仿宋_GB2312"/>
          <w:b/>
          <w:bCs/>
          <w:sz w:val="24"/>
        </w:rPr>
        <w:t>13.1投标文件由资格文件、报价要求文件、商务技术文件三部分组成。</w:t>
      </w:r>
    </w:p>
    <w:bookmarkEnd w:id="33"/>
    <w:bookmarkEnd w:id="34"/>
    <w:p w14:paraId="4367E7FF">
      <w:pPr>
        <w:snapToGrid w:val="0"/>
        <w:spacing w:line="360" w:lineRule="exact"/>
        <w:ind w:right="-330" w:rightChars="-157" w:firstLine="472" w:firstLineChars="196"/>
        <w:jc w:val="left"/>
        <w:rPr>
          <w:rFonts w:ascii="仿宋_GB2312" w:eastAsia="仿宋_GB2312" w:cs="Courier New"/>
          <w:b/>
          <w:sz w:val="24"/>
        </w:rPr>
      </w:pPr>
      <w:r>
        <w:rPr>
          <w:rFonts w:hint="eastAsia" w:ascii="仿宋_GB2312" w:eastAsia="仿宋_GB2312"/>
          <w:b/>
          <w:sz w:val="24"/>
        </w:rPr>
        <w:t>13.1.</w:t>
      </w:r>
      <w:r>
        <w:rPr>
          <w:rFonts w:ascii="仿宋_GB2312" w:eastAsia="仿宋_GB2312"/>
          <w:b/>
          <w:sz w:val="24"/>
        </w:rPr>
        <w:t>1</w:t>
      </w:r>
      <w:r>
        <w:rPr>
          <w:rFonts w:hint="eastAsia" w:ascii="仿宋_GB2312" w:eastAsia="仿宋_GB2312" w:cs="Courier New"/>
          <w:b/>
          <w:bCs/>
          <w:sz w:val="24"/>
        </w:rPr>
        <w:t>资格文件</w:t>
      </w:r>
    </w:p>
    <w:p w14:paraId="59AA33D6">
      <w:pPr>
        <w:snapToGrid w:val="0"/>
        <w:spacing w:line="340" w:lineRule="exact"/>
        <w:ind w:right="-330" w:rightChars="-157" w:firstLine="472" w:firstLineChars="196"/>
        <w:jc w:val="left"/>
        <w:rPr>
          <w:rFonts w:hint="eastAsia" w:ascii="仿宋_GB2312" w:hAnsi="宋体" w:eastAsia="仿宋_GB2312" w:cs="Courier New"/>
          <w:sz w:val="24"/>
        </w:rPr>
      </w:pPr>
      <w:r>
        <w:rPr>
          <w:rFonts w:hint="eastAsia" w:ascii="仿宋_GB2312" w:hAnsi="宋体" w:eastAsia="仿宋_GB2312"/>
          <w:b/>
          <w:bCs/>
          <w:sz w:val="24"/>
        </w:rPr>
        <w:t>注：以下各项必须提供并加盖投标人CA电子签章、按照第六章格式要求签字，否则其投标无效。</w:t>
      </w:r>
    </w:p>
    <w:p w14:paraId="0E731C2E">
      <w:pPr>
        <w:pStyle w:val="253"/>
        <w:spacing w:before="0" w:beforeAutospacing="0" w:after="0" w:afterAutospacing="0" w:line="360" w:lineRule="atLeast"/>
        <w:rPr>
          <w:rFonts w:ascii="仿宋_GB2312" w:eastAsia="仿宋_GB2312"/>
          <w:color w:val="000000"/>
        </w:rPr>
      </w:pPr>
      <w:r>
        <w:rPr>
          <w:rFonts w:hint="eastAsia" w:ascii="仿宋_GB2312" w:eastAsia="仿宋_GB2312"/>
          <w:color w:val="000000"/>
        </w:rPr>
        <w:t>  （1）法定代表人身份证明书（</w:t>
      </w:r>
      <w:r>
        <w:rPr>
          <w:rFonts w:hint="eastAsia" w:ascii="仿宋_GB2312" w:eastAsia="仿宋_GB2312"/>
          <w:b/>
          <w:bCs/>
          <w:color w:val="000000"/>
        </w:rPr>
        <w:t>必须提供</w:t>
      </w:r>
      <w:r>
        <w:rPr>
          <w:rFonts w:hint="eastAsia" w:ascii="仿宋_GB2312" w:eastAsia="仿宋_GB2312"/>
          <w:color w:val="000000"/>
        </w:rPr>
        <w:t>，格式见第六章）；</w:t>
      </w:r>
    </w:p>
    <w:p w14:paraId="2C624A55">
      <w:pPr>
        <w:pStyle w:val="25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（2）法定代表人授权委托书（</w:t>
      </w:r>
      <w:r>
        <w:rPr>
          <w:rFonts w:hint="eastAsia" w:ascii="仿宋_GB2312" w:eastAsia="仿宋_GB2312"/>
          <w:b/>
          <w:bCs/>
          <w:color w:val="000000"/>
        </w:rPr>
        <w:t>委托代理时必须提供</w:t>
      </w:r>
      <w:r>
        <w:rPr>
          <w:rFonts w:hint="eastAsia" w:ascii="仿宋_GB2312" w:eastAsia="仿宋_GB2312"/>
          <w:color w:val="000000"/>
        </w:rPr>
        <w:t>，格式见第六章）；</w:t>
      </w:r>
    </w:p>
    <w:p w14:paraId="0089839E">
      <w:pPr>
        <w:pStyle w:val="25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（3）投标人资格声明函（</w:t>
      </w:r>
      <w:r>
        <w:rPr>
          <w:rFonts w:hint="eastAsia" w:ascii="仿宋_GB2312" w:eastAsia="仿宋_GB2312"/>
          <w:b/>
          <w:bCs/>
          <w:color w:val="000000"/>
        </w:rPr>
        <w:t>必须提供</w:t>
      </w:r>
      <w:r>
        <w:rPr>
          <w:rFonts w:hint="eastAsia" w:ascii="仿宋_GB2312" w:eastAsia="仿宋_GB2312"/>
          <w:color w:val="000000"/>
        </w:rPr>
        <w:t>，格式见第六章）；</w:t>
      </w:r>
    </w:p>
    <w:p w14:paraId="0FF3325F">
      <w:pPr>
        <w:pStyle w:val="25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（4）投标人有效主体资格证明（如营业执照、事业单位法人证书、执业许可证、自然人身份证等）（</w:t>
      </w:r>
      <w:r>
        <w:rPr>
          <w:rFonts w:hint="eastAsia" w:ascii="仿宋_GB2312" w:eastAsia="仿宋_GB2312"/>
          <w:b/>
          <w:bCs/>
          <w:color w:val="000000"/>
        </w:rPr>
        <w:t>必须提供</w:t>
      </w:r>
      <w:r>
        <w:rPr>
          <w:rFonts w:hint="eastAsia" w:ascii="仿宋_GB2312" w:eastAsia="仿宋_GB2312"/>
          <w:color w:val="000000"/>
        </w:rPr>
        <w:t>）；</w:t>
      </w:r>
    </w:p>
    <w:p w14:paraId="25080D3D">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13.1.2报价要求文件</w:t>
      </w:r>
    </w:p>
    <w:p w14:paraId="40F0AFA8">
      <w:pPr>
        <w:snapToGrid w:val="0"/>
        <w:spacing w:line="400" w:lineRule="exact"/>
        <w:ind w:firstLine="420"/>
        <w:jc w:val="left"/>
        <w:rPr>
          <w:rFonts w:ascii="仿宋_GB2312" w:eastAsia="仿宋_GB2312" w:cs="Courier New"/>
          <w:sz w:val="24"/>
        </w:rPr>
      </w:pPr>
      <w:r>
        <w:rPr>
          <w:rFonts w:hint="eastAsia" w:ascii="仿宋_GB2312" w:eastAsia="仿宋_GB2312" w:cs="Courier New"/>
          <w:b/>
          <w:bCs/>
          <w:sz w:val="24"/>
        </w:rPr>
        <w:t>注：以下各项必须提供并加盖投标人</w:t>
      </w:r>
      <w:r>
        <w:rPr>
          <w:rFonts w:hint="eastAsia" w:ascii="仿宋_GB2312" w:hAnsi="宋体" w:eastAsia="仿宋_GB2312"/>
          <w:b/>
          <w:bCs/>
          <w:sz w:val="24"/>
        </w:rPr>
        <w:t>CA电子签章</w:t>
      </w:r>
      <w:r>
        <w:rPr>
          <w:rFonts w:hint="eastAsia" w:ascii="仿宋_GB2312" w:eastAsia="仿宋_GB2312" w:cs="Courier New"/>
          <w:b/>
          <w:bCs/>
          <w:sz w:val="24"/>
        </w:rPr>
        <w:t>、</w:t>
      </w:r>
      <w:r>
        <w:rPr>
          <w:rFonts w:hint="eastAsia" w:ascii="仿宋_GB2312" w:eastAsia="仿宋_GB2312"/>
          <w:b/>
          <w:bCs/>
          <w:sz w:val="24"/>
        </w:rPr>
        <w:t>按照第六章格式要求签字，</w:t>
      </w:r>
      <w:r>
        <w:rPr>
          <w:rFonts w:hint="eastAsia" w:ascii="仿宋_GB2312" w:eastAsia="仿宋_GB2312" w:cs="Courier New"/>
          <w:b/>
          <w:bCs/>
          <w:sz w:val="24"/>
        </w:rPr>
        <w:t>否则其投标无效。</w:t>
      </w:r>
    </w:p>
    <w:p w14:paraId="6C8F995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（1）开标一览表（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3E70B0E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（2）投标报价明细表（</w:t>
      </w:r>
      <w:r>
        <w:rPr>
          <w:rFonts w:hint="eastAsia" w:ascii="仿宋_GB2312" w:eastAsia="仿宋_GB2312"/>
          <w:b/>
          <w:bCs/>
          <w:sz w:val="24"/>
        </w:rPr>
        <w:t>必须提供，</w:t>
      </w:r>
      <w:r>
        <w:rPr>
          <w:rFonts w:hint="eastAsia" w:ascii="仿宋_GB2312" w:eastAsia="仿宋_GB2312"/>
          <w:sz w:val="24"/>
        </w:rPr>
        <w:t>格式见第六章</w:t>
      </w:r>
      <w:r>
        <w:rPr>
          <w:rFonts w:hint="eastAsia" w:ascii="仿宋_GB2312" w:eastAsia="仿宋_GB2312" w:cs="Courier New"/>
          <w:sz w:val="24"/>
        </w:rPr>
        <w:t>）。</w:t>
      </w:r>
    </w:p>
    <w:p w14:paraId="043EA579">
      <w:pPr>
        <w:snapToGrid w:val="0"/>
        <w:spacing w:line="340" w:lineRule="exact"/>
        <w:ind w:right="-330" w:rightChars="-157" w:firstLine="441" w:firstLineChars="183"/>
        <w:jc w:val="left"/>
        <w:rPr>
          <w:rFonts w:ascii="仿宋_GB2312" w:eastAsia="仿宋_GB2312" w:cs="Courier New"/>
          <w:b/>
          <w:sz w:val="24"/>
        </w:rPr>
      </w:pPr>
      <w:r>
        <w:rPr>
          <w:rFonts w:hint="eastAsia" w:ascii="仿宋_GB2312" w:eastAsia="仿宋_GB2312"/>
          <w:b/>
          <w:sz w:val="24"/>
        </w:rPr>
        <w:t>13.1.3商务技术文件</w:t>
      </w:r>
    </w:p>
    <w:p w14:paraId="725EBE7D">
      <w:pPr>
        <w:snapToGrid w:val="0"/>
        <w:spacing w:line="340" w:lineRule="exact"/>
        <w:ind w:right="-330" w:rightChars="-157" w:firstLine="472" w:firstLineChars="196"/>
        <w:jc w:val="left"/>
        <w:rPr>
          <w:rFonts w:hint="eastAsia" w:ascii="仿宋_GB2312" w:hAnsi="宋体" w:eastAsia="仿宋_GB2312" w:cs="Courier New"/>
          <w:sz w:val="24"/>
        </w:rPr>
      </w:pPr>
      <w:bookmarkStart w:id="47" w:name="_Hlk517112171"/>
      <w:bookmarkStart w:id="48" w:name="_Toc254970678"/>
      <w:bookmarkStart w:id="49" w:name="_Toc254970537"/>
      <w:bookmarkStart w:id="50" w:name="_Hlk517112217"/>
      <w:r>
        <w:rPr>
          <w:rFonts w:hint="eastAsia" w:ascii="仿宋_GB2312" w:hAnsi="宋体" w:eastAsia="仿宋_GB2312"/>
          <w:b/>
          <w:bCs/>
          <w:sz w:val="24"/>
        </w:rPr>
        <w:t>注：以下第（1）至第（</w:t>
      </w:r>
      <w:r>
        <w:rPr>
          <w:rFonts w:hint="eastAsia" w:ascii="仿宋_GB2312" w:hAnsi="宋体" w:eastAsia="仿宋_GB2312"/>
          <w:b/>
          <w:bCs/>
          <w:sz w:val="24"/>
          <w:lang w:val="en-US" w:eastAsia="zh-CN"/>
        </w:rPr>
        <w:t>5</w:t>
      </w:r>
      <w:r>
        <w:rPr>
          <w:rFonts w:hint="eastAsia" w:ascii="仿宋_GB2312" w:hAnsi="宋体" w:eastAsia="仿宋_GB2312"/>
          <w:b/>
          <w:bCs/>
          <w:sz w:val="24"/>
        </w:rPr>
        <w:t>）项必须提供并加盖投标人CA电子签章、并按照第六章格式要求签字，否则投标无效。其余各项如有请提供，同时要加盖投标人CA电子签章，否则该材料被视为无效。</w:t>
      </w:r>
    </w:p>
    <w:bookmarkEnd w:id="47"/>
    <w:bookmarkEnd w:id="48"/>
    <w:bookmarkEnd w:id="49"/>
    <w:bookmarkEnd w:id="50"/>
    <w:p w14:paraId="25EB8F85">
      <w:pPr>
        <w:pStyle w:val="273"/>
        <w:spacing w:before="0" w:beforeAutospacing="0" w:after="0" w:afterAutospacing="0" w:line="360" w:lineRule="atLeast"/>
        <w:ind w:firstLine="480" w:firstLineChars="200"/>
        <w:rPr>
          <w:rFonts w:ascii="仿宋_GB2312" w:eastAsia="仿宋_GB2312"/>
          <w:color w:val="000000"/>
        </w:rPr>
      </w:pPr>
      <w:r>
        <w:rPr>
          <w:rFonts w:hint="eastAsia" w:ascii="仿宋_GB2312" w:eastAsia="仿宋_GB2312"/>
          <w:color w:val="000000"/>
        </w:rPr>
        <w:t>（1）投标函（</w:t>
      </w:r>
      <w:r>
        <w:rPr>
          <w:rFonts w:hint="eastAsia" w:ascii="仿宋_GB2312" w:eastAsia="仿宋_GB2312"/>
          <w:b/>
          <w:bCs/>
          <w:color w:val="000000"/>
        </w:rPr>
        <w:t>必须提供</w:t>
      </w:r>
      <w:r>
        <w:rPr>
          <w:rFonts w:hint="eastAsia" w:ascii="仿宋_GB2312" w:eastAsia="仿宋_GB2312"/>
          <w:color w:val="000000"/>
        </w:rPr>
        <w:t>，格式见第六章）；</w:t>
      </w:r>
    </w:p>
    <w:p w14:paraId="2DE833CB">
      <w:pPr>
        <w:pStyle w:val="27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（2）技术响应表（</w:t>
      </w:r>
      <w:r>
        <w:rPr>
          <w:rFonts w:hint="eastAsia" w:ascii="仿宋_GB2312" w:eastAsia="仿宋_GB2312"/>
          <w:b/>
          <w:bCs/>
          <w:color w:val="000000"/>
        </w:rPr>
        <w:t>必须提供</w:t>
      </w:r>
      <w:r>
        <w:rPr>
          <w:rFonts w:hint="eastAsia" w:ascii="仿宋_GB2312" w:eastAsia="仿宋_GB2312"/>
          <w:color w:val="000000"/>
        </w:rPr>
        <w:t>，格式见第六章）；</w:t>
      </w:r>
    </w:p>
    <w:p w14:paraId="364BFAD9">
      <w:pPr>
        <w:pStyle w:val="27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（3）商务响应表（</w:t>
      </w:r>
      <w:r>
        <w:rPr>
          <w:rFonts w:hint="eastAsia" w:ascii="仿宋_GB2312" w:eastAsia="仿宋_GB2312"/>
          <w:b/>
          <w:bCs/>
          <w:color w:val="000000"/>
        </w:rPr>
        <w:t>必须提供</w:t>
      </w:r>
      <w:r>
        <w:rPr>
          <w:rFonts w:hint="eastAsia" w:ascii="仿宋_GB2312" w:eastAsia="仿宋_GB2312"/>
          <w:color w:val="000000"/>
        </w:rPr>
        <w:t>，格式见第六章）；</w:t>
      </w:r>
    </w:p>
    <w:p w14:paraId="05AEAA05">
      <w:pPr>
        <w:pStyle w:val="273"/>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（4）</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投标产品</w:t>
      </w:r>
      <w:r>
        <w:rPr>
          <w:rFonts w:hint="eastAsia" w:ascii="仿宋_GB2312" w:eastAsia="仿宋_GB2312"/>
          <w:color w:val="000000"/>
          <w:lang w:val="en-US" w:eastAsia="zh-CN"/>
        </w:rPr>
        <w:t>“</w:t>
      </w:r>
      <w:r>
        <w:rPr>
          <w:rFonts w:hint="eastAsia" w:ascii="仿宋_GB2312" w:hAnsi="仿宋_GB2312" w:eastAsia="仿宋_GB2312" w:cs="仿宋_GB2312"/>
          <w:b w:val="0"/>
          <w:bCs w:val="0"/>
          <w:sz w:val="24"/>
          <w:szCs w:val="24"/>
          <w:lang w:val="en-US" w:eastAsia="zh-CN"/>
        </w:rPr>
        <w:t>计算机</w:t>
      </w:r>
      <w:r>
        <w:rPr>
          <w:rFonts w:hint="eastAsia" w:ascii="仿宋_GB2312" w:eastAsia="仿宋_GB2312"/>
          <w:color w:val="000000"/>
          <w:lang w:val="en-US" w:eastAsia="zh-CN"/>
        </w:rPr>
        <w:t>”、“</w:t>
      </w:r>
      <w:r>
        <w:rPr>
          <w:rFonts w:hint="eastAsia" w:ascii="仿宋_GB2312" w:hAnsi="仿宋_GB2312" w:eastAsia="仿宋_GB2312" w:cs="仿宋_GB2312"/>
          <w:b w:val="0"/>
          <w:bCs w:val="0"/>
          <w:sz w:val="24"/>
          <w:szCs w:val="24"/>
          <w:lang w:val="en-US" w:eastAsia="zh-CN"/>
        </w:rPr>
        <w:t>制冷设备</w:t>
      </w:r>
      <w:r>
        <w:rPr>
          <w:rFonts w:hint="eastAsia" w:ascii="仿宋_GB2312" w:eastAsia="仿宋_GB2312"/>
          <w:color w:val="000000"/>
          <w:lang w:val="en-US" w:eastAsia="zh-CN"/>
        </w:rPr>
        <w:t>”</w:t>
      </w:r>
      <w:r>
        <w:rPr>
          <w:rFonts w:hint="eastAsia" w:ascii="仿宋_GB2312" w:eastAsia="仿宋_GB2312"/>
          <w:color w:val="000000"/>
        </w:rPr>
        <w:t>为政府强制采购节能产品，由国家确定的认证机构出具的、处于有效期之内的节能产品认证证书（</w:t>
      </w:r>
      <w:r>
        <w:rPr>
          <w:rFonts w:hint="eastAsia" w:ascii="仿宋_GB2312" w:eastAsia="仿宋_GB2312"/>
          <w:b/>
          <w:bCs/>
          <w:color w:val="000000"/>
        </w:rPr>
        <w:t>必须提供</w:t>
      </w:r>
      <w:r>
        <w:rPr>
          <w:rFonts w:hint="eastAsia" w:ascii="仿宋_GB2312" w:eastAsia="仿宋_GB2312"/>
          <w:color w:val="000000"/>
        </w:rPr>
        <w:t>）；</w:t>
      </w:r>
    </w:p>
    <w:p w14:paraId="511BF39F">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5</w:t>
      </w:r>
      <w:r>
        <w:rPr>
          <w:rFonts w:hint="eastAsia" w:ascii="仿宋_GB2312" w:eastAsia="仿宋_GB2312"/>
          <w:color w:val="000000"/>
        </w:rPr>
        <w:t>）</w:t>
      </w:r>
      <w:r>
        <w:rPr>
          <w:rFonts w:hint="eastAsia" w:ascii="仿宋_GB2312" w:hAnsi="宋体" w:eastAsia="仿宋_GB2312" w:cs="宋体"/>
          <w:color w:val="000000"/>
          <w:sz w:val="24"/>
          <w:szCs w:val="24"/>
        </w:rPr>
        <w:t>采购需求中</w:t>
      </w:r>
      <w:r>
        <w:rPr>
          <w:rFonts w:hint="eastAsia" w:ascii="仿宋_GB2312" w:hAnsi="宋体" w:eastAsia="仿宋_GB2312" w:cs="宋体"/>
          <w:b/>
          <w:bCs/>
          <w:color w:val="000000"/>
          <w:sz w:val="24"/>
          <w:szCs w:val="24"/>
        </w:rPr>
        <w:t>分标1</w:t>
      </w:r>
      <w:r>
        <w:rPr>
          <w:rFonts w:hint="eastAsia" w:ascii="仿宋_GB2312" w:hAnsi="宋体" w:eastAsia="仿宋_GB2312" w:cs="宋体"/>
          <w:color w:val="000000"/>
          <w:sz w:val="24"/>
          <w:szCs w:val="24"/>
        </w:rPr>
        <w:t>（二）柳铁二中室内全彩LED屏第1项“室内全彩屏”；</w:t>
      </w:r>
      <w:r>
        <w:rPr>
          <w:rFonts w:hint="eastAsia" w:ascii="仿宋_GB2312" w:hAnsi="宋体" w:eastAsia="仿宋_GB2312" w:cs="宋体"/>
          <w:b/>
          <w:bCs/>
          <w:color w:val="000000"/>
          <w:sz w:val="24"/>
          <w:szCs w:val="24"/>
        </w:rPr>
        <w:t>分标2</w:t>
      </w:r>
      <w:r>
        <w:rPr>
          <w:rFonts w:hint="eastAsia" w:ascii="仿宋_GB2312" w:hAnsi="宋体" w:eastAsia="仿宋_GB2312" w:cs="宋体"/>
          <w:color w:val="000000"/>
          <w:sz w:val="24"/>
          <w:szCs w:val="24"/>
        </w:rPr>
        <w:t>（一）八中本部新综合楼多功能厅:室内全彩LED屏系统第1项“室内全彩屏”、第22项“互动一体机”的技术参数中，注明要求提供证明材料、且标注“★”的项目</w:t>
      </w:r>
      <w:r>
        <w:rPr>
          <w:rFonts w:hint="eastAsia" w:ascii="仿宋_GB2312" w:eastAsia="仿宋_GB2312" w:cs="宋体"/>
          <w:color w:val="000000"/>
          <w:sz w:val="24"/>
          <w:szCs w:val="24"/>
          <w:lang w:eastAsia="zh-CN"/>
        </w:rPr>
        <w:t>，</w:t>
      </w:r>
      <w:r>
        <w:rPr>
          <w:rFonts w:hint="eastAsia" w:ascii="仿宋_GB2312" w:hAnsi="宋体" w:eastAsia="仿宋_GB2312" w:cs="宋体"/>
          <w:color w:val="000000"/>
          <w:sz w:val="24"/>
          <w:szCs w:val="24"/>
        </w:rPr>
        <w:t>须提供具有CMA或CNAS标识的检测（检验）报告或提供其它证明材料（彩页、产品说明书、官网或功能截图等其中任意一项）</w:t>
      </w:r>
      <w:r>
        <w:rPr>
          <w:rFonts w:hint="eastAsia" w:ascii="仿宋_GB2312" w:eastAsia="仿宋_GB2312"/>
          <w:color w:val="000000"/>
        </w:rPr>
        <w:t>（</w:t>
      </w:r>
      <w:r>
        <w:rPr>
          <w:rFonts w:hint="eastAsia" w:ascii="仿宋_GB2312" w:eastAsia="仿宋_GB2312"/>
          <w:b/>
          <w:bCs/>
          <w:color w:val="000000"/>
        </w:rPr>
        <w:t>必须提供</w:t>
      </w:r>
      <w:r>
        <w:rPr>
          <w:rFonts w:hint="eastAsia" w:ascii="仿宋_GB2312" w:eastAsia="仿宋_GB2312"/>
          <w:color w:val="000000"/>
        </w:rPr>
        <w:t>）；</w:t>
      </w:r>
    </w:p>
    <w:p w14:paraId="549B0432">
      <w:pPr>
        <w:pStyle w:val="702"/>
        <w:spacing w:before="0" w:beforeAutospacing="0" w:after="0" w:afterAutospacing="0" w:line="360" w:lineRule="atLeast"/>
        <w:ind w:firstLine="480" w:firstLineChars="200"/>
        <w:rPr>
          <w:rFonts w:hint="eastAsia" w:ascii="仿宋_GB2312" w:eastAsia="仿宋_GB2312"/>
          <w:color w:val="000000"/>
        </w:rPr>
      </w:pPr>
      <w:r>
        <w:rPr>
          <w:rFonts w:hint="eastAsia" w:ascii="仿宋_GB2312" w:eastAsia="仿宋_GB2312"/>
          <w:color w:val="000000"/>
          <w:lang w:eastAsia="zh-CN"/>
        </w:rPr>
        <w:t>（</w:t>
      </w:r>
      <w:r>
        <w:rPr>
          <w:rFonts w:hint="eastAsia" w:ascii="仿宋_GB2312" w:eastAsia="仿宋_GB2312"/>
          <w:color w:val="000000"/>
          <w:lang w:val="en-US" w:eastAsia="zh-CN"/>
        </w:rPr>
        <w:t>6</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lang w:eastAsia="zh-CN"/>
        </w:rPr>
        <w:t>项目实施方案</w:t>
      </w:r>
      <w:r>
        <w:rPr>
          <w:rFonts w:hint="eastAsia" w:ascii="仿宋_GB2312" w:eastAsia="仿宋_GB2312"/>
          <w:color w:val="000000"/>
        </w:rPr>
        <w:t>（如有，格式见第六章）；</w:t>
      </w:r>
    </w:p>
    <w:p w14:paraId="3D18D594">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7</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安装进度计划和工期保证（如有，格式见第六章）；</w:t>
      </w:r>
    </w:p>
    <w:p w14:paraId="2D80E21B">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8</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售后服务方案（如有，格式见第六章）；</w:t>
      </w:r>
    </w:p>
    <w:p w14:paraId="58919DC6">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9</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所投产品采购需求中标记“★”和“◆”的技术参数中带“</w:t>
      </w:r>
      <w:r>
        <w:rPr>
          <w:rFonts w:hint="eastAsia" w:ascii="仿宋_GB2312" w:hAnsi="仿宋_GB2312" w:eastAsia="仿宋_GB2312" w:cs="仿宋_GB2312"/>
          <w:color w:val="auto"/>
          <w:sz w:val="21"/>
          <w:szCs w:val="21"/>
          <w:u w:val="wave"/>
          <w:lang w:val="en-US" w:eastAsia="zh-CN"/>
        </w:rPr>
        <w:t xml:space="preserve">    </w:t>
      </w:r>
      <w:r>
        <w:rPr>
          <w:rFonts w:hint="eastAsia" w:ascii="仿宋_GB2312" w:eastAsia="仿宋_GB2312"/>
          <w:color w:val="000000"/>
        </w:rPr>
        <w:t>”的内容，提供具有CMA或CNAS标识的检测（检验）报告或提供其它证明材料（彩页、产品说明书、官网或功能截图等其中任意一项）（如有）；</w:t>
      </w:r>
    </w:p>
    <w:p w14:paraId="51ED705E">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w:t>
      </w:r>
      <w:r>
        <w:rPr>
          <w:rFonts w:hint="eastAsia" w:ascii="仿宋_GB2312" w:eastAsia="仿宋_GB2312"/>
          <w:color w:val="000000"/>
          <w:lang w:val="en-US" w:eastAsia="zh-CN"/>
        </w:rPr>
        <w:t>11</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具备有效的质量管理体系认证证书（如有）；</w:t>
      </w:r>
    </w:p>
    <w:p w14:paraId="73B57656">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1</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具备有效的职业健康安全管理体系认证证书（如有）；</w:t>
      </w:r>
    </w:p>
    <w:p w14:paraId="3AE98879">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2</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投标人</w:t>
      </w:r>
      <w:r>
        <w:rPr>
          <w:rFonts w:hint="eastAsia" w:ascii="仿宋_GB2312" w:eastAsia="仿宋_GB2312"/>
          <w:color w:val="000000"/>
          <w:lang w:val="en-US" w:eastAsia="zh-CN"/>
        </w:rPr>
        <w:t>或所投核心产品生产厂家</w:t>
      </w:r>
      <w:r>
        <w:rPr>
          <w:rFonts w:hint="eastAsia" w:ascii="仿宋_GB2312" w:eastAsia="仿宋_GB2312"/>
          <w:color w:val="000000"/>
        </w:rPr>
        <w:t>具备有效的环境管理体系认证证书（如有）；</w:t>
      </w:r>
    </w:p>
    <w:p w14:paraId="1E7D75B3">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3</w:t>
      </w:r>
      <w:r>
        <w:rPr>
          <w:rFonts w:hint="eastAsia" w:ascii="仿宋_GB2312" w:eastAsia="仿宋_GB2312"/>
          <w:color w:val="000000"/>
        </w:rPr>
        <w:t>）</w:t>
      </w:r>
      <w:r>
        <w:rPr>
          <w:rFonts w:hint="eastAsia" w:ascii="仿宋_GB2312" w:eastAsia="仿宋_GB2312"/>
          <w:color w:val="000000"/>
          <w:lang w:eastAsia="zh-CN"/>
        </w:rPr>
        <w:t>分标</w:t>
      </w:r>
      <w:r>
        <w:rPr>
          <w:rFonts w:hint="eastAsia" w:ascii="仿宋_GB2312" w:eastAsia="仿宋_GB2312"/>
          <w:color w:val="000000"/>
          <w:lang w:val="en-US" w:eastAsia="zh-CN"/>
        </w:rPr>
        <w:t>1、分标2</w:t>
      </w:r>
      <w:r>
        <w:rPr>
          <w:rFonts w:hint="eastAsia" w:ascii="仿宋_GB2312" w:eastAsia="仿宋_GB2312"/>
          <w:color w:val="000000"/>
        </w:rPr>
        <w:t>投标产品由国家确定的认证机构出具的、处于有效期之内的环境标志产品认证证书（如有）；</w:t>
      </w:r>
    </w:p>
    <w:p w14:paraId="5B08E701">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4</w:t>
      </w:r>
      <w:r>
        <w:rPr>
          <w:rFonts w:hint="eastAsia" w:ascii="仿宋_GB2312" w:eastAsia="仿宋_GB2312"/>
          <w:color w:val="000000"/>
        </w:rPr>
        <w:t>）投标人对本项目的合理化建议和改进措施（如有，格式自拟）；</w:t>
      </w:r>
    </w:p>
    <w:p w14:paraId="7B9F906A">
      <w:pPr>
        <w:pStyle w:val="702"/>
        <w:spacing w:before="0" w:beforeAutospacing="0" w:after="0" w:afterAutospacing="0" w:line="360" w:lineRule="atLeast"/>
        <w:rPr>
          <w:rFonts w:hint="eastAsia" w:ascii="仿宋_GB2312" w:eastAsia="仿宋_GB2312"/>
          <w:color w:val="000000"/>
        </w:rPr>
      </w:pPr>
      <w:r>
        <w:rPr>
          <w:rFonts w:hint="eastAsia" w:ascii="仿宋_GB2312" w:eastAsia="仿宋_GB2312"/>
          <w:color w:val="000000"/>
        </w:rPr>
        <w:t>  （1</w:t>
      </w:r>
      <w:r>
        <w:rPr>
          <w:rFonts w:hint="eastAsia" w:ascii="仿宋_GB2312" w:eastAsia="仿宋_GB2312"/>
          <w:color w:val="000000"/>
          <w:lang w:val="en-US" w:eastAsia="zh-CN"/>
        </w:rPr>
        <w:t>5</w:t>
      </w:r>
      <w:r>
        <w:rPr>
          <w:rFonts w:hint="eastAsia" w:ascii="仿宋_GB2312" w:eastAsia="仿宋_GB2312"/>
          <w:color w:val="000000"/>
        </w:rPr>
        <w:t>）投标人认为必要提供的声明及文件资料（如有，格式自拟）。</w:t>
      </w:r>
    </w:p>
    <w:p w14:paraId="7F61E717">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14.投标文件的语言及计量</w:t>
      </w:r>
    </w:p>
    <w:p w14:paraId="69EB626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14.1投标文件以及投标人与采购代理机构就有关投标事宜的所有来往函电，均应以中文汉语书写。除签字、盖章、专用名称等特殊情形外，以中文汉语以外的文字表述的投标文件视同未提供。</w:t>
      </w:r>
    </w:p>
    <w:p w14:paraId="062BE03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14.2投标计量单位，招标文件已有明确规定的，使用招标文件规定的计量单位；招标文件没有规定的，应采用中华人民共和国法定计量单位，否则视同未响应。</w:t>
      </w:r>
    </w:p>
    <w:p w14:paraId="5C45780B">
      <w:pPr>
        <w:snapToGrid w:val="0"/>
        <w:spacing w:line="400" w:lineRule="exact"/>
        <w:ind w:firstLine="422" w:firstLineChars="175"/>
        <w:jc w:val="left"/>
        <w:rPr>
          <w:rFonts w:ascii="仿宋_GB2312" w:eastAsia="仿宋_GB2312" w:cs="Courier New"/>
          <w:b/>
          <w:sz w:val="24"/>
        </w:rPr>
      </w:pPr>
      <w:bookmarkStart w:id="51" w:name="_Toc254970538"/>
      <w:bookmarkStart w:id="52" w:name="_Toc254970679"/>
      <w:r>
        <w:rPr>
          <w:rFonts w:hint="eastAsia" w:ascii="仿宋_GB2312" w:eastAsia="仿宋_GB2312" w:cs="Courier New"/>
          <w:b/>
          <w:sz w:val="24"/>
        </w:rPr>
        <w:t>15.投标报价</w:t>
      </w:r>
      <w:bookmarkEnd w:id="51"/>
      <w:bookmarkEnd w:id="52"/>
    </w:p>
    <w:p w14:paraId="701B249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15.1投标报价应按招标文件中相关附表格式填写。</w:t>
      </w:r>
    </w:p>
    <w:p w14:paraId="38D57240">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15.2投标报价是履行合同的最终价格，应包括货物及货物运抵指定交付地点的所有成本、各种费用的总和。</w:t>
      </w:r>
    </w:p>
    <w:p w14:paraId="0D1F9350">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15.3投标文件只允许有一个总报价，有选择的或有条件的报价将不予接受。</w:t>
      </w:r>
    </w:p>
    <w:p w14:paraId="0F632541">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16.投标文件的有效期</w:t>
      </w:r>
    </w:p>
    <w:p w14:paraId="6998E32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16.1 投标截止日期后不得少于90天，投标文件应保持有效。有效期不足的投标文件将被拒绝，视为投标无效。</w:t>
      </w:r>
    </w:p>
    <w:p w14:paraId="294E9C38">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16.2在特殊情况下，采购人可与投标人协商延长投标书的有效期，这种要求和答复均以书面形式进行。</w:t>
      </w:r>
    </w:p>
    <w:p w14:paraId="47CBD66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 xml:space="preserve">16.3投标人可拒绝接受延长有效期要求，同意延长有效期的投标人不能修改投标文件其它内容。 </w:t>
      </w:r>
    </w:p>
    <w:p w14:paraId="71ED00E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16.4投标人的投标文件在投标有效期内保持有效；如中标，投标文件至合同履行完毕止均应保持有效。</w:t>
      </w:r>
    </w:p>
    <w:p w14:paraId="2C47EBA5">
      <w:pPr>
        <w:spacing w:line="400" w:lineRule="exact"/>
        <w:ind w:firstLine="472" w:firstLineChars="196"/>
        <w:rPr>
          <w:rFonts w:ascii="仿宋_GB2312" w:eastAsia="仿宋_GB2312" w:cs="Courier New"/>
          <w:b/>
          <w:sz w:val="24"/>
        </w:rPr>
      </w:pPr>
      <w:bookmarkStart w:id="53" w:name="_Toc254970541"/>
      <w:bookmarkStart w:id="54" w:name="_Toc254970682"/>
      <w:r>
        <w:rPr>
          <w:rFonts w:hint="eastAsia" w:ascii="仿宋_GB2312" w:eastAsia="仿宋_GB2312" w:cs="Courier New"/>
          <w:b/>
          <w:sz w:val="24"/>
        </w:rPr>
        <w:t>17.投标保证金</w:t>
      </w:r>
      <w:bookmarkEnd w:id="53"/>
      <w:bookmarkEnd w:id="54"/>
    </w:p>
    <w:p w14:paraId="5E27D110">
      <w:pPr>
        <w:snapToGrid w:val="0"/>
        <w:spacing w:line="400" w:lineRule="exact"/>
        <w:ind w:firstLine="420"/>
        <w:jc w:val="left"/>
        <w:rPr>
          <w:rFonts w:ascii="仿宋_GB2312" w:eastAsia="仿宋_GB2312" w:cs="Courier New"/>
          <w:sz w:val="24"/>
        </w:rPr>
      </w:pPr>
      <w:bookmarkStart w:id="55" w:name="_Toc254970683"/>
      <w:bookmarkStart w:id="56" w:name="_Toc254970542"/>
      <w:r>
        <w:rPr>
          <w:rFonts w:hint="eastAsia" w:ascii="仿宋_GB2312" w:eastAsia="仿宋_GB2312" w:cs="Courier New"/>
          <w:sz w:val="24"/>
        </w:rPr>
        <w:t>17.1本项目无需提交投标保证金。</w:t>
      </w:r>
    </w:p>
    <w:p w14:paraId="388C2E87">
      <w:pPr>
        <w:snapToGrid w:val="0"/>
        <w:spacing w:line="400" w:lineRule="exact"/>
        <w:ind w:firstLine="422" w:firstLineChars="175"/>
        <w:jc w:val="left"/>
        <w:rPr>
          <w:rFonts w:ascii="仿宋_GB2312" w:eastAsia="仿宋_GB2312" w:cs="Courier New"/>
          <w:b/>
          <w:sz w:val="24"/>
        </w:rPr>
      </w:pPr>
      <w:r>
        <w:rPr>
          <w:rFonts w:hint="eastAsia" w:ascii="仿宋_GB2312" w:eastAsia="仿宋_GB2312" w:cs="Courier New"/>
          <w:b/>
          <w:sz w:val="24"/>
        </w:rPr>
        <w:t>18.电子投标文件的</w:t>
      </w:r>
      <w:bookmarkEnd w:id="55"/>
      <w:bookmarkEnd w:id="56"/>
      <w:r>
        <w:rPr>
          <w:rFonts w:hint="eastAsia" w:ascii="仿宋_GB2312" w:eastAsia="仿宋_GB2312" w:cs="Courier New"/>
          <w:b/>
          <w:sz w:val="24"/>
        </w:rPr>
        <w:t>编制、加密要求</w:t>
      </w:r>
    </w:p>
    <w:p w14:paraId="74E1B11B">
      <w:pPr>
        <w:spacing w:line="360" w:lineRule="auto"/>
        <w:ind w:firstLine="480" w:firstLineChars="200"/>
        <w:rPr>
          <w:rFonts w:ascii="仿宋_GB2312" w:eastAsia="仿宋_GB2312"/>
          <w:sz w:val="24"/>
        </w:rPr>
      </w:pPr>
      <w:r>
        <w:rPr>
          <w:rFonts w:hint="eastAsia" w:ascii="仿宋_GB2312" w:eastAsia="仿宋_GB2312" w:cs="Courier New"/>
          <w:sz w:val="24"/>
        </w:rPr>
        <w:t>18.1投标人应按本招标文件规定的格式</w:t>
      </w:r>
      <w:r>
        <w:rPr>
          <w:rFonts w:hint="eastAsia" w:ascii="仿宋_GB2312" w:eastAsia="仿宋_GB2312"/>
          <w:sz w:val="24"/>
        </w:rPr>
        <w:t>、顺序和广西政府采购云平台“政府采购项目电子交易管理操作指南-供应商”的有关要求编制电子投标文件并进行关联定位，以便评标委员会在评审时，点击评审项可直接定位到该评审项内容；如电子投标文件因内容不完整、投标人</w:t>
      </w:r>
      <w:r>
        <w:rPr>
          <w:rFonts w:hint="eastAsia" w:ascii="仿宋_GB2312" w:hAnsi="宋体" w:eastAsia="仿宋_GB2312"/>
          <w:sz w:val="24"/>
        </w:rPr>
        <w:t>未设置或设置关联点错误导致</w:t>
      </w:r>
      <w:r>
        <w:rPr>
          <w:rFonts w:hint="eastAsia" w:ascii="仿宋_GB2312" w:eastAsia="仿宋_GB2312"/>
          <w:sz w:val="24"/>
        </w:rPr>
        <w:t>电子</w:t>
      </w:r>
      <w:r>
        <w:rPr>
          <w:rFonts w:hint="eastAsia" w:ascii="仿宋_GB2312" w:hAnsi="宋体" w:eastAsia="仿宋_GB2312"/>
          <w:sz w:val="24"/>
        </w:rPr>
        <w:t>投标文件被误读、漏读或者查找不到相关内容，</w:t>
      </w:r>
      <w:r>
        <w:rPr>
          <w:rFonts w:hint="eastAsia" w:ascii="仿宋_GB2312" w:eastAsia="仿宋_GB2312"/>
          <w:sz w:val="24"/>
        </w:rPr>
        <w:t>导致评标委员会在评审时做出对投标人不利的评审，所引起的后果由投标人自行承担。</w:t>
      </w:r>
    </w:p>
    <w:p w14:paraId="11543E44">
      <w:pPr>
        <w:spacing w:line="360" w:lineRule="auto"/>
        <w:ind w:firstLine="480" w:firstLineChars="200"/>
        <w:rPr>
          <w:rFonts w:ascii="仿宋_GB2312" w:eastAsia="仿宋_GB2312"/>
          <w:b/>
          <w:bCs/>
          <w:sz w:val="24"/>
        </w:rPr>
      </w:pPr>
      <w:r>
        <w:rPr>
          <w:rFonts w:hint="eastAsia" w:ascii="仿宋_GB2312" w:eastAsia="仿宋_GB2312"/>
          <w:sz w:val="24"/>
        </w:rPr>
        <w:t>18.2</w:t>
      </w:r>
      <w:r>
        <w:rPr>
          <w:rFonts w:hint="eastAsia" w:ascii="仿宋_GB2312" w:eastAsia="仿宋_GB2312"/>
          <w:b/>
          <w:bCs/>
          <w:sz w:val="24"/>
        </w:rPr>
        <w:t>公开招标文件中规定须由投标人在规定处盖章的，投标人应加盖CA电子签章，否则视为投标无效。</w:t>
      </w:r>
    </w:p>
    <w:p w14:paraId="67E56814">
      <w:pPr>
        <w:spacing w:line="360" w:lineRule="auto"/>
        <w:ind w:firstLine="482" w:firstLineChars="200"/>
        <w:rPr>
          <w:rFonts w:ascii="仿宋_GB2312" w:eastAsia="仿宋_GB2312"/>
          <w:b/>
          <w:sz w:val="24"/>
        </w:rPr>
      </w:pPr>
      <w:r>
        <w:rPr>
          <w:rFonts w:hint="eastAsia" w:ascii="仿宋_GB2312" w:eastAsia="仿宋_GB2312"/>
          <w:b/>
          <w:bCs/>
          <w:sz w:val="24"/>
        </w:rPr>
        <w:t>18.3公开招标文件描述的投标人“签字”是投标人的法定代表人或授权委托代理人的电子签名或电子签章或手写签名或盖章。涉及的法定代表人或授权委托代理人签字的内容，如果投标人没有法定代表人或授权委托代理人电子签名或电子签章，投标人可以线下签字或盖章后扫描上传，</w:t>
      </w:r>
      <w:r>
        <w:rPr>
          <w:rFonts w:hint="eastAsia" w:ascii="仿宋_GB2312" w:eastAsia="仿宋_GB2312"/>
          <w:b/>
          <w:sz w:val="24"/>
        </w:rPr>
        <w:t>否则视为投标无效。</w:t>
      </w:r>
    </w:p>
    <w:p w14:paraId="66D6BC00">
      <w:pPr>
        <w:spacing w:line="360" w:lineRule="auto"/>
        <w:ind w:firstLine="480" w:firstLineChars="200"/>
        <w:rPr>
          <w:rFonts w:ascii="仿宋_GB2312" w:eastAsia="仿宋_GB2312"/>
          <w:sz w:val="24"/>
        </w:rPr>
      </w:pPr>
      <w:r>
        <w:rPr>
          <w:rFonts w:hint="eastAsia" w:ascii="仿宋_GB2312" w:eastAsia="仿宋_GB2312"/>
          <w:sz w:val="24"/>
        </w:rPr>
        <w:t>18.4电子投标文件不得涂改，若有修改错漏处，须加盖投标人CA电子签章或者法定代表人或授权委托代理人签字。扫描不清晰或乱码或表达不清所引起的后果由投标人负责。</w:t>
      </w:r>
    </w:p>
    <w:p w14:paraId="56F74C0D">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18.5</w:t>
      </w:r>
      <w:r>
        <w:rPr>
          <w:rFonts w:hint="eastAsia" w:ascii="仿宋_GB2312" w:eastAsia="仿宋_GB2312"/>
          <w:sz w:val="24"/>
        </w:rPr>
        <w:t>电子</w:t>
      </w:r>
      <w:r>
        <w:rPr>
          <w:rFonts w:hint="eastAsia" w:ascii="仿宋_GB2312" w:hAnsi="宋体" w:eastAsia="仿宋_GB2312"/>
          <w:sz w:val="24"/>
        </w:rPr>
        <w:t>投标文件所提供的相关材料的尺寸和清晰度应该能够在电脑上被阅读、识别和判断。</w:t>
      </w:r>
    </w:p>
    <w:p w14:paraId="682D78D2">
      <w:pPr>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18.6</w:t>
      </w:r>
      <w:r>
        <w:rPr>
          <w:rFonts w:hint="eastAsia" w:ascii="仿宋_GB2312" w:eastAsia="仿宋_GB2312"/>
          <w:sz w:val="24"/>
        </w:rPr>
        <w:t>电子</w:t>
      </w:r>
      <w:r>
        <w:rPr>
          <w:rFonts w:hint="eastAsia" w:ascii="仿宋_GB2312" w:hAnsi="宋体" w:eastAsia="仿宋_GB2312"/>
          <w:sz w:val="24"/>
        </w:rPr>
        <w:t>投标文件内容无法阅读、识别和判断的，视为未提供。</w:t>
      </w:r>
    </w:p>
    <w:p w14:paraId="3380F1EC">
      <w:pPr>
        <w:snapToGrid w:val="0"/>
        <w:spacing w:line="440" w:lineRule="exact"/>
        <w:ind w:firstLine="480" w:firstLineChars="200"/>
        <w:jc w:val="left"/>
        <w:rPr>
          <w:rFonts w:hint="eastAsia" w:ascii="仿宋_GB2312" w:hAnsi="宋体" w:eastAsia="仿宋_GB2312"/>
          <w:sz w:val="24"/>
        </w:rPr>
      </w:pPr>
      <w:r>
        <w:rPr>
          <w:rFonts w:hint="eastAsia" w:ascii="仿宋_GB2312" w:hAnsi="宋体" w:eastAsia="仿宋_GB2312"/>
          <w:sz w:val="24"/>
        </w:rPr>
        <w:t>18.7</w:t>
      </w:r>
      <w:r>
        <w:rPr>
          <w:rFonts w:hint="eastAsia" w:ascii="仿宋_GB2312" w:eastAsia="仿宋_GB2312"/>
          <w:sz w:val="24"/>
        </w:rPr>
        <w:t>电子</w:t>
      </w:r>
      <w:r>
        <w:rPr>
          <w:rFonts w:hint="eastAsia" w:ascii="仿宋_GB2312" w:hAnsi="宋体" w:eastAsia="仿宋_GB2312"/>
          <w:sz w:val="24"/>
        </w:rPr>
        <w:t>投标文件的容量大小须符合广西政府采购云平台客户端规定。</w:t>
      </w:r>
    </w:p>
    <w:p w14:paraId="74CDB835">
      <w:pPr>
        <w:snapToGrid w:val="0"/>
        <w:spacing w:line="440" w:lineRule="exact"/>
        <w:ind w:firstLine="482" w:firstLineChars="200"/>
        <w:jc w:val="left"/>
        <w:rPr>
          <w:rFonts w:hint="eastAsia" w:ascii="仿宋_GB2312" w:hAnsi="宋体" w:eastAsia="仿宋_GB2312"/>
          <w:b/>
          <w:bCs/>
          <w:sz w:val="24"/>
        </w:rPr>
      </w:pPr>
      <w:r>
        <w:rPr>
          <w:rFonts w:hint="eastAsia" w:ascii="仿宋_GB2312" w:hAnsi="宋体" w:eastAsia="仿宋_GB2312"/>
          <w:b/>
          <w:bCs/>
          <w:sz w:val="24"/>
        </w:rPr>
        <w:t>18.8电子投标文件的加密要求</w:t>
      </w:r>
    </w:p>
    <w:p w14:paraId="1320C26B">
      <w:pPr>
        <w:snapToGrid w:val="0"/>
        <w:spacing w:line="420" w:lineRule="exact"/>
        <w:ind w:firstLine="480" w:firstLineChars="200"/>
        <w:jc w:val="left"/>
        <w:rPr>
          <w:rFonts w:hint="eastAsia" w:ascii="仿宋_GB2312" w:hAnsi="宋体" w:eastAsia="仿宋_GB2312"/>
          <w:sz w:val="24"/>
        </w:rPr>
      </w:pPr>
      <w:r>
        <w:rPr>
          <w:rFonts w:hint="eastAsia" w:ascii="仿宋_GB2312" w:eastAsia="仿宋_GB2312"/>
          <w:sz w:val="24"/>
        </w:rPr>
        <w:t>电子</w:t>
      </w:r>
      <w:r>
        <w:rPr>
          <w:rFonts w:hint="eastAsia" w:ascii="仿宋_GB2312" w:hAnsi="宋体" w:eastAsia="仿宋_GB2312"/>
          <w:sz w:val="24"/>
        </w:rPr>
        <w:t>投标文件应按广西政府采购云平台客户端软件有关规定加密，否则广西政府采购云平台将拒收</w:t>
      </w:r>
      <w:r>
        <w:rPr>
          <w:rFonts w:hint="eastAsia" w:ascii="仿宋_GB2312" w:eastAsia="仿宋_GB2312" w:cs="Courier New"/>
          <w:sz w:val="24"/>
        </w:rPr>
        <w:t>，由此造成的风险由投标人承担。</w:t>
      </w:r>
    </w:p>
    <w:p w14:paraId="6ACF2B68">
      <w:pPr>
        <w:snapToGrid w:val="0"/>
        <w:spacing w:line="400" w:lineRule="exact"/>
        <w:ind w:firstLine="422" w:firstLineChars="175"/>
        <w:jc w:val="left"/>
        <w:rPr>
          <w:rFonts w:ascii="仿宋_GB2312" w:eastAsia="仿宋_GB2312"/>
          <w:b/>
          <w:sz w:val="24"/>
        </w:rPr>
      </w:pPr>
      <w:r>
        <w:rPr>
          <w:rFonts w:hint="eastAsia" w:ascii="仿宋_GB2312" w:eastAsia="仿宋_GB2312" w:cs="Courier New"/>
          <w:b/>
          <w:sz w:val="24"/>
        </w:rPr>
        <w:t>19.电子投标文件的提交、修改、撤回和解密</w:t>
      </w:r>
    </w:p>
    <w:p w14:paraId="28C118E3">
      <w:pPr>
        <w:tabs>
          <w:tab w:val="left" w:pos="3870"/>
          <w:tab w:val="left" w:pos="4085"/>
        </w:tabs>
        <w:snapToGrid w:val="0"/>
        <w:spacing w:line="420" w:lineRule="exact"/>
        <w:ind w:firstLine="480" w:firstLineChars="200"/>
        <w:jc w:val="left"/>
        <w:rPr>
          <w:rFonts w:hint="eastAsia" w:ascii="仿宋_GB2312" w:hAnsi="宋体" w:eastAsia="仿宋_GB2312"/>
          <w:sz w:val="24"/>
        </w:rPr>
      </w:pPr>
      <w:bookmarkStart w:id="57" w:name="_Toc254970684"/>
      <w:bookmarkStart w:id="58" w:name="_Toc254970543"/>
      <w:r>
        <w:rPr>
          <w:rFonts w:hint="eastAsia" w:ascii="仿宋_GB2312" w:hAnsi="宋体" w:eastAsia="仿宋_GB2312"/>
          <w:sz w:val="24"/>
        </w:rPr>
        <w:t>19.1本项目实行“网上投标、电子评标”，投标人应于提交投标文件截止时间前在广西政府采购云平台上提交已经加密的电子投标文件。</w:t>
      </w:r>
    </w:p>
    <w:p w14:paraId="12E489B8">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19.2未按规定上传的电子投标文件将被广西政府采购云平台拒收，由此造成电子投标文件解密失败或被误投的风险由投标人自行承担。</w:t>
      </w:r>
    </w:p>
    <w:p w14:paraId="648415BC">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19.3 投标人应当在提交截止时间前完成电子投标文件的提交，提交截止时间前可以补充、修改或者撤回电子投标文件。补充或者修改电子投标文件的，应当先行撤回原文件，补充、修改、加密后重新传输提交。提交截止时间前未完成传输的，视为撤回电子投标文件。提交截止时间后上传的文件，将被广西政府采购云平台拒收。</w:t>
      </w:r>
    </w:p>
    <w:p w14:paraId="3A42A87C">
      <w:pPr>
        <w:tabs>
          <w:tab w:val="left" w:pos="3870"/>
          <w:tab w:val="left" w:pos="4085"/>
        </w:tabs>
        <w:snapToGrid w:val="0"/>
        <w:spacing w:line="420" w:lineRule="exact"/>
        <w:ind w:firstLine="482" w:firstLineChars="200"/>
        <w:jc w:val="left"/>
        <w:rPr>
          <w:rFonts w:hint="eastAsia" w:ascii="仿宋_GB2312" w:hAnsi="宋体" w:eastAsia="仿宋_GB2312"/>
          <w:sz w:val="24"/>
        </w:rPr>
      </w:pPr>
      <w:r>
        <w:rPr>
          <w:rFonts w:ascii="仿宋_GB2312" w:hAnsi="宋体" w:eastAsia="仿宋_GB2312"/>
          <w:b/>
          <w:bCs/>
          <w:sz w:val="24"/>
        </w:rPr>
        <w:t>19.4</w:t>
      </w:r>
      <w:r>
        <w:rPr>
          <w:rFonts w:hint="eastAsia" w:ascii="仿宋_GB2312" w:eastAsia="仿宋_GB2312"/>
          <w:b/>
          <w:bCs/>
          <w:sz w:val="24"/>
        </w:rPr>
        <w:t>电子投标文件成功提交后，投标人可自行打印投标文件接收回执。</w:t>
      </w:r>
    </w:p>
    <w:p w14:paraId="2A46790F">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19.5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w:t>
      </w:r>
    </w:p>
    <w:p w14:paraId="6C9F1062">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非广西政府采购云平台技术原因造成的投标人超过解密时限未完成解密的，或投标文件无法解密或解密失败，视为投标人放弃投标，投标无效。</w:t>
      </w:r>
    </w:p>
    <w:p w14:paraId="2D447AEF">
      <w:pPr>
        <w:snapToGrid w:val="0"/>
        <w:spacing w:line="400" w:lineRule="exact"/>
        <w:ind w:firstLine="354" w:firstLineChars="147"/>
        <w:jc w:val="left"/>
        <w:rPr>
          <w:rFonts w:ascii="仿宋_GB2312" w:eastAsia="仿宋_GB2312"/>
          <w:b/>
          <w:sz w:val="24"/>
        </w:rPr>
      </w:pPr>
      <w:r>
        <w:rPr>
          <w:rFonts w:hint="eastAsia" w:ascii="仿宋_GB2312" w:eastAsia="仿宋_GB2312" w:cs="Courier New"/>
          <w:b/>
          <w:sz w:val="24"/>
        </w:rPr>
        <w:t>20.投标无效的情形</w:t>
      </w:r>
      <w:bookmarkEnd w:id="57"/>
      <w:bookmarkEnd w:id="58"/>
    </w:p>
    <w:p w14:paraId="7D2CF54D">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20.1实质上没有响应招标文件要求和条件的投标将被视为无效投标。投标人不得通过修正或撤消不合要求的偏离或保留从而使其投标成为实质上响应的投标，除资格证明文件外经评标委员会认定属于28.澄清问题的形式规定情形的，应当允许其在评标结束之前通过广西政府采购云平台进行</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投标文件必须以书面形式进行。若投标人截止时间前未</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的，或</w:t>
      </w:r>
      <w:r>
        <w:rPr>
          <w:rFonts w:hint="eastAsia" w:ascii="仿宋_GB2312" w:eastAsia="仿宋_GB2312" w:cs="Courier New"/>
          <w:color w:val="auto"/>
          <w:sz w:val="24"/>
          <w:lang w:eastAsia="zh-CN"/>
        </w:rPr>
        <w:t>澄清、说明或者</w:t>
      </w:r>
      <w:r>
        <w:rPr>
          <w:rFonts w:hint="eastAsia" w:ascii="仿宋_GB2312" w:eastAsia="仿宋_GB2312" w:cs="Courier New"/>
          <w:color w:val="auto"/>
          <w:sz w:val="24"/>
          <w:lang w:val="en-US" w:eastAsia="zh-CN"/>
        </w:rPr>
        <w:t>补</w:t>
      </w:r>
      <w:r>
        <w:rPr>
          <w:rFonts w:hint="eastAsia" w:ascii="仿宋_GB2312" w:eastAsia="仿宋_GB2312" w:cs="Courier New"/>
          <w:color w:val="auto"/>
          <w:sz w:val="24"/>
          <w:lang w:eastAsia="zh-CN"/>
        </w:rPr>
        <w:t>正</w:t>
      </w:r>
      <w:r>
        <w:rPr>
          <w:rFonts w:hint="eastAsia" w:ascii="仿宋_GB2312" w:eastAsia="仿宋_GB2312" w:cs="Courier New"/>
          <w:color w:val="auto"/>
          <w:sz w:val="24"/>
        </w:rPr>
        <w:t>后仍不符合招标文件要求的，评标委员会有权认定其</w:t>
      </w:r>
      <w:r>
        <w:rPr>
          <w:rFonts w:hint="eastAsia" w:ascii="仿宋_GB2312" w:eastAsia="仿宋_GB2312" w:cs="Courier New"/>
          <w:color w:val="auto"/>
          <w:sz w:val="24"/>
          <w:lang w:eastAsia="zh-CN"/>
        </w:rPr>
        <w:t>投标</w:t>
      </w:r>
      <w:r>
        <w:rPr>
          <w:rFonts w:hint="eastAsia" w:ascii="仿宋_GB2312" w:eastAsia="仿宋_GB2312" w:cs="Courier New"/>
          <w:color w:val="auto"/>
          <w:sz w:val="24"/>
        </w:rPr>
        <w:t>无效。</w:t>
      </w:r>
    </w:p>
    <w:p w14:paraId="376D6EB7">
      <w:pPr>
        <w:snapToGrid w:val="0"/>
        <w:spacing w:line="400" w:lineRule="exact"/>
        <w:ind w:firstLine="472" w:firstLineChars="196"/>
        <w:rPr>
          <w:rFonts w:ascii="仿宋_GB2312" w:eastAsia="仿宋_GB2312"/>
          <w:b/>
          <w:bCs/>
          <w:sz w:val="24"/>
        </w:rPr>
      </w:pPr>
      <w:r>
        <w:rPr>
          <w:rFonts w:hint="eastAsia" w:ascii="仿宋_GB2312" w:eastAsia="仿宋_GB2312"/>
          <w:b/>
          <w:sz w:val="24"/>
        </w:rPr>
        <w:t>20.1.1投标人存在下列情况之一的，投标无效：</w:t>
      </w:r>
    </w:p>
    <w:p w14:paraId="7C3D210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（1）投标文件未按招标文件要求签署、盖章的；</w:t>
      </w:r>
    </w:p>
    <w:p w14:paraId="5029968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（2）不具备招标文件中规定的资格要求的；</w:t>
      </w:r>
    </w:p>
    <w:p w14:paraId="6680E334">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（3）报价超过招标文件中规定的预算金额或者最高限价的；</w:t>
      </w:r>
    </w:p>
    <w:p w14:paraId="79992F22">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（4）投标文件含有采购人不能接受的附加条件的；</w:t>
      </w:r>
    </w:p>
    <w:p w14:paraId="04B2251D">
      <w:pPr>
        <w:snapToGrid w:val="0"/>
        <w:spacing w:line="400" w:lineRule="exact"/>
        <w:ind w:firstLine="420"/>
        <w:jc w:val="left"/>
        <w:rPr>
          <w:rFonts w:ascii="仿宋_GB2312" w:eastAsia="仿宋_GB2312" w:cs="Courier New"/>
          <w:b/>
          <w:bCs/>
          <w:sz w:val="24"/>
        </w:rPr>
      </w:pPr>
      <w:r>
        <w:rPr>
          <w:rFonts w:hint="eastAsia" w:ascii="仿宋_GB2312" w:eastAsia="仿宋_GB2312" w:cs="Courier New"/>
          <w:b/>
          <w:bCs/>
          <w:sz w:val="24"/>
        </w:rPr>
        <w:t>（5）投标人在线制作电子投标文件时填写的报价金额与解密后“电子加密投标文件”中《开标一览表》填写的金额不一致并拒绝按公开招标文件要求接受调整的；</w:t>
      </w:r>
    </w:p>
    <w:p w14:paraId="7BAA0D6B">
      <w:pPr>
        <w:snapToGrid w:val="0"/>
        <w:spacing w:line="360" w:lineRule="exact"/>
        <w:ind w:right="-330" w:rightChars="-157" w:firstLine="420"/>
        <w:jc w:val="left"/>
        <w:rPr>
          <w:rFonts w:ascii="仿宋_GB2312" w:eastAsia="仿宋_GB2312" w:cs="Courier New"/>
          <w:sz w:val="24"/>
        </w:rPr>
      </w:pPr>
      <w:r>
        <w:rPr>
          <w:rFonts w:hint="eastAsia" w:ascii="仿宋_GB2312" w:eastAsia="仿宋_GB2312" w:cs="Courier New"/>
          <w:sz w:val="24"/>
        </w:rPr>
        <w:t>（6）法律、法规和招标文件规定的其他无效情形。</w:t>
      </w:r>
    </w:p>
    <w:p w14:paraId="45D1C3DF">
      <w:pPr>
        <w:snapToGrid w:val="0"/>
        <w:spacing w:line="350" w:lineRule="exact"/>
        <w:ind w:right="-330" w:rightChars="-157" w:firstLine="472" w:firstLineChars="196"/>
        <w:rPr>
          <w:rFonts w:ascii="仿宋_GB2312" w:eastAsia="仿宋_GB2312"/>
          <w:b/>
          <w:sz w:val="24"/>
        </w:rPr>
      </w:pPr>
      <w:r>
        <w:rPr>
          <w:rFonts w:hint="eastAsia" w:ascii="仿宋_GB2312" w:eastAsia="仿宋_GB2312"/>
          <w:b/>
          <w:sz w:val="24"/>
        </w:rPr>
        <w:t>20.1.2在资格性审查时，如发现下列情形之一的，投标文件将被视为无效：</w:t>
      </w:r>
    </w:p>
    <w:p w14:paraId="5930A3B1">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（1）资格证明文件不全的，或者不符合招标文件标明的资格要求的；</w:t>
      </w:r>
    </w:p>
    <w:p w14:paraId="1FED0FE1">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（2）无法定代表人或其授权委托代理人签字，或未提供法定代表人授权委托书或者填写项目不齐全的；</w:t>
      </w:r>
    </w:p>
    <w:p w14:paraId="3BE9E64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（3）委托代理人与法定代表人授权委托书中的代理人不符的。</w:t>
      </w:r>
    </w:p>
    <w:p w14:paraId="1733B1B9">
      <w:pPr>
        <w:snapToGrid w:val="0"/>
        <w:spacing w:line="340" w:lineRule="exact"/>
        <w:ind w:right="-330" w:rightChars="-157" w:firstLine="472" w:firstLineChars="196"/>
        <w:rPr>
          <w:rFonts w:ascii="仿宋_GB2312" w:eastAsia="仿宋_GB2312"/>
          <w:b/>
          <w:bCs/>
          <w:kern w:val="0"/>
          <w:sz w:val="24"/>
        </w:rPr>
      </w:pPr>
      <w:r>
        <w:rPr>
          <w:rFonts w:hint="eastAsia" w:ascii="仿宋_GB2312" w:eastAsia="仿宋_GB2312"/>
          <w:b/>
          <w:bCs/>
          <w:kern w:val="0"/>
          <w:sz w:val="24"/>
        </w:rPr>
        <w:t>20.1.3在符合性评审时，如发现下列情形之一的，投标文件将被视为无效：</w:t>
      </w:r>
    </w:p>
    <w:p w14:paraId="74732B35">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（1）投标有效期、服务期限、付款方式等商务条款不能满足招标文件要求的；</w:t>
      </w:r>
    </w:p>
    <w:p w14:paraId="58631E7D">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（2）投标人就采购需求中标记 “★”符号的实质性响应内容发生负偏离一项以上的；投标人就采购需求中没有标记 “★”符号的技术参数要求响应内容发生负偏离</w:t>
      </w:r>
      <w:r>
        <w:rPr>
          <w:rFonts w:hint="eastAsia" w:ascii="仿宋_GB2312" w:eastAsia="仿宋_GB2312"/>
          <w:sz w:val="24"/>
          <w:lang w:eastAsia="zh-CN"/>
        </w:rPr>
        <w:t>四</w:t>
      </w:r>
      <w:r>
        <w:rPr>
          <w:rFonts w:ascii="仿宋_GB2312" w:eastAsia="仿宋_GB2312"/>
          <w:sz w:val="24"/>
        </w:rPr>
        <w:t>项以上的；</w:t>
      </w:r>
    </w:p>
    <w:p w14:paraId="6DF1F334">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（3）投标技术方案不明确，存在一个或一个以上备选（替代）投标方案的；</w:t>
      </w:r>
    </w:p>
    <w:p w14:paraId="777FAAA3">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（4）未采用人民币报价或者未按照招标文件标明的币种报价的；</w:t>
      </w:r>
    </w:p>
    <w:p w14:paraId="0AE4E7E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（5）报价超出最高限价，或者超出采购预算金额的；</w:t>
      </w:r>
    </w:p>
    <w:p w14:paraId="55DC42FC">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（6）投标报价具有选择性，或者开标价格与投标文件承诺的优惠（折扣）价格不一致的；</w:t>
      </w:r>
    </w:p>
    <w:p w14:paraId="31B481F9">
      <w:pPr>
        <w:tabs>
          <w:tab w:val="left" w:pos="3870"/>
          <w:tab w:val="left" w:pos="4085"/>
        </w:tabs>
        <w:snapToGrid w:val="0"/>
        <w:spacing w:line="360" w:lineRule="exact"/>
        <w:ind w:right="-330" w:rightChars="-157" w:firstLine="480" w:firstLineChars="200"/>
        <w:jc w:val="left"/>
        <w:rPr>
          <w:rFonts w:hint="eastAsia" w:ascii="仿宋_GB2312" w:hAnsi="宋体" w:eastAsia="仿宋_GB2312" w:cs="Courier New"/>
          <w:sz w:val="24"/>
        </w:rPr>
      </w:pPr>
      <w:r>
        <w:rPr>
          <w:rFonts w:ascii="仿宋_GB2312" w:eastAsia="仿宋_GB2312"/>
          <w:sz w:val="24"/>
        </w:rPr>
        <w:t>（7）评标委员会认为投标人的报价明显低于其他通过符合性审查投标人的报价，有可能影响产品质量或者不能诚信履约的，应当通过广西政府采购云平台发起询标函，要求其在评标现场合理的时间内通过广西政府采购云平台提供书面说明，必要时提交相关证明材料；投标人不能证明其报价合理性的，评标委员会应当将其作为无效投标处理。</w:t>
      </w:r>
    </w:p>
    <w:p w14:paraId="399D6D2E">
      <w:pPr>
        <w:snapToGrid w:val="0"/>
        <w:spacing w:line="400" w:lineRule="exact"/>
        <w:ind w:firstLine="472" w:firstLineChars="196"/>
        <w:rPr>
          <w:rFonts w:ascii="仿宋_GB2312" w:eastAsia="仿宋_GB2312"/>
          <w:b/>
          <w:sz w:val="24"/>
        </w:rPr>
      </w:pPr>
      <w:r>
        <w:rPr>
          <w:rFonts w:hint="eastAsia" w:ascii="仿宋_GB2312" w:eastAsia="仿宋_GB2312"/>
          <w:b/>
          <w:sz w:val="24"/>
        </w:rPr>
        <w:t>20.1.4在评审时有下列情形之一的视为投标人相互串通投标，投标文件将被视为无效：</w:t>
      </w:r>
    </w:p>
    <w:p w14:paraId="6772418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（1）不同投标人的投标文件由同一单位或者个人编制；或不同投标人报名（获取文件）的IP地址一致的；</w:t>
      </w:r>
    </w:p>
    <w:p w14:paraId="254873E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（2）不同投标人委托同一单位或者个人办理投标事宜；</w:t>
      </w:r>
    </w:p>
    <w:p w14:paraId="6793C7B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（3）不同的投标人的投标文件载明的项目管理成员或者联系人员为同一个人；</w:t>
      </w:r>
    </w:p>
    <w:p w14:paraId="2B61FDBE">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（4）不同投标人的投标文件异常一致或投标报价呈规律性差异；</w:t>
      </w:r>
    </w:p>
    <w:p w14:paraId="69502D53">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（5）不同投标人的投标文件相互混装。</w:t>
      </w:r>
    </w:p>
    <w:p w14:paraId="43E7B80C">
      <w:pPr>
        <w:snapToGrid w:val="0"/>
        <w:spacing w:line="400" w:lineRule="exact"/>
        <w:ind w:firstLine="472" w:firstLineChars="196"/>
        <w:rPr>
          <w:rFonts w:ascii="仿宋_GB2312" w:eastAsia="仿宋_GB2312"/>
          <w:b/>
          <w:sz w:val="24"/>
        </w:rPr>
      </w:pPr>
      <w:r>
        <w:rPr>
          <w:rFonts w:hint="eastAsia" w:ascii="仿宋_GB2312" w:eastAsia="仿宋_GB2312"/>
          <w:b/>
          <w:sz w:val="24"/>
        </w:rPr>
        <w:t>20.1.5被拒绝的投标文件为无效。</w:t>
      </w:r>
    </w:p>
    <w:p w14:paraId="2B8C779B">
      <w:pPr>
        <w:spacing w:line="460" w:lineRule="exact"/>
        <w:ind w:firstLine="482" w:firstLineChars="200"/>
        <w:rPr>
          <w:rFonts w:ascii="仿宋_GB2312" w:eastAsia="仿宋_GB2312"/>
          <w:b/>
          <w:sz w:val="24"/>
        </w:rPr>
      </w:pPr>
      <w:r>
        <w:rPr>
          <w:rFonts w:hint="eastAsia" w:ascii="仿宋_GB2312" w:eastAsia="仿宋_GB2312"/>
          <w:b/>
          <w:sz w:val="24"/>
        </w:rPr>
        <w:t>20.2特别说明</w:t>
      </w:r>
    </w:p>
    <w:p w14:paraId="46D54794">
      <w:pPr>
        <w:spacing w:line="460" w:lineRule="exact"/>
        <w:ind w:firstLine="720" w:firstLineChars="300"/>
        <w:rPr>
          <w:rFonts w:ascii="仿宋_GB2312" w:eastAsia="仿宋_GB2312"/>
          <w:bCs/>
          <w:sz w:val="24"/>
        </w:rPr>
      </w:pPr>
      <w:r>
        <w:rPr>
          <w:rFonts w:hint="eastAsia" w:ascii="仿宋_GB2312" w:eastAsia="仿宋_GB2312"/>
          <w:bCs/>
          <w:sz w:val="24"/>
        </w:rPr>
        <w:t>20.2.1广西政府采购云平台如对电子化开评标程序有调整的，按调整后的程序操作。</w:t>
      </w:r>
    </w:p>
    <w:p w14:paraId="7F27E389">
      <w:pPr>
        <w:spacing w:line="460" w:lineRule="exact"/>
        <w:ind w:firstLine="720" w:firstLineChars="300"/>
        <w:rPr>
          <w:rFonts w:ascii="仿宋_GB2312" w:eastAsia="仿宋_GB2312"/>
          <w:bCs/>
          <w:sz w:val="24"/>
        </w:rPr>
      </w:pPr>
      <w:r>
        <w:rPr>
          <w:rFonts w:hint="eastAsia" w:ascii="仿宋_GB2312" w:eastAsia="仿宋_GB2312"/>
          <w:bCs/>
          <w:sz w:val="24"/>
        </w:rPr>
        <w:t>20.2.2评审在严格保密的情况下进行，任何一方不得透露与评审有关的其他投标人的技术资料、价格和其他信息。</w:t>
      </w:r>
    </w:p>
    <w:p w14:paraId="1563D2DE">
      <w:pPr>
        <w:spacing w:line="460" w:lineRule="exact"/>
        <w:ind w:firstLine="482" w:firstLineChars="200"/>
        <w:rPr>
          <w:rFonts w:ascii="仿宋_GB2312" w:eastAsia="仿宋_GB2312"/>
          <w:b/>
          <w:bCs/>
          <w:sz w:val="24"/>
        </w:rPr>
      </w:pPr>
      <w:r>
        <w:rPr>
          <w:rFonts w:hint="eastAsia" w:ascii="仿宋_GB2312" w:eastAsia="仿宋_GB2312"/>
          <w:b/>
          <w:bCs/>
          <w:sz w:val="24"/>
        </w:rPr>
        <w:t>20.3可中止电子交易活动的情形</w:t>
      </w:r>
    </w:p>
    <w:p w14:paraId="319D3E74">
      <w:pPr>
        <w:spacing w:line="460" w:lineRule="exact"/>
        <w:ind w:firstLine="480" w:firstLineChars="200"/>
        <w:rPr>
          <w:rFonts w:ascii="仿宋_GB2312" w:eastAsia="仿宋_GB2312"/>
          <w:sz w:val="24"/>
        </w:rPr>
      </w:pPr>
      <w:r>
        <w:rPr>
          <w:rFonts w:hint="eastAsia" w:ascii="仿宋_GB2312" w:eastAsia="仿宋_GB2312"/>
          <w:sz w:val="24"/>
        </w:rPr>
        <w:t>采购过程中出现以下情形，导致广西政府采购云平台无法正常运行，或者无法保证电子交易的公平、公正和安全时，采购代理机构可中止电子交易活动：</w:t>
      </w:r>
    </w:p>
    <w:p w14:paraId="7871BDA1">
      <w:pPr>
        <w:spacing w:line="460" w:lineRule="exact"/>
        <w:ind w:firstLine="600" w:firstLineChars="250"/>
        <w:rPr>
          <w:rFonts w:ascii="仿宋_GB2312" w:eastAsia="仿宋_GB2312"/>
          <w:sz w:val="24"/>
        </w:rPr>
      </w:pPr>
      <w:r>
        <w:rPr>
          <w:rFonts w:hint="eastAsia" w:ascii="仿宋_GB2312" w:eastAsia="仿宋_GB2312"/>
          <w:sz w:val="24"/>
        </w:rPr>
        <w:t>20.3.1广西政府采购云平台发生故障而无法登录访问的；</w:t>
      </w:r>
    </w:p>
    <w:p w14:paraId="3E84D35B">
      <w:pPr>
        <w:spacing w:line="460" w:lineRule="exact"/>
        <w:ind w:firstLine="600" w:firstLineChars="250"/>
        <w:rPr>
          <w:rFonts w:ascii="仿宋_GB2312" w:eastAsia="仿宋_GB2312"/>
          <w:sz w:val="24"/>
        </w:rPr>
      </w:pPr>
      <w:r>
        <w:rPr>
          <w:rFonts w:hint="eastAsia" w:ascii="仿宋_GB2312" w:eastAsia="仿宋_GB2312"/>
          <w:sz w:val="24"/>
        </w:rPr>
        <w:t>20.3.2广西政府采购云平台应用或数据库出现错误，不能进行正常操作的；</w:t>
      </w:r>
    </w:p>
    <w:p w14:paraId="08AD2C4B">
      <w:pPr>
        <w:spacing w:line="460" w:lineRule="exact"/>
        <w:ind w:firstLine="600" w:firstLineChars="250"/>
        <w:rPr>
          <w:rFonts w:ascii="仿宋_GB2312" w:eastAsia="仿宋_GB2312"/>
          <w:sz w:val="24"/>
        </w:rPr>
      </w:pPr>
      <w:r>
        <w:rPr>
          <w:rFonts w:hint="eastAsia" w:ascii="仿宋_GB2312" w:eastAsia="仿宋_GB2312"/>
          <w:sz w:val="24"/>
        </w:rPr>
        <w:t>20.3.3广西政府采购云平台发现严重安全漏洞，有潜在泄密危险的；</w:t>
      </w:r>
    </w:p>
    <w:p w14:paraId="7688F1BD">
      <w:pPr>
        <w:spacing w:line="460" w:lineRule="exact"/>
        <w:ind w:firstLine="600" w:firstLineChars="250"/>
        <w:rPr>
          <w:rFonts w:ascii="仿宋_GB2312" w:eastAsia="仿宋_GB2312"/>
          <w:sz w:val="24"/>
        </w:rPr>
      </w:pPr>
      <w:r>
        <w:rPr>
          <w:rFonts w:hint="eastAsia" w:ascii="仿宋_GB2312" w:eastAsia="仿宋_GB2312"/>
          <w:sz w:val="24"/>
        </w:rPr>
        <w:t>20.3.4病毒发作导致不能进行正常操作的；</w:t>
      </w:r>
    </w:p>
    <w:p w14:paraId="7EAEDE36">
      <w:pPr>
        <w:spacing w:line="460" w:lineRule="exact"/>
        <w:ind w:firstLine="600" w:firstLineChars="250"/>
        <w:rPr>
          <w:rFonts w:ascii="仿宋_GB2312" w:eastAsia="仿宋_GB2312"/>
          <w:sz w:val="24"/>
        </w:rPr>
      </w:pPr>
      <w:r>
        <w:rPr>
          <w:rFonts w:hint="eastAsia" w:ascii="仿宋_GB2312" w:eastAsia="仿宋_GB2312"/>
          <w:sz w:val="24"/>
        </w:rPr>
        <w:t>20.3.5其他无法保证电子交易的公平、公正和安全的情况。</w:t>
      </w:r>
    </w:p>
    <w:p w14:paraId="158FB5E1">
      <w:pPr>
        <w:spacing w:line="460" w:lineRule="exact"/>
        <w:ind w:firstLine="480" w:firstLineChars="200"/>
        <w:rPr>
          <w:rFonts w:ascii="仿宋_GB2312" w:eastAsia="仿宋_GB2312"/>
          <w:sz w:val="24"/>
        </w:rPr>
      </w:pPr>
      <w:r>
        <w:rPr>
          <w:rFonts w:hint="eastAsia" w:ascii="仿宋_GB2312" w:eastAsia="仿宋_GB2312"/>
          <w:sz w:val="24"/>
        </w:rPr>
        <w:t>出现前款规定情形，不影响采购公平、公正性的，采购代理机构可以待上述情形消除后继续组织电子交易活动，也可以决定某些环节以纸质形式进行；影响或可能影响采购公平、公正性的，应当重新采购。</w:t>
      </w:r>
    </w:p>
    <w:p w14:paraId="454140BF">
      <w:pPr>
        <w:snapToGrid w:val="0"/>
        <w:spacing w:line="400" w:lineRule="exact"/>
        <w:ind w:firstLine="472" w:firstLineChars="196"/>
        <w:rPr>
          <w:rFonts w:ascii="仿宋_GB2312" w:eastAsia="仿宋_GB2312" w:cs="Courier New"/>
          <w:b/>
          <w:sz w:val="24"/>
        </w:rPr>
      </w:pPr>
      <w:r>
        <w:rPr>
          <w:rFonts w:hint="eastAsia" w:ascii="仿宋_GB2312" w:eastAsia="仿宋_GB2312" w:cs="Courier New"/>
          <w:b/>
          <w:sz w:val="24"/>
        </w:rPr>
        <w:t>四、开标</w:t>
      </w:r>
    </w:p>
    <w:p w14:paraId="735DA837">
      <w:pPr>
        <w:pStyle w:val="27"/>
        <w:snapToGrid w:val="0"/>
        <w:spacing w:line="40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21.开标准备</w:t>
      </w:r>
    </w:p>
    <w:p w14:paraId="6B0B3519">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21.1采购代理机构按公开招标文件规定的时间、地点通过“广西政府采购云平台”组织开标、开启解密电子投标文件，所有投标人均应当准时在线出席开标会。投标人因未在线参加开标而导致电子投标文件无法按时解密等一切后果由投标人自行承担。</w:t>
      </w:r>
    </w:p>
    <w:p w14:paraId="2800E84F">
      <w:pPr>
        <w:pStyle w:val="27"/>
        <w:snapToGrid w:val="0"/>
        <w:spacing w:line="400" w:lineRule="exact"/>
        <w:ind w:firstLine="482" w:firstLineChars="200"/>
        <w:rPr>
          <w:rFonts w:hint="eastAsia" w:ascii="仿宋_GB2312" w:hAnsi="宋体" w:eastAsia="仿宋_GB2312"/>
          <w:b/>
          <w:sz w:val="24"/>
          <w:szCs w:val="24"/>
        </w:rPr>
      </w:pPr>
      <w:r>
        <w:rPr>
          <w:rFonts w:hint="eastAsia" w:ascii="仿宋_GB2312" w:hAnsi="宋体" w:eastAsia="仿宋_GB2312"/>
          <w:b/>
          <w:sz w:val="24"/>
          <w:szCs w:val="24"/>
        </w:rPr>
        <w:t>22.开标程序</w:t>
      </w:r>
    </w:p>
    <w:p w14:paraId="45DCEBA7">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22.1开标会由采购代理机构主持；</w:t>
      </w:r>
    </w:p>
    <w:p w14:paraId="47492E0C">
      <w:pPr>
        <w:snapToGrid w:val="0"/>
        <w:spacing w:line="400" w:lineRule="exact"/>
        <w:ind w:firstLine="420"/>
        <w:jc w:val="left"/>
        <w:rPr>
          <w:rFonts w:hint="eastAsia" w:ascii="仿宋_GB2312" w:hAnsi="宋体" w:eastAsia="仿宋_GB2312"/>
          <w:sz w:val="24"/>
        </w:rPr>
      </w:pPr>
      <w:r>
        <w:rPr>
          <w:rFonts w:hint="eastAsia" w:ascii="仿宋_GB2312" w:eastAsia="仿宋_GB2312" w:cs="Courier New"/>
          <w:sz w:val="24"/>
        </w:rPr>
        <w:t>22.2</w:t>
      </w:r>
      <w:r>
        <w:rPr>
          <w:rFonts w:hint="eastAsia" w:ascii="仿宋_GB2312" w:hAnsi="宋体" w:eastAsia="仿宋_GB2312"/>
          <w:sz w:val="24"/>
        </w:rPr>
        <w:t>截标后，广西政府采购云平台电子交易平台自动提取所有投标人的电子投标文件，采购代理机构向各投标人发出解密通知，投标人须在采购代理机构开启解密标书后30分钟内对上传广西政府采购云平台的投标文件进行解密。非广西政府采购云平台技术原因造成的投标人超过解密时限未完成解密的，或投标文件无法解密或解密失败，视为投标人放弃投标，投标无效。</w:t>
      </w:r>
    </w:p>
    <w:p w14:paraId="5D786E08">
      <w:pPr>
        <w:tabs>
          <w:tab w:val="left" w:pos="3870"/>
          <w:tab w:val="left" w:pos="4085"/>
        </w:tabs>
        <w:snapToGrid w:val="0"/>
        <w:spacing w:line="420" w:lineRule="exact"/>
        <w:ind w:firstLine="480" w:firstLineChars="200"/>
        <w:jc w:val="left"/>
        <w:rPr>
          <w:rFonts w:hint="eastAsia" w:ascii="仿宋_GB2312" w:hAnsi="宋体" w:eastAsia="仿宋_GB2312"/>
          <w:sz w:val="24"/>
        </w:rPr>
      </w:pPr>
      <w:r>
        <w:rPr>
          <w:rFonts w:hint="eastAsia" w:ascii="仿宋_GB2312" w:hAnsi="宋体" w:eastAsia="仿宋_GB2312"/>
          <w:sz w:val="24"/>
        </w:rPr>
        <w:t>22.3电子投标文件解密结束，开启报价要求文件。投标人在线制作投标文件时填写的报价金额与解密后“电子加密投标文件”中《开标一览表》填写的金额不一致的，以解密后“电子加密投标文件”中《开标一览表》填写的金额为准，投标人拒绝接受此调整的，按无效投标处理。</w:t>
      </w:r>
    </w:p>
    <w:p w14:paraId="7022036B">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22.4公开报价；</w:t>
      </w:r>
    </w:p>
    <w:p w14:paraId="63EA09E5">
      <w:pPr>
        <w:snapToGrid w:val="0"/>
        <w:spacing w:line="400" w:lineRule="exact"/>
        <w:ind w:firstLine="420"/>
        <w:jc w:val="left"/>
        <w:rPr>
          <w:rFonts w:ascii="仿宋_GB2312" w:eastAsia="仿宋_GB2312" w:cs="Courier New"/>
          <w:sz w:val="24"/>
        </w:rPr>
      </w:pPr>
      <w:r>
        <w:rPr>
          <w:rFonts w:hint="eastAsia" w:ascii="仿宋_GB2312" w:eastAsia="仿宋_GB2312" w:cs="Courier New"/>
          <w:sz w:val="24"/>
        </w:rPr>
        <w:t>22.5报价确认：采购代理机构开启签字时段，投标人应及时通过CA证书对报价记录表进行确认。未在规定时间内确认的，视同认可开标结果；</w:t>
      </w:r>
    </w:p>
    <w:p w14:paraId="248A70E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22.6开标会结束。</w:t>
      </w:r>
    </w:p>
    <w:p w14:paraId="6E1B3306">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五、资格性审查</w:t>
      </w:r>
    </w:p>
    <w:p w14:paraId="248161D8">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23.采购人应当依法对投标人的资格进行审查。</w:t>
      </w:r>
    </w:p>
    <w:p w14:paraId="12936E4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24.合格投标人不足三家的，不得评标。</w:t>
      </w:r>
    </w:p>
    <w:p w14:paraId="3CF9F587">
      <w:pPr>
        <w:pStyle w:val="27"/>
        <w:snapToGrid w:val="0"/>
        <w:spacing w:line="370" w:lineRule="exact"/>
        <w:ind w:firstLine="472" w:firstLineChars="196"/>
        <w:rPr>
          <w:rFonts w:hint="eastAsia" w:ascii="仿宋_GB2312" w:hAnsi="宋体" w:eastAsia="仿宋_GB2312"/>
          <w:b/>
          <w:sz w:val="24"/>
          <w:szCs w:val="24"/>
        </w:rPr>
      </w:pPr>
      <w:bookmarkStart w:id="59" w:name="_Toc254970686"/>
      <w:bookmarkStart w:id="60" w:name="_Toc254970545"/>
      <w:r>
        <w:rPr>
          <w:rFonts w:hint="eastAsia" w:ascii="仿宋_GB2312" w:hAnsi="宋体" w:eastAsia="仿宋_GB2312"/>
          <w:b/>
          <w:sz w:val="24"/>
          <w:szCs w:val="24"/>
        </w:rPr>
        <w:t>六、评标</w:t>
      </w:r>
      <w:bookmarkEnd w:id="59"/>
      <w:bookmarkEnd w:id="60"/>
    </w:p>
    <w:p w14:paraId="5C4D192D">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25.组建评标委员会</w:t>
      </w:r>
    </w:p>
    <w:p w14:paraId="14CBCB1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25.1本项目评标委员会由采购人代表和评审专家组成。</w:t>
      </w:r>
    </w:p>
    <w:p w14:paraId="693AC882">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26.评标的方式</w:t>
      </w:r>
    </w:p>
    <w:p w14:paraId="0F2B01F0">
      <w:pPr>
        <w:snapToGrid w:val="0"/>
        <w:spacing w:line="370" w:lineRule="exact"/>
        <w:ind w:firstLine="420"/>
        <w:jc w:val="left"/>
        <w:rPr>
          <w:rFonts w:ascii="仿宋_GB2312" w:eastAsia="仿宋_GB2312"/>
          <w:sz w:val="24"/>
        </w:rPr>
      </w:pPr>
      <w:r>
        <w:rPr>
          <w:rFonts w:hint="eastAsia" w:ascii="仿宋_GB2312" w:eastAsia="仿宋_GB2312" w:cs="Courier New"/>
          <w:sz w:val="24"/>
        </w:rPr>
        <w:t>26.1本项目采用不公开方式评标，评标的依据为招标文件和投标文件。</w:t>
      </w:r>
    </w:p>
    <w:p w14:paraId="7FF61E70">
      <w:pPr>
        <w:pStyle w:val="27"/>
        <w:snapToGrid w:val="0"/>
        <w:spacing w:line="370" w:lineRule="exact"/>
        <w:ind w:left="720" w:leftChars="228" w:hanging="241" w:hangingChars="100"/>
        <w:rPr>
          <w:rFonts w:hint="eastAsia" w:ascii="仿宋_GB2312" w:hAnsi="宋体" w:eastAsia="仿宋_GB2312"/>
          <w:b/>
          <w:sz w:val="24"/>
          <w:szCs w:val="24"/>
        </w:rPr>
      </w:pPr>
      <w:r>
        <w:rPr>
          <w:rFonts w:hint="eastAsia" w:ascii="仿宋_GB2312" w:hAnsi="宋体" w:eastAsia="仿宋_GB2312"/>
          <w:b/>
          <w:sz w:val="24"/>
          <w:szCs w:val="24"/>
        </w:rPr>
        <w:t>27.</w:t>
      </w:r>
      <w:r>
        <w:rPr>
          <w:rFonts w:hint="eastAsia" w:ascii="仿宋_GB2312" w:hAnsi="宋体" w:eastAsia="仿宋_GB2312"/>
          <w:b/>
          <w:bCs/>
          <w:sz w:val="24"/>
          <w:szCs w:val="24"/>
        </w:rPr>
        <w:t>评标程序</w:t>
      </w:r>
    </w:p>
    <w:p w14:paraId="1FFAAF1E">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27.1符合性审查</w:t>
      </w:r>
    </w:p>
    <w:p w14:paraId="6F1CD24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（1）评标委员会审查、评价投标文件是否符合招标文件的商务、技术等实质性要求。</w:t>
      </w:r>
    </w:p>
    <w:p w14:paraId="3FBB2F4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（2）评标委员会将根据投标人的投标文件进行审查、核对，如有疑问，评标委员会将通过广西政府采购云平台，以询标函的方式要求投标人在线对相关问题进行澄清或者说明。</w:t>
      </w:r>
    </w:p>
    <w:p w14:paraId="0B128A99">
      <w:pPr>
        <w:snapToGrid w:val="0"/>
        <w:spacing w:line="370" w:lineRule="exact"/>
        <w:ind w:firstLine="472" w:firstLineChars="196"/>
        <w:rPr>
          <w:rFonts w:ascii="仿宋_GB2312" w:eastAsia="仿宋_GB2312"/>
          <w:b/>
          <w:bCs/>
          <w:kern w:val="0"/>
          <w:sz w:val="24"/>
        </w:rPr>
      </w:pPr>
      <w:r>
        <w:rPr>
          <w:rFonts w:hint="eastAsia" w:ascii="仿宋_GB2312" w:eastAsia="仿宋_GB2312"/>
          <w:b/>
          <w:bCs/>
          <w:kern w:val="0"/>
          <w:sz w:val="24"/>
        </w:rPr>
        <w:t>27.2投标文件的比较和评价</w:t>
      </w:r>
    </w:p>
    <w:p w14:paraId="615BB917">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（1）各投标人的技术得分为所有评委的有效评分的算术平均数。</w:t>
      </w:r>
    </w:p>
    <w:p w14:paraId="16D89953">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（2）评标委员会完成评标后，评委对各部分得分汇总，计算出本项目最终得分等。评标委员会按评标标准推荐中标候选人同时起草评标报告。</w:t>
      </w:r>
    </w:p>
    <w:p w14:paraId="0E7EC332">
      <w:pPr>
        <w:snapToGrid w:val="0"/>
        <w:spacing w:line="370" w:lineRule="exact"/>
        <w:ind w:firstLine="482" w:firstLineChars="200"/>
        <w:rPr>
          <w:rFonts w:ascii="仿宋_GB2312" w:eastAsia="仿宋_GB2312"/>
          <w:b/>
          <w:sz w:val="24"/>
        </w:rPr>
      </w:pPr>
      <w:r>
        <w:rPr>
          <w:rFonts w:hint="eastAsia" w:ascii="仿宋_GB2312" w:eastAsia="仿宋_GB2312"/>
          <w:b/>
          <w:sz w:val="24"/>
        </w:rPr>
        <w:t>28.澄清问题的形式</w:t>
      </w:r>
    </w:p>
    <w:p w14:paraId="301317E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28.1对于投标文件中含义不明确、同类问题表述不一致或者有明显文字和计算错误的内容，评标委员会应当通过广西政府采购云平台发起电子询标函，以书面形式要求投标人在规定的时间内作出必要的澄清、说明或者补正。</w:t>
      </w:r>
    </w:p>
    <w:p w14:paraId="6789B2D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28.2投标人应当在规定时间内通过广西政府采购云平台进行澄清、说明或者补正，并加盖投标人CA电子签章。投标人的澄清、说明或者补正不得超出投标文件的范围或者改变投标文件的实质性内容。</w:t>
      </w:r>
    </w:p>
    <w:p w14:paraId="7C82EECD">
      <w:pPr>
        <w:pStyle w:val="39"/>
        <w:numPr>
          <w:ilvl w:val="0"/>
          <w:numId w:val="0"/>
        </w:numPr>
        <w:spacing w:after="0" w:line="370" w:lineRule="exact"/>
        <w:ind w:leftChars="0" w:firstLine="480" w:firstLineChars="20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sz w:val="24"/>
        </w:rPr>
        <w:t>28.3</w:t>
      </w:r>
      <w:r>
        <w:rPr>
          <w:rFonts w:hint="eastAsia" w:ascii="仿宋_GB2312" w:eastAsia="仿宋_GB2312" w:cs="Courier New" w:hAnsiTheme="minorHAnsi"/>
          <w:kern w:val="2"/>
          <w:sz w:val="24"/>
          <w:szCs w:val="24"/>
          <w:highlight w:val="none"/>
          <w:lang w:val="en-US" w:eastAsia="zh-CN" w:bidi="ar-SA"/>
        </w:rPr>
        <w:t>投标人有以下情形之一的，评标委员会有权视该投标文件无效:</w:t>
      </w:r>
    </w:p>
    <w:p w14:paraId="29A6F773">
      <w:pPr>
        <w:pStyle w:val="39"/>
        <w:spacing w:after="0" w:line="370" w:lineRule="exact"/>
        <w:ind w:left="0" w:leftChars="0" w:firstLine="0" w:firstLineChars="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（1）截止时间前未</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，或</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超过规定时间的:</w:t>
      </w:r>
    </w:p>
    <w:p w14:paraId="3916A2C4">
      <w:pPr>
        <w:pStyle w:val="39"/>
        <w:spacing w:after="0" w:line="370" w:lineRule="exact"/>
        <w:ind w:left="0" w:leftChars="0" w:firstLine="0" w:firstLineChars="0"/>
        <w:rPr>
          <w:rFonts w:hint="eastAsia"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（2）</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超出投标文件范围或改变了投标文件的实质性内容的；</w:t>
      </w:r>
    </w:p>
    <w:p w14:paraId="63D9CCE5">
      <w:pPr>
        <w:pStyle w:val="39"/>
        <w:spacing w:after="0" w:line="370" w:lineRule="exact"/>
        <w:ind w:left="0" w:leftChars="0" w:firstLine="0" w:firstLineChars="0"/>
        <w:rPr>
          <w:rFonts w:hint="default" w:ascii="仿宋_GB2312" w:eastAsia="仿宋_GB2312" w:cs="Courier New" w:hAnsiTheme="minorHAnsi"/>
          <w:kern w:val="2"/>
          <w:sz w:val="24"/>
          <w:szCs w:val="24"/>
          <w:highlight w:val="none"/>
          <w:lang w:val="en-US" w:eastAsia="zh-CN" w:bidi="ar-SA"/>
        </w:rPr>
      </w:pPr>
      <w:r>
        <w:rPr>
          <w:rFonts w:hint="eastAsia" w:ascii="仿宋_GB2312" w:eastAsia="仿宋_GB2312" w:cs="Courier New" w:hAnsiTheme="minorHAnsi"/>
          <w:kern w:val="2"/>
          <w:sz w:val="24"/>
          <w:szCs w:val="24"/>
          <w:highlight w:val="none"/>
          <w:lang w:val="en-US" w:eastAsia="zh-CN" w:bidi="ar-SA"/>
        </w:rPr>
        <w:t>（3）</w:t>
      </w:r>
      <w:r>
        <w:rPr>
          <w:rFonts w:hint="eastAsia" w:ascii="仿宋_GB2312" w:eastAsia="仿宋_GB2312" w:cs="Courier New"/>
          <w:kern w:val="2"/>
          <w:sz w:val="24"/>
          <w:szCs w:val="24"/>
          <w:highlight w:val="none"/>
          <w:lang w:val="en-US" w:eastAsia="zh-CN" w:bidi="ar-SA"/>
        </w:rPr>
        <w:t>澄清、说明或者补正</w:t>
      </w:r>
      <w:r>
        <w:rPr>
          <w:rFonts w:hint="eastAsia" w:ascii="仿宋_GB2312" w:eastAsia="仿宋_GB2312" w:cs="Courier New" w:hAnsiTheme="minorHAnsi"/>
          <w:kern w:val="2"/>
          <w:sz w:val="24"/>
          <w:szCs w:val="24"/>
          <w:highlight w:val="none"/>
          <w:lang w:val="en-US" w:eastAsia="zh-CN" w:bidi="ar-SA"/>
        </w:rPr>
        <w:t>后投标文件仍不符合招标文件要求的。</w:t>
      </w:r>
    </w:p>
    <w:p w14:paraId="2D77B2FF">
      <w:pPr>
        <w:snapToGrid w:val="0"/>
        <w:spacing w:line="370" w:lineRule="exact"/>
        <w:ind w:firstLine="420" w:firstLineChars="0"/>
        <w:jc w:val="left"/>
        <w:rPr>
          <w:rFonts w:ascii="仿宋_GB2312" w:eastAsia="仿宋_GB2312"/>
          <w:b/>
          <w:sz w:val="24"/>
        </w:rPr>
      </w:pPr>
      <w:r>
        <w:rPr>
          <w:rFonts w:hint="eastAsia" w:ascii="仿宋_GB2312" w:eastAsia="仿宋_GB2312"/>
          <w:b/>
          <w:sz w:val="24"/>
        </w:rPr>
        <w:t>29.错误修正</w:t>
      </w:r>
    </w:p>
    <w:p w14:paraId="1703F7DE">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29.1投标文件报价出现前后不一致的，除招标文件另有规定外，按照下列规定修正：</w:t>
      </w:r>
    </w:p>
    <w:p w14:paraId="0E48B5C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（1）投标文件中开标一览表（报价表）内容与投标文件中相应内容不一致的，以开标一览表（报价表）为准；</w:t>
      </w:r>
    </w:p>
    <w:p w14:paraId="16713FC6">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（2）大写金额和小写金额不一致的，以大写金额为准；</w:t>
      </w:r>
    </w:p>
    <w:p w14:paraId="11A84B2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（3）单价金额小数点或者百分比有明显错位的，以开标一览表的总价为准，并修改单价；</w:t>
      </w:r>
    </w:p>
    <w:p w14:paraId="0058B254">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（4）总价金额与按单价汇总金额不一致的，以单价金额计算结果为准。</w:t>
      </w:r>
    </w:p>
    <w:p w14:paraId="65BDDDBC">
      <w:pPr>
        <w:snapToGrid w:val="0"/>
        <w:spacing w:line="370" w:lineRule="exact"/>
        <w:ind w:firstLine="420"/>
        <w:jc w:val="left"/>
        <w:rPr>
          <w:rFonts w:ascii="仿宋_GB2312" w:eastAsia="仿宋_GB2312" w:cs="Courier New"/>
          <w:b/>
          <w:sz w:val="24"/>
        </w:rPr>
      </w:pPr>
      <w:r>
        <w:rPr>
          <w:rFonts w:hint="eastAsia" w:ascii="仿宋_GB2312" w:eastAsia="仿宋_GB2312" w:cs="Courier New"/>
          <w:b/>
          <w:sz w:val="24"/>
        </w:rPr>
        <w:t>同时出现两种以上不一致的，按照前款规定的顺序修正。评标委员会通过广西政府采购云平台发起询标函，投标人在规定时间内通过广西政府采购云平台确认，投标人的确认应当加盖投标人CA电子签章。修正后的报价按照87号令第五十一条第二款的规定经投标人确认后产生约束力，投标人不确认的，其投标无效。</w:t>
      </w:r>
    </w:p>
    <w:p w14:paraId="3FF06F5B">
      <w:pPr>
        <w:pStyle w:val="27"/>
        <w:tabs>
          <w:tab w:val="left" w:pos="630"/>
        </w:tabs>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30.评标原则和评标方法</w:t>
      </w:r>
    </w:p>
    <w:p w14:paraId="05ECDA2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30.1评标原则。评标委员会必须公平、公正、客观，不带任何倾向性和启发性；不得向外界透露任何与评标有关的内容；任何单位和个人不得干扰、影响评标的正常进行；评标委员会及有关工作人员不得私下与投标人接触。</w:t>
      </w:r>
    </w:p>
    <w:p w14:paraId="6A7A4A8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30.2本项目评标方法是综合评分法，具体评标内容及评标标准等详见第四章：评标方法及评标标准。</w:t>
      </w:r>
    </w:p>
    <w:p w14:paraId="7089417A">
      <w:pPr>
        <w:pStyle w:val="27"/>
        <w:snapToGrid w:val="0"/>
        <w:spacing w:line="370" w:lineRule="exact"/>
        <w:ind w:firstLine="472" w:firstLineChars="196"/>
        <w:rPr>
          <w:rFonts w:hint="eastAsia" w:ascii="仿宋_GB2312" w:hAnsi="宋体" w:eastAsia="仿宋_GB2312"/>
          <w:b/>
          <w:sz w:val="24"/>
          <w:szCs w:val="24"/>
        </w:rPr>
      </w:pPr>
      <w:r>
        <w:rPr>
          <w:rFonts w:hint="eastAsia" w:ascii="仿宋_GB2312" w:hAnsi="宋体" w:eastAsia="仿宋_GB2312"/>
          <w:b/>
          <w:sz w:val="24"/>
          <w:szCs w:val="24"/>
        </w:rPr>
        <w:t>31.评标过程的监控</w:t>
      </w:r>
    </w:p>
    <w:p w14:paraId="5CA1E6D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31.1本项目评标过程实行全程录音、录像监控（或政府采购监督管理部门工作人员进行现场监督），投标人在评标过程中所进行的试图影响评标结果的不公正活动，可能导致其投标被拒绝。</w:t>
      </w:r>
    </w:p>
    <w:p w14:paraId="4A22D519">
      <w:pPr>
        <w:pStyle w:val="27"/>
        <w:snapToGrid w:val="0"/>
        <w:spacing w:line="370" w:lineRule="exact"/>
        <w:ind w:firstLine="482" w:firstLineChars="200"/>
        <w:rPr>
          <w:rFonts w:hint="eastAsia" w:ascii="仿宋_GB2312" w:hAnsi="宋体" w:eastAsia="仿宋_GB2312"/>
          <w:sz w:val="24"/>
          <w:szCs w:val="24"/>
        </w:rPr>
      </w:pPr>
      <w:r>
        <w:rPr>
          <w:rFonts w:hint="eastAsia" w:ascii="仿宋_GB2312" w:hAnsi="宋体" w:eastAsia="仿宋_GB2312"/>
          <w:b/>
          <w:sz w:val="24"/>
          <w:szCs w:val="24"/>
        </w:rPr>
        <w:t>七、评标结果</w:t>
      </w:r>
    </w:p>
    <w:p w14:paraId="355602FD">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32.采购人或者采购代理机构核对评标结果。</w:t>
      </w:r>
    </w:p>
    <w:p w14:paraId="3FBD74C2">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33.采购人或者采购代理机构在公告中标结果的同时，对未通过资格审查的投标人，应当告知其未通过的原因；采用综合评分法评审的，还应当告知未中标人本人的评审得分与排序。</w:t>
      </w:r>
    </w:p>
    <w:p w14:paraId="62350FF0">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34.采购人或者采购代理机构在评标结束后2个工作日内将评标报告送采购人，采购人在收到评标报告之日起5个工作日内，在评标报告确定的中标候选人名单中按顺序确定中标人。中标候选人并列的，由采购人或者采购人委托评标委员会按照招标文件规定的方式确定中标人；招标文件未规定的，采取随机抽取的方式确定。</w:t>
      </w:r>
    </w:p>
    <w:p w14:paraId="28B165B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35.采购人或采购代理机构应当自中标人确定之日起2个工作日内，在中国政府采购网、广西壮族自治区政府采购网、柳州市政府采购网发布中标公告。在发布中标公告的同时，向中标人发出中标通知书。</w:t>
      </w:r>
    </w:p>
    <w:p w14:paraId="38991805">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36.在中标通知书发出前，采购人或采购代理机构应当对中标人信用进行查询，并按照信用信息使用规则处理。</w:t>
      </w:r>
    </w:p>
    <w:p w14:paraId="643B442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37.投标人对中标公告有异议的，应当在中标公告</w:t>
      </w:r>
      <w:r>
        <w:rPr>
          <w:rFonts w:hint="eastAsia" w:ascii="仿宋_GB2312" w:hAnsi="宋体" w:eastAsia="仿宋_GB2312"/>
          <w:bCs/>
          <w:sz w:val="24"/>
        </w:rPr>
        <w:t>期限届满</w:t>
      </w:r>
      <w:r>
        <w:rPr>
          <w:rFonts w:hint="eastAsia" w:ascii="仿宋_GB2312" w:eastAsia="仿宋_GB2312" w:cs="Courier New"/>
          <w:sz w:val="24"/>
        </w:rPr>
        <w:t>之日起七个工作日内，以书面形式向采购人或采购代理机构提出质疑，并及时索要书面回执。</w:t>
      </w:r>
    </w:p>
    <w:p w14:paraId="50B302F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38.采购人或采购代理机构（采购代理机构应当按照有关规定就采购人委托授权范围内的事项）在收到投标人的书面质疑后七个工作日内作出答复，但答复的内容不得涉及商业秘密。</w:t>
      </w:r>
    </w:p>
    <w:p w14:paraId="7E863D75">
      <w:pPr>
        <w:pStyle w:val="27"/>
        <w:snapToGrid w:val="0"/>
        <w:spacing w:line="370" w:lineRule="exact"/>
        <w:ind w:firstLine="472" w:firstLineChars="196"/>
        <w:rPr>
          <w:rFonts w:hint="eastAsia" w:ascii="仿宋_GB2312" w:hAnsi="宋体" w:eastAsia="仿宋_GB2312"/>
          <w:b/>
          <w:sz w:val="24"/>
          <w:szCs w:val="24"/>
        </w:rPr>
      </w:pPr>
      <w:bookmarkStart w:id="61" w:name="_Toc254970547"/>
      <w:bookmarkStart w:id="62" w:name="_Toc254970688"/>
      <w:r>
        <w:rPr>
          <w:rFonts w:hint="eastAsia" w:ascii="仿宋_GB2312" w:hAnsi="宋体" w:eastAsia="仿宋_GB2312"/>
          <w:b/>
          <w:sz w:val="24"/>
          <w:szCs w:val="24"/>
        </w:rPr>
        <w:t>八、</w:t>
      </w:r>
      <w:bookmarkEnd w:id="61"/>
      <w:bookmarkEnd w:id="62"/>
      <w:r>
        <w:rPr>
          <w:rFonts w:hint="eastAsia" w:ascii="仿宋_GB2312" w:hAnsi="宋体" w:eastAsia="仿宋_GB2312"/>
          <w:b/>
          <w:sz w:val="24"/>
          <w:szCs w:val="24"/>
        </w:rPr>
        <w:t>签订合同</w:t>
      </w:r>
    </w:p>
    <w:p w14:paraId="7EF0AF61">
      <w:pPr>
        <w:pStyle w:val="27"/>
        <w:snapToGrid w:val="0"/>
        <w:spacing w:line="370" w:lineRule="exact"/>
        <w:ind w:firstLine="472" w:firstLineChars="196"/>
        <w:rPr>
          <w:rFonts w:hint="eastAsia" w:ascii="仿宋_GB2312" w:hAnsi="宋体" w:eastAsia="仿宋_GB2312"/>
          <w:b/>
          <w:bCs/>
          <w:sz w:val="24"/>
          <w:szCs w:val="24"/>
        </w:rPr>
      </w:pPr>
      <w:r>
        <w:rPr>
          <w:rFonts w:hint="eastAsia" w:ascii="仿宋_GB2312" w:hAnsi="宋体" w:eastAsia="仿宋_GB2312"/>
          <w:b/>
          <w:sz w:val="24"/>
          <w:szCs w:val="24"/>
        </w:rPr>
        <w:t>39.合同授予标准</w:t>
      </w:r>
    </w:p>
    <w:p w14:paraId="7285226F">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39.1合同将授予被确定实质上响应招标文件要求，具备履行合同能力，综合评分排名第一的投标人。</w:t>
      </w:r>
    </w:p>
    <w:p w14:paraId="7886E273">
      <w:pPr>
        <w:snapToGrid w:val="0"/>
        <w:spacing w:line="370" w:lineRule="exact"/>
        <w:ind w:firstLine="420"/>
        <w:jc w:val="left"/>
        <w:rPr>
          <w:rFonts w:ascii="仿宋_GB2312" w:eastAsia="仿宋_GB2312" w:cs="Courier New"/>
          <w:b/>
          <w:bCs/>
          <w:sz w:val="24"/>
        </w:rPr>
      </w:pPr>
      <w:r>
        <w:rPr>
          <w:rFonts w:hint="eastAsia" w:ascii="仿宋_GB2312" w:eastAsia="仿宋_GB2312" w:cs="Courier New"/>
          <w:b/>
          <w:bCs/>
          <w:sz w:val="24"/>
        </w:rPr>
        <w:t>40.签订合同</w:t>
      </w:r>
    </w:p>
    <w:p w14:paraId="69AA45CB">
      <w:pPr>
        <w:snapToGrid w:val="0"/>
        <w:spacing w:line="370" w:lineRule="exact"/>
        <w:ind w:firstLine="420"/>
        <w:jc w:val="left"/>
        <w:rPr>
          <w:rFonts w:ascii="仿宋_GB2312" w:eastAsia="仿宋_GB2312" w:cs="Courier New"/>
          <w:sz w:val="24"/>
        </w:rPr>
      </w:pPr>
      <w:r>
        <w:rPr>
          <w:rFonts w:hint="eastAsia" w:ascii="仿宋_GB2312" w:eastAsia="仿宋_GB2312" w:cs="Courier New"/>
          <w:sz w:val="24"/>
        </w:rPr>
        <w:t>40.1中标人接到中标通知书后，应按有关规定与采购人签订合同。</w:t>
      </w:r>
    </w:p>
    <w:p w14:paraId="4F8B8EBC">
      <w:pPr>
        <w:snapToGrid w:val="0"/>
        <w:spacing w:line="360" w:lineRule="exact"/>
        <w:ind w:right="-470" w:rightChars="-224" w:firstLine="420"/>
        <w:jc w:val="left"/>
        <w:rPr>
          <w:rFonts w:ascii="仿宋_GB2312" w:eastAsia="仿宋_GB2312" w:cs="Courier New"/>
          <w:sz w:val="24"/>
        </w:rPr>
        <w:sectPr>
          <w:pgSz w:w="11906" w:h="16838"/>
          <w:pgMar w:top="1440" w:right="1440" w:bottom="1440" w:left="1440" w:header="851" w:footer="992" w:gutter="0"/>
          <w:cols w:space="720" w:num="1"/>
          <w:docGrid w:linePitch="312" w:charSpace="0"/>
        </w:sectPr>
      </w:pPr>
      <w:r>
        <w:rPr>
          <w:rFonts w:hint="eastAsia" w:ascii="仿宋_GB2312" w:eastAsia="仿宋_GB2312" w:cs="Courier New"/>
          <w:sz w:val="24"/>
        </w:rPr>
        <w:t>40.2中标人因不可抗力或者自身原因不能履行采购合同的，采购人或采购代理机构应将该情况报政府采购监督管理部门，从合格的中标候选人中另行确定中标人或重新开展政府采购活动。</w:t>
      </w:r>
      <w:bookmarkStart w:id="63" w:name="_Toc254970548"/>
      <w:bookmarkStart w:id="64" w:name="_Toc254970689"/>
      <w:bookmarkStart w:id="65" w:name="_Toc497578452"/>
    </w:p>
    <w:p w14:paraId="6E564F2F"/>
    <w:p w14:paraId="6B8952AB"/>
    <w:p w14:paraId="32C3DDE6"/>
    <w:p w14:paraId="5B5358DD"/>
    <w:p w14:paraId="2784FD03"/>
    <w:p w14:paraId="33EB370E"/>
    <w:p w14:paraId="61ABDB31"/>
    <w:p w14:paraId="1904CF1B"/>
    <w:p w14:paraId="6889EC4A"/>
    <w:p w14:paraId="0E3AB68A"/>
    <w:p w14:paraId="7D7995EF"/>
    <w:p w14:paraId="3C79EECE"/>
    <w:p w14:paraId="2CCB2DC7"/>
    <w:p w14:paraId="09A7F613"/>
    <w:p w14:paraId="0B97F505"/>
    <w:p w14:paraId="2B171A6C"/>
    <w:p w14:paraId="7106812A"/>
    <w:p w14:paraId="6800A448">
      <w:pPr>
        <w:pStyle w:val="5"/>
        <w:jc w:val="center"/>
      </w:pPr>
      <w:bookmarkStart w:id="66" w:name="_Toc27328"/>
      <w:r>
        <w:rPr>
          <w:rFonts w:hint="eastAsia"/>
          <w:sz w:val="30"/>
          <w:szCs w:val="30"/>
        </w:rPr>
        <w:t xml:space="preserve">第四章 </w:t>
      </w:r>
      <w:bookmarkEnd w:id="63"/>
      <w:bookmarkEnd w:id="64"/>
      <w:r>
        <w:rPr>
          <w:rFonts w:hint="eastAsia"/>
          <w:sz w:val="30"/>
          <w:szCs w:val="30"/>
        </w:rPr>
        <w:t>评标方法及评标标准</w:t>
      </w:r>
      <w:bookmarkEnd w:id="65"/>
      <w:bookmarkEnd w:id="66"/>
      <w:r>
        <w:tab/>
      </w:r>
    </w:p>
    <w:p w14:paraId="5BC7D2F7">
      <w:r>
        <w:br w:type="page"/>
      </w:r>
    </w:p>
    <w:p w14:paraId="2102B79A">
      <w:pPr>
        <w:tabs>
          <w:tab w:val="left" w:pos="3055"/>
        </w:tabs>
        <w:jc w:val="center"/>
        <w:rPr>
          <w:b/>
          <w:sz w:val="30"/>
          <w:szCs w:val="30"/>
        </w:rPr>
      </w:pPr>
      <w:r>
        <w:rPr>
          <w:rFonts w:hint="eastAsia" w:ascii="宋体" w:hAnsi="宋体" w:cs="Courier New"/>
          <w:b/>
          <w:bCs/>
          <w:sz w:val="32"/>
          <w:szCs w:val="32"/>
        </w:rPr>
        <w:t>分标1</w:t>
      </w:r>
      <w:r>
        <w:rPr>
          <w:rFonts w:hint="eastAsia" w:ascii="宋体" w:hAnsi="宋体" w:cs="Courier New"/>
          <w:b/>
          <w:bCs/>
          <w:color w:val="000000"/>
          <w:sz w:val="32"/>
          <w:szCs w:val="32"/>
        </w:rPr>
        <w:t>评标方法及评标标准</w:t>
      </w:r>
    </w:p>
    <w:p w14:paraId="1021F378">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1A71E60B">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3518C3F5">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w:t>
      </w:r>
      <w:bookmarkStart w:id="67" w:name="_Hlk93676870"/>
      <w:r>
        <w:rPr>
          <w:rFonts w:hint="eastAsia" w:ascii="仿宋_GB2312" w:eastAsia="仿宋_GB2312"/>
          <w:b/>
          <w:sz w:val="24"/>
        </w:rPr>
        <w:t>，对投标人的价格、技术、信誉、业绩等</w:t>
      </w:r>
      <w:bookmarkEnd w:id="67"/>
      <w:r>
        <w:rPr>
          <w:rFonts w:hint="eastAsia" w:ascii="仿宋_GB2312" w:eastAsia="仿宋_GB2312"/>
          <w:b/>
          <w:sz w:val="24"/>
        </w:rPr>
        <w:t>方面按百分制打分。</w:t>
      </w:r>
    </w:p>
    <w:p w14:paraId="1618D90E">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6622CDF0">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31484606">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220BC125">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107CAB85">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714"/>
        <w:tblpPr w:leftFromText="180" w:rightFromText="180" w:vertAnchor="text" w:horzAnchor="page" w:tblpX="661" w:tblpY="378"/>
        <w:tblOverlap w:val="never"/>
        <w:tblW w:w="10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776"/>
        <w:gridCol w:w="1182"/>
        <w:gridCol w:w="1413"/>
      </w:tblGrid>
      <w:tr w14:paraId="789384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0310" w:type="dxa"/>
            <w:gridSpan w:val="5"/>
            <w:shd w:val="clear" w:color="auto" w:fill="D7D7D7"/>
            <w:noWrap w:val="0"/>
            <w:vAlign w:val="center"/>
          </w:tcPr>
          <w:p w14:paraId="7316953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eastAsia="仿宋_GB2312"/>
                <w:b/>
                <w:sz w:val="32"/>
              </w:rPr>
              <w:t>客观分</w:t>
            </w:r>
          </w:p>
        </w:tc>
      </w:tr>
      <w:tr w14:paraId="589583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34949B1C">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评分项</w:t>
            </w:r>
          </w:p>
        </w:tc>
        <w:tc>
          <w:tcPr>
            <w:tcW w:w="1090" w:type="dxa"/>
            <w:noWrap w:val="0"/>
            <w:vAlign w:val="center"/>
          </w:tcPr>
          <w:p w14:paraId="1A634ED5">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评审因素</w:t>
            </w:r>
          </w:p>
        </w:tc>
        <w:tc>
          <w:tcPr>
            <w:tcW w:w="5776" w:type="dxa"/>
            <w:noWrap w:val="0"/>
            <w:vAlign w:val="center"/>
          </w:tcPr>
          <w:p w14:paraId="00EF654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评分标准说明</w:t>
            </w:r>
          </w:p>
        </w:tc>
        <w:tc>
          <w:tcPr>
            <w:tcW w:w="1182" w:type="dxa"/>
            <w:noWrap w:val="0"/>
            <w:vAlign w:val="center"/>
          </w:tcPr>
          <w:p w14:paraId="524DF57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分值</w:t>
            </w:r>
          </w:p>
        </w:tc>
        <w:tc>
          <w:tcPr>
            <w:tcW w:w="1413" w:type="dxa"/>
            <w:noWrap w:val="0"/>
            <w:vAlign w:val="center"/>
          </w:tcPr>
          <w:p w14:paraId="4A6026A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42282F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8" w:hRule="atLeast"/>
        </w:trPr>
        <w:tc>
          <w:tcPr>
            <w:tcW w:w="849" w:type="dxa"/>
            <w:noWrap w:val="0"/>
            <w:vAlign w:val="center"/>
          </w:tcPr>
          <w:p w14:paraId="1BED494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价格分</w:t>
            </w:r>
          </w:p>
        </w:tc>
        <w:tc>
          <w:tcPr>
            <w:tcW w:w="1090" w:type="dxa"/>
            <w:noWrap w:val="0"/>
            <w:vAlign w:val="center"/>
          </w:tcPr>
          <w:p w14:paraId="451D2EE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价格</w:t>
            </w:r>
          </w:p>
        </w:tc>
        <w:tc>
          <w:tcPr>
            <w:tcW w:w="5776" w:type="dxa"/>
            <w:noWrap w:val="0"/>
            <w:vAlign w:val="center"/>
          </w:tcPr>
          <w:p w14:paraId="08592F3F">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Cs w:val="21"/>
              </w:rPr>
              <w:t>1.满足招标文件要求且</w:t>
            </w:r>
            <w:r>
              <w:rPr>
                <w:rFonts w:hint="eastAsia" w:ascii="仿宋_GB2312" w:hAnsi="仿宋_GB2312" w:eastAsia="仿宋_GB2312" w:cs="仿宋_GB2312"/>
                <w:sz w:val="21"/>
                <w:szCs w:val="21"/>
              </w:rPr>
              <w:t>投标价格最低的投标报价为评标基准价，其投标人的报价分为最高分</w:t>
            </w:r>
            <w:r>
              <w:rPr>
                <w:rFonts w:hint="eastAsia" w:ascii="仿宋_GB2312" w:hAnsi="仿宋_GB2312" w:eastAsia="仿宋_GB2312" w:cs="仿宋_GB2312"/>
                <w:b/>
                <w:bCs/>
                <w:lang w:val="en-US" w:eastAsia="zh-CN"/>
              </w:rPr>
              <w:t>30</w:t>
            </w:r>
            <w:r>
              <w:rPr>
                <w:rFonts w:hint="eastAsia" w:ascii="仿宋_GB2312" w:hAnsi="仿宋_GB2312" w:eastAsia="仿宋_GB2312" w:cs="仿宋_GB2312"/>
                <w:sz w:val="21"/>
                <w:szCs w:val="21"/>
              </w:rPr>
              <w:t>分；</w:t>
            </w:r>
          </w:p>
          <w:p w14:paraId="759CE524">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 w:val="21"/>
                <w:szCs w:val="21"/>
              </w:rPr>
              <w:t>2.其他投标人的报价得</w:t>
            </w:r>
            <w:r>
              <w:rPr>
                <w:rFonts w:hint="eastAsia" w:ascii="仿宋_GB2312" w:hAnsi="仿宋_GB2312" w:eastAsia="仿宋_GB2312" w:cs="仿宋_GB2312"/>
                <w:szCs w:val="21"/>
              </w:rPr>
              <w:t>分按以下公式计算：</w:t>
            </w:r>
          </w:p>
          <w:p w14:paraId="27A4A59E">
            <w:pPr>
              <w:keepNext w:val="0"/>
              <w:keepLines w:val="0"/>
              <w:pageBreakBefore w:val="0"/>
              <w:kinsoku/>
              <w:wordWrap/>
              <w:overflowPunct/>
              <w:topLinePunct w:val="0"/>
              <w:autoSpaceDE/>
              <w:autoSpaceDN/>
              <w:bidi w:val="0"/>
              <w:adjustRightInd/>
              <w:snapToGrid/>
              <w:spacing w:line="440" w:lineRule="exact"/>
              <w:ind w:firstLine="0" w:firstLineChars="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报价得分=（评标基准价／某投标人投标报价）×</w:t>
            </w:r>
            <w:r>
              <w:rPr>
                <w:rFonts w:hint="eastAsia" w:ascii="仿宋_GB2312" w:hAnsi="仿宋_GB2312" w:eastAsia="仿宋_GB2312" w:cs="仿宋_GB2312"/>
                <w:b/>
                <w:bCs/>
                <w:lang w:val="en-US" w:eastAsia="zh-CN"/>
              </w:rPr>
              <w:t>30</w:t>
            </w:r>
            <w:r>
              <w:rPr>
                <w:rFonts w:hint="eastAsia" w:ascii="仿宋_GB2312" w:hAnsi="仿宋_GB2312" w:eastAsia="仿宋_GB2312" w:cs="仿宋_GB2312"/>
                <w:szCs w:val="21"/>
              </w:rPr>
              <w:t>分；</w:t>
            </w:r>
          </w:p>
          <w:p w14:paraId="0D40719D">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3.小型、微型企业价格折扣率：</w:t>
            </w:r>
          </w:p>
          <w:p w14:paraId="0A3DA75F">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ascii="仿宋_GB2312" w:hAnsi="仿宋_GB2312" w:eastAsia="仿宋_GB2312" w:cs="仿宋_GB2312"/>
                <w:b/>
              </w:rPr>
            </w:pPr>
            <w:r>
              <w:rPr>
                <w:rFonts w:hint="eastAsia" w:ascii="仿宋_GB2312" w:hAnsi="仿宋_GB2312" w:eastAsia="仿宋_GB2312" w:cs="仿宋_GB2312"/>
                <w:szCs w:val="21"/>
              </w:rPr>
              <w:t>符合《政府采购促进中小企业发展管理办法》（财库〔2020〕46号）规定条件且出具该办法规定的《中小企业声明函》的小型和微型企业参与报价，对其报价给予20%的扣除。监狱企业、残疾人福利性企业视同小微型企业，不重复享受政策。</w:t>
            </w:r>
          </w:p>
        </w:tc>
        <w:tc>
          <w:tcPr>
            <w:tcW w:w="1182" w:type="dxa"/>
            <w:noWrap w:val="0"/>
            <w:vAlign w:val="center"/>
          </w:tcPr>
          <w:p w14:paraId="2D7A3861">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lang w:val="en-US" w:eastAsia="zh-CN"/>
              </w:rPr>
            </w:pPr>
            <w:r>
              <w:rPr>
                <w:rFonts w:hint="eastAsia" w:ascii="仿宋_GB2312" w:hAnsi="仿宋_GB2312" w:eastAsia="仿宋_GB2312" w:cs="仿宋_GB2312"/>
                <w:b/>
                <w:bCs/>
                <w:lang w:val="en-US" w:eastAsia="zh-CN"/>
              </w:rPr>
              <w:t>30</w:t>
            </w:r>
          </w:p>
        </w:tc>
        <w:tc>
          <w:tcPr>
            <w:tcW w:w="1413" w:type="dxa"/>
            <w:noWrap w:val="0"/>
            <w:vAlign w:val="center"/>
          </w:tcPr>
          <w:p w14:paraId="66736B3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p>
        </w:tc>
      </w:tr>
      <w:tr w14:paraId="2E43BC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5BC1B5C9">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hAnsi="仿宋_GB2312" w:eastAsia="仿宋_GB2312" w:cs="仿宋_GB2312"/>
                <w:b/>
                <w:bCs/>
              </w:rPr>
              <w:t>信誉分</w:t>
            </w:r>
          </w:p>
        </w:tc>
        <w:tc>
          <w:tcPr>
            <w:tcW w:w="1090" w:type="dxa"/>
            <w:noWrap w:val="0"/>
            <w:vAlign w:val="center"/>
          </w:tcPr>
          <w:p w14:paraId="054383C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体系认证</w:t>
            </w:r>
          </w:p>
        </w:tc>
        <w:tc>
          <w:tcPr>
            <w:tcW w:w="5776" w:type="dxa"/>
            <w:noWrap w:val="0"/>
            <w:vAlign w:val="center"/>
          </w:tcPr>
          <w:p w14:paraId="69CAEF40">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1.投标人</w:t>
            </w:r>
            <w:r>
              <w:rPr>
                <w:rFonts w:hint="eastAsia" w:ascii="仿宋_GB2312" w:hAnsi="仿宋_GB2312" w:eastAsia="仿宋_GB2312" w:cs="仿宋_GB2312"/>
                <w:szCs w:val="21"/>
                <w:lang w:eastAsia="zh-CN"/>
              </w:rPr>
              <w:t>或</w:t>
            </w:r>
            <w:r>
              <w:rPr>
                <w:rFonts w:hint="eastAsia" w:ascii="仿宋_GB2312" w:hAnsi="仿宋_GB2312" w:eastAsia="仿宋_GB2312" w:cs="仿宋_GB2312"/>
                <w:szCs w:val="21"/>
              </w:rPr>
              <w:t>所投</w:t>
            </w:r>
            <w:r>
              <w:rPr>
                <w:rFonts w:hint="eastAsia" w:ascii="仿宋_GB2312" w:hAnsi="仿宋_GB2312" w:eastAsia="仿宋_GB2312" w:cs="仿宋_GB2312"/>
                <w:szCs w:val="21"/>
                <w:lang w:eastAsia="zh-CN"/>
              </w:rPr>
              <w:t>核心产品生产厂家</w:t>
            </w:r>
            <w:r>
              <w:rPr>
                <w:rFonts w:hint="eastAsia" w:ascii="仿宋_GB2312" w:hAnsi="仿宋_GB2312" w:eastAsia="仿宋_GB2312" w:cs="仿宋_GB2312"/>
                <w:szCs w:val="21"/>
              </w:rPr>
              <w:t>具备</w:t>
            </w:r>
            <w:r>
              <w:rPr>
                <w:rFonts w:hint="eastAsia" w:ascii="仿宋_GB2312" w:hAnsi="仿宋_GB2312" w:eastAsia="仿宋_GB2312" w:cs="仿宋_GB2312"/>
                <w:szCs w:val="21"/>
                <w:lang w:eastAsia="zh-CN"/>
              </w:rPr>
              <w:t>有效</w:t>
            </w:r>
            <w:r>
              <w:rPr>
                <w:rFonts w:hint="eastAsia" w:ascii="仿宋_GB2312" w:hAnsi="仿宋_GB2312" w:eastAsia="仿宋_GB2312" w:cs="仿宋_GB2312"/>
                <w:szCs w:val="21"/>
                <w:lang w:val="en-US" w:eastAsia="zh-CN"/>
              </w:rPr>
              <w:t>的</w:t>
            </w:r>
            <w:r>
              <w:rPr>
                <w:rFonts w:hint="eastAsia" w:ascii="仿宋_GB2312" w:hAnsi="仿宋_GB2312" w:eastAsia="仿宋_GB2312" w:cs="仿宋_GB2312"/>
                <w:szCs w:val="21"/>
              </w:rPr>
              <w:t>质量管理体系</w:t>
            </w:r>
            <w:r>
              <w:rPr>
                <w:rFonts w:hint="eastAsia" w:ascii="仿宋_GB2312" w:hAnsi="仿宋_GB2312" w:eastAsia="仿宋_GB2312" w:cs="仿宋_GB2312"/>
                <w:szCs w:val="21"/>
                <w:lang w:eastAsia="zh-CN"/>
              </w:rPr>
              <w:t>认证证书</w:t>
            </w:r>
            <w:r>
              <w:rPr>
                <w:rFonts w:hint="eastAsia" w:ascii="仿宋_GB2312" w:hAnsi="仿宋_GB2312" w:eastAsia="仿宋_GB2312" w:cs="仿宋_GB2312"/>
                <w:szCs w:val="21"/>
              </w:rPr>
              <w:t>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2F72667F">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2.投标人</w:t>
            </w:r>
            <w:r>
              <w:rPr>
                <w:rFonts w:hint="eastAsia" w:ascii="仿宋_GB2312" w:hAnsi="仿宋_GB2312" w:eastAsia="仿宋_GB2312" w:cs="仿宋_GB2312"/>
                <w:szCs w:val="21"/>
                <w:lang w:eastAsia="zh-CN"/>
              </w:rPr>
              <w:t>或</w:t>
            </w:r>
            <w:r>
              <w:rPr>
                <w:rFonts w:hint="eastAsia" w:ascii="仿宋_GB2312" w:hAnsi="仿宋_GB2312" w:eastAsia="仿宋_GB2312" w:cs="仿宋_GB2312"/>
                <w:szCs w:val="21"/>
              </w:rPr>
              <w:t>所投</w:t>
            </w:r>
            <w:r>
              <w:rPr>
                <w:rFonts w:hint="eastAsia" w:ascii="仿宋_GB2312" w:hAnsi="仿宋_GB2312" w:eastAsia="仿宋_GB2312" w:cs="仿宋_GB2312"/>
                <w:szCs w:val="21"/>
                <w:lang w:eastAsia="zh-CN"/>
              </w:rPr>
              <w:t>核心产品生产厂家具</w:t>
            </w:r>
            <w:r>
              <w:rPr>
                <w:rFonts w:hint="eastAsia" w:ascii="仿宋_GB2312" w:hAnsi="仿宋_GB2312" w:eastAsia="仿宋_GB2312" w:cs="仿宋_GB2312"/>
                <w:szCs w:val="21"/>
                <w:lang w:val="en-US" w:eastAsia="zh-CN"/>
              </w:rPr>
              <w:t>备</w:t>
            </w:r>
            <w:r>
              <w:rPr>
                <w:rFonts w:hint="eastAsia" w:ascii="仿宋_GB2312" w:hAnsi="仿宋_GB2312" w:eastAsia="仿宋_GB2312" w:cs="仿宋_GB2312"/>
                <w:szCs w:val="21"/>
                <w:lang w:eastAsia="zh-CN"/>
              </w:rPr>
              <w:t>有效</w:t>
            </w:r>
            <w:r>
              <w:rPr>
                <w:rFonts w:hint="eastAsia" w:ascii="仿宋_GB2312" w:hAnsi="仿宋_GB2312" w:eastAsia="仿宋_GB2312" w:cs="仿宋_GB2312"/>
                <w:szCs w:val="21"/>
                <w:lang w:val="en-US" w:eastAsia="zh-CN"/>
              </w:rPr>
              <w:t>的</w:t>
            </w:r>
            <w:r>
              <w:rPr>
                <w:rFonts w:hint="eastAsia" w:ascii="仿宋_GB2312" w:hAnsi="仿宋_GB2312" w:eastAsia="仿宋_GB2312" w:cs="仿宋_GB2312"/>
                <w:szCs w:val="21"/>
              </w:rPr>
              <w:t>职业健康安全管理体系</w:t>
            </w:r>
            <w:r>
              <w:rPr>
                <w:rFonts w:hint="eastAsia" w:ascii="仿宋_GB2312" w:hAnsi="仿宋_GB2312" w:eastAsia="仿宋_GB2312" w:cs="仿宋_GB2312"/>
                <w:color w:val="auto"/>
                <w:szCs w:val="21"/>
              </w:rPr>
              <w:t>认证证书</w:t>
            </w:r>
            <w:r>
              <w:rPr>
                <w:rFonts w:hint="eastAsia" w:ascii="仿宋_GB2312" w:hAnsi="仿宋_GB2312" w:eastAsia="仿宋_GB2312" w:cs="仿宋_GB2312"/>
                <w:szCs w:val="21"/>
              </w:rPr>
              <w:t>得</w:t>
            </w:r>
            <w:r>
              <w:rPr>
                <w:rFonts w:hint="eastAsia" w:ascii="仿宋_GB2312" w:hAnsi="仿宋_GB2312" w:eastAsia="仿宋_GB2312" w:cs="仿宋_GB2312"/>
                <w:szCs w:val="21"/>
                <w:lang w:val="en-US"/>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rPr>
              <w:t>1</w:t>
            </w:r>
            <w:r>
              <w:rPr>
                <w:rFonts w:hint="eastAsia" w:ascii="仿宋_GB2312" w:hAnsi="仿宋_GB2312" w:eastAsia="仿宋_GB2312" w:cs="仿宋_GB2312"/>
                <w:szCs w:val="21"/>
              </w:rPr>
              <w:t>分</w:t>
            </w:r>
            <w:r>
              <w:rPr>
                <w:rFonts w:hint="eastAsia" w:ascii="仿宋_GB2312" w:hAnsi="仿宋_GB2312" w:eastAsia="仿宋_GB2312" w:cs="仿宋_GB2312"/>
                <w:szCs w:val="21"/>
                <w:lang w:eastAsia="zh-CN"/>
              </w:rPr>
              <w:t>；</w:t>
            </w:r>
          </w:p>
          <w:p w14:paraId="46D657BE">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3.投标人或所投核心产品生产厂家具备有效的环境管理体系认证证书得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2CE30E9C">
            <w:pPr>
              <w:keepNext w:val="0"/>
              <w:keepLines w:val="0"/>
              <w:pageBreakBefore w:val="0"/>
              <w:kinsoku/>
              <w:wordWrap/>
              <w:overflowPunct/>
              <w:topLinePunct w:val="0"/>
              <w:autoSpaceDE/>
              <w:autoSpaceDN/>
              <w:bidi w:val="0"/>
              <w:adjustRightInd/>
              <w:snapToGrid/>
              <w:spacing w:line="440" w:lineRule="exact"/>
              <w:ind w:firstLine="0" w:firstLineChars="0"/>
              <w:textAlignment w:val="auto"/>
              <w:rPr>
                <w:rFonts w:ascii="仿宋_GB2312" w:hAnsi="仿宋_GB2312" w:eastAsia="仿宋_GB2312" w:cs="仿宋_GB2312"/>
              </w:rPr>
            </w:pPr>
            <w:r>
              <w:rPr>
                <w:rFonts w:hint="eastAsia"/>
                <w:lang w:val="en-US" w:eastAsia="zh-CN"/>
              </w:rPr>
              <w:t xml:space="preserve">    </w:t>
            </w:r>
            <w:r>
              <w:rPr>
                <w:rFonts w:hint="eastAsia" w:ascii="仿宋_GB2312" w:hAnsi="仿宋_GB2312" w:eastAsia="仿宋_GB2312" w:cs="仿宋_GB2312"/>
                <w:b/>
              </w:rPr>
              <w:t>注：投标人提供证书材料并加盖投标人CA电子签章，否则不予计分。</w:t>
            </w:r>
          </w:p>
        </w:tc>
        <w:tc>
          <w:tcPr>
            <w:tcW w:w="1182" w:type="dxa"/>
            <w:noWrap w:val="0"/>
            <w:vAlign w:val="center"/>
          </w:tcPr>
          <w:p w14:paraId="1EC136F9">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lang w:eastAsia="zh-CN"/>
              </w:rPr>
            </w:pPr>
            <w:r>
              <w:rPr>
                <w:rFonts w:hint="eastAsia" w:ascii="仿宋_GB2312" w:hAnsi="仿宋_GB2312" w:eastAsia="仿宋_GB2312" w:cs="仿宋_GB2312"/>
                <w:b/>
                <w:bCs/>
                <w:highlight w:val="none"/>
                <w:lang w:val="en-US" w:eastAsia="zh-CN"/>
              </w:rPr>
              <w:t>3</w:t>
            </w:r>
          </w:p>
        </w:tc>
        <w:tc>
          <w:tcPr>
            <w:tcW w:w="1413" w:type="dxa"/>
            <w:noWrap w:val="0"/>
            <w:vAlign w:val="center"/>
          </w:tcPr>
          <w:p w14:paraId="12C1EBC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rPr>
              <w:t>相关认证证书材料</w:t>
            </w:r>
          </w:p>
        </w:tc>
      </w:tr>
      <w:tr w14:paraId="7097C5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64AAFB0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r>
              <w:rPr>
                <w:rFonts w:hint="eastAsia" w:ascii="仿宋_GB2312" w:hAnsi="宋体" w:eastAsia="仿宋_GB2312"/>
                <w:b/>
              </w:rPr>
              <w:t>政策功能分</w:t>
            </w:r>
          </w:p>
        </w:tc>
        <w:tc>
          <w:tcPr>
            <w:tcW w:w="1090" w:type="dxa"/>
            <w:noWrap w:val="0"/>
            <w:vAlign w:val="center"/>
          </w:tcPr>
          <w:p w14:paraId="40343781">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rPr>
            </w:pPr>
            <w:r>
              <w:rPr>
                <w:rFonts w:hint="eastAsia" w:ascii="仿宋_GB2312" w:hAnsi="宋体" w:eastAsia="仿宋_GB2312"/>
                <w:b/>
              </w:rPr>
              <w:t>政策功能</w:t>
            </w:r>
          </w:p>
        </w:tc>
        <w:tc>
          <w:tcPr>
            <w:tcW w:w="5776" w:type="dxa"/>
            <w:noWrap w:val="0"/>
            <w:vAlign w:val="center"/>
          </w:tcPr>
          <w:p w14:paraId="015D799C">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ascii="仿宋_GB2312" w:hAnsi="仿宋_GB2312" w:eastAsia="仿宋_GB2312" w:cs="仿宋_GB2312"/>
                <w:sz w:val="21"/>
                <w:szCs w:val="21"/>
              </w:rPr>
              <w:t>若采购货物属于财政部 生态环境部《关于印发环境标志产品政府采购品目清单的通知》中环境标志产品政府采购品目清单范围的，提供投标产品</w:t>
            </w:r>
            <w:r>
              <w:rPr>
                <w:rFonts w:hint="eastAsia" w:ascii="仿宋_GB2312" w:hAnsi="仿宋_GB2312" w:eastAsia="仿宋_GB2312" w:cs="仿宋_GB2312"/>
                <w:sz w:val="21"/>
                <w:szCs w:val="21"/>
                <w:lang w:eastAsia="zh-CN"/>
              </w:rPr>
              <w:t>由</w:t>
            </w:r>
            <w:r>
              <w:rPr>
                <w:rFonts w:hint="eastAsia" w:ascii="仿宋_GB2312" w:hAnsi="仿宋_GB2312" w:eastAsia="仿宋_GB2312" w:cs="仿宋_GB2312"/>
                <w:sz w:val="21"/>
                <w:szCs w:val="21"/>
              </w:rPr>
              <w:t>国家确定的认证机构出具的、处于有效期之内的环境标志产品认证证书材料并加盖投标人CA电子签章，每有一项产品得</w:t>
            </w:r>
            <w:r>
              <w:rPr>
                <w:rFonts w:hint="eastAsia" w:ascii="仿宋_GB2312" w:hAnsi="仿宋_GB2312" w:eastAsia="仿宋_GB2312" w:cs="仿宋_GB2312"/>
                <w:sz w:val="21"/>
                <w:szCs w:val="21"/>
                <w:lang w:val="en-US" w:eastAsia="zh-CN"/>
              </w:rPr>
              <w:t>0.5</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eastAsia="zh-CN"/>
              </w:rPr>
              <w:t>。</w:t>
            </w:r>
          </w:p>
        </w:tc>
        <w:tc>
          <w:tcPr>
            <w:tcW w:w="1182" w:type="dxa"/>
            <w:noWrap w:val="0"/>
            <w:vAlign w:val="center"/>
          </w:tcPr>
          <w:p w14:paraId="1645FA2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1</w:t>
            </w:r>
          </w:p>
        </w:tc>
        <w:tc>
          <w:tcPr>
            <w:tcW w:w="1413" w:type="dxa"/>
            <w:noWrap w:val="0"/>
            <w:vAlign w:val="center"/>
          </w:tcPr>
          <w:p w14:paraId="1C2B341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rPr>
              <w:t>相关证明材料</w:t>
            </w:r>
          </w:p>
        </w:tc>
      </w:tr>
      <w:tr w14:paraId="39E9C1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restart"/>
            <w:noWrap w:val="0"/>
            <w:vAlign w:val="center"/>
          </w:tcPr>
          <w:p w14:paraId="10E16B05">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b/>
                <w:bCs/>
              </w:rPr>
              <w:t>技术参数分</w:t>
            </w:r>
          </w:p>
        </w:tc>
        <w:tc>
          <w:tcPr>
            <w:tcW w:w="1090" w:type="dxa"/>
            <w:noWrap w:val="0"/>
            <w:vAlign w:val="center"/>
          </w:tcPr>
          <w:p w14:paraId="785CC62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b/>
                <w:bCs/>
              </w:rPr>
              <w:t>实质性技术参数</w:t>
            </w:r>
          </w:p>
        </w:tc>
        <w:tc>
          <w:tcPr>
            <w:tcW w:w="5776" w:type="dxa"/>
            <w:noWrap w:val="0"/>
            <w:vAlign w:val="center"/>
          </w:tcPr>
          <w:p w14:paraId="47078B57">
            <w:pPr>
              <w:numPr>
                <w:ilvl w:val="0"/>
                <w:numId w:val="0"/>
              </w:numPr>
              <w:spacing w:line="440" w:lineRule="exact"/>
              <w:ind w:firstLine="420" w:firstLineChars="200"/>
              <w:rPr>
                <w:rFonts w:ascii="仿宋_GB2312" w:hAnsi="仿宋_GB2312" w:eastAsia="仿宋_GB2312" w:cs="仿宋_GB2312"/>
                <w:color w:val="auto"/>
                <w:sz w:val="21"/>
                <w:szCs w:val="21"/>
              </w:rPr>
            </w:pPr>
            <w:r>
              <w:rPr>
                <w:rFonts w:hint="eastAsia" w:ascii="仿宋_GB2312" w:hAnsi="仿宋_GB2312" w:eastAsia="仿宋_GB2312" w:cs="仿宋_GB2312"/>
                <w:color w:val="auto"/>
                <w:sz w:val="21"/>
                <w:szCs w:val="21"/>
              </w:rPr>
              <w:t>所投产品标记“★”的技术参数中</w:t>
            </w:r>
            <w:r>
              <w:rPr>
                <w:rFonts w:hint="eastAsia" w:ascii="仿宋_GB2312" w:hAnsi="仿宋_GB2312" w:eastAsia="仿宋_GB2312" w:cs="仿宋_GB2312"/>
                <w:color w:val="auto"/>
                <w:sz w:val="21"/>
                <w:szCs w:val="21"/>
                <w:lang w:val="en-US" w:eastAsia="zh-CN"/>
              </w:rPr>
              <w:t>带“</w:t>
            </w:r>
            <w:r>
              <w:rPr>
                <w:rFonts w:hint="eastAsia" w:ascii="仿宋_GB2312" w:hAnsi="仿宋_GB2312" w:eastAsia="仿宋_GB2312" w:cs="仿宋_GB2312"/>
                <w:color w:val="auto"/>
                <w:sz w:val="21"/>
                <w:szCs w:val="21"/>
                <w:u w:val="wave"/>
                <w:lang w:val="en-US" w:eastAsia="zh-CN"/>
              </w:rPr>
              <w:t xml:space="preserve">   </w:t>
            </w:r>
            <w:r>
              <w:rPr>
                <w:rFonts w:hint="eastAsia" w:ascii="仿宋_GB2312" w:hAnsi="仿宋_GB2312" w:eastAsia="仿宋_GB2312" w:cs="仿宋_GB2312"/>
                <w:color w:val="auto"/>
                <w:sz w:val="21"/>
                <w:szCs w:val="21"/>
                <w:lang w:val="en-US" w:eastAsia="zh-CN"/>
              </w:rPr>
              <w:t>”</w:t>
            </w:r>
            <w:r>
              <w:rPr>
                <w:rFonts w:hint="eastAsia" w:ascii="仿宋_GB2312" w:hAnsi="仿宋_GB2312" w:eastAsia="仿宋_GB2312" w:cs="仿宋_GB2312"/>
                <w:color w:val="auto"/>
                <w:sz w:val="21"/>
                <w:szCs w:val="21"/>
              </w:rPr>
              <w:t>内容优于采购需求的，每有一项得</w:t>
            </w:r>
            <w:r>
              <w:rPr>
                <w:rFonts w:hint="eastAsia" w:ascii="仿宋_GB2312" w:hAnsi="仿宋_GB2312" w:eastAsia="仿宋_GB2312" w:cs="仿宋_GB2312"/>
                <w:b w:val="0"/>
                <w:bCs w:val="0"/>
                <w:lang w:val="en-US" w:eastAsia="zh-CN"/>
              </w:rPr>
              <w:t>3</w:t>
            </w:r>
            <w:r>
              <w:rPr>
                <w:rFonts w:hint="eastAsia" w:ascii="仿宋_GB2312" w:hAnsi="仿宋_GB2312" w:eastAsia="仿宋_GB2312" w:cs="仿宋_GB2312"/>
                <w:color w:val="auto"/>
                <w:sz w:val="21"/>
                <w:szCs w:val="21"/>
              </w:rPr>
              <w:t>分，满分</w:t>
            </w:r>
            <w:r>
              <w:rPr>
                <w:rFonts w:hint="eastAsia" w:ascii="仿宋_GB2312" w:hAnsi="仿宋_GB2312" w:eastAsia="仿宋_GB2312" w:cs="仿宋_GB2312"/>
                <w:b w:val="0"/>
                <w:bCs w:val="0"/>
                <w:lang w:val="en-US" w:eastAsia="zh-CN"/>
              </w:rPr>
              <w:t>15</w:t>
            </w:r>
            <w:r>
              <w:rPr>
                <w:rFonts w:hint="eastAsia" w:ascii="仿宋_GB2312" w:hAnsi="仿宋_GB2312" w:eastAsia="仿宋_GB2312" w:cs="仿宋_GB2312"/>
                <w:color w:val="auto"/>
                <w:sz w:val="21"/>
                <w:szCs w:val="21"/>
              </w:rPr>
              <w:t>分。</w:t>
            </w:r>
          </w:p>
          <w:p w14:paraId="2CC5054F">
            <w:pPr>
              <w:spacing w:line="440" w:lineRule="exact"/>
              <w:ind w:firstLine="422" w:firstLineChars="200"/>
              <w:rPr>
                <w:rFonts w:hint="eastAsia" w:ascii="仿宋_GB2312" w:hAnsi="仿宋_GB2312" w:eastAsia="仿宋_GB2312" w:cs="仿宋_GB2312"/>
                <w:b/>
                <w:bCs/>
                <w:color w:val="auto"/>
                <w:sz w:val="21"/>
                <w:szCs w:val="21"/>
                <w:lang w:eastAsia="zh-CN"/>
              </w:rPr>
            </w:pPr>
            <w:r>
              <w:rPr>
                <w:rFonts w:hint="eastAsia" w:ascii="仿宋_GB2312" w:hAnsi="仿宋_GB2312" w:eastAsia="仿宋_GB2312" w:cs="仿宋_GB2312"/>
                <w:b/>
                <w:bCs/>
                <w:color w:val="auto"/>
                <w:sz w:val="21"/>
                <w:szCs w:val="21"/>
              </w:rPr>
              <w:t>注：1.标记“★”</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rPr>
              <w:t>参数条款中≥XX的技术参数，投标人响应的参数仅等于XX的为无偏离，&gt;XX为正偏离（优于）；≤XX的技术参数，投标人响应的参数仅等于XX的为无偏离，＜XX为正偏离（优于）</w:t>
            </w:r>
            <w:r>
              <w:rPr>
                <w:rFonts w:hint="eastAsia" w:ascii="仿宋_GB2312" w:hAnsi="仿宋_GB2312" w:eastAsia="仿宋_GB2312" w:cs="仿宋_GB2312"/>
                <w:b/>
                <w:bCs/>
                <w:color w:val="auto"/>
                <w:sz w:val="21"/>
                <w:szCs w:val="21"/>
                <w:highlight w:val="none"/>
                <w:lang w:eastAsia="zh-CN"/>
              </w:rPr>
              <w:t>；</w:t>
            </w:r>
          </w:p>
          <w:p w14:paraId="607EC191">
            <w:pPr>
              <w:spacing w:line="460" w:lineRule="exact"/>
              <w:ind w:firstLine="422" w:firstLineChars="200"/>
              <w:rPr>
                <w:rFonts w:ascii="仿宋_GB2312" w:hAnsi="仿宋_GB2312" w:eastAsia="仿宋_GB2312" w:cs="仿宋_GB2312"/>
              </w:rPr>
            </w:pPr>
            <w:r>
              <w:rPr>
                <w:rFonts w:hint="eastAsia" w:ascii="仿宋_GB2312" w:hAnsi="仿宋_GB2312" w:eastAsia="仿宋_GB2312" w:cs="仿宋_GB2312"/>
                <w:b/>
                <w:bCs/>
                <w:color w:val="auto"/>
                <w:sz w:val="21"/>
                <w:szCs w:val="21"/>
                <w:lang w:val="en-US" w:eastAsia="zh-CN"/>
              </w:rPr>
              <w:t>2.</w:t>
            </w:r>
            <w:r>
              <w:rPr>
                <w:rFonts w:hint="eastAsia" w:ascii="仿宋_GB2312" w:hAnsi="仿宋_GB2312" w:eastAsia="仿宋_GB2312" w:cs="仿宋_GB2312"/>
                <w:b/>
                <w:bCs/>
                <w:color w:val="auto"/>
                <w:sz w:val="21"/>
                <w:szCs w:val="21"/>
              </w:rPr>
              <w:t>标记“★”</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rPr>
              <w:t>参数中内容优于采购需求的</w:t>
            </w:r>
            <w:r>
              <w:rPr>
                <w:rFonts w:hint="eastAsia" w:ascii="仿宋_GB2312" w:hAnsi="仿宋_GB2312" w:eastAsia="仿宋_GB2312" w:cs="仿宋_GB2312"/>
                <w:b/>
                <w:bCs/>
                <w:color w:val="auto"/>
                <w:sz w:val="21"/>
                <w:szCs w:val="21"/>
                <w:lang w:eastAsia="zh-CN"/>
              </w:rPr>
              <w:t>，投标人提供具有CMA或CNAS标识的检测（检验）报告或提供其它证明材料（彩页、产品说明书、官网或功能截图等其中任意一项）</w:t>
            </w:r>
            <w:r>
              <w:rPr>
                <w:rFonts w:hint="eastAsia" w:ascii="仿宋_GB2312" w:hAnsi="仿宋_GB2312" w:eastAsia="仿宋_GB2312" w:cs="仿宋_GB2312"/>
                <w:b/>
                <w:bCs/>
                <w:color w:val="auto"/>
                <w:sz w:val="21"/>
                <w:szCs w:val="21"/>
                <w:lang w:val="en-US" w:eastAsia="zh-CN"/>
              </w:rPr>
              <w:t>并加盖投标人CA电子签章（提供的检测报告能体现标记“</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lang w:val="en-US" w:eastAsia="zh-CN"/>
              </w:rPr>
              <w:t>”带波浪线</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lang w:val="en-US" w:eastAsia="zh-CN"/>
              </w:rPr>
              <w:t>的技术参数）</w:t>
            </w:r>
            <w:r>
              <w:rPr>
                <w:rFonts w:hint="eastAsia" w:ascii="仿宋_GB2312" w:hAnsi="仿宋_GB2312" w:eastAsia="仿宋_GB2312" w:cs="仿宋_GB2312"/>
                <w:b/>
                <w:bCs/>
                <w:color w:val="auto"/>
                <w:sz w:val="21"/>
                <w:szCs w:val="21"/>
              </w:rPr>
              <w:t>，如未提供检测报告或其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证明材料，或</w:t>
            </w:r>
            <w:r>
              <w:rPr>
                <w:rFonts w:hint="eastAsia" w:ascii="仿宋_GB2312" w:hAnsi="仿宋_GB2312" w:eastAsia="仿宋_GB2312" w:cs="仿宋_GB2312"/>
                <w:b/>
                <w:bCs/>
                <w:color w:val="auto"/>
                <w:sz w:val="21"/>
                <w:szCs w:val="21"/>
                <w:lang w:eastAsia="zh-CN"/>
              </w:rPr>
              <w:t>提供的</w:t>
            </w:r>
            <w:r>
              <w:rPr>
                <w:rFonts w:hint="eastAsia" w:ascii="仿宋_GB2312" w:hAnsi="仿宋_GB2312" w:eastAsia="仿宋_GB2312" w:cs="仿宋_GB2312"/>
                <w:b/>
                <w:bCs/>
                <w:color w:val="auto"/>
                <w:sz w:val="21"/>
                <w:szCs w:val="21"/>
              </w:rPr>
              <w:t>检测报告与其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证明材料内容</w:t>
            </w:r>
            <w:r>
              <w:rPr>
                <w:rFonts w:hint="eastAsia" w:ascii="仿宋_GB2312" w:hAnsi="仿宋_GB2312" w:eastAsia="仿宋_GB2312" w:cs="仿宋_GB2312"/>
                <w:b/>
                <w:bCs/>
                <w:color w:val="auto"/>
                <w:sz w:val="21"/>
                <w:szCs w:val="21"/>
                <w:lang w:eastAsia="zh-CN"/>
              </w:rPr>
              <w:t>无优于的，</w:t>
            </w:r>
            <w:r>
              <w:rPr>
                <w:rFonts w:hint="eastAsia" w:ascii="仿宋_GB2312" w:hAnsi="仿宋_GB2312" w:eastAsia="仿宋_GB2312" w:cs="仿宋_GB2312"/>
                <w:b/>
                <w:bCs/>
                <w:color w:val="auto"/>
                <w:sz w:val="21"/>
                <w:szCs w:val="21"/>
              </w:rPr>
              <w:t>对应项不予计分。</w:t>
            </w:r>
          </w:p>
        </w:tc>
        <w:tc>
          <w:tcPr>
            <w:tcW w:w="1182" w:type="dxa"/>
            <w:noWrap w:val="0"/>
            <w:vAlign w:val="center"/>
          </w:tcPr>
          <w:p w14:paraId="39F92AB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strike/>
                <w:lang w:val="en-US" w:eastAsia="zh-CN"/>
              </w:rPr>
            </w:pPr>
            <w:r>
              <w:rPr>
                <w:rFonts w:hint="eastAsia" w:ascii="仿宋_GB2312" w:hAnsi="仿宋_GB2312" w:eastAsia="仿宋_GB2312" w:cs="仿宋_GB2312"/>
                <w:b/>
                <w:bCs/>
                <w:lang w:val="en-US" w:eastAsia="zh-CN"/>
              </w:rPr>
              <w:t>15</w:t>
            </w:r>
          </w:p>
        </w:tc>
        <w:tc>
          <w:tcPr>
            <w:tcW w:w="1413" w:type="dxa"/>
            <w:vMerge w:val="restart"/>
            <w:noWrap w:val="0"/>
            <w:vAlign w:val="center"/>
          </w:tcPr>
          <w:p w14:paraId="2826AB2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lang w:val="en-US" w:eastAsia="zh-CN"/>
              </w:rPr>
            </w:pPr>
            <w:r>
              <w:rPr>
                <w:rFonts w:hint="eastAsia" w:ascii="仿宋_GB2312" w:hAnsi="仿宋_GB2312" w:eastAsia="仿宋_GB2312" w:cs="仿宋_GB2312"/>
              </w:rPr>
              <w:t>技术响应表</w:t>
            </w:r>
            <w:r>
              <w:rPr>
                <w:rFonts w:hint="eastAsia" w:ascii="仿宋_GB2312" w:hAnsi="仿宋_GB2312" w:eastAsia="仿宋_GB2312" w:cs="仿宋_GB2312"/>
                <w:lang w:val="en-US" w:eastAsia="zh-CN"/>
              </w:rPr>
              <w:t>及相关证明材料</w:t>
            </w:r>
          </w:p>
        </w:tc>
      </w:tr>
      <w:tr w14:paraId="0D9279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continue"/>
            <w:noWrap w:val="0"/>
            <w:vAlign w:val="center"/>
          </w:tcPr>
          <w:p w14:paraId="7F04A2DE">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p>
        </w:tc>
        <w:tc>
          <w:tcPr>
            <w:tcW w:w="1090" w:type="dxa"/>
            <w:noWrap w:val="0"/>
            <w:vAlign w:val="center"/>
          </w:tcPr>
          <w:p w14:paraId="23F1D48D">
            <w:pPr>
              <w:spacing w:line="360" w:lineRule="exact"/>
              <w:jc w:val="center"/>
              <w:rPr>
                <w:rFonts w:hint="eastAsia"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eastAsia="zh-CN"/>
              </w:rPr>
              <w:t>重</w:t>
            </w:r>
            <w:r>
              <w:rPr>
                <w:rFonts w:hint="eastAsia" w:ascii="仿宋_GB2312" w:hAnsi="仿宋_GB2312" w:eastAsia="仿宋_GB2312" w:cs="仿宋_GB2312"/>
                <w:b/>
                <w:bCs/>
                <w:color w:val="auto"/>
                <w:szCs w:val="24"/>
                <w:highlight w:val="none"/>
              </w:rPr>
              <w:t>要技术参数</w:t>
            </w:r>
          </w:p>
        </w:tc>
        <w:tc>
          <w:tcPr>
            <w:tcW w:w="5776" w:type="dxa"/>
            <w:noWrap w:val="0"/>
            <w:vAlign w:val="center"/>
          </w:tcPr>
          <w:p w14:paraId="6497AE9A">
            <w:pPr>
              <w:spacing w:line="460" w:lineRule="exact"/>
              <w:ind w:firstLine="420" w:firstLineChars="200"/>
              <w:rPr>
                <w:rFonts w:hint="eastAsia" w:ascii="仿宋_GB2312" w:hAnsi="仿宋_GB2312" w:eastAsia="仿宋_GB2312" w:cs="仿宋_GB2312"/>
                <w:sz w:val="21"/>
                <w:szCs w:val="21"/>
              </w:rPr>
            </w:pPr>
            <w:r>
              <w:rPr>
                <w:rFonts w:hint="eastAsia" w:ascii="仿宋_GB2312" w:hAnsi="仿宋_GB2312" w:eastAsia="仿宋_GB2312" w:cs="仿宋_GB2312"/>
                <w:sz w:val="21"/>
                <w:szCs w:val="21"/>
              </w:rPr>
              <w:t>所投产品标记“◆”的技术参数</w:t>
            </w:r>
            <w:r>
              <w:rPr>
                <w:rFonts w:hint="eastAsia" w:ascii="仿宋_GB2312" w:hAnsi="仿宋_GB2312" w:eastAsia="仿宋_GB2312" w:cs="仿宋_GB2312"/>
                <w:sz w:val="21"/>
                <w:szCs w:val="21"/>
                <w:lang w:val="en-US" w:eastAsia="zh-CN"/>
              </w:rPr>
              <w:t>中带“</w:t>
            </w:r>
            <w:r>
              <w:rPr>
                <w:rFonts w:hint="eastAsia" w:ascii="仿宋_GB2312" w:hAnsi="仿宋_GB2312" w:eastAsia="仿宋_GB2312" w:cs="仿宋_GB2312"/>
                <w:sz w:val="21"/>
                <w:szCs w:val="21"/>
                <w:u w:val="wave"/>
                <w:lang w:val="en-US" w:eastAsia="zh-CN"/>
              </w:rPr>
              <w:t xml:space="preserve">   </w:t>
            </w:r>
            <w:r>
              <w:rPr>
                <w:rFonts w:hint="eastAsia" w:ascii="仿宋_GB2312" w:hAnsi="仿宋_GB2312" w:eastAsia="仿宋_GB2312" w:cs="仿宋_GB2312"/>
                <w:sz w:val="21"/>
                <w:szCs w:val="21"/>
                <w:lang w:val="en-US" w:eastAsia="zh-CN"/>
              </w:rPr>
              <w:t>”</w:t>
            </w:r>
            <w:r>
              <w:rPr>
                <w:rFonts w:hint="eastAsia" w:ascii="仿宋_GB2312" w:hAnsi="仿宋_GB2312" w:eastAsia="仿宋_GB2312" w:cs="仿宋_GB2312"/>
                <w:sz w:val="21"/>
                <w:szCs w:val="21"/>
              </w:rPr>
              <w:t>内容优于采购需求的，每有一项得</w:t>
            </w:r>
            <w:r>
              <w:rPr>
                <w:rFonts w:hint="eastAsia" w:ascii="仿宋_GB2312" w:hAnsi="仿宋_GB2312" w:eastAsia="仿宋_GB2312" w:cs="仿宋_GB2312"/>
                <w:b/>
                <w:bCs/>
                <w:lang w:val="en-US" w:eastAsia="zh-CN"/>
              </w:rPr>
              <w:t>2</w:t>
            </w:r>
            <w:r>
              <w:rPr>
                <w:rFonts w:hint="eastAsia" w:ascii="仿宋_GB2312" w:hAnsi="仿宋_GB2312" w:eastAsia="仿宋_GB2312" w:cs="仿宋_GB2312"/>
                <w:bCs/>
                <w:sz w:val="21"/>
                <w:szCs w:val="21"/>
              </w:rPr>
              <w:t>分</w:t>
            </w:r>
            <w:r>
              <w:rPr>
                <w:rFonts w:hint="eastAsia" w:ascii="仿宋_GB2312" w:hAnsi="仿宋_GB2312" w:eastAsia="仿宋_GB2312" w:cs="仿宋_GB2312"/>
                <w:sz w:val="21"/>
                <w:szCs w:val="21"/>
              </w:rPr>
              <w:t>，满分</w:t>
            </w:r>
            <w:r>
              <w:rPr>
                <w:rFonts w:hint="eastAsia" w:ascii="仿宋_GB2312" w:hAnsi="仿宋_GB2312" w:eastAsia="仿宋_GB2312" w:cs="仿宋_GB2312"/>
                <w:b/>
                <w:bCs/>
                <w:lang w:val="en-US" w:eastAsia="zh-CN"/>
              </w:rPr>
              <w:t>18</w:t>
            </w:r>
            <w:r>
              <w:rPr>
                <w:rFonts w:hint="eastAsia" w:ascii="仿宋_GB2312" w:hAnsi="仿宋_GB2312" w:eastAsia="仿宋_GB2312" w:cs="仿宋_GB2312"/>
                <w:bCs/>
                <w:sz w:val="21"/>
                <w:szCs w:val="21"/>
              </w:rPr>
              <w:t>分</w:t>
            </w:r>
            <w:r>
              <w:rPr>
                <w:rFonts w:hint="eastAsia" w:ascii="仿宋_GB2312" w:hAnsi="仿宋_GB2312" w:eastAsia="仿宋_GB2312" w:cs="仿宋_GB2312"/>
                <w:sz w:val="21"/>
                <w:szCs w:val="21"/>
              </w:rPr>
              <w:t xml:space="preserve">。     </w:t>
            </w:r>
          </w:p>
          <w:p w14:paraId="3B048DB1">
            <w:pPr>
              <w:spacing w:line="440" w:lineRule="exact"/>
              <w:ind w:firstLine="422" w:firstLineChars="200"/>
              <w:rPr>
                <w:rFonts w:hint="eastAsia" w:ascii="仿宋_GB2312" w:hAnsi="仿宋_GB2312" w:eastAsia="仿宋_GB2312" w:cs="仿宋_GB2312"/>
                <w:b/>
                <w:bCs/>
                <w:color w:val="auto"/>
                <w:sz w:val="21"/>
                <w:szCs w:val="21"/>
                <w:lang w:eastAsia="zh-CN"/>
              </w:rPr>
            </w:pPr>
            <w:r>
              <w:rPr>
                <w:rFonts w:hint="eastAsia" w:ascii="仿宋_GB2312" w:hAnsi="仿宋_GB2312" w:eastAsia="仿宋_GB2312" w:cs="仿宋_GB2312"/>
                <w:b/>
                <w:bCs/>
                <w:color w:val="auto"/>
                <w:sz w:val="21"/>
                <w:szCs w:val="21"/>
              </w:rPr>
              <w:t>注：1.标记“</w:t>
            </w:r>
            <w:r>
              <w:rPr>
                <w:rFonts w:hint="eastAsia" w:ascii="仿宋_GB2312" w:hAnsi="仿宋_GB2312" w:eastAsia="仿宋_GB2312" w:cs="仿宋_GB2312"/>
                <w:sz w:val="21"/>
                <w:szCs w:val="21"/>
              </w:rPr>
              <w:t>◆</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rPr>
              <w:t>参数条款中≥XX的技术参数，投标人响应的参数仅等于XX的为无偏离，&gt;XX为正偏离（优于）；≤XX的技术参数，投标人响应的参数仅等于XX的为无偏离，＜XX为正偏离（优于）</w:t>
            </w:r>
            <w:r>
              <w:rPr>
                <w:rFonts w:hint="eastAsia" w:ascii="仿宋_GB2312" w:hAnsi="仿宋_GB2312" w:eastAsia="仿宋_GB2312" w:cs="仿宋_GB2312"/>
                <w:b/>
                <w:bCs/>
                <w:color w:val="auto"/>
                <w:sz w:val="21"/>
                <w:szCs w:val="21"/>
                <w:highlight w:val="none"/>
                <w:lang w:eastAsia="zh-CN"/>
              </w:rPr>
              <w:t>；</w:t>
            </w:r>
          </w:p>
          <w:p w14:paraId="66DC8923">
            <w:pPr>
              <w:spacing w:line="460" w:lineRule="exact"/>
              <w:ind w:firstLine="422" w:firstLineChars="200"/>
              <w:rPr>
                <w:rFonts w:hint="eastAsia" w:ascii="Times New Roman" w:hAnsi="Times New Roman" w:eastAsia="宋体" w:cs="Times New Roman"/>
                <w:bCs/>
                <w:color w:val="auto"/>
                <w:spacing w:val="10"/>
                <w:kern w:val="0"/>
                <w:sz w:val="24"/>
                <w:szCs w:val="24"/>
                <w:highlight w:val="none"/>
                <w:lang w:val="en-US" w:eastAsia="zh-CN" w:bidi="ar-SA"/>
              </w:rPr>
            </w:pPr>
            <w:r>
              <w:rPr>
                <w:rFonts w:hint="eastAsia" w:ascii="仿宋_GB2312" w:hAnsi="仿宋_GB2312" w:eastAsia="仿宋_GB2312" w:cs="仿宋_GB2312"/>
                <w:b/>
                <w:bCs/>
                <w:color w:val="auto"/>
                <w:sz w:val="21"/>
                <w:szCs w:val="21"/>
                <w:lang w:val="en-US" w:eastAsia="zh-CN"/>
              </w:rPr>
              <w:t>2.</w:t>
            </w:r>
            <w:r>
              <w:rPr>
                <w:rFonts w:hint="eastAsia" w:ascii="仿宋_GB2312" w:hAnsi="仿宋_GB2312" w:eastAsia="仿宋_GB2312" w:cs="仿宋_GB2312"/>
                <w:b/>
                <w:bCs/>
                <w:color w:val="auto"/>
                <w:sz w:val="21"/>
                <w:szCs w:val="21"/>
              </w:rPr>
              <w:t>标记“</w:t>
            </w:r>
            <w:r>
              <w:rPr>
                <w:rFonts w:hint="eastAsia" w:ascii="仿宋_GB2312" w:hAnsi="仿宋_GB2312" w:eastAsia="仿宋_GB2312" w:cs="仿宋_GB2312"/>
                <w:sz w:val="21"/>
                <w:szCs w:val="21"/>
              </w:rPr>
              <w:t>◆</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rPr>
              <w:t>参数中内容优于采购需求的</w:t>
            </w:r>
            <w:r>
              <w:rPr>
                <w:rFonts w:hint="eastAsia" w:ascii="仿宋_GB2312" w:hAnsi="仿宋_GB2312" w:eastAsia="仿宋_GB2312" w:cs="仿宋_GB2312"/>
                <w:b/>
                <w:bCs/>
                <w:color w:val="auto"/>
                <w:sz w:val="21"/>
                <w:szCs w:val="21"/>
                <w:lang w:eastAsia="zh-CN"/>
              </w:rPr>
              <w:t>，投标人提供具有CMA或CNAS标识的检测（检验）报告或提供其它证明材料（彩页、产品说明书、官网或功能截图等其中任意一项）</w:t>
            </w:r>
            <w:r>
              <w:rPr>
                <w:rFonts w:hint="eastAsia" w:ascii="仿宋_GB2312" w:hAnsi="仿宋_GB2312" w:eastAsia="仿宋_GB2312" w:cs="仿宋_GB2312"/>
                <w:b/>
                <w:bCs/>
                <w:color w:val="auto"/>
                <w:sz w:val="21"/>
                <w:szCs w:val="21"/>
                <w:lang w:val="en-US" w:eastAsia="zh-CN"/>
              </w:rPr>
              <w:t>并加盖投标人CA电子签章。提供的检测报告或其他证明材料能体现标记“</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lang w:val="en-US" w:eastAsia="zh-CN"/>
              </w:rPr>
              <w:t>”带波浪线</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lang w:val="en-US" w:eastAsia="zh-CN"/>
              </w:rPr>
              <w:t>的技术参数，</w:t>
            </w:r>
            <w:r>
              <w:rPr>
                <w:rFonts w:hint="eastAsia" w:ascii="仿宋_GB2312" w:hAnsi="仿宋_GB2312" w:eastAsia="仿宋_GB2312" w:cs="仿宋_GB2312"/>
                <w:b/>
                <w:bCs/>
                <w:color w:val="auto"/>
                <w:sz w:val="21"/>
                <w:szCs w:val="21"/>
              </w:rPr>
              <w:t>如未提供检测报告或其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证明材料，或</w:t>
            </w:r>
            <w:r>
              <w:rPr>
                <w:rFonts w:hint="eastAsia" w:ascii="仿宋_GB2312" w:hAnsi="仿宋_GB2312" w:eastAsia="仿宋_GB2312" w:cs="仿宋_GB2312"/>
                <w:b/>
                <w:bCs/>
                <w:color w:val="auto"/>
                <w:sz w:val="21"/>
                <w:szCs w:val="21"/>
                <w:lang w:eastAsia="zh-CN"/>
              </w:rPr>
              <w:t>提供的</w:t>
            </w:r>
            <w:r>
              <w:rPr>
                <w:rFonts w:hint="eastAsia" w:ascii="仿宋_GB2312" w:hAnsi="仿宋_GB2312" w:eastAsia="仿宋_GB2312" w:cs="仿宋_GB2312"/>
                <w:b/>
                <w:bCs/>
                <w:color w:val="auto"/>
                <w:sz w:val="21"/>
                <w:szCs w:val="21"/>
              </w:rPr>
              <w:t>检测报告与其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证明材料内容</w:t>
            </w:r>
            <w:r>
              <w:rPr>
                <w:rFonts w:hint="eastAsia" w:ascii="仿宋_GB2312" w:hAnsi="仿宋_GB2312" w:eastAsia="仿宋_GB2312" w:cs="仿宋_GB2312"/>
                <w:b/>
                <w:bCs/>
                <w:color w:val="auto"/>
                <w:sz w:val="21"/>
                <w:szCs w:val="21"/>
                <w:lang w:eastAsia="zh-CN"/>
              </w:rPr>
              <w:t>无优于的，</w:t>
            </w:r>
            <w:r>
              <w:rPr>
                <w:rFonts w:hint="eastAsia" w:ascii="仿宋_GB2312" w:hAnsi="仿宋_GB2312" w:eastAsia="仿宋_GB2312" w:cs="仿宋_GB2312"/>
                <w:b/>
                <w:bCs/>
                <w:color w:val="auto"/>
                <w:sz w:val="21"/>
                <w:szCs w:val="21"/>
              </w:rPr>
              <w:t>对应项不予计分。</w:t>
            </w:r>
          </w:p>
        </w:tc>
        <w:tc>
          <w:tcPr>
            <w:tcW w:w="1182" w:type="dxa"/>
            <w:noWrap w:val="0"/>
            <w:vAlign w:val="center"/>
          </w:tcPr>
          <w:p w14:paraId="56815922">
            <w:pPr>
              <w:spacing w:line="360" w:lineRule="exact"/>
              <w:jc w:val="center"/>
              <w:rPr>
                <w:rFonts w:hint="default"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lang w:val="en-US" w:eastAsia="zh-CN"/>
              </w:rPr>
              <w:t>18</w:t>
            </w:r>
          </w:p>
        </w:tc>
        <w:tc>
          <w:tcPr>
            <w:tcW w:w="1413" w:type="dxa"/>
            <w:vMerge w:val="continue"/>
            <w:noWrap w:val="0"/>
            <w:vAlign w:val="center"/>
          </w:tcPr>
          <w:p w14:paraId="28F501F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rPr>
            </w:pPr>
          </w:p>
        </w:tc>
      </w:tr>
      <w:tr w14:paraId="17DDE7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noWrap w:val="0"/>
            <w:vAlign w:val="center"/>
          </w:tcPr>
          <w:p w14:paraId="22DC1183">
            <w:pPr>
              <w:pStyle w:val="715"/>
              <w:keepNext w:val="0"/>
              <w:keepLines w:val="0"/>
              <w:pageBreakBefore w:val="0"/>
              <w:tabs>
                <w:tab w:val="left" w:pos="312"/>
              </w:tabs>
              <w:kinsoku/>
              <w:wordWrap/>
              <w:overflowPunct/>
              <w:topLinePunct w:val="0"/>
              <w:autoSpaceDE/>
              <w:autoSpaceDN/>
              <w:bidi w:val="0"/>
              <w:adjustRightInd/>
              <w:snapToGrid/>
              <w:spacing w:line="400" w:lineRule="exact"/>
              <w:ind w:firstLine="0" w:firstLineChars="0"/>
              <w:jc w:val="center"/>
              <w:textAlignment w:val="auto"/>
              <w:rPr>
                <w:rFonts w:ascii="仿宋_GB2312" w:hAnsi="仿宋_GB2312" w:eastAsia="仿宋_GB2312" w:cs="仿宋_GB2312"/>
                <w:szCs w:val="24"/>
              </w:rPr>
            </w:pPr>
            <w:r>
              <w:rPr>
                <w:rFonts w:hint="eastAsia" w:ascii="仿宋_GB2312" w:hAnsi="宋体" w:eastAsia="仿宋_GB2312"/>
                <w:b/>
                <w:bCs/>
              </w:rPr>
              <w:t>客观分总分</w:t>
            </w:r>
          </w:p>
        </w:tc>
        <w:tc>
          <w:tcPr>
            <w:tcW w:w="1182" w:type="dxa"/>
            <w:noWrap w:val="0"/>
            <w:vAlign w:val="center"/>
          </w:tcPr>
          <w:p w14:paraId="0121AC1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宋体" w:cs="仿宋_GB2312"/>
                <w:b/>
                <w:bCs/>
                <w:lang w:val="en-US" w:eastAsia="zh-CN"/>
              </w:rPr>
            </w:pPr>
            <w:r>
              <w:rPr>
                <w:rFonts w:hint="eastAsia" w:ascii="仿宋_GB2312" w:hAnsi="仿宋_GB2312" w:eastAsia="仿宋_GB2312" w:cs="仿宋_GB2312"/>
                <w:b/>
                <w:bCs/>
                <w:lang w:val="en-US" w:eastAsia="zh-CN"/>
              </w:rPr>
              <w:t>67</w:t>
            </w:r>
          </w:p>
        </w:tc>
        <w:tc>
          <w:tcPr>
            <w:tcW w:w="1413" w:type="dxa"/>
            <w:noWrap w:val="0"/>
            <w:vAlign w:val="center"/>
          </w:tcPr>
          <w:p w14:paraId="3A62C2A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p>
        </w:tc>
      </w:tr>
    </w:tbl>
    <w:tbl>
      <w:tblPr>
        <w:tblStyle w:val="714"/>
        <w:tblpPr w:leftFromText="180" w:rightFromText="180" w:vertAnchor="text" w:horzAnchor="page" w:tblpX="661"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859"/>
        <w:gridCol w:w="967"/>
        <w:gridCol w:w="1550"/>
      </w:tblGrid>
      <w:tr w14:paraId="493AF2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315" w:type="dxa"/>
            <w:gridSpan w:val="5"/>
            <w:shd w:val="clear" w:color="auto" w:fill="D7D7D7"/>
            <w:noWrap w:val="0"/>
            <w:vAlign w:val="center"/>
          </w:tcPr>
          <w:p w14:paraId="150A41D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eastAsia="仿宋_GB2312"/>
                <w:b/>
                <w:sz w:val="32"/>
              </w:rPr>
              <w:t>主观分</w:t>
            </w:r>
          </w:p>
        </w:tc>
      </w:tr>
      <w:tr w14:paraId="20639D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49" w:type="dxa"/>
            <w:noWrap w:val="0"/>
            <w:vAlign w:val="center"/>
          </w:tcPr>
          <w:p w14:paraId="37F004F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评分项</w:t>
            </w:r>
          </w:p>
        </w:tc>
        <w:tc>
          <w:tcPr>
            <w:tcW w:w="1090" w:type="dxa"/>
            <w:noWrap w:val="0"/>
            <w:vAlign w:val="center"/>
          </w:tcPr>
          <w:p w14:paraId="39E1ADD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评审因素</w:t>
            </w:r>
          </w:p>
        </w:tc>
        <w:tc>
          <w:tcPr>
            <w:tcW w:w="5859" w:type="dxa"/>
            <w:noWrap w:val="0"/>
            <w:vAlign w:val="center"/>
          </w:tcPr>
          <w:p w14:paraId="22203BCF">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评分标准说明</w:t>
            </w:r>
          </w:p>
        </w:tc>
        <w:tc>
          <w:tcPr>
            <w:tcW w:w="967" w:type="dxa"/>
            <w:noWrap w:val="0"/>
            <w:vAlign w:val="center"/>
          </w:tcPr>
          <w:p w14:paraId="74F3F5F5">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分值</w:t>
            </w:r>
          </w:p>
        </w:tc>
        <w:tc>
          <w:tcPr>
            <w:tcW w:w="1550" w:type="dxa"/>
            <w:noWrap w:val="0"/>
            <w:vAlign w:val="center"/>
          </w:tcPr>
          <w:p w14:paraId="2624008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662377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78659BEB">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r>
              <w:rPr>
                <w:rFonts w:hint="eastAsia" w:ascii="仿宋_GB2312" w:hAnsi="仿宋_GB2312" w:eastAsia="仿宋_GB2312" w:cs="仿宋_GB2312"/>
                <w:b/>
                <w:bCs/>
              </w:rPr>
              <w:t>项目实施方案分</w:t>
            </w:r>
          </w:p>
        </w:tc>
        <w:tc>
          <w:tcPr>
            <w:tcW w:w="1090" w:type="dxa"/>
            <w:noWrap w:val="0"/>
            <w:vAlign w:val="center"/>
          </w:tcPr>
          <w:p w14:paraId="1F816788">
            <w:pPr>
              <w:spacing w:line="360" w:lineRule="exact"/>
              <w:jc w:val="center"/>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eastAsia="zh-CN"/>
              </w:rPr>
              <w:t>项目实施方案</w:t>
            </w:r>
          </w:p>
        </w:tc>
        <w:tc>
          <w:tcPr>
            <w:tcW w:w="5859" w:type="dxa"/>
            <w:noWrap w:val="0"/>
            <w:vAlign w:val="center"/>
          </w:tcPr>
          <w:p w14:paraId="25158CFD">
            <w:pPr>
              <w:pStyle w:val="728"/>
              <w:snapToGrid w:val="0"/>
              <w:spacing w:line="400" w:lineRule="exact"/>
              <w:ind w:firstLine="422" w:firstLineChars="200"/>
              <w:rPr>
                <w:rFonts w:ascii="仿宋_GB2312" w:hAnsi="仿宋_GB2312" w:eastAsia="仿宋_GB2312" w:cs="仿宋_GB2312"/>
                <w:sz w:val="21"/>
                <w:szCs w:val="21"/>
              </w:rPr>
            </w:pPr>
            <w:r>
              <w:rPr>
                <w:rFonts w:hint="eastAsia" w:ascii="仿宋_GB2312" w:hAnsi="仿宋_GB2312" w:eastAsia="仿宋_GB2312" w:cs="仿宋_GB2312"/>
                <w:b/>
                <w:bCs/>
                <w:color w:val="000000" w:themeColor="text1"/>
                <w:sz w:val="21"/>
                <w:szCs w:val="21"/>
                <w14:textFill>
                  <w14:solidFill>
                    <w14:schemeClr w14:val="tx1"/>
                  </w14:solidFill>
                </w14:textFill>
              </w:rPr>
              <w:t>一档（</w:t>
            </w:r>
            <w:r>
              <w:rPr>
                <w:rFonts w:hint="eastAsia" w:ascii="仿宋_GB2312" w:hAnsi="仿宋_GB2312" w:eastAsia="仿宋_GB2312" w:cs="仿宋_GB2312"/>
                <w:b/>
                <w:bCs/>
                <w:color w:val="000000" w:themeColor="text1"/>
                <w:sz w:val="21"/>
                <w:szCs w:val="21"/>
                <w:lang w:val="en-US" w:eastAsia="zh-CN"/>
                <w14:textFill>
                  <w14:solidFill>
                    <w14:schemeClr w14:val="tx1"/>
                  </w14:solidFill>
                </w14:textFill>
              </w:rPr>
              <w:t>16</w:t>
            </w:r>
            <w:r>
              <w:rPr>
                <w:rFonts w:hint="eastAsia" w:ascii="仿宋_GB2312" w:hAnsi="仿宋_GB2312" w:eastAsia="仿宋_GB2312" w:cs="仿宋_GB2312"/>
                <w:b/>
                <w:bCs/>
                <w:color w:val="000000" w:themeColor="text1"/>
                <w:sz w:val="21"/>
                <w:szCs w:val="21"/>
                <w14:textFill>
                  <w14:solidFill>
                    <w14:schemeClr w14:val="tx1"/>
                  </w14:solidFill>
                </w14:textFill>
              </w:rPr>
              <w:t>分）</w:t>
            </w:r>
            <w:r>
              <w:rPr>
                <w:rFonts w:hint="eastAsia" w:ascii="仿宋_GB2312" w:hAnsi="仿宋_GB2312" w:eastAsia="仿宋_GB2312" w:cs="仿宋_GB2312"/>
                <w:color w:val="000000" w:themeColor="text1"/>
                <w:sz w:val="21"/>
                <w:szCs w:val="21"/>
                <w14:textFill>
                  <w14:solidFill>
                    <w14:schemeClr w14:val="tx1"/>
                  </w14:solidFill>
                </w14:textFill>
              </w:rPr>
              <w:t>：</w:t>
            </w:r>
            <w:r>
              <w:rPr>
                <w:rFonts w:hint="eastAsia" w:ascii="仿宋_GB2312" w:hAnsi="仿宋_GB2312" w:eastAsia="仿宋_GB2312" w:cs="仿宋_GB2312"/>
                <w:sz w:val="21"/>
                <w:szCs w:val="21"/>
              </w:rPr>
              <w:t>在满足二档的基础上，安装质量保证措施阐述清晰合理、明确且符合本次采购需求，对各项关键工作安排合理；</w:t>
            </w:r>
            <w:r>
              <w:rPr>
                <w:rFonts w:hint="eastAsia" w:ascii="仿宋_GB2312" w:hAnsi="Times New Roman" w:eastAsia="仿宋_GB2312" w:cs="Times New Roman"/>
                <w:color w:val="000000"/>
                <w:kern w:val="2"/>
                <w:sz w:val="21"/>
                <w:szCs w:val="24"/>
                <w:lang w:val="en-US" w:eastAsia="zh-CN" w:bidi="ar"/>
              </w:rPr>
              <w:t>货物运输符合防震、防破损等要求，有合理的安装操作流程和规范；</w:t>
            </w:r>
            <w:r>
              <w:rPr>
                <w:rFonts w:hint="eastAsia" w:ascii="仿宋_GB2312" w:hAnsi="仿宋_GB2312" w:eastAsia="仿宋_GB2312" w:cs="仿宋_GB2312"/>
                <w:sz w:val="21"/>
                <w:szCs w:val="21"/>
              </w:rPr>
              <w:t>对本项目的风险预见、风险应对措施完备，项目解决方案、项目管理方案、组织机构安排及分工与职责安排等方案详细，实施流程合理、考虑周全、进度有保障，有提出具有建设性的方案优化建议。</w:t>
            </w:r>
          </w:p>
          <w:p w14:paraId="58A8C6E5">
            <w:pPr>
              <w:snapToGrid w:val="0"/>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color w:val="000000" w:themeColor="text1"/>
                <w:szCs w:val="21"/>
                <w14:textFill>
                  <w14:solidFill>
                    <w14:schemeClr w14:val="tx1"/>
                  </w14:solidFill>
                </w14:textFill>
              </w:rPr>
              <w:t xml:space="preserve"> </w:t>
            </w:r>
            <w:r>
              <w:rPr>
                <w:rFonts w:hint="eastAsia" w:ascii="仿宋_GB2312" w:hAnsi="仿宋_GB2312" w:eastAsia="仿宋_GB2312" w:cs="仿宋_GB2312"/>
                <w:b/>
                <w:bCs/>
                <w:color w:val="000000" w:themeColor="text1"/>
                <w:szCs w:val="21"/>
                <w14:textFill>
                  <w14:solidFill>
                    <w14:schemeClr w14:val="tx1"/>
                  </w14:solidFill>
                </w14:textFill>
              </w:rPr>
              <w:t>二档（</w:t>
            </w:r>
            <w:r>
              <w:rPr>
                <w:rFonts w:hint="eastAsia" w:ascii="仿宋_GB2312" w:hAnsi="仿宋_GB2312" w:eastAsia="仿宋_GB2312" w:cs="仿宋_GB2312"/>
                <w:b/>
                <w:bCs/>
                <w:color w:val="000000" w:themeColor="text1"/>
                <w:szCs w:val="21"/>
                <w:lang w:val="en-US" w:eastAsia="zh-CN"/>
                <w14:textFill>
                  <w14:solidFill>
                    <w14:schemeClr w14:val="tx1"/>
                  </w14:solidFill>
                </w14:textFill>
              </w:rPr>
              <w:t>10</w:t>
            </w:r>
            <w:r>
              <w:rPr>
                <w:rFonts w:hint="eastAsia" w:ascii="仿宋_GB2312" w:hAnsi="仿宋_GB2312" w:eastAsia="仿宋_GB2312" w:cs="仿宋_GB2312"/>
                <w:b/>
                <w:bCs/>
                <w:color w:val="000000" w:themeColor="text1"/>
                <w:szCs w:val="21"/>
                <w14:textFill>
                  <w14:solidFill>
                    <w14:schemeClr w14:val="tx1"/>
                  </w14:solidFill>
                </w14:textFill>
              </w:rPr>
              <w:t>分）</w:t>
            </w:r>
            <w:r>
              <w:rPr>
                <w:rFonts w:hint="eastAsia" w:ascii="仿宋_GB2312" w:hAnsi="仿宋_GB2312" w:eastAsia="仿宋_GB2312" w:cs="仿宋_GB2312"/>
                <w:color w:val="000000" w:themeColor="text1"/>
                <w:szCs w:val="21"/>
                <w14:textFill>
                  <w14:solidFill>
                    <w14:schemeClr w14:val="tx1"/>
                  </w14:solidFill>
                </w14:textFill>
              </w:rPr>
              <w:t>：</w:t>
            </w:r>
            <w:r>
              <w:rPr>
                <w:rFonts w:hint="eastAsia" w:ascii="仿宋_GB2312" w:hAnsi="仿宋_GB2312" w:eastAsia="仿宋_GB2312" w:cs="仿宋_GB2312"/>
                <w:szCs w:val="21"/>
              </w:rPr>
              <w:t>投标人的项目实施方案进度安排、相关保障措施能力、对各项关键工作安排、对本项目的风险预见、风险应对措施、项目管理方案、组织机构安排及分工与职责安排等描述较为详细；人员数量较充足，分工较合理，经验较丰富，技术素质较高。</w:t>
            </w:r>
          </w:p>
          <w:p w14:paraId="6B038394">
            <w:pPr>
              <w:snapToGrid w:val="0"/>
              <w:spacing w:line="400" w:lineRule="exact"/>
              <w:ind w:firstLine="422" w:firstLineChars="200"/>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14:textFill>
                  <w14:solidFill>
                    <w14:schemeClr w14:val="tx1"/>
                  </w14:solidFill>
                </w14:textFill>
              </w:rPr>
              <w:t>三档（</w:t>
            </w:r>
            <w:r>
              <w:rPr>
                <w:rFonts w:hint="eastAsia" w:ascii="仿宋_GB2312" w:hAnsi="仿宋_GB2312" w:eastAsia="仿宋_GB2312" w:cs="仿宋_GB2312"/>
                <w:b/>
                <w:bCs/>
                <w:color w:val="000000" w:themeColor="text1"/>
                <w:szCs w:val="21"/>
                <w:lang w:val="en-US" w:eastAsia="zh-CN"/>
                <w14:textFill>
                  <w14:solidFill>
                    <w14:schemeClr w14:val="tx1"/>
                  </w14:solidFill>
                </w14:textFill>
              </w:rPr>
              <w:t>4</w:t>
            </w:r>
            <w:r>
              <w:rPr>
                <w:rFonts w:hint="eastAsia" w:ascii="仿宋_GB2312" w:hAnsi="仿宋_GB2312" w:eastAsia="仿宋_GB2312" w:cs="仿宋_GB2312"/>
                <w:b/>
                <w:bCs/>
                <w:color w:val="000000" w:themeColor="text1"/>
                <w:szCs w:val="21"/>
                <w14:textFill>
                  <w14:solidFill>
                    <w14:schemeClr w14:val="tx1"/>
                  </w14:solidFill>
                </w14:textFill>
              </w:rPr>
              <w:t>分）</w:t>
            </w:r>
            <w:r>
              <w:rPr>
                <w:rFonts w:hint="eastAsia" w:ascii="仿宋_GB2312" w:hAnsi="仿宋_GB2312" w:eastAsia="仿宋_GB2312" w:cs="仿宋_GB2312"/>
                <w:color w:val="000000" w:themeColor="text1"/>
                <w:szCs w:val="21"/>
                <w14:textFill>
                  <w14:solidFill>
                    <w14:schemeClr w14:val="tx1"/>
                  </w14:solidFill>
                </w14:textFill>
              </w:rPr>
              <w:t>：</w:t>
            </w:r>
            <w:r>
              <w:rPr>
                <w:rFonts w:hint="eastAsia" w:ascii="仿宋_GB2312" w:hAnsi="仿宋_GB2312" w:eastAsia="仿宋_GB2312" w:cs="仿宋_GB2312"/>
                <w:szCs w:val="21"/>
              </w:rPr>
              <w:t>投标人具有基本的项目实施方案，且描述简单；实施团队组织一般，各方面基本满足项目实施。</w:t>
            </w:r>
          </w:p>
          <w:p w14:paraId="5E3310B8">
            <w:pPr>
              <w:pStyle w:val="728"/>
              <w:snapToGrid w:val="0"/>
              <w:spacing w:line="400" w:lineRule="exact"/>
              <w:ind w:firstLine="422" w:firstLineChars="200"/>
              <w:rPr>
                <w:rFonts w:ascii="仿宋_GB2312" w:hAnsi="仿宋_GB2312" w:eastAsia="仿宋_GB2312" w:cs="仿宋_GB2312"/>
                <w:sz w:val="21"/>
                <w:szCs w:val="21"/>
              </w:rPr>
            </w:pPr>
            <w:r>
              <w:rPr>
                <w:rFonts w:hint="eastAsia" w:ascii="仿宋_GB2312" w:hAnsi="仿宋_GB2312" w:eastAsia="仿宋_GB2312" w:cs="仿宋_GB2312"/>
                <w:b/>
                <w:bCs/>
                <w:color w:val="000000" w:themeColor="text1"/>
                <w:sz w:val="21"/>
                <w:szCs w:val="21"/>
                <w14:textFill>
                  <w14:solidFill>
                    <w14:schemeClr w14:val="tx1"/>
                  </w14:solidFill>
                </w14:textFill>
              </w:rPr>
              <w:t>注：</w:t>
            </w:r>
            <w:r>
              <w:rPr>
                <w:rFonts w:hint="eastAsia" w:ascii="仿宋_GB2312" w:hAnsi="仿宋_GB2312" w:eastAsia="仿宋_GB2312" w:cs="仿宋_GB2312"/>
                <w:b/>
                <w:sz w:val="21"/>
                <w:szCs w:val="21"/>
              </w:rPr>
              <w:t>1.该方案内容可以包括：（1）供货响应方案；（</w:t>
            </w:r>
            <w:r>
              <w:rPr>
                <w:rFonts w:hint="eastAsia" w:ascii="仿宋_GB2312" w:hAnsi="仿宋_GB2312" w:eastAsia="仿宋_GB2312" w:cs="仿宋_GB2312"/>
                <w:b/>
                <w:sz w:val="21"/>
                <w:szCs w:val="21"/>
                <w:lang w:val="en-US" w:eastAsia="zh-CN"/>
              </w:rPr>
              <w:t>2</w:t>
            </w:r>
            <w:r>
              <w:rPr>
                <w:rFonts w:hint="eastAsia" w:ascii="仿宋_GB2312" w:hAnsi="仿宋_GB2312" w:eastAsia="仿宋_GB2312" w:cs="仿宋_GB2312"/>
                <w:b/>
                <w:sz w:val="21"/>
                <w:szCs w:val="21"/>
              </w:rPr>
              <w:t>）风险预见及应对；（</w:t>
            </w:r>
            <w:r>
              <w:rPr>
                <w:rFonts w:hint="eastAsia" w:ascii="仿宋_GB2312" w:hAnsi="仿宋_GB2312" w:eastAsia="仿宋_GB2312" w:cs="仿宋_GB2312"/>
                <w:b/>
                <w:sz w:val="21"/>
                <w:szCs w:val="21"/>
                <w:lang w:val="en-US" w:eastAsia="zh-CN"/>
              </w:rPr>
              <w:t>3</w:t>
            </w:r>
            <w:r>
              <w:rPr>
                <w:rFonts w:hint="eastAsia" w:ascii="仿宋_GB2312" w:hAnsi="仿宋_GB2312" w:eastAsia="仿宋_GB2312" w:cs="仿宋_GB2312"/>
                <w:b/>
                <w:sz w:val="21"/>
                <w:szCs w:val="21"/>
              </w:rPr>
              <w:t>）管理方案；（</w:t>
            </w:r>
            <w:r>
              <w:rPr>
                <w:rFonts w:hint="eastAsia" w:ascii="仿宋_GB2312" w:hAnsi="仿宋_GB2312" w:eastAsia="仿宋_GB2312" w:cs="仿宋_GB2312"/>
                <w:b/>
                <w:sz w:val="21"/>
                <w:szCs w:val="21"/>
                <w:lang w:val="en-US" w:eastAsia="zh-CN"/>
              </w:rPr>
              <w:t>4</w:t>
            </w:r>
            <w:r>
              <w:rPr>
                <w:rFonts w:hint="eastAsia" w:ascii="仿宋_GB2312" w:hAnsi="仿宋_GB2312" w:eastAsia="仿宋_GB2312" w:cs="仿宋_GB2312"/>
                <w:b/>
                <w:sz w:val="21"/>
                <w:szCs w:val="21"/>
              </w:rPr>
              <w:t>）组织机构等内容。</w:t>
            </w:r>
          </w:p>
          <w:p w14:paraId="0E6AB5FE">
            <w:pPr>
              <w:pStyle w:val="719"/>
              <w:numPr>
                <w:ilvl w:val="0"/>
                <w:numId w:val="0"/>
              </w:numPr>
              <w:spacing w:line="430" w:lineRule="exact"/>
              <w:ind w:left="0" w:leftChars="0" w:firstLine="462" w:firstLineChars="200"/>
              <w:rPr>
                <w:rFonts w:hint="eastAsia" w:ascii="仿宋_GB2312" w:hAnsi="仿宋_GB2312" w:eastAsia="仿宋_GB2312" w:cs="仿宋_GB2312"/>
                <w:bCs w:val="0"/>
                <w:color w:val="auto"/>
                <w:spacing w:val="0"/>
                <w:kern w:val="2"/>
                <w:sz w:val="21"/>
                <w:szCs w:val="24"/>
                <w:highlight w:val="none"/>
                <w:lang w:val="en-US" w:eastAsia="zh-CN" w:bidi="ar-SA"/>
              </w:rPr>
            </w:pPr>
            <w:r>
              <w:rPr>
                <w:rFonts w:hint="eastAsia" w:ascii="仿宋_GB2312" w:hAnsi="仿宋_GB2312" w:eastAsia="仿宋_GB2312" w:cs="仿宋_GB2312"/>
                <w:b/>
                <w:sz w:val="21"/>
                <w:szCs w:val="21"/>
              </w:rPr>
              <w:t>2.未提供方案或提供的内容与本项目无关的得0分。</w:t>
            </w:r>
          </w:p>
        </w:tc>
        <w:tc>
          <w:tcPr>
            <w:tcW w:w="967" w:type="dxa"/>
            <w:noWrap w:val="0"/>
            <w:vAlign w:val="center"/>
          </w:tcPr>
          <w:p w14:paraId="75AC0789">
            <w:pPr>
              <w:spacing w:line="360" w:lineRule="exact"/>
              <w:jc w:val="center"/>
              <w:rPr>
                <w:rFonts w:hint="default"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val="en-US" w:eastAsia="zh-CN"/>
              </w:rPr>
              <w:t>16</w:t>
            </w:r>
          </w:p>
        </w:tc>
        <w:tc>
          <w:tcPr>
            <w:tcW w:w="1550" w:type="dxa"/>
            <w:noWrap w:val="0"/>
            <w:vAlign w:val="center"/>
          </w:tcPr>
          <w:p w14:paraId="3E1CE23F">
            <w:pPr>
              <w:spacing w:line="360" w:lineRule="exact"/>
              <w:jc w:val="center"/>
              <w:rPr>
                <w:rFonts w:hint="eastAsia"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val="0"/>
                <w:bCs w:val="0"/>
                <w:color w:val="auto"/>
                <w:szCs w:val="24"/>
                <w:highlight w:val="none"/>
                <w:lang w:eastAsia="zh-CN"/>
              </w:rPr>
              <w:t>项目实施方案</w:t>
            </w:r>
          </w:p>
        </w:tc>
      </w:tr>
      <w:tr w14:paraId="3E41A3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649F4BB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r>
              <w:rPr>
                <w:rFonts w:hint="eastAsia" w:ascii="仿宋_GB2312" w:hAnsi="仿宋_GB2312" w:eastAsia="仿宋_GB2312" w:cs="仿宋_GB2312"/>
                <w:b/>
                <w:bCs/>
              </w:rPr>
              <w:t>项目实施方案分</w:t>
            </w:r>
          </w:p>
        </w:tc>
        <w:tc>
          <w:tcPr>
            <w:tcW w:w="1090" w:type="dxa"/>
            <w:noWrap w:val="0"/>
            <w:vAlign w:val="center"/>
          </w:tcPr>
          <w:p w14:paraId="322EEE73">
            <w:pPr>
              <w:widowControl/>
              <w:spacing w:line="360" w:lineRule="exact"/>
              <w:jc w:val="center"/>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val="en-US" w:eastAsia="zh-CN"/>
              </w:rPr>
              <w:t>安装进度计划和工期保证</w:t>
            </w:r>
          </w:p>
        </w:tc>
        <w:tc>
          <w:tcPr>
            <w:tcW w:w="5859" w:type="dxa"/>
            <w:noWrap w:val="0"/>
            <w:vAlign w:val="center"/>
          </w:tcPr>
          <w:p w14:paraId="5EF47A6F">
            <w:pPr>
              <w:widowControl/>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8</w:t>
            </w:r>
            <w:r>
              <w:rPr>
                <w:rFonts w:hint="eastAsia" w:ascii="仿宋_GB2312" w:hAnsi="仿宋_GB2312" w:eastAsia="仿宋_GB2312" w:cs="仿宋_GB2312"/>
                <w:b/>
                <w:bCs/>
              </w:rPr>
              <w:t>分）：</w:t>
            </w:r>
            <w:r>
              <w:rPr>
                <w:rFonts w:hint="eastAsia" w:ascii="仿宋_GB2312" w:hAnsi="仿宋_GB2312" w:eastAsia="仿宋_GB2312" w:cs="仿宋_GB2312"/>
              </w:rPr>
              <w:t>安装进度合理紧凑、各施工节点衔接连贯，计划步骤和要点描述详细全面，</w:t>
            </w:r>
            <w:r>
              <w:rPr>
                <w:rFonts w:hint="eastAsia" w:ascii="仿宋_GB2312" w:eastAsia="仿宋_GB2312"/>
              </w:rPr>
              <w:t>有关键节点时间安排，</w:t>
            </w:r>
            <w:r>
              <w:rPr>
                <w:rFonts w:hint="eastAsia" w:ascii="仿宋_GB2312" w:hAnsi="仿宋_GB2312" w:eastAsia="仿宋_GB2312" w:cs="仿宋_GB2312"/>
              </w:rPr>
              <w:t>切合实际，科学合理，工期保证措施可行性强，优于二档；</w:t>
            </w:r>
          </w:p>
          <w:p w14:paraId="5801FBEE">
            <w:pPr>
              <w:widowControl/>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分）：</w:t>
            </w:r>
            <w:r>
              <w:rPr>
                <w:rFonts w:hint="eastAsia" w:ascii="仿宋_GB2312" w:hAnsi="仿宋_GB2312" w:eastAsia="仿宋_GB2312" w:cs="仿宋_GB2312"/>
              </w:rPr>
              <w:t>安装进度较贴合项目需求，计划步骤和要点描述较详细可行，整体方案具有一定的合理性，工期保证措施有一定的针对性，优于三档；</w:t>
            </w:r>
          </w:p>
          <w:p w14:paraId="7CE6637D">
            <w:pPr>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rPr>
              <w:t>分）：</w:t>
            </w:r>
            <w:r>
              <w:rPr>
                <w:rFonts w:hint="eastAsia" w:ascii="仿宋_GB2312" w:hAnsi="仿宋_GB2312" w:eastAsia="仿宋_GB2312" w:cs="仿宋_GB2312"/>
              </w:rPr>
              <w:t>安装进度内容简单，满足采购需求，工期保证措施可行，科学合理性较弱。</w:t>
            </w:r>
          </w:p>
          <w:p w14:paraId="6155F11B">
            <w:pPr>
              <w:widowControl/>
              <w:spacing w:line="440" w:lineRule="exact"/>
              <w:ind w:firstLine="422" w:firstLineChars="200"/>
              <w:rPr>
                <w:rFonts w:ascii="仿宋_GB2312" w:hAnsi="仿宋_GB2312" w:eastAsia="仿宋_GB2312" w:cs="仿宋_GB2312"/>
                <w:b/>
                <w:bCs/>
              </w:rPr>
            </w:pPr>
            <w:r>
              <w:rPr>
                <w:rFonts w:ascii="仿宋_GB2312" w:hAnsi="仿宋_GB2312" w:eastAsia="仿宋_GB2312" w:cs="仿宋_GB2312"/>
                <w:b/>
                <w:bCs/>
              </w:rPr>
              <w:t>注：1.该方案</w:t>
            </w:r>
            <w:r>
              <w:rPr>
                <w:rFonts w:hint="eastAsia" w:ascii="仿宋_GB2312" w:hAnsi="仿宋_GB2312" w:eastAsia="仿宋_GB2312" w:cs="仿宋_GB2312"/>
                <w:b/>
                <w:bCs/>
              </w:rPr>
              <w:t>内容可以</w:t>
            </w:r>
            <w:r>
              <w:rPr>
                <w:rFonts w:ascii="仿宋_GB2312" w:hAnsi="仿宋_GB2312" w:eastAsia="仿宋_GB2312" w:cs="仿宋_GB2312"/>
                <w:b/>
                <w:bCs/>
              </w:rPr>
              <w:t>包括：（1）安装进度计划；（2）工期保证措施</w:t>
            </w:r>
            <w:r>
              <w:rPr>
                <w:rFonts w:hint="eastAsia" w:ascii="仿宋_GB2312" w:hAnsi="仿宋_GB2312" w:eastAsia="仿宋_GB2312" w:cs="仿宋_GB2312"/>
                <w:b/>
                <w:bCs/>
              </w:rPr>
              <w:t>。</w:t>
            </w:r>
          </w:p>
          <w:p w14:paraId="0A4CF34D">
            <w:pPr>
              <w:pStyle w:val="721"/>
              <w:numPr>
                <w:ilvl w:val="0"/>
                <w:numId w:val="0"/>
              </w:numPr>
              <w:spacing w:line="430" w:lineRule="exact"/>
              <w:ind w:left="0" w:leftChars="0" w:firstLine="422" w:firstLineChars="200"/>
              <w:rPr>
                <w:rFonts w:hint="default" w:ascii="仿宋_GB2312" w:hAnsi="仿宋_GB2312" w:eastAsia="仿宋_GB2312" w:cs="仿宋_GB2312"/>
                <w:bCs w:val="0"/>
                <w:color w:val="auto"/>
                <w:spacing w:val="0"/>
                <w:kern w:val="2"/>
                <w:sz w:val="21"/>
                <w:szCs w:val="24"/>
                <w:highlight w:val="none"/>
                <w:lang w:val="en-US" w:eastAsia="zh-CN" w:bidi="ar-SA"/>
              </w:rPr>
            </w:pPr>
            <w:r>
              <w:rPr>
                <w:rFonts w:ascii="仿宋_GB2312" w:hAnsi="仿宋_GB2312" w:eastAsia="仿宋_GB2312" w:cs="仿宋_GB2312"/>
                <w:b/>
              </w:rPr>
              <w:t>2.未提供方案或提供的内容与本项目无关的得0分。</w:t>
            </w:r>
          </w:p>
        </w:tc>
        <w:tc>
          <w:tcPr>
            <w:tcW w:w="967" w:type="dxa"/>
            <w:noWrap w:val="0"/>
            <w:vAlign w:val="center"/>
          </w:tcPr>
          <w:p w14:paraId="5F7D5CB0">
            <w:pPr>
              <w:spacing w:line="360" w:lineRule="exact"/>
              <w:jc w:val="center"/>
              <w:rPr>
                <w:rFonts w:hint="default"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kern w:val="2"/>
                <w:sz w:val="21"/>
                <w:szCs w:val="24"/>
                <w:highlight w:val="none"/>
                <w:lang w:val="en-US" w:eastAsia="zh-CN" w:bidi="ar-SA"/>
              </w:rPr>
              <w:t>8</w:t>
            </w:r>
          </w:p>
        </w:tc>
        <w:tc>
          <w:tcPr>
            <w:tcW w:w="1550" w:type="dxa"/>
            <w:noWrap w:val="0"/>
            <w:vAlign w:val="center"/>
          </w:tcPr>
          <w:p w14:paraId="72D3D355">
            <w:pPr>
              <w:spacing w:line="360" w:lineRule="exact"/>
              <w:jc w:val="center"/>
              <w:rPr>
                <w:rFonts w:hint="eastAsia"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val="0"/>
                <w:bCs w:val="0"/>
                <w:color w:val="auto"/>
                <w:szCs w:val="24"/>
                <w:highlight w:val="none"/>
                <w:lang w:val="en-US" w:eastAsia="zh-CN"/>
              </w:rPr>
              <w:t>安装进度计划和工期保证</w:t>
            </w:r>
          </w:p>
        </w:tc>
      </w:tr>
      <w:tr w14:paraId="4A35C2A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22CD8DF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hAnsi="仿宋_GB2312" w:eastAsia="仿宋_GB2312" w:cs="仿宋_GB2312"/>
                <w:b/>
                <w:bCs/>
              </w:rPr>
              <w:t>售后服务方案分</w:t>
            </w:r>
          </w:p>
        </w:tc>
        <w:tc>
          <w:tcPr>
            <w:tcW w:w="1090" w:type="dxa"/>
            <w:noWrap w:val="0"/>
            <w:vAlign w:val="center"/>
          </w:tcPr>
          <w:p w14:paraId="0ED8EE2A">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hAnsi="仿宋_GB2312" w:eastAsia="仿宋_GB2312" w:cs="仿宋_GB2312"/>
                <w:b/>
                <w:bCs/>
              </w:rPr>
              <w:t>售后服务方案</w:t>
            </w:r>
          </w:p>
        </w:tc>
        <w:tc>
          <w:tcPr>
            <w:tcW w:w="5859" w:type="dxa"/>
            <w:noWrap w:val="0"/>
            <w:vAlign w:val="center"/>
          </w:tcPr>
          <w:p w14:paraId="33B7426B">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9</w:t>
            </w:r>
            <w:r>
              <w:rPr>
                <w:rFonts w:hint="eastAsia" w:ascii="仿宋_GB2312" w:hAnsi="仿宋_GB2312" w:eastAsia="仿宋_GB2312" w:cs="仿宋_GB2312"/>
                <w:b/>
                <w:bCs/>
              </w:rPr>
              <w:t>分）</w:t>
            </w:r>
            <w:r>
              <w:rPr>
                <w:rFonts w:hint="eastAsia" w:ascii="仿宋_GB2312" w:hAnsi="仿宋_GB2312" w:eastAsia="仿宋_GB2312" w:cs="仿宋_GB2312"/>
              </w:rPr>
              <w:t>：在优于二档的基础上，投标人的售后服务技术、售后服务保障或维修响应时间等售后服务方案均优于采购需求，有优化服务方案，并能提供其他售后服务（如备品零部件的优惠、质保期后的服务优惠等）或其他实质性的优惠措施；</w:t>
            </w:r>
          </w:p>
          <w:p w14:paraId="7E007B32">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分）</w:t>
            </w:r>
            <w:r>
              <w:rPr>
                <w:rFonts w:hint="eastAsia" w:ascii="仿宋_GB2312" w:hAnsi="仿宋_GB2312" w:eastAsia="仿宋_GB2312" w:cs="仿宋_GB2312"/>
              </w:rPr>
              <w:t xml:space="preserve">：投标人的售后服务方案能较好满足采购要求，售后服务保障或维修响应时间等售后服务方案略优于采购需求，符合实际且有较强的针对性； </w:t>
            </w:r>
          </w:p>
          <w:p w14:paraId="63608631">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1</w:t>
            </w:r>
            <w:r>
              <w:rPr>
                <w:rFonts w:hint="eastAsia" w:ascii="仿宋_GB2312" w:hAnsi="仿宋_GB2312" w:eastAsia="仿宋_GB2312" w:cs="仿宋_GB2312"/>
                <w:b/>
                <w:bCs/>
              </w:rPr>
              <w:t>分）</w:t>
            </w:r>
            <w:r>
              <w:rPr>
                <w:rFonts w:hint="eastAsia" w:ascii="仿宋_GB2312" w:hAnsi="仿宋_GB2312" w:eastAsia="仿宋_GB2312" w:cs="仿宋_GB2312"/>
              </w:rPr>
              <w:t>：投标人的售后服务方</w:t>
            </w:r>
            <w:r>
              <w:rPr>
                <w:rFonts w:hint="eastAsia" w:ascii="仿宋_GB2312" w:hAnsi="仿宋_GB2312" w:eastAsia="仿宋_GB2312" w:cs="仿宋_GB2312"/>
                <w:lang w:val="en-US" w:eastAsia="zh-CN"/>
              </w:rPr>
              <w:t>案</w:t>
            </w:r>
            <w:r>
              <w:rPr>
                <w:rFonts w:hint="eastAsia" w:ascii="仿宋_GB2312" w:hAnsi="仿宋_GB2312" w:eastAsia="仿宋_GB2312" w:cs="仿宋_GB2312"/>
              </w:rPr>
              <w:t>满足采购要求，售后服务保障或维修响应时间方案针对性、可行性一般。</w:t>
            </w:r>
          </w:p>
          <w:p w14:paraId="46F11C93">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b/>
                <w:bCs/>
                <w:szCs w:val="24"/>
              </w:rPr>
            </w:pPr>
            <w:r>
              <w:rPr>
                <w:rFonts w:hint="eastAsia" w:ascii="仿宋_GB2312" w:hAnsi="仿宋_GB2312" w:eastAsia="仿宋_GB2312" w:cs="仿宋_GB2312"/>
                <w:b/>
                <w:bCs/>
                <w:szCs w:val="24"/>
              </w:rPr>
              <w:t>注：</w:t>
            </w:r>
            <w:r>
              <w:rPr>
                <w:rFonts w:ascii="仿宋_GB2312" w:hAnsi="仿宋_GB2312" w:eastAsia="仿宋_GB2312" w:cs="仿宋_GB2312"/>
                <w:b/>
                <w:bCs/>
                <w:szCs w:val="24"/>
              </w:rPr>
              <w:t>1.该方案内容可以包括：（1）技术培训方案；（2）定期回访维护方案；（3）售后服务技术支持（包括售后服务机构、技术人员等）；（4）维修应急预案；（5）零配件储备供应；（6）保修期外维修方案。</w:t>
            </w:r>
          </w:p>
          <w:p w14:paraId="49F4296C">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szCs w:val="24"/>
              </w:rPr>
            </w:pPr>
            <w:r>
              <w:rPr>
                <w:rFonts w:ascii="仿宋_GB2312" w:hAnsi="仿宋_GB2312" w:eastAsia="仿宋_GB2312" w:cs="仿宋_GB2312"/>
                <w:b/>
                <w:bCs/>
                <w:szCs w:val="24"/>
              </w:rPr>
              <w:t>2.未提供方案或提供的内容与本项目无关的得0分。</w:t>
            </w:r>
          </w:p>
        </w:tc>
        <w:tc>
          <w:tcPr>
            <w:tcW w:w="967" w:type="dxa"/>
            <w:noWrap w:val="0"/>
            <w:vAlign w:val="center"/>
          </w:tcPr>
          <w:p w14:paraId="7AA6712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strike/>
                <w:lang w:val="en-US" w:eastAsia="zh-CN"/>
              </w:rPr>
            </w:pPr>
            <w:r>
              <w:rPr>
                <w:rFonts w:hint="eastAsia" w:ascii="仿宋_GB2312" w:hAnsi="仿宋_GB2312" w:eastAsia="仿宋_GB2312" w:cs="仿宋_GB2312"/>
                <w:b/>
                <w:bCs/>
                <w:strike w:val="0"/>
                <w:lang w:val="en-US" w:eastAsia="zh-CN"/>
              </w:rPr>
              <w:t>9</w:t>
            </w:r>
          </w:p>
        </w:tc>
        <w:tc>
          <w:tcPr>
            <w:tcW w:w="1550" w:type="dxa"/>
            <w:noWrap w:val="0"/>
            <w:vAlign w:val="center"/>
          </w:tcPr>
          <w:p w14:paraId="4F64CB8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rPr>
              <w:t>售后服务方案</w:t>
            </w:r>
          </w:p>
        </w:tc>
      </w:tr>
      <w:tr w14:paraId="64F733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8" w:type="dxa"/>
            <w:gridSpan w:val="3"/>
            <w:noWrap w:val="0"/>
            <w:vAlign w:val="center"/>
          </w:tcPr>
          <w:p w14:paraId="4F3EFA32">
            <w:pPr>
              <w:pStyle w:val="715"/>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ascii="仿宋_GB2312" w:hAnsi="仿宋_GB2312" w:eastAsia="仿宋_GB2312" w:cs="仿宋_GB2312"/>
                <w:b/>
                <w:bCs/>
                <w:szCs w:val="24"/>
              </w:rPr>
            </w:pPr>
            <w:r>
              <w:rPr>
                <w:rFonts w:hint="eastAsia" w:ascii="仿宋_GB2312" w:hAnsi="仿宋_GB2312" w:eastAsia="仿宋_GB2312" w:cs="仿宋_GB2312"/>
                <w:b/>
                <w:bCs/>
                <w:szCs w:val="24"/>
              </w:rPr>
              <w:t>主观分总分</w:t>
            </w:r>
          </w:p>
        </w:tc>
        <w:tc>
          <w:tcPr>
            <w:tcW w:w="967" w:type="dxa"/>
            <w:noWrap w:val="0"/>
            <w:vAlign w:val="center"/>
          </w:tcPr>
          <w:p w14:paraId="4EB6808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33</w:t>
            </w:r>
          </w:p>
        </w:tc>
        <w:tc>
          <w:tcPr>
            <w:tcW w:w="1550" w:type="dxa"/>
            <w:noWrap w:val="0"/>
            <w:vAlign w:val="center"/>
          </w:tcPr>
          <w:p w14:paraId="6D76F74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p>
        </w:tc>
      </w:tr>
    </w:tbl>
    <w:p w14:paraId="6D3720A7">
      <w:pPr>
        <w:spacing w:line="400" w:lineRule="exact"/>
        <w:ind w:right="0" w:rightChars="0" w:firstLine="0" w:firstLineChars="0"/>
        <w:rPr>
          <w:rFonts w:hint="eastAsia" w:ascii="仿宋_GB2312" w:eastAsia="仿宋_GB2312"/>
          <w:b/>
          <w:sz w:val="24"/>
        </w:rPr>
      </w:pPr>
    </w:p>
    <w:p w14:paraId="0C833D24">
      <w:pPr>
        <w:spacing w:line="400" w:lineRule="exact"/>
        <w:ind w:right="0" w:rightChars="0" w:firstLine="482" w:firstLineChars="200"/>
        <w:rPr>
          <w:rFonts w:ascii="仿宋_GB2312" w:eastAsia="仿宋_GB2312"/>
          <w:b/>
          <w:sz w:val="24"/>
        </w:rPr>
      </w:pPr>
      <w:r>
        <w:rPr>
          <w:rFonts w:hint="eastAsia" w:ascii="仿宋_GB2312" w:eastAsia="仿宋_GB2312"/>
          <w:b/>
          <w:sz w:val="24"/>
        </w:rPr>
        <w:t>（三）总得分=客观分+主观分</w:t>
      </w:r>
    </w:p>
    <w:p w14:paraId="5FD65BB2">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三、中标标准及中标候选人推荐原则</w:t>
      </w:r>
    </w:p>
    <w:p w14:paraId="7AB5AB5D">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排名第一的中标候选人放弃中标、因不可抗力提出不能履行合同，采购人或采购代理机构应将该情况报政府采购监督管理部门，从合格的中标候选人中另行确定中标人或重新开展政府采购活动。</w:t>
      </w:r>
    </w:p>
    <w:p w14:paraId="01900455">
      <w:pPr>
        <w:tabs>
          <w:tab w:val="left" w:pos="3055"/>
        </w:tabs>
        <w:spacing w:line="400" w:lineRule="exact"/>
        <w:jc w:val="left"/>
        <w:rPr>
          <w:rFonts w:hint="eastAsia" w:ascii="宋体" w:hAnsi="宋体" w:cs="Courier New"/>
          <w:b/>
          <w:bCs/>
          <w:sz w:val="32"/>
          <w:szCs w:val="32"/>
        </w:rPr>
      </w:pPr>
      <w:r>
        <w:rPr>
          <w:rFonts w:hint="eastAsia" w:ascii="仿宋_GB2312" w:hAnsi="宋体" w:eastAsia="仿宋_GB2312"/>
          <w:b/>
          <w:kern w:val="0"/>
          <w:sz w:val="24"/>
          <w:lang w:val="en-US" w:eastAsia="zh-CN"/>
        </w:rPr>
        <w:t xml:space="preserve">    </w:t>
      </w: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0D13E74A">
      <w:pPr>
        <w:tabs>
          <w:tab w:val="left" w:pos="3055"/>
        </w:tabs>
        <w:jc w:val="center"/>
        <w:rPr>
          <w:rFonts w:hint="eastAsia" w:ascii="宋体" w:hAnsi="宋体" w:cs="Courier New"/>
          <w:b/>
          <w:bCs/>
          <w:sz w:val="32"/>
          <w:szCs w:val="32"/>
        </w:rPr>
      </w:pPr>
    </w:p>
    <w:p w14:paraId="17A70BF6">
      <w:pPr>
        <w:tabs>
          <w:tab w:val="left" w:pos="3055"/>
        </w:tabs>
        <w:jc w:val="center"/>
        <w:rPr>
          <w:rFonts w:hint="eastAsia" w:ascii="宋体" w:hAnsi="宋体" w:cs="Courier New"/>
          <w:b/>
          <w:bCs/>
          <w:sz w:val="32"/>
          <w:szCs w:val="32"/>
        </w:rPr>
      </w:pPr>
    </w:p>
    <w:p w14:paraId="13CB96F1">
      <w:pPr>
        <w:tabs>
          <w:tab w:val="left" w:pos="3055"/>
        </w:tabs>
        <w:jc w:val="center"/>
        <w:rPr>
          <w:rFonts w:hint="eastAsia" w:ascii="宋体" w:hAnsi="宋体" w:cs="Courier New"/>
          <w:b/>
          <w:bCs/>
          <w:sz w:val="32"/>
          <w:szCs w:val="32"/>
        </w:rPr>
      </w:pPr>
    </w:p>
    <w:p w14:paraId="31CB5A32">
      <w:pPr>
        <w:tabs>
          <w:tab w:val="left" w:pos="3055"/>
        </w:tabs>
        <w:jc w:val="center"/>
        <w:rPr>
          <w:rFonts w:hint="eastAsia" w:ascii="宋体" w:hAnsi="宋体" w:cs="Courier New"/>
          <w:b/>
          <w:bCs/>
          <w:sz w:val="32"/>
          <w:szCs w:val="32"/>
        </w:rPr>
      </w:pPr>
    </w:p>
    <w:p w14:paraId="1D3BD527">
      <w:pPr>
        <w:jc w:val="left"/>
        <w:rPr>
          <w:rFonts w:hint="eastAsia" w:ascii="宋体" w:hAnsi="宋体" w:cs="Courier New"/>
          <w:b/>
          <w:bCs/>
          <w:sz w:val="32"/>
          <w:szCs w:val="32"/>
        </w:rPr>
      </w:pPr>
      <w:r>
        <w:rPr>
          <w:rFonts w:hint="eastAsia" w:ascii="宋体" w:hAnsi="宋体" w:cs="Courier New"/>
          <w:b/>
          <w:bCs/>
          <w:sz w:val="32"/>
          <w:szCs w:val="32"/>
        </w:rPr>
        <w:br w:type="page"/>
      </w:r>
    </w:p>
    <w:p w14:paraId="285EA925">
      <w:pPr>
        <w:tabs>
          <w:tab w:val="left" w:pos="3055"/>
        </w:tabs>
        <w:jc w:val="center"/>
        <w:rPr>
          <w:b/>
          <w:sz w:val="30"/>
          <w:szCs w:val="30"/>
        </w:rPr>
      </w:pPr>
      <w:r>
        <w:rPr>
          <w:rFonts w:hint="eastAsia" w:ascii="宋体" w:hAnsi="宋体" w:cs="Courier New"/>
          <w:b/>
          <w:bCs/>
          <w:sz w:val="32"/>
          <w:szCs w:val="32"/>
        </w:rPr>
        <w:t>分标</w:t>
      </w:r>
      <w:r>
        <w:rPr>
          <w:rFonts w:hint="eastAsia" w:ascii="宋体" w:hAnsi="宋体" w:cs="Courier New"/>
          <w:b/>
          <w:bCs/>
          <w:sz w:val="32"/>
          <w:szCs w:val="32"/>
          <w:lang w:val="en-US" w:eastAsia="zh-CN"/>
        </w:rPr>
        <w:t>2</w:t>
      </w:r>
      <w:r>
        <w:rPr>
          <w:rFonts w:hint="eastAsia" w:ascii="宋体" w:hAnsi="宋体" w:cs="Courier New"/>
          <w:b/>
          <w:bCs/>
          <w:color w:val="000000"/>
          <w:sz w:val="32"/>
          <w:szCs w:val="32"/>
        </w:rPr>
        <w:t>评标方法及评标标准</w:t>
      </w:r>
    </w:p>
    <w:p w14:paraId="6274806A">
      <w:pPr>
        <w:spacing w:line="390" w:lineRule="exact"/>
        <w:ind w:right="-168" w:rightChars="-80" w:firstLine="482" w:firstLineChars="200"/>
        <w:rPr>
          <w:rFonts w:ascii="仿宋_GB2312" w:eastAsia="仿宋_GB2312"/>
          <w:b/>
          <w:bCs/>
          <w:sz w:val="24"/>
        </w:rPr>
      </w:pPr>
      <w:r>
        <w:rPr>
          <w:rFonts w:hint="eastAsia" w:ascii="仿宋_GB2312" w:eastAsia="仿宋_GB2312"/>
          <w:b/>
          <w:bCs/>
          <w:sz w:val="24"/>
        </w:rPr>
        <w:t>一、评标原则</w:t>
      </w:r>
    </w:p>
    <w:p w14:paraId="5EACA12F">
      <w:pPr>
        <w:spacing w:line="390" w:lineRule="exact"/>
        <w:ind w:right="-168" w:rightChars="-80"/>
        <w:rPr>
          <w:rFonts w:ascii="仿宋_GB2312" w:eastAsia="仿宋_GB2312"/>
          <w:sz w:val="24"/>
        </w:rPr>
      </w:pPr>
      <w:r>
        <w:rPr>
          <w:rFonts w:hint="eastAsia" w:ascii="仿宋_GB2312" w:eastAsia="仿宋_GB2312"/>
          <w:sz w:val="24"/>
        </w:rPr>
        <w:t xml:space="preserve">    （一）评委构成：本招标采购项目的评委分别由依法组成的评审专家、采购人代表共五人或以上单数构成，其中专家人数不少于评标委员会成员总数的三分之二。</w:t>
      </w:r>
    </w:p>
    <w:p w14:paraId="29FD22F8">
      <w:pPr>
        <w:spacing w:line="390" w:lineRule="exact"/>
        <w:ind w:right="-168" w:rightChars="-80" w:firstLine="435"/>
        <w:rPr>
          <w:rFonts w:ascii="仿宋_GB2312" w:eastAsia="仿宋_GB2312"/>
          <w:b/>
          <w:sz w:val="24"/>
        </w:rPr>
      </w:pPr>
      <w:r>
        <w:rPr>
          <w:rFonts w:hint="eastAsia" w:ascii="仿宋_GB2312" w:eastAsia="仿宋_GB2312"/>
          <w:b/>
          <w:sz w:val="24"/>
        </w:rPr>
        <w:t>（二）评标依据：评委将以招投标文件为评标依据，对投标人的价格、技术、信誉、业绩等方面按百分制打分。</w:t>
      </w:r>
    </w:p>
    <w:p w14:paraId="2305F6FC">
      <w:pPr>
        <w:spacing w:line="390" w:lineRule="exact"/>
        <w:ind w:right="-168" w:rightChars="-80" w:firstLine="435"/>
        <w:rPr>
          <w:rFonts w:ascii="仿宋_GB2312" w:eastAsia="仿宋_GB2312"/>
          <w:sz w:val="24"/>
        </w:rPr>
      </w:pPr>
      <w:r>
        <w:rPr>
          <w:rFonts w:hint="eastAsia" w:ascii="仿宋_GB2312" w:eastAsia="仿宋_GB2312"/>
          <w:sz w:val="24"/>
        </w:rPr>
        <w:t>（三）评标方式：以封闭方式进行。</w:t>
      </w:r>
    </w:p>
    <w:p w14:paraId="78EF2526">
      <w:pPr>
        <w:spacing w:line="390" w:lineRule="exact"/>
        <w:ind w:right="-168" w:rightChars="-80" w:firstLine="435"/>
        <w:rPr>
          <w:rFonts w:ascii="仿宋_GB2312" w:eastAsia="仿宋_GB2312"/>
          <w:sz w:val="24"/>
        </w:rPr>
      </w:pPr>
      <w:r>
        <w:rPr>
          <w:rFonts w:hint="eastAsia" w:ascii="仿宋_GB2312" w:eastAsia="仿宋_GB2312"/>
          <w:sz w:val="24"/>
        </w:rPr>
        <w:t>（四）评标委员会认为投标人的报价明显低于其他通过符合性审查投标人的报价，有可能影响产品质量或者不能诚信履约的，</w:t>
      </w:r>
      <w:r>
        <w:rPr>
          <w:rFonts w:hint="eastAsia" w:ascii="仿宋_GB2312" w:eastAsia="仿宋_GB2312" w:cs="Courier New"/>
          <w:sz w:val="24"/>
        </w:rPr>
        <w:t>应当通过广西政府采购云平台发起询标函，要求其在评标现场合理的时间内通过广西政府采购云平台提供书面说明</w:t>
      </w:r>
      <w:r>
        <w:rPr>
          <w:rFonts w:hint="eastAsia" w:ascii="仿宋_GB2312" w:eastAsia="仿宋_GB2312"/>
          <w:sz w:val="24"/>
        </w:rPr>
        <w:t xml:space="preserve">，必要时提交相关证明材料；投标人不能证明其报价合理性的，评标委员会应当将其作为无效投标处理。     </w:t>
      </w:r>
    </w:p>
    <w:p w14:paraId="609C88C9">
      <w:pPr>
        <w:spacing w:line="390" w:lineRule="exact"/>
        <w:ind w:right="-168" w:rightChars="-80" w:firstLine="435"/>
        <w:rPr>
          <w:rFonts w:ascii="仿宋_GB2312" w:eastAsia="仿宋_GB2312"/>
          <w:b/>
          <w:bCs/>
          <w:sz w:val="24"/>
        </w:rPr>
      </w:pPr>
      <w:r>
        <w:rPr>
          <w:rFonts w:hint="eastAsia" w:ascii="仿宋_GB2312" w:eastAsia="仿宋_GB2312"/>
          <w:b/>
          <w:bCs/>
          <w:sz w:val="24"/>
        </w:rPr>
        <w:t>二、评标方法</w:t>
      </w:r>
      <w:r>
        <w:rPr>
          <w:rFonts w:ascii="仿宋_GB2312" w:eastAsia="仿宋_GB2312"/>
          <w:b/>
          <w:bCs/>
          <w:sz w:val="24"/>
        </w:rPr>
        <w:tab/>
      </w:r>
    </w:p>
    <w:p w14:paraId="2BEA08DE">
      <w:pPr>
        <w:spacing w:line="390" w:lineRule="exact"/>
        <w:ind w:right="-168" w:rightChars="-80" w:firstLine="435"/>
        <w:rPr>
          <w:rFonts w:ascii="仿宋_GB2312" w:eastAsia="仿宋_GB2312"/>
          <w:sz w:val="24"/>
        </w:rPr>
      </w:pPr>
      <w:r>
        <w:rPr>
          <w:rFonts w:hint="eastAsia" w:ascii="仿宋_GB2312" w:eastAsia="仿宋_GB2312"/>
          <w:sz w:val="24"/>
        </w:rPr>
        <w:t>（一）对进入详评的，采用百分制综合评分法。</w:t>
      </w:r>
    </w:p>
    <w:p w14:paraId="7D1CC032">
      <w:pPr>
        <w:spacing w:line="400" w:lineRule="atLeast"/>
        <w:ind w:firstLine="480" w:firstLineChars="200"/>
        <w:jc w:val="left"/>
        <w:rPr>
          <w:rFonts w:hint="eastAsia" w:ascii="仿宋_GB2312" w:hAnsi="宋体" w:eastAsia="仿宋_GB2312"/>
          <w:color w:val="000000"/>
          <w:sz w:val="24"/>
        </w:rPr>
      </w:pPr>
      <w:r>
        <w:rPr>
          <w:rFonts w:hint="eastAsia" w:ascii="仿宋_GB2312" w:eastAsia="仿宋_GB2312"/>
          <w:sz w:val="24"/>
        </w:rPr>
        <w:t>（二）计分办法（分值计算保留小数点后两位，第三位四舍五入）</w:t>
      </w:r>
      <w:r>
        <w:rPr>
          <w:rFonts w:hint="eastAsia" w:ascii="仿宋_GB2312" w:hAnsi="宋体" w:eastAsia="仿宋_GB2312"/>
          <w:color w:val="000000"/>
          <w:sz w:val="24"/>
        </w:rPr>
        <w:t>：</w:t>
      </w:r>
    </w:p>
    <w:tbl>
      <w:tblPr>
        <w:tblStyle w:val="714"/>
        <w:tblpPr w:leftFromText="180" w:rightFromText="180" w:vertAnchor="text" w:horzAnchor="page" w:tblpX="661" w:tblpY="378"/>
        <w:tblOverlap w:val="never"/>
        <w:tblW w:w="1031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776"/>
        <w:gridCol w:w="1182"/>
        <w:gridCol w:w="1413"/>
      </w:tblGrid>
      <w:tr w14:paraId="5DDF0D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60" w:hRule="atLeast"/>
        </w:trPr>
        <w:tc>
          <w:tcPr>
            <w:tcW w:w="10310" w:type="dxa"/>
            <w:gridSpan w:val="5"/>
            <w:shd w:val="clear" w:color="auto" w:fill="D7D7D7"/>
            <w:noWrap w:val="0"/>
            <w:vAlign w:val="center"/>
          </w:tcPr>
          <w:p w14:paraId="5987B76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eastAsia="仿宋_GB2312"/>
                <w:b/>
                <w:sz w:val="32"/>
              </w:rPr>
              <w:t>客观分</w:t>
            </w:r>
          </w:p>
        </w:tc>
      </w:tr>
      <w:tr w14:paraId="42ABB89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7845B9AC">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评分项</w:t>
            </w:r>
          </w:p>
        </w:tc>
        <w:tc>
          <w:tcPr>
            <w:tcW w:w="1090" w:type="dxa"/>
            <w:noWrap w:val="0"/>
            <w:vAlign w:val="center"/>
          </w:tcPr>
          <w:p w14:paraId="74AE75EC">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评审因素</w:t>
            </w:r>
          </w:p>
        </w:tc>
        <w:tc>
          <w:tcPr>
            <w:tcW w:w="5776" w:type="dxa"/>
            <w:noWrap w:val="0"/>
            <w:vAlign w:val="center"/>
          </w:tcPr>
          <w:p w14:paraId="71ADF61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评分标准说明</w:t>
            </w:r>
          </w:p>
        </w:tc>
        <w:tc>
          <w:tcPr>
            <w:tcW w:w="1182" w:type="dxa"/>
            <w:noWrap w:val="0"/>
            <w:vAlign w:val="center"/>
          </w:tcPr>
          <w:p w14:paraId="655B7CD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分值</w:t>
            </w:r>
          </w:p>
        </w:tc>
        <w:tc>
          <w:tcPr>
            <w:tcW w:w="1413" w:type="dxa"/>
            <w:noWrap w:val="0"/>
            <w:vAlign w:val="center"/>
          </w:tcPr>
          <w:p w14:paraId="2A5AE5D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4F947E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98" w:hRule="atLeast"/>
        </w:trPr>
        <w:tc>
          <w:tcPr>
            <w:tcW w:w="849" w:type="dxa"/>
            <w:noWrap w:val="0"/>
            <w:vAlign w:val="center"/>
          </w:tcPr>
          <w:p w14:paraId="7FB54C5C">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价格分</w:t>
            </w:r>
          </w:p>
        </w:tc>
        <w:tc>
          <w:tcPr>
            <w:tcW w:w="1090" w:type="dxa"/>
            <w:noWrap w:val="0"/>
            <w:vAlign w:val="center"/>
          </w:tcPr>
          <w:p w14:paraId="7DF4819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价格</w:t>
            </w:r>
          </w:p>
        </w:tc>
        <w:tc>
          <w:tcPr>
            <w:tcW w:w="5776" w:type="dxa"/>
            <w:noWrap w:val="0"/>
            <w:vAlign w:val="center"/>
          </w:tcPr>
          <w:p w14:paraId="743C786C">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 w:val="21"/>
                <w:szCs w:val="21"/>
              </w:rPr>
            </w:pPr>
            <w:r>
              <w:rPr>
                <w:rFonts w:hint="eastAsia" w:ascii="仿宋_GB2312" w:hAnsi="仿宋_GB2312" w:eastAsia="仿宋_GB2312" w:cs="仿宋_GB2312"/>
                <w:szCs w:val="21"/>
              </w:rPr>
              <w:t>1.满足招标文件要求且</w:t>
            </w:r>
            <w:r>
              <w:rPr>
                <w:rFonts w:hint="eastAsia" w:ascii="仿宋_GB2312" w:hAnsi="仿宋_GB2312" w:eastAsia="仿宋_GB2312" w:cs="仿宋_GB2312"/>
                <w:sz w:val="21"/>
                <w:szCs w:val="21"/>
              </w:rPr>
              <w:t>投标价格最低的投标报价为评标基准价，其投标人的报价分为最高分</w:t>
            </w:r>
            <w:r>
              <w:rPr>
                <w:rFonts w:hint="eastAsia" w:ascii="仿宋_GB2312" w:hAnsi="仿宋_GB2312" w:eastAsia="仿宋_GB2312" w:cs="仿宋_GB2312"/>
                <w:b/>
                <w:bCs/>
                <w:lang w:val="en-US" w:eastAsia="zh-CN"/>
              </w:rPr>
              <w:t>30</w:t>
            </w:r>
            <w:r>
              <w:rPr>
                <w:rFonts w:hint="eastAsia" w:ascii="仿宋_GB2312" w:hAnsi="仿宋_GB2312" w:eastAsia="仿宋_GB2312" w:cs="仿宋_GB2312"/>
                <w:sz w:val="21"/>
                <w:szCs w:val="21"/>
              </w:rPr>
              <w:t>分；</w:t>
            </w:r>
          </w:p>
          <w:p w14:paraId="103F11E9">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 w:val="21"/>
                <w:szCs w:val="21"/>
              </w:rPr>
              <w:t>2.其他投标人的报价得</w:t>
            </w:r>
            <w:r>
              <w:rPr>
                <w:rFonts w:hint="eastAsia" w:ascii="仿宋_GB2312" w:hAnsi="仿宋_GB2312" w:eastAsia="仿宋_GB2312" w:cs="仿宋_GB2312"/>
                <w:szCs w:val="21"/>
              </w:rPr>
              <w:t>分按以下公式计算：</w:t>
            </w:r>
          </w:p>
          <w:p w14:paraId="00CBA6E3">
            <w:pPr>
              <w:keepNext w:val="0"/>
              <w:keepLines w:val="0"/>
              <w:pageBreakBefore w:val="0"/>
              <w:kinsoku/>
              <w:wordWrap/>
              <w:overflowPunct/>
              <w:topLinePunct w:val="0"/>
              <w:autoSpaceDE/>
              <w:autoSpaceDN/>
              <w:bidi w:val="0"/>
              <w:adjustRightInd/>
              <w:snapToGrid/>
              <w:spacing w:line="440" w:lineRule="exact"/>
              <w:ind w:firstLine="0" w:firstLineChars="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报价得分=（评标基准价／某投标人投标报价）×</w:t>
            </w:r>
            <w:r>
              <w:rPr>
                <w:rFonts w:hint="eastAsia" w:ascii="仿宋_GB2312" w:hAnsi="仿宋_GB2312" w:eastAsia="仿宋_GB2312" w:cs="仿宋_GB2312"/>
                <w:b/>
                <w:bCs/>
                <w:lang w:val="en-US" w:eastAsia="zh-CN"/>
              </w:rPr>
              <w:t>30</w:t>
            </w:r>
            <w:r>
              <w:rPr>
                <w:rFonts w:hint="eastAsia" w:ascii="仿宋_GB2312" w:hAnsi="仿宋_GB2312" w:eastAsia="仿宋_GB2312" w:cs="仿宋_GB2312"/>
                <w:szCs w:val="21"/>
              </w:rPr>
              <w:t>分；</w:t>
            </w:r>
          </w:p>
          <w:p w14:paraId="35C4957D">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3.小型、微型企业价格折扣率：</w:t>
            </w:r>
          </w:p>
          <w:p w14:paraId="379093F1">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ascii="仿宋_GB2312" w:hAnsi="仿宋_GB2312" w:eastAsia="仿宋_GB2312" w:cs="仿宋_GB2312"/>
                <w:b/>
              </w:rPr>
            </w:pPr>
            <w:r>
              <w:rPr>
                <w:rFonts w:hint="eastAsia" w:ascii="仿宋_GB2312" w:hAnsi="仿宋_GB2312" w:eastAsia="仿宋_GB2312" w:cs="仿宋_GB2312"/>
                <w:szCs w:val="21"/>
              </w:rPr>
              <w:t>符合《政府采购促进中小企业发展管理办法》（财库〔2020〕46号）规定条件且出具该办法规定的《中小企业声明函》的小型和微型企业参与报价，对其报价给予20%的扣除。监狱企业、残疾人福利性企业视同小微型企业，不重复享受政策。</w:t>
            </w:r>
          </w:p>
        </w:tc>
        <w:tc>
          <w:tcPr>
            <w:tcW w:w="1182" w:type="dxa"/>
            <w:noWrap w:val="0"/>
            <w:vAlign w:val="center"/>
          </w:tcPr>
          <w:p w14:paraId="6823399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lang w:val="en-US" w:eastAsia="zh-CN"/>
              </w:rPr>
            </w:pPr>
            <w:r>
              <w:rPr>
                <w:rFonts w:hint="eastAsia" w:ascii="仿宋_GB2312" w:hAnsi="仿宋_GB2312" w:eastAsia="仿宋_GB2312" w:cs="仿宋_GB2312"/>
                <w:b/>
                <w:bCs/>
                <w:lang w:val="en-US" w:eastAsia="zh-CN"/>
              </w:rPr>
              <w:t>30</w:t>
            </w:r>
          </w:p>
        </w:tc>
        <w:tc>
          <w:tcPr>
            <w:tcW w:w="1413" w:type="dxa"/>
            <w:noWrap w:val="0"/>
            <w:vAlign w:val="center"/>
          </w:tcPr>
          <w:p w14:paraId="4DB1939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p>
        </w:tc>
      </w:tr>
      <w:tr w14:paraId="3E7805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250E9A7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hAnsi="仿宋_GB2312" w:eastAsia="仿宋_GB2312" w:cs="仿宋_GB2312"/>
                <w:b/>
                <w:bCs/>
              </w:rPr>
              <w:t>信誉分</w:t>
            </w:r>
          </w:p>
        </w:tc>
        <w:tc>
          <w:tcPr>
            <w:tcW w:w="1090" w:type="dxa"/>
            <w:noWrap w:val="0"/>
            <w:vAlign w:val="center"/>
          </w:tcPr>
          <w:p w14:paraId="71C3196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体系认证</w:t>
            </w:r>
          </w:p>
        </w:tc>
        <w:tc>
          <w:tcPr>
            <w:tcW w:w="5776" w:type="dxa"/>
            <w:noWrap w:val="0"/>
            <w:vAlign w:val="center"/>
          </w:tcPr>
          <w:p w14:paraId="676DD476">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rPr>
            </w:pPr>
            <w:r>
              <w:rPr>
                <w:rFonts w:hint="eastAsia" w:ascii="仿宋_GB2312" w:hAnsi="仿宋_GB2312" w:eastAsia="仿宋_GB2312" w:cs="仿宋_GB2312"/>
                <w:szCs w:val="21"/>
              </w:rPr>
              <w:t>1.投标人</w:t>
            </w:r>
            <w:r>
              <w:rPr>
                <w:rFonts w:hint="eastAsia" w:ascii="仿宋_GB2312" w:hAnsi="仿宋_GB2312" w:eastAsia="仿宋_GB2312" w:cs="仿宋_GB2312"/>
                <w:szCs w:val="21"/>
                <w:lang w:eastAsia="zh-CN"/>
              </w:rPr>
              <w:t>或</w:t>
            </w:r>
            <w:r>
              <w:rPr>
                <w:rFonts w:hint="eastAsia" w:ascii="仿宋_GB2312" w:hAnsi="仿宋_GB2312" w:eastAsia="仿宋_GB2312" w:cs="仿宋_GB2312"/>
                <w:szCs w:val="21"/>
              </w:rPr>
              <w:t>所投</w:t>
            </w:r>
            <w:r>
              <w:rPr>
                <w:rFonts w:hint="eastAsia" w:ascii="仿宋_GB2312" w:hAnsi="仿宋_GB2312" w:eastAsia="仿宋_GB2312" w:cs="仿宋_GB2312"/>
                <w:szCs w:val="21"/>
                <w:lang w:eastAsia="zh-CN"/>
              </w:rPr>
              <w:t>核心产品生产厂家</w:t>
            </w:r>
            <w:r>
              <w:rPr>
                <w:rFonts w:hint="eastAsia" w:ascii="仿宋_GB2312" w:hAnsi="仿宋_GB2312" w:eastAsia="仿宋_GB2312" w:cs="仿宋_GB2312"/>
                <w:szCs w:val="21"/>
              </w:rPr>
              <w:t>具备</w:t>
            </w:r>
            <w:r>
              <w:rPr>
                <w:rFonts w:hint="eastAsia" w:ascii="仿宋_GB2312" w:hAnsi="仿宋_GB2312" w:eastAsia="仿宋_GB2312" w:cs="仿宋_GB2312"/>
                <w:szCs w:val="21"/>
                <w:lang w:eastAsia="zh-CN"/>
              </w:rPr>
              <w:t>有效</w:t>
            </w:r>
            <w:r>
              <w:rPr>
                <w:rFonts w:hint="eastAsia" w:ascii="仿宋_GB2312" w:hAnsi="仿宋_GB2312" w:eastAsia="仿宋_GB2312" w:cs="仿宋_GB2312"/>
                <w:szCs w:val="21"/>
                <w:lang w:val="en-US" w:eastAsia="zh-CN"/>
              </w:rPr>
              <w:t>的</w:t>
            </w:r>
            <w:r>
              <w:rPr>
                <w:rFonts w:hint="eastAsia" w:ascii="仿宋_GB2312" w:hAnsi="仿宋_GB2312" w:eastAsia="仿宋_GB2312" w:cs="仿宋_GB2312"/>
                <w:szCs w:val="21"/>
              </w:rPr>
              <w:t>质量管理体系</w:t>
            </w:r>
            <w:r>
              <w:rPr>
                <w:rFonts w:hint="eastAsia" w:ascii="仿宋_GB2312" w:hAnsi="仿宋_GB2312" w:eastAsia="仿宋_GB2312" w:cs="仿宋_GB2312"/>
                <w:szCs w:val="21"/>
                <w:lang w:eastAsia="zh-CN"/>
              </w:rPr>
              <w:t>认证证书</w:t>
            </w:r>
            <w:r>
              <w:rPr>
                <w:rFonts w:hint="eastAsia" w:ascii="仿宋_GB2312" w:hAnsi="仿宋_GB2312" w:eastAsia="仿宋_GB2312" w:cs="仿宋_GB2312"/>
                <w:szCs w:val="21"/>
              </w:rPr>
              <w:t>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2F1823CF">
            <w:pPr>
              <w:keepNext w:val="0"/>
              <w:keepLines w:val="0"/>
              <w:pageBreakBefore w:val="0"/>
              <w:kinsoku/>
              <w:wordWrap/>
              <w:overflowPunct/>
              <w:topLinePunct w:val="0"/>
              <w:autoSpaceDE/>
              <w:autoSpaceDN/>
              <w:bidi w:val="0"/>
              <w:adjustRightInd/>
              <w:snapToGrid/>
              <w:spacing w:line="440" w:lineRule="exact"/>
              <w:ind w:firstLine="420" w:firstLineChars="200"/>
              <w:jc w:val="left"/>
              <w:textAlignment w:val="auto"/>
              <w:rPr>
                <w:rFonts w:hint="eastAsia" w:ascii="仿宋_GB2312" w:hAnsi="仿宋_GB2312" w:eastAsia="仿宋_GB2312" w:cs="仿宋_GB2312"/>
                <w:szCs w:val="21"/>
                <w:lang w:eastAsia="zh-CN"/>
              </w:rPr>
            </w:pPr>
            <w:r>
              <w:rPr>
                <w:rFonts w:hint="eastAsia" w:ascii="仿宋_GB2312" w:hAnsi="仿宋_GB2312" w:eastAsia="仿宋_GB2312" w:cs="仿宋_GB2312"/>
                <w:szCs w:val="21"/>
              </w:rPr>
              <w:t>2.投标人</w:t>
            </w:r>
            <w:r>
              <w:rPr>
                <w:rFonts w:hint="eastAsia" w:ascii="仿宋_GB2312" w:hAnsi="仿宋_GB2312" w:eastAsia="仿宋_GB2312" w:cs="仿宋_GB2312"/>
                <w:szCs w:val="21"/>
                <w:lang w:eastAsia="zh-CN"/>
              </w:rPr>
              <w:t>或</w:t>
            </w:r>
            <w:r>
              <w:rPr>
                <w:rFonts w:hint="eastAsia" w:ascii="仿宋_GB2312" w:hAnsi="仿宋_GB2312" w:eastAsia="仿宋_GB2312" w:cs="仿宋_GB2312"/>
                <w:szCs w:val="21"/>
              </w:rPr>
              <w:t>所投</w:t>
            </w:r>
            <w:r>
              <w:rPr>
                <w:rFonts w:hint="eastAsia" w:ascii="仿宋_GB2312" w:hAnsi="仿宋_GB2312" w:eastAsia="仿宋_GB2312" w:cs="仿宋_GB2312"/>
                <w:szCs w:val="21"/>
                <w:lang w:eastAsia="zh-CN"/>
              </w:rPr>
              <w:t>核心产品生产厂家具</w:t>
            </w:r>
            <w:r>
              <w:rPr>
                <w:rFonts w:hint="eastAsia" w:ascii="仿宋_GB2312" w:hAnsi="仿宋_GB2312" w:eastAsia="仿宋_GB2312" w:cs="仿宋_GB2312"/>
                <w:szCs w:val="21"/>
                <w:lang w:val="en-US" w:eastAsia="zh-CN"/>
              </w:rPr>
              <w:t>备</w:t>
            </w:r>
            <w:r>
              <w:rPr>
                <w:rFonts w:hint="eastAsia" w:ascii="仿宋_GB2312" w:hAnsi="仿宋_GB2312" w:eastAsia="仿宋_GB2312" w:cs="仿宋_GB2312"/>
                <w:szCs w:val="21"/>
                <w:lang w:eastAsia="zh-CN"/>
              </w:rPr>
              <w:t>有效</w:t>
            </w:r>
            <w:r>
              <w:rPr>
                <w:rFonts w:hint="eastAsia" w:ascii="仿宋_GB2312" w:hAnsi="仿宋_GB2312" w:eastAsia="仿宋_GB2312" w:cs="仿宋_GB2312"/>
                <w:szCs w:val="21"/>
                <w:lang w:val="en-US" w:eastAsia="zh-CN"/>
              </w:rPr>
              <w:t>的</w:t>
            </w:r>
            <w:r>
              <w:rPr>
                <w:rFonts w:hint="eastAsia" w:ascii="仿宋_GB2312" w:hAnsi="仿宋_GB2312" w:eastAsia="仿宋_GB2312" w:cs="仿宋_GB2312"/>
                <w:szCs w:val="21"/>
              </w:rPr>
              <w:t>职业健康安全管理体系</w:t>
            </w:r>
            <w:r>
              <w:rPr>
                <w:rFonts w:hint="eastAsia" w:ascii="仿宋_GB2312" w:hAnsi="仿宋_GB2312" w:eastAsia="仿宋_GB2312" w:cs="仿宋_GB2312"/>
                <w:color w:val="auto"/>
                <w:szCs w:val="21"/>
              </w:rPr>
              <w:t>认证证书</w:t>
            </w:r>
            <w:r>
              <w:rPr>
                <w:rFonts w:hint="eastAsia" w:ascii="仿宋_GB2312" w:hAnsi="仿宋_GB2312" w:eastAsia="仿宋_GB2312" w:cs="仿宋_GB2312"/>
                <w:szCs w:val="21"/>
              </w:rPr>
              <w:t>得</w:t>
            </w:r>
            <w:r>
              <w:rPr>
                <w:rFonts w:hint="eastAsia" w:ascii="仿宋_GB2312" w:hAnsi="仿宋_GB2312" w:eastAsia="仿宋_GB2312" w:cs="仿宋_GB2312"/>
                <w:szCs w:val="21"/>
                <w:lang w:val="en-US"/>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rPr>
              <w:t>1</w:t>
            </w:r>
            <w:r>
              <w:rPr>
                <w:rFonts w:hint="eastAsia" w:ascii="仿宋_GB2312" w:hAnsi="仿宋_GB2312" w:eastAsia="仿宋_GB2312" w:cs="仿宋_GB2312"/>
                <w:szCs w:val="21"/>
              </w:rPr>
              <w:t>分</w:t>
            </w:r>
            <w:r>
              <w:rPr>
                <w:rFonts w:hint="eastAsia" w:ascii="仿宋_GB2312" w:hAnsi="仿宋_GB2312" w:eastAsia="仿宋_GB2312" w:cs="仿宋_GB2312"/>
                <w:szCs w:val="21"/>
                <w:lang w:eastAsia="zh-CN"/>
              </w:rPr>
              <w:t>；</w:t>
            </w:r>
          </w:p>
          <w:p w14:paraId="41DB0D7E">
            <w:pPr>
              <w:spacing w:line="440" w:lineRule="exact"/>
              <w:ind w:firstLine="420" w:firstLineChars="200"/>
              <w:jc w:val="left"/>
              <w:rPr>
                <w:rFonts w:hint="eastAsia" w:ascii="仿宋_GB2312" w:hAnsi="仿宋_GB2312" w:eastAsia="仿宋_GB2312" w:cs="仿宋_GB2312"/>
                <w:szCs w:val="21"/>
              </w:rPr>
            </w:pPr>
            <w:r>
              <w:rPr>
                <w:rFonts w:hint="eastAsia" w:ascii="仿宋_GB2312" w:hAnsi="仿宋_GB2312" w:eastAsia="仿宋_GB2312" w:cs="仿宋_GB2312"/>
                <w:szCs w:val="21"/>
              </w:rPr>
              <w:t>3.投标人或所投核心产品生产厂家具备有效的环境管理体系认证证书得</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分，满分</w:t>
            </w:r>
            <w:r>
              <w:rPr>
                <w:rFonts w:hint="eastAsia" w:ascii="仿宋_GB2312" w:hAnsi="仿宋_GB2312" w:eastAsia="仿宋_GB2312" w:cs="仿宋_GB2312"/>
                <w:szCs w:val="21"/>
                <w:lang w:val="en-US" w:eastAsia="zh-CN"/>
              </w:rPr>
              <w:t>1</w:t>
            </w:r>
            <w:r>
              <w:rPr>
                <w:rFonts w:hint="eastAsia" w:ascii="仿宋_GB2312" w:hAnsi="仿宋_GB2312" w:eastAsia="仿宋_GB2312" w:cs="仿宋_GB2312"/>
                <w:szCs w:val="21"/>
              </w:rPr>
              <w:t>分；</w:t>
            </w:r>
          </w:p>
          <w:p w14:paraId="4AAEDA2D">
            <w:pPr>
              <w:keepNext w:val="0"/>
              <w:keepLines w:val="0"/>
              <w:pageBreakBefore w:val="0"/>
              <w:kinsoku/>
              <w:wordWrap/>
              <w:overflowPunct/>
              <w:topLinePunct w:val="0"/>
              <w:autoSpaceDE/>
              <w:autoSpaceDN/>
              <w:bidi w:val="0"/>
              <w:adjustRightInd/>
              <w:snapToGrid/>
              <w:spacing w:line="440" w:lineRule="exact"/>
              <w:ind w:firstLine="0" w:firstLineChars="0"/>
              <w:textAlignment w:val="auto"/>
              <w:rPr>
                <w:rFonts w:ascii="仿宋_GB2312" w:hAnsi="仿宋_GB2312" w:eastAsia="仿宋_GB2312" w:cs="仿宋_GB2312"/>
              </w:rPr>
            </w:pPr>
            <w:r>
              <w:rPr>
                <w:rFonts w:hint="eastAsia"/>
                <w:lang w:val="en-US" w:eastAsia="zh-CN"/>
              </w:rPr>
              <w:t xml:space="preserve">    </w:t>
            </w:r>
            <w:r>
              <w:rPr>
                <w:rFonts w:hint="eastAsia" w:ascii="仿宋_GB2312" w:hAnsi="仿宋_GB2312" w:eastAsia="仿宋_GB2312" w:cs="仿宋_GB2312"/>
                <w:b/>
              </w:rPr>
              <w:t>注：投标人提供证书材料并加盖投标人CA电子签章，否则不予计分。</w:t>
            </w:r>
          </w:p>
        </w:tc>
        <w:tc>
          <w:tcPr>
            <w:tcW w:w="1182" w:type="dxa"/>
            <w:noWrap w:val="0"/>
            <w:vAlign w:val="center"/>
          </w:tcPr>
          <w:p w14:paraId="3469D962">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lang w:eastAsia="zh-CN"/>
              </w:rPr>
            </w:pPr>
            <w:r>
              <w:rPr>
                <w:rFonts w:hint="eastAsia" w:ascii="仿宋_GB2312" w:hAnsi="仿宋_GB2312" w:eastAsia="仿宋_GB2312" w:cs="仿宋_GB2312"/>
                <w:b/>
                <w:bCs/>
                <w:highlight w:val="none"/>
                <w:lang w:val="en-US" w:eastAsia="zh-CN"/>
              </w:rPr>
              <w:t>3</w:t>
            </w:r>
          </w:p>
        </w:tc>
        <w:tc>
          <w:tcPr>
            <w:tcW w:w="1413" w:type="dxa"/>
            <w:noWrap w:val="0"/>
            <w:vAlign w:val="center"/>
          </w:tcPr>
          <w:p w14:paraId="63BC7E8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rPr>
              <w:t>相关认证证书材料</w:t>
            </w:r>
          </w:p>
        </w:tc>
      </w:tr>
      <w:tr w14:paraId="4D5AC6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849" w:type="dxa"/>
            <w:noWrap w:val="0"/>
            <w:vAlign w:val="center"/>
          </w:tcPr>
          <w:p w14:paraId="74DA6C9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r>
              <w:rPr>
                <w:rFonts w:hint="eastAsia" w:ascii="仿宋_GB2312" w:hAnsi="宋体" w:eastAsia="仿宋_GB2312"/>
                <w:b/>
              </w:rPr>
              <w:t>政策功能分</w:t>
            </w:r>
          </w:p>
        </w:tc>
        <w:tc>
          <w:tcPr>
            <w:tcW w:w="1090" w:type="dxa"/>
            <w:noWrap w:val="0"/>
            <w:vAlign w:val="center"/>
          </w:tcPr>
          <w:p w14:paraId="47522F5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rPr>
            </w:pPr>
            <w:r>
              <w:rPr>
                <w:rFonts w:hint="eastAsia" w:ascii="仿宋_GB2312" w:hAnsi="宋体" w:eastAsia="仿宋_GB2312"/>
                <w:b/>
              </w:rPr>
              <w:t>政策功能</w:t>
            </w:r>
          </w:p>
        </w:tc>
        <w:tc>
          <w:tcPr>
            <w:tcW w:w="5776" w:type="dxa"/>
            <w:noWrap w:val="0"/>
            <w:vAlign w:val="center"/>
          </w:tcPr>
          <w:p w14:paraId="3ECA7606">
            <w:pPr>
              <w:keepNext w:val="0"/>
              <w:keepLines w:val="0"/>
              <w:pageBreakBefore w:val="0"/>
              <w:kinsoku/>
              <w:wordWrap/>
              <w:overflowPunct/>
              <w:topLinePunct w:val="0"/>
              <w:autoSpaceDE/>
              <w:autoSpaceDN/>
              <w:bidi w:val="0"/>
              <w:adjustRightInd/>
              <w:snapToGrid/>
              <w:spacing w:line="440" w:lineRule="exact"/>
              <w:ind w:firstLine="420" w:firstLineChars="200"/>
              <w:textAlignment w:val="auto"/>
              <w:rPr>
                <w:rFonts w:hint="eastAsia"/>
                <w:lang w:val="en-US" w:eastAsia="zh-CN"/>
              </w:rPr>
            </w:pPr>
            <w:r>
              <w:rPr>
                <w:rFonts w:hint="eastAsia" w:ascii="仿宋_GB2312" w:hAnsi="仿宋_GB2312" w:eastAsia="仿宋_GB2312" w:cs="仿宋_GB2312"/>
                <w:sz w:val="21"/>
                <w:szCs w:val="21"/>
              </w:rPr>
              <w:t>若采购货物属于财政部 生态环境部《关于印发环境标志产品政府采购品目清单的通知》中环境标志产品政府采购品目清单范围的，提供投标产品</w:t>
            </w:r>
            <w:r>
              <w:rPr>
                <w:rFonts w:hint="eastAsia" w:ascii="仿宋_GB2312" w:hAnsi="仿宋_GB2312" w:eastAsia="仿宋_GB2312" w:cs="仿宋_GB2312"/>
                <w:sz w:val="21"/>
                <w:szCs w:val="21"/>
                <w:lang w:eastAsia="zh-CN"/>
              </w:rPr>
              <w:t>由</w:t>
            </w:r>
            <w:r>
              <w:rPr>
                <w:rFonts w:hint="eastAsia" w:ascii="仿宋_GB2312" w:hAnsi="仿宋_GB2312" w:eastAsia="仿宋_GB2312" w:cs="仿宋_GB2312"/>
                <w:sz w:val="21"/>
                <w:szCs w:val="21"/>
              </w:rPr>
              <w:t>国家确定的认证机构出具的、处于有效期之内的环境标志产品认证证书材料并加盖投标人CA电子签章，每有一项产品得</w:t>
            </w:r>
            <w:r>
              <w:rPr>
                <w:rFonts w:hint="eastAsia" w:ascii="仿宋_GB2312" w:hAnsi="仿宋_GB2312" w:eastAsia="仿宋_GB2312" w:cs="仿宋_GB2312"/>
                <w:sz w:val="21"/>
                <w:szCs w:val="21"/>
                <w:lang w:val="en-US" w:eastAsia="zh-CN"/>
              </w:rPr>
              <w:t>0.5</w:t>
            </w:r>
            <w:r>
              <w:rPr>
                <w:rFonts w:hint="eastAsia" w:ascii="仿宋_GB2312" w:hAnsi="仿宋_GB2312" w:eastAsia="仿宋_GB2312" w:cs="仿宋_GB2312"/>
                <w:sz w:val="21"/>
                <w:szCs w:val="21"/>
              </w:rPr>
              <w:t>分，满分</w:t>
            </w:r>
            <w:r>
              <w:rPr>
                <w:rFonts w:hint="eastAsia" w:ascii="仿宋_GB2312" w:hAnsi="仿宋_GB2312" w:eastAsia="仿宋_GB2312" w:cs="仿宋_GB2312"/>
                <w:sz w:val="21"/>
                <w:szCs w:val="21"/>
                <w:lang w:val="en-US" w:eastAsia="zh-CN"/>
              </w:rPr>
              <w:t>1</w:t>
            </w:r>
            <w:r>
              <w:rPr>
                <w:rFonts w:hint="eastAsia" w:ascii="仿宋_GB2312" w:hAnsi="仿宋_GB2312" w:eastAsia="仿宋_GB2312" w:cs="仿宋_GB2312"/>
                <w:sz w:val="21"/>
                <w:szCs w:val="21"/>
              </w:rPr>
              <w:t>分</w:t>
            </w:r>
            <w:r>
              <w:rPr>
                <w:rFonts w:hint="eastAsia" w:ascii="仿宋_GB2312" w:hAnsi="仿宋_GB2312" w:eastAsia="仿宋_GB2312" w:cs="仿宋_GB2312"/>
                <w:sz w:val="21"/>
                <w:szCs w:val="21"/>
                <w:lang w:eastAsia="zh-CN"/>
              </w:rPr>
              <w:t>。</w:t>
            </w:r>
          </w:p>
        </w:tc>
        <w:tc>
          <w:tcPr>
            <w:tcW w:w="1182" w:type="dxa"/>
            <w:noWrap w:val="0"/>
            <w:vAlign w:val="center"/>
          </w:tcPr>
          <w:p w14:paraId="0BEC80FC">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highlight w:val="none"/>
                <w:lang w:val="en-US" w:eastAsia="zh-CN"/>
              </w:rPr>
            </w:pPr>
            <w:r>
              <w:rPr>
                <w:rFonts w:hint="eastAsia" w:ascii="仿宋_GB2312" w:hAnsi="仿宋_GB2312" w:eastAsia="仿宋_GB2312" w:cs="仿宋_GB2312"/>
                <w:b/>
                <w:bCs/>
                <w:highlight w:val="none"/>
                <w:lang w:val="en-US" w:eastAsia="zh-CN"/>
              </w:rPr>
              <w:t>1</w:t>
            </w:r>
          </w:p>
        </w:tc>
        <w:tc>
          <w:tcPr>
            <w:tcW w:w="1413" w:type="dxa"/>
            <w:noWrap w:val="0"/>
            <w:vAlign w:val="center"/>
          </w:tcPr>
          <w:p w14:paraId="4407DEF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lang w:val="en-US" w:eastAsia="zh-CN"/>
              </w:rPr>
            </w:pPr>
            <w:r>
              <w:rPr>
                <w:rFonts w:hint="eastAsia" w:ascii="仿宋_GB2312" w:hAnsi="仿宋_GB2312" w:eastAsia="仿宋_GB2312" w:cs="仿宋_GB2312"/>
              </w:rPr>
              <w:t>相关证明材料</w:t>
            </w:r>
          </w:p>
        </w:tc>
      </w:tr>
      <w:tr w14:paraId="41C17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restart"/>
            <w:noWrap w:val="0"/>
            <w:vAlign w:val="center"/>
          </w:tcPr>
          <w:p w14:paraId="19AC541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b/>
                <w:bCs/>
              </w:rPr>
              <w:t>技术参数分</w:t>
            </w:r>
          </w:p>
        </w:tc>
        <w:tc>
          <w:tcPr>
            <w:tcW w:w="1090" w:type="dxa"/>
            <w:noWrap w:val="0"/>
            <w:vAlign w:val="center"/>
          </w:tcPr>
          <w:p w14:paraId="490C41F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b/>
                <w:bCs/>
              </w:rPr>
              <w:t>实质性技术参数</w:t>
            </w:r>
          </w:p>
        </w:tc>
        <w:tc>
          <w:tcPr>
            <w:tcW w:w="5776" w:type="dxa"/>
            <w:noWrap w:val="0"/>
            <w:vAlign w:val="center"/>
          </w:tcPr>
          <w:p w14:paraId="7273A14F">
            <w:pPr>
              <w:numPr>
                <w:ilvl w:val="0"/>
                <w:numId w:val="0"/>
              </w:numPr>
              <w:spacing w:line="440" w:lineRule="exact"/>
              <w:ind w:firstLine="420" w:firstLineChars="200"/>
              <w:rPr>
                <w:rFonts w:ascii="仿宋_GB2312" w:hAnsi="仿宋_GB2312" w:eastAsia="仿宋_GB2312" w:cs="仿宋_GB2312"/>
                <w:color w:val="auto"/>
                <w:sz w:val="21"/>
                <w:szCs w:val="21"/>
                <w:u w:color="auto"/>
              </w:rPr>
            </w:pPr>
            <w:r>
              <w:rPr>
                <w:rFonts w:hint="eastAsia" w:ascii="仿宋_GB2312" w:hAnsi="仿宋_GB2312" w:eastAsia="仿宋_GB2312" w:cs="仿宋_GB2312"/>
                <w:color w:val="auto"/>
                <w:sz w:val="21"/>
                <w:szCs w:val="21"/>
                <w:u w:val="none" w:color="auto"/>
              </w:rPr>
              <w:t>所投产品标记“★”的技术参数中</w:t>
            </w:r>
            <w:r>
              <w:rPr>
                <w:rFonts w:hint="eastAsia" w:ascii="仿宋_GB2312" w:hAnsi="仿宋_GB2312" w:eastAsia="仿宋_GB2312" w:cs="仿宋_GB2312"/>
                <w:color w:val="auto"/>
                <w:sz w:val="21"/>
                <w:szCs w:val="21"/>
                <w:u w:val="none" w:color="auto"/>
                <w:lang w:val="en-US" w:eastAsia="zh-CN"/>
              </w:rPr>
              <w:t>带</w:t>
            </w:r>
            <w:r>
              <w:rPr>
                <w:rFonts w:hint="eastAsia" w:ascii="仿宋_GB2312" w:hAnsi="仿宋_GB2312" w:eastAsia="仿宋_GB2312" w:cs="仿宋_GB2312"/>
                <w:sz w:val="21"/>
                <w:szCs w:val="21"/>
                <w:lang w:val="en-US" w:eastAsia="zh-CN"/>
              </w:rPr>
              <w:t>“</w:t>
            </w:r>
            <w:r>
              <w:rPr>
                <w:rFonts w:hint="eastAsia" w:ascii="仿宋_GB2312" w:hAnsi="仿宋_GB2312" w:eastAsia="仿宋_GB2312" w:cs="仿宋_GB2312"/>
                <w:sz w:val="21"/>
                <w:szCs w:val="21"/>
                <w:u w:val="wave"/>
                <w:lang w:val="en-US" w:eastAsia="zh-CN"/>
              </w:rPr>
              <w:t xml:space="preserve">   </w:t>
            </w:r>
            <w:r>
              <w:rPr>
                <w:rFonts w:hint="eastAsia" w:ascii="仿宋_GB2312" w:hAnsi="仿宋_GB2312" w:eastAsia="仿宋_GB2312" w:cs="仿宋_GB2312"/>
                <w:sz w:val="21"/>
                <w:szCs w:val="21"/>
                <w:lang w:val="en-US" w:eastAsia="zh-CN"/>
              </w:rPr>
              <w:t>”</w:t>
            </w:r>
            <w:r>
              <w:rPr>
                <w:rFonts w:hint="eastAsia" w:ascii="仿宋_GB2312" w:hAnsi="仿宋_GB2312" w:eastAsia="仿宋_GB2312" w:cs="仿宋_GB2312"/>
                <w:color w:val="auto"/>
                <w:sz w:val="21"/>
                <w:szCs w:val="21"/>
                <w:u w:val="none" w:color="auto"/>
              </w:rPr>
              <w:t>内容优于采购需求的，每有一项得</w:t>
            </w:r>
            <w:r>
              <w:rPr>
                <w:rFonts w:hint="eastAsia" w:ascii="仿宋_GB2312" w:hAnsi="仿宋_GB2312" w:eastAsia="仿宋_GB2312" w:cs="仿宋_GB2312"/>
                <w:b/>
                <w:bCs/>
                <w:u w:val="none" w:color="auto"/>
                <w:lang w:val="en-US" w:eastAsia="zh-CN"/>
              </w:rPr>
              <w:t>3</w:t>
            </w:r>
            <w:r>
              <w:rPr>
                <w:rFonts w:hint="eastAsia" w:ascii="仿宋_GB2312" w:hAnsi="仿宋_GB2312" w:eastAsia="仿宋_GB2312" w:cs="仿宋_GB2312"/>
                <w:color w:val="auto"/>
                <w:sz w:val="21"/>
                <w:szCs w:val="21"/>
                <w:u w:val="none" w:color="auto"/>
              </w:rPr>
              <w:t>分，满分</w:t>
            </w:r>
            <w:r>
              <w:rPr>
                <w:rFonts w:hint="eastAsia" w:ascii="仿宋_GB2312" w:hAnsi="仿宋_GB2312" w:eastAsia="仿宋_GB2312" w:cs="仿宋_GB2312"/>
                <w:b/>
                <w:bCs/>
                <w:u w:val="none" w:color="auto"/>
                <w:lang w:val="en-US" w:eastAsia="zh-CN"/>
              </w:rPr>
              <w:t>21</w:t>
            </w:r>
            <w:r>
              <w:rPr>
                <w:rFonts w:hint="eastAsia" w:ascii="仿宋_GB2312" w:hAnsi="仿宋_GB2312" w:eastAsia="仿宋_GB2312" w:cs="仿宋_GB2312"/>
                <w:color w:val="auto"/>
                <w:sz w:val="21"/>
                <w:szCs w:val="21"/>
                <w:u w:val="none" w:color="auto"/>
              </w:rPr>
              <w:t>分。</w:t>
            </w:r>
          </w:p>
          <w:p w14:paraId="4DC11078">
            <w:pPr>
              <w:spacing w:line="440" w:lineRule="exact"/>
              <w:ind w:firstLine="422" w:firstLineChars="200"/>
              <w:rPr>
                <w:rFonts w:hint="eastAsia" w:ascii="仿宋_GB2312" w:hAnsi="仿宋_GB2312" w:eastAsia="仿宋_GB2312" w:cs="仿宋_GB2312"/>
                <w:b/>
                <w:bCs/>
                <w:color w:val="auto"/>
                <w:sz w:val="21"/>
                <w:szCs w:val="21"/>
                <w:lang w:eastAsia="zh-CN"/>
              </w:rPr>
            </w:pPr>
            <w:r>
              <w:rPr>
                <w:rFonts w:hint="eastAsia" w:ascii="仿宋_GB2312" w:hAnsi="仿宋_GB2312" w:eastAsia="仿宋_GB2312" w:cs="仿宋_GB2312"/>
                <w:b/>
                <w:bCs/>
                <w:color w:val="auto"/>
                <w:sz w:val="21"/>
                <w:szCs w:val="21"/>
              </w:rPr>
              <w:t>注：1.标记“★”</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rPr>
              <w:t>参数条款中≥XX的技术参数，投标人响应的参数仅等于XX的为无偏离，&gt;XX为正偏离（优于）；≤XX的技术参数，投标人响应的参数仅等于XX的为无偏离，＜XX为正偏离（优于）</w:t>
            </w:r>
            <w:r>
              <w:rPr>
                <w:rFonts w:hint="eastAsia" w:ascii="仿宋_GB2312" w:hAnsi="仿宋_GB2312" w:eastAsia="仿宋_GB2312" w:cs="仿宋_GB2312"/>
                <w:b/>
                <w:bCs/>
                <w:color w:val="auto"/>
                <w:sz w:val="21"/>
                <w:szCs w:val="21"/>
                <w:highlight w:val="none"/>
                <w:lang w:eastAsia="zh-CN"/>
              </w:rPr>
              <w:t>；</w:t>
            </w:r>
          </w:p>
          <w:p w14:paraId="7ACF658E">
            <w:pPr>
              <w:spacing w:line="460" w:lineRule="exact"/>
              <w:ind w:firstLine="422" w:firstLineChars="200"/>
              <w:rPr>
                <w:rFonts w:ascii="仿宋_GB2312" w:hAnsi="仿宋_GB2312" w:eastAsia="仿宋_GB2312" w:cs="仿宋_GB2312"/>
              </w:rPr>
            </w:pPr>
            <w:r>
              <w:rPr>
                <w:rFonts w:hint="eastAsia" w:ascii="仿宋_GB2312" w:hAnsi="仿宋_GB2312" w:eastAsia="仿宋_GB2312" w:cs="仿宋_GB2312"/>
                <w:b/>
                <w:bCs/>
                <w:color w:val="auto"/>
                <w:sz w:val="21"/>
                <w:szCs w:val="21"/>
                <w:lang w:val="en-US" w:eastAsia="zh-CN"/>
              </w:rPr>
              <w:t>2.</w:t>
            </w:r>
            <w:r>
              <w:rPr>
                <w:rFonts w:hint="eastAsia" w:ascii="仿宋_GB2312" w:hAnsi="仿宋_GB2312" w:eastAsia="仿宋_GB2312" w:cs="仿宋_GB2312"/>
                <w:b/>
                <w:bCs/>
                <w:color w:val="auto"/>
                <w:sz w:val="21"/>
                <w:szCs w:val="21"/>
              </w:rPr>
              <w:t>标记“★”</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rPr>
              <w:t>参数中内容优于采购需求的</w:t>
            </w:r>
            <w:r>
              <w:rPr>
                <w:rFonts w:hint="eastAsia" w:ascii="仿宋_GB2312" w:hAnsi="仿宋_GB2312" w:eastAsia="仿宋_GB2312" w:cs="仿宋_GB2312"/>
                <w:b/>
                <w:bCs/>
                <w:color w:val="auto"/>
                <w:sz w:val="21"/>
                <w:szCs w:val="21"/>
                <w:lang w:eastAsia="zh-CN"/>
              </w:rPr>
              <w:t>，提供具有CMA或CNAS标识的检测（检验）报告或提供其它证明材料（彩页、产品说明书、官网或功能截图等其中任意一项）</w:t>
            </w:r>
            <w:r>
              <w:rPr>
                <w:rFonts w:hint="eastAsia" w:ascii="仿宋_GB2312" w:hAnsi="仿宋_GB2312" w:eastAsia="仿宋_GB2312" w:cs="仿宋_GB2312"/>
                <w:b/>
                <w:bCs/>
                <w:color w:val="auto"/>
                <w:sz w:val="21"/>
                <w:szCs w:val="21"/>
                <w:lang w:val="en-US" w:eastAsia="zh-CN"/>
              </w:rPr>
              <w:t>并加盖投标人CA电子签章。提供的检测报告或其他证明材料能体现标记“</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lang w:val="en-US" w:eastAsia="zh-CN"/>
              </w:rPr>
              <w:t>”带波浪线</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lang w:val="en-US" w:eastAsia="zh-CN"/>
              </w:rPr>
              <w:t>的技术参数，</w:t>
            </w:r>
            <w:r>
              <w:rPr>
                <w:rFonts w:hint="eastAsia" w:ascii="仿宋_GB2312" w:hAnsi="仿宋_GB2312" w:eastAsia="仿宋_GB2312" w:cs="仿宋_GB2312"/>
                <w:b/>
                <w:bCs/>
                <w:color w:val="auto"/>
                <w:sz w:val="21"/>
                <w:szCs w:val="21"/>
              </w:rPr>
              <w:t>如未提供检测报告或其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证明材料，或</w:t>
            </w:r>
            <w:r>
              <w:rPr>
                <w:rFonts w:hint="eastAsia" w:ascii="仿宋_GB2312" w:hAnsi="仿宋_GB2312" w:eastAsia="仿宋_GB2312" w:cs="仿宋_GB2312"/>
                <w:b/>
                <w:bCs/>
                <w:color w:val="auto"/>
                <w:sz w:val="21"/>
                <w:szCs w:val="21"/>
                <w:lang w:eastAsia="zh-CN"/>
              </w:rPr>
              <w:t>提供的</w:t>
            </w:r>
            <w:r>
              <w:rPr>
                <w:rFonts w:hint="eastAsia" w:ascii="仿宋_GB2312" w:hAnsi="仿宋_GB2312" w:eastAsia="仿宋_GB2312" w:cs="仿宋_GB2312"/>
                <w:b/>
                <w:bCs/>
                <w:color w:val="auto"/>
                <w:sz w:val="21"/>
                <w:szCs w:val="21"/>
              </w:rPr>
              <w:t>检测报告与其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证明材料内容</w:t>
            </w:r>
            <w:r>
              <w:rPr>
                <w:rFonts w:hint="eastAsia" w:ascii="仿宋_GB2312" w:hAnsi="仿宋_GB2312" w:eastAsia="仿宋_GB2312" w:cs="仿宋_GB2312"/>
                <w:b/>
                <w:bCs/>
                <w:color w:val="auto"/>
                <w:sz w:val="21"/>
                <w:szCs w:val="21"/>
                <w:lang w:eastAsia="zh-CN"/>
              </w:rPr>
              <w:t>无优于的，</w:t>
            </w:r>
            <w:r>
              <w:rPr>
                <w:rFonts w:hint="eastAsia" w:ascii="仿宋_GB2312" w:hAnsi="仿宋_GB2312" w:eastAsia="仿宋_GB2312" w:cs="仿宋_GB2312"/>
                <w:b/>
                <w:bCs/>
                <w:color w:val="auto"/>
                <w:sz w:val="21"/>
                <w:szCs w:val="21"/>
              </w:rPr>
              <w:t>对应项不予计分。</w:t>
            </w:r>
          </w:p>
        </w:tc>
        <w:tc>
          <w:tcPr>
            <w:tcW w:w="1182" w:type="dxa"/>
            <w:noWrap w:val="0"/>
            <w:vAlign w:val="center"/>
          </w:tcPr>
          <w:p w14:paraId="37EE6718">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strike/>
                <w:lang w:val="en-US" w:eastAsia="zh-CN"/>
              </w:rPr>
            </w:pPr>
            <w:r>
              <w:rPr>
                <w:rFonts w:hint="eastAsia" w:ascii="仿宋_GB2312" w:hAnsi="仿宋_GB2312" w:eastAsia="仿宋_GB2312" w:cs="仿宋_GB2312"/>
                <w:b/>
                <w:bCs/>
                <w:lang w:val="en-US" w:eastAsia="zh-CN"/>
              </w:rPr>
              <w:t>21</w:t>
            </w:r>
          </w:p>
        </w:tc>
        <w:tc>
          <w:tcPr>
            <w:tcW w:w="1413" w:type="dxa"/>
            <w:vMerge w:val="restart"/>
            <w:noWrap w:val="0"/>
            <w:vAlign w:val="center"/>
          </w:tcPr>
          <w:p w14:paraId="284AACBF">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lang w:val="en-US" w:eastAsia="zh-CN"/>
              </w:rPr>
            </w:pPr>
            <w:r>
              <w:rPr>
                <w:rFonts w:hint="eastAsia" w:ascii="仿宋_GB2312" w:hAnsi="仿宋_GB2312" w:eastAsia="仿宋_GB2312" w:cs="仿宋_GB2312"/>
              </w:rPr>
              <w:t>技术响应表</w:t>
            </w:r>
            <w:r>
              <w:rPr>
                <w:rFonts w:hint="eastAsia" w:ascii="仿宋_GB2312" w:hAnsi="仿宋_GB2312" w:eastAsia="仿宋_GB2312" w:cs="仿宋_GB2312"/>
                <w:lang w:val="en-US" w:eastAsia="zh-CN"/>
              </w:rPr>
              <w:t>及相关证明材料</w:t>
            </w:r>
          </w:p>
        </w:tc>
      </w:tr>
      <w:tr w14:paraId="2C3B111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vMerge w:val="continue"/>
            <w:noWrap w:val="0"/>
            <w:vAlign w:val="center"/>
          </w:tcPr>
          <w:p w14:paraId="2269488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p>
        </w:tc>
        <w:tc>
          <w:tcPr>
            <w:tcW w:w="1090" w:type="dxa"/>
            <w:noWrap w:val="0"/>
            <w:vAlign w:val="center"/>
          </w:tcPr>
          <w:p w14:paraId="424B2578">
            <w:pPr>
              <w:spacing w:line="360" w:lineRule="exact"/>
              <w:jc w:val="center"/>
              <w:rPr>
                <w:rFonts w:hint="eastAsia"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eastAsia="zh-CN"/>
              </w:rPr>
              <w:t>重</w:t>
            </w:r>
            <w:r>
              <w:rPr>
                <w:rFonts w:hint="eastAsia" w:ascii="仿宋_GB2312" w:hAnsi="仿宋_GB2312" w:eastAsia="仿宋_GB2312" w:cs="仿宋_GB2312"/>
                <w:b/>
                <w:bCs/>
                <w:color w:val="auto"/>
                <w:szCs w:val="24"/>
                <w:highlight w:val="none"/>
              </w:rPr>
              <w:t>要技术参数</w:t>
            </w:r>
          </w:p>
        </w:tc>
        <w:tc>
          <w:tcPr>
            <w:tcW w:w="5776" w:type="dxa"/>
            <w:noWrap w:val="0"/>
            <w:vAlign w:val="center"/>
          </w:tcPr>
          <w:p w14:paraId="0BDE68B7">
            <w:pPr>
              <w:spacing w:line="460" w:lineRule="exact"/>
              <w:ind w:firstLine="420" w:firstLineChars="200"/>
              <w:rPr>
                <w:rFonts w:hint="eastAsia" w:ascii="仿宋_GB2312" w:hAnsi="仿宋_GB2312" w:eastAsia="仿宋_GB2312" w:cs="仿宋_GB2312"/>
                <w:sz w:val="21"/>
                <w:szCs w:val="21"/>
                <w:u w:val="none" w:color="auto"/>
              </w:rPr>
            </w:pPr>
            <w:r>
              <w:rPr>
                <w:rFonts w:hint="eastAsia" w:ascii="仿宋_GB2312" w:hAnsi="仿宋_GB2312" w:eastAsia="仿宋_GB2312" w:cs="仿宋_GB2312"/>
                <w:sz w:val="21"/>
                <w:szCs w:val="21"/>
                <w:u w:val="none" w:color="auto"/>
              </w:rPr>
              <w:t>所投产品标记“◆”的技术参数</w:t>
            </w:r>
            <w:r>
              <w:rPr>
                <w:rFonts w:hint="eastAsia" w:ascii="仿宋_GB2312" w:hAnsi="仿宋_GB2312" w:eastAsia="仿宋_GB2312" w:cs="仿宋_GB2312"/>
                <w:sz w:val="21"/>
                <w:szCs w:val="21"/>
                <w:u w:val="none" w:color="auto"/>
                <w:lang w:val="en-US" w:eastAsia="zh-CN"/>
              </w:rPr>
              <w:t>中带</w:t>
            </w:r>
            <w:r>
              <w:rPr>
                <w:rFonts w:hint="eastAsia" w:ascii="仿宋_GB2312" w:hAnsi="仿宋_GB2312" w:eastAsia="仿宋_GB2312" w:cs="仿宋_GB2312"/>
                <w:sz w:val="21"/>
                <w:szCs w:val="21"/>
                <w:lang w:val="en-US" w:eastAsia="zh-CN"/>
              </w:rPr>
              <w:t>“</w:t>
            </w:r>
            <w:r>
              <w:rPr>
                <w:rFonts w:hint="eastAsia" w:ascii="仿宋_GB2312" w:hAnsi="仿宋_GB2312" w:eastAsia="仿宋_GB2312" w:cs="仿宋_GB2312"/>
                <w:sz w:val="21"/>
                <w:szCs w:val="21"/>
                <w:u w:val="wave"/>
                <w:lang w:val="en-US" w:eastAsia="zh-CN"/>
              </w:rPr>
              <w:t xml:space="preserve">   </w:t>
            </w:r>
            <w:r>
              <w:rPr>
                <w:rFonts w:hint="eastAsia" w:ascii="仿宋_GB2312" w:hAnsi="仿宋_GB2312" w:eastAsia="仿宋_GB2312" w:cs="仿宋_GB2312"/>
                <w:sz w:val="21"/>
                <w:szCs w:val="21"/>
                <w:lang w:val="en-US" w:eastAsia="zh-CN"/>
              </w:rPr>
              <w:t>”</w:t>
            </w:r>
            <w:r>
              <w:rPr>
                <w:rFonts w:hint="eastAsia" w:ascii="仿宋_GB2312" w:hAnsi="仿宋_GB2312" w:eastAsia="仿宋_GB2312" w:cs="仿宋_GB2312"/>
                <w:sz w:val="21"/>
                <w:szCs w:val="21"/>
                <w:u w:val="none" w:color="auto"/>
              </w:rPr>
              <w:t>内容优于采购需求的，每有一项得</w:t>
            </w:r>
            <w:r>
              <w:rPr>
                <w:rFonts w:hint="eastAsia" w:ascii="仿宋_GB2312" w:hAnsi="仿宋_GB2312" w:eastAsia="仿宋_GB2312" w:cs="仿宋_GB2312"/>
                <w:b/>
                <w:bCs/>
                <w:u w:val="none" w:color="auto"/>
                <w:lang w:val="en-US" w:eastAsia="zh-CN"/>
              </w:rPr>
              <w:t>2</w:t>
            </w:r>
            <w:r>
              <w:rPr>
                <w:rFonts w:hint="eastAsia" w:ascii="仿宋_GB2312" w:hAnsi="仿宋_GB2312" w:eastAsia="仿宋_GB2312" w:cs="仿宋_GB2312"/>
                <w:bCs/>
                <w:sz w:val="21"/>
                <w:szCs w:val="21"/>
                <w:u w:val="none" w:color="auto"/>
              </w:rPr>
              <w:t>分</w:t>
            </w:r>
            <w:r>
              <w:rPr>
                <w:rFonts w:hint="eastAsia" w:ascii="仿宋_GB2312" w:hAnsi="仿宋_GB2312" w:eastAsia="仿宋_GB2312" w:cs="仿宋_GB2312"/>
                <w:sz w:val="21"/>
                <w:szCs w:val="21"/>
                <w:u w:val="none" w:color="auto"/>
              </w:rPr>
              <w:t>，满分</w:t>
            </w:r>
            <w:r>
              <w:rPr>
                <w:rFonts w:hint="eastAsia" w:ascii="仿宋_GB2312" w:hAnsi="仿宋_GB2312" w:eastAsia="仿宋_GB2312" w:cs="仿宋_GB2312"/>
                <w:b/>
                <w:bCs/>
                <w:u w:val="none" w:color="auto"/>
                <w:lang w:val="en-US" w:eastAsia="zh-CN"/>
              </w:rPr>
              <w:t>12</w:t>
            </w:r>
            <w:r>
              <w:rPr>
                <w:rFonts w:hint="eastAsia" w:ascii="仿宋_GB2312" w:hAnsi="仿宋_GB2312" w:eastAsia="仿宋_GB2312" w:cs="仿宋_GB2312"/>
                <w:bCs/>
                <w:sz w:val="21"/>
                <w:szCs w:val="21"/>
                <w:u w:val="none" w:color="auto"/>
              </w:rPr>
              <w:t>分</w:t>
            </w:r>
            <w:r>
              <w:rPr>
                <w:rFonts w:hint="eastAsia" w:ascii="仿宋_GB2312" w:hAnsi="仿宋_GB2312" w:eastAsia="仿宋_GB2312" w:cs="仿宋_GB2312"/>
                <w:sz w:val="21"/>
                <w:szCs w:val="21"/>
                <w:u w:val="none" w:color="auto"/>
              </w:rPr>
              <w:t xml:space="preserve">。     </w:t>
            </w:r>
          </w:p>
          <w:p w14:paraId="5BDB2412">
            <w:pPr>
              <w:spacing w:line="440" w:lineRule="exact"/>
              <w:ind w:firstLine="422" w:firstLineChars="200"/>
              <w:rPr>
                <w:rFonts w:hint="eastAsia" w:ascii="仿宋_GB2312" w:hAnsi="仿宋_GB2312" w:eastAsia="仿宋_GB2312" w:cs="仿宋_GB2312"/>
                <w:b/>
                <w:bCs/>
                <w:color w:val="auto"/>
                <w:sz w:val="21"/>
                <w:szCs w:val="21"/>
                <w:lang w:eastAsia="zh-CN"/>
              </w:rPr>
            </w:pPr>
            <w:r>
              <w:rPr>
                <w:rFonts w:hint="eastAsia" w:ascii="仿宋_GB2312" w:hAnsi="仿宋_GB2312" w:eastAsia="仿宋_GB2312" w:cs="仿宋_GB2312"/>
                <w:b/>
                <w:bCs/>
                <w:color w:val="auto"/>
                <w:sz w:val="21"/>
                <w:szCs w:val="21"/>
              </w:rPr>
              <w:t>注：1.标记“</w:t>
            </w:r>
            <w:r>
              <w:rPr>
                <w:rFonts w:hint="eastAsia" w:ascii="仿宋_GB2312" w:hAnsi="仿宋_GB2312" w:eastAsia="仿宋_GB2312" w:cs="仿宋_GB2312"/>
                <w:sz w:val="21"/>
                <w:szCs w:val="21"/>
              </w:rPr>
              <w:t>◆</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rPr>
              <w:t>参数条款中≥XX的技术参数，投标人响应的参数仅等于XX的为无偏离，&gt;XX为正偏离（优于）；≤XX的技术参数，投标人响应的参数仅等于XX的为无偏离，＜XX为正偏离（优于）</w:t>
            </w:r>
            <w:r>
              <w:rPr>
                <w:rFonts w:hint="eastAsia" w:ascii="仿宋_GB2312" w:hAnsi="仿宋_GB2312" w:eastAsia="仿宋_GB2312" w:cs="仿宋_GB2312"/>
                <w:b/>
                <w:bCs/>
                <w:color w:val="auto"/>
                <w:sz w:val="21"/>
                <w:szCs w:val="21"/>
                <w:highlight w:val="none"/>
                <w:lang w:eastAsia="zh-CN"/>
              </w:rPr>
              <w:t>；</w:t>
            </w:r>
          </w:p>
          <w:p w14:paraId="232673AC">
            <w:pPr>
              <w:spacing w:line="460" w:lineRule="exact"/>
              <w:ind w:firstLine="422" w:firstLineChars="200"/>
              <w:rPr>
                <w:rFonts w:hint="eastAsia" w:ascii="Times New Roman" w:hAnsi="Times New Roman" w:eastAsia="宋体" w:cs="Times New Roman"/>
                <w:bCs/>
                <w:color w:val="auto"/>
                <w:spacing w:val="10"/>
                <w:kern w:val="0"/>
                <w:sz w:val="24"/>
                <w:szCs w:val="24"/>
                <w:highlight w:val="none"/>
                <w:lang w:val="en-US" w:eastAsia="zh-CN" w:bidi="ar-SA"/>
              </w:rPr>
            </w:pPr>
            <w:r>
              <w:rPr>
                <w:rFonts w:hint="eastAsia" w:ascii="仿宋_GB2312" w:hAnsi="仿宋_GB2312" w:eastAsia="仿宋_GB2312" w:cs="仿宋_GB2312"/>
                <w:b/>
                <w:bCs/>
                <w:color w:val="auto"/>
                <w:sz w:val="21"/>
                <w:szCs w:val="21"/>
                <w:lang w:val="en-US" w:eastAsia="zh-CN"/>
              </w:rPr>
              <w:t>2.</w:t>
            </w:r>
            <w:r>
              <w:rPr>
                <w:rFonts w:hint="eastAsia" w:ascii="仿宋_GB2312" w:hAnsi="仿宋_GB2312" w:eastAsia="仿宋_GB2312" w:cs="仿宋_GB2312"/>
                <w:b/>
                <w:bCs/>
                <w:color w:val="auto"/>
                <w:sz w:val="21"/>
                <w:szCs w:val="21"/>
              </w:rPr>
              <w:t>标记“</w:t>
            </w:r>
            <w:r>
              <w:rPr>
                <w:rFonts w:hint="eastAsia" w:ascii="仿宋_GB2312" w:hAnsi="仿宋_GB2312" w:eastAsia="仿宋_GB2312" w:cs="仿宋_GB2312"/>
                <w:sz w:val="21"/>
                <w:szCs w:val="21"/>
              </w:rPr>
              <w:t>◆</w:t>
            </w:r>
            <w:r>
              <w:rPr>
                <w:rFonts w:hint="eastAsia" w:ascii="仿宋_GB2312" w:hAnsi="仿宋_GB2312" w:eastAsia="仿宋_GB2312" w:cs="仿宋_GB2312"/>
                <w:b/>
                <w:bCs/>
                <w:color w:val="auto"/>
                <w:sz w:val="21"/>
                <w:szCs w:val="21"/>
              </w:rPr>
              <w:t>”</w:t>
            </w:r>
            <w:r>
              <w:rPr>
                <w:rFonts w:hint="eastAsia" w:ascii="仿宋_GB2312" w:hAnsi="仿宋_GB2312" w:eastAsia="仿宋_GB2312" w:cs="仿宋_GB2312"/>
                <w:b/>
                <w:bCs/>
                <w:color w:val="auto"/>
                <w:sz w:val="21"/>
                <w:szCs w:val="21"/>
                <w:highlight w:val="none"/>
                <w:lang w:val="en-US" w:eastAsia="zh-CN"/>
              </w:rPr>
              <w:t>带“</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rPr>
              <w:t>参数中内容优于采购需求的</w:t>
            </w:r>
            <w:r>
              <w:rPr>
                <w:rFonts w:hint="eastAsia" w:ascii="仿宋_GB2312" w:hAnsi="仿宋_GB2312" w:eastAsia="仿宋_GB2312" w:cs="仿宋_GB2312"/>
                <w:b/>
                <w:bCs/>
                <w:color w:val="auto"/>
                <w:sz w:val="21"/>
                <w:szCs w:val="21"/>
                <w:lang w:eastAsia="zh-CN"/>
              </w:rPr>
              <w:t>，提供具有CMA或CNAS标识的检测（检验）报告或提供其它证明材料（彩页、产品说明书、官网或功能截图等其中任意一项）</w:t>
            </w:r>
            <w:r>
              <w:rPr>
                <w:rFonts w:hint="eastAsia" w:ascii="仿宋_GB2312" w:hAnsi="仿宋_GB2312" w:eastAsia="仿宋_GB2312" w:cs="仿宋_GB2312"/>
                <w:b/>
                <w:bCs/>
                <w:color w:val="auto"/>
                <w:sz w:val="21"/>
                <w:szCs w:val="21"/>
                <w:lang w:val="en-US" w:eastAsia="zh-CN"/>
              </w:rPr>
              <w:t>并加盖投标人CA电子签章（提供的检测报告能体现标记“◆”带波浪线</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highlight w:val="none"/>
                <w:u w:val="wave"/>
                <w:lang w:val="en-US" w:eastAsia="zh-CN"/>
              </w:rPr>
              <w:t xml:space="preserve">   </w:t>
            </w:r>
            <w:r>
              <w:rPr>
                <w:rFonts w:hint="eastAsia" w:ascii="仿宋_GB2312" w:hAnsi="仿宋_GB2312" w:eastAsia="仿宋_GB2312" w:cs="仿宋_GB2312"/>
                <w:b/>
                <w:bCs/>
                <w:color w:val="auto"/>
                <w:sz w:val="21"/>
                <w:szCs w:val="21"/>
                <w:highlight w:val="none"/>
                <w:lang w:val="en-US" w:eastAsia="zh-CN"/>
              </w:rPr>
              <w:t>”</w:t>
            </w:r>
            <w:r>
              <w:rPr>
                <w:rFonts w:hint="eastAsia" w:ascii="仿宋_GB2312" w:hAnsi="仿宋_GB2312" w:eastAsia="仿宋_GB2312" w:cs="仿宋_GB2312"/>
                <w:b/>
                <w:bCs/>
                <w:color w:val="auto"/>
                <w:sz w:val="21"/>
                <w:szCs w:val="21"/>
                <w:lang w:val="en-US" w:eastAsia="zh-CN"/>
              </w:rPr>
              <w:t>的技术参数</w:t>
            </w:r>
            <w:r>
              <w:rPr>
                <w:rFonts w:hint="eastAsia" w:ascii="仿宋_GB2312" w:hAnsi="仿宋_GB2312" w:eastAsia="仿宋_GB2312" w:cs="仿宋_GB2312"/>
                <w:b/>
                <w:bCs/>
                <w:color w:val="auto"/>
                <w:sz w:val="21"/>
                <w:szCs w:val="21"/>
              </w:rPr>
              <w:t>，如未提供检测报告或其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证明材料，或</w:t>
            </w:r>
            <w:r>
              <w:rPr>
                <w:rFonts w:hint="eastAsia" w:ascii="仿宋_GB2312" w:hAnsi="仿宋_GB2312" w:eastAsia="仿宋_GB2312" w:cs="仿宋_GB2312"/>
                <w:b/>
                <w:bCs/>
                <w:color w:val="auto"/>
                <w:sz w:val="21"/>
                <w:szCs w:val="21"/>
                <w:lang w:eastAsia="zh-CN"/>
              </w:rPr>
              <w:t>提供的</w:t>
            </w:r>
            <w:r>
              <w:rPr>
                <w:rFonts w:hint="eastAsia" w:ascii="仿宋_GB2312" w:hAnsi="仿宋_GB2312" w:eastAsia="仿宋_GB2312" w:cs="仿宋_GB2312"/>
                <w:b/>
                <w:bCs/>
                <w:color w:val="auto"/>
                <w:sz w:val="21"/>
                <w:szCs w:val="21"/>
              </w:rPr>
              <w:t>检测报告与其</w:t>
            </w:r>
            <w:r>
              <w:rPr>
                <w:rFonts w:hint="eastAsia" w:ascii="仿宋_GB2312" w:hAnsi="仿宋_GB2312" w:eastAsia="仿宋_GB2312" w:cs="仿宋_GB2312"/>
                <w:b/>
                <w:bCs/>
                <w:color w:val="auto"/>
                <w:sz w:val="21"/>
                <w:szCs w:val="21"/>
                <w:lang w:eastAsia="zh-CN"/>
              </w:rPr>
              <w:t>他</w:t>
            </w:r>
            <w:r>
              <w:rPr>
                <w:rFonts w:hint="eastAsia" w:ascii="仿宋_GB2312" w:hAnsi="仿宋_GB2312" w:eastAsia="仿宋_GB2312" w:cs="仿宋_GB2312"/>
                <w:b/>
                <w:bCs/>
                <w:color w:val="auto"/>
                <w:sz w:val="21"/>
                <w:szCs w:val="21"/>
              </w:rPr>
              <w:t>证明材料内容</w:t>
            </w:r>
            <w:r>
              <w:rPr>
                <w:rFonts w:hint="eastAsia" w:ascii="仿宋_GB2312" w:hAnsi="仿宋_GB2312" w:eastAsia="仿宋_GB2312" w:cs="仿宋_GB2312"/>
                <w:b/>
                <w:bCs/>
                <w:color w:val="auto"/>
                <w:sz w:val="21"/>
                <w:szCs w:val="21"/>
                <w:lang w:eastAsia="zh-CN"/>
              </w:rPr>
              <w:t>无优于的，</w:t>
            </w:r>
            <w:r>
              <w:rPr>
                <w:rFonts w:hint="eastAsia" w:ascii="仿宋_GB2312" w:hAnsi="仿宋_GB2312" w:eastAsia="仿宋_GB2312" w:cs="仿宋_GB2312"/>
                <w:b/>
                <w:bCs/>
                <w:color w:val="auto"/>
                <w:sz w:val="21"/>
                <w:szCs w:val="21"/>
              </w:rPr>
              <w:t>对应项不予计分。</w:t>
            </w:r>
          </w:p>
        </w:tc>
        <w:tc>
          <w:tcPr>
            <w:tcW w:w="1182" w:type="dxa"/>
            <w:noWrap w:val="0"/>
            <w:vAlign w:val="center"/>
          </w:tcPr>
          <w:p w14:paraId="48878D9F">
            <w:pPr>
              <w:spacing w:line="360" w:lineRule="exact"/>
              <w:jc w:val="center"/>
              <w:rPr>
                <w:rFonts w:hint="default"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lang w:val="en-US" w:eastAsia="zh-CN"/>
              </w:rPr>
              <w:t>12</w:t>
            </w:r>
          </w:p>
        </w:tc>
        <w:tc>
          <w:tcPr>
            <w:tcW w:w="1413" w:type="dxa"/>
            <w:vMerge w:val="continue"/>
            <w:noWrap w:val="0"/>
            <w:vAlign w:val="center"/>
          </w:tcPr>
          <w:p w14:paraId="4683CF7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rPr>
            </w:pPr>
          </w:p>
        </w:tc>
      </w:tr>
      <w:tr w14:paraId="19CDD1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7715" w:type="dxa"/>
            <w:gridSpan w:val="3"/>
            <w:noWrap w:val="0"/>
            <w:vAlign w:val="center"/>
          </w:tcPr>
          <w:p w14:paraId="5A024CFE">
            <w:pPr>
              <w:pStyle w:val="715"/>
              <w:keepNext w:val="0"/>
              <w:keepLines w:val="0"/>
              <w:pageBreakBefore w:val="0"/>
              <w:tabs>
                <w:tab w:val="left" w:pos="312"/>
              </w:tabs>
              <w:kinsoku/>
              <w:wordWrap/>
              <w:overflowPunct/>
              <w:topLinePunct w:val="0"/>
              <w:autoSpaceDE/>
              <w:autoSpaceDN/>
              <w:bidi w:val="0"/>
              <w:adjustRightInd/>
              <w:snapToGrid/>
              <w:spacing w:line="400" w:lineRule="exact"/>
              <w:ind w:firstLine="0" w:firstLineChars="0"/>
              <w:jc w:val="center"/>
              <w:textAlignment w:val="auto"/>
              <w:rPr>
                <w:rFonts w:ascii="仿宋_GB2312" w:hAnsi="仿宋_GB2312" w:eastAsia="仿宋_GB2312" w:cs="仿宋_GB2312"/>
                <w:szCs w:val="24"/>
              </w:rPr>
            </w:pPr>
            <w:r>
              <w:rPr>
                <w:rFonts w:hint="eastAsia" w:ascii="仿宋_GB2312" w:hAnsi="宋体" w:eastAsia="仿宋_GB2312"/>
                <w:b/>
                <w:bCs/>
              </w:rPr>
              <w:t>客观分总分</w:t>
            </w:r>
          </w:p>
        </w:tc>
        <w:tc>
          <w:tcPr>
            <w:tcW w:w="1182" w:type="dxa"/>
            <w:noWrap w:val="0"/>
            <w:vAlign w:val="center"/>
          </w:tcPr>
          <w:p w14:paraId="10510B37">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宋体" w:cs="仿宋_GB2312"/>
                <w:b/>
                <w:bCs/>
                <w:lang w:val="en-US" w:eastAsia="zh-CN"/>
              </w:rPr>
            </w:pPr>
            <w:r>
              <w:rPr>
                <w:rFonts w:hint="eastAsia" w:ascii="仿宋_GB2312" w:hAnsi="仿宋_GB2312" w:eastAsia="仿宋_GB2312" w:cs="仿宋_GB2312"/>
                <w:b/>
                <w:bCs/>
                <w:lang w:val="en-US" w:eastAsia="zh-CN"/>
              </w:rPr>
              <w:t>67</w:t>
            </w:r>
          </w:p>
        </w:tc>
        <w:tc>
          <w:tcPr>
            <w:tcW w:w="1413" w:type="dxa"/>
            <w:noWrap w:val="0"/>
            <w:vAlign w:val="center"/>
          </w:tcPr>
          <w:p w14:paraId="439A961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p>
        </w:tc>
      </w:tr>
    </w:tbl>
    <w:tbl>
      <w:tblPr>
        <w:tblStyle w:val="714"/>
        <w:tblpPr w:leftFromText="180" w:rightFromText="180" w:vertAnchor="text" w:horzAnchor="page" w:tblpX="661" w:tblpY="1"/>
        <w:tblOverlap w:val="never"/>
        <w:tblW w:w="0" w:type="auto"/>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9"/>
        <w:gridCol w:w="1090"/>
        <w:gridCol w:w="5859"/>
        <w:gridCol w:w="967"/>
        <w:gridCol w:w="1550"/>
      </w:tblGrid>
      <w:tr w14:paraId="6ABA4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76" w:hRule="atLeast"/>
        </w:trPr>
        <w:tc>
          <w:tcPr>
            <w:tcW w:w="10315" w:type="dxa"/>
            <w:gridSpan w:val="5"/>
            <w:shd w:val="clear" w:color="auto" w:fill="D7D7D7"/>
            <w:noWrap w:val="0"/>
            <w:vAlign w:val="center"/>
          </w:tcPr>
          <w:p w14:paraId="4050E78D">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eastAsia="仿宋_GB2312"/>
                <w:b/>
                <w:sz w:val="32"/>
              </w:rPr>
              <w:t>主观分</w:t>
            </w:r>
          </w:p>
        </w:tc>
      </w:tr>
      <w:tr w14:paraId="764EC4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76" w:hRule="atLeast"/>
        </w:trPr>
        <w:tc>
          <w:tcPr>
            <w:tcW w:w="849" w:type="dxa"/>
            <w:noWrap w:val="0"/>
            <w:vAlign w:val="center"/>
          </w:tcPr>
          <w:p w14:paraId="6ABDA5A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评分项</w:t>
            </w:r>
          </w:p>
        </w:tc>
        <w:tc>
          <w:tcPr>
            <w:tcW w:w="1090" w:type="dxa"/>
            <w:noWrap w:val="0"/>
            <w:vAlign w:val="center"/>
          </w:tcPr>
          <w:p w14:paraId="305A859A">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评审因素</w:t>
            </w:r>
          </w:p>
        </w:tc>
        <w:tc>
          <w:tcPr>
            <w:tcW w:w="5859" w:type="dxa"/>
            <w:noWrap w:val="0"/>
            <w:vAlign w:val="center"/>
          </w:tcPr>
          <w:p w14:paraId="02CC9CE1">
            <w:pPr>
              <w:keepNext w:val="0"/>
              <w:keepLines w:val="0"/>
              <w:pageBreakBefore w:val="0"/>
              <w:kinsoku/>
              <w:wordWrap/>
              <w:overflowPunct/>
              <w:topLinePunct w:val="0"/>
              <w:autoSpaceDE/>
              <w:autoSpaceDN/>
              <w:bidi w:val="0"/>
              <w:adjustRightInd/>
              <w:snapToGrid/>
              <w:spacing w:line="34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评分标准说明</w:t>
            </w:r>
          </w:p>
        </w:tc>
        <w:tc>
          <w:tcPr>
            <w:tcW w:w="967" w:type="dxa"/>
            <w:noWrap w:val="0"/>
            <w:vAlign w:val="center"/>
          </w:tcPr>
          <w:p w14:paraId="66701603">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分值</w:t>
            </w:r>
          </w:p>
        </w:tc>
        <w:tc>
          <w:tcPr>
            <w:tcW w:w="1550" w:type="dxa"/>
            <w:noWrap w:val="0"/>
            <w:vAlign w:val="center"/>
          </w:tcPr>
          <w:p w14:paraId="4FD56C51">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rPr>
            </w:pPr>
            <w:r>
              <w:rPr>
                <w:rFonts w:hint="eastAsia" w:ascii="仿宋_GB2312" w:hAnsi="仿宋_GB2312" w:eastAsia="仿宋_GB2312" w:cs="仿宋_GB2312"/>
                <w:b/>
              </w:rPr>
              <w:t>对应的投标文件格式</w:t>
            </w:r>
          </w:p>
        </w:tc>
      </w:tr>
      <w:tr w14:paraId="6D1DA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63ECC17A">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r>
              <w:rPr>
                <w:rFonts w:hint="eastAsia" w:ascii="仿宋_GB2312" w:hAnsi="仿宋_GB2312" w:eastAsia="仿宋_GB2312" w:cs="仿宋_GB2312"/>
                <w:b/>
                <w:bCs/>
              </w:rPr>
              <w:t>项目实施方案分</w:t>
            </w:r>
          </w:p>
        </w:tc>
        <w:tc>
          <w:tcPr>
            <w:tcW w:w="1090" w:type="dxa"/>
            <w:noWrap w:val="0"/>
            <w:vAlign w:val="center"/>
          </w:tcPr>
          <w:p w14:paraId="253BD22E">
            <w:pPr>
              <w:spacing w:line="360" w:lineRule="exact"/>
              <w:jc w:val="center"/>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eastAsia="zh-CN"/>
              </w:rPr>
              <w:t>项目实施方案</w:t>
            </w:r>
          </w:p>
        </w:tc>
        <w:tc>
          <w:tcPr>
            <w:tcW w:w="5859" w:type="dxa"/>
            <w:noWrap w:val="0"/>
            <w:vAlign w:val="center"/>
          </w:tcPr>
          <w:p w14:paraId="3E3955C7">
            <w:pPr>
              <w:pStyle w:val="728"/>
              <w:snapToGrid w:val="0"/>
              <w:spacing w:line="400" w:lineRule="exact"/>
              <w:ind w:firstLine="422" w:firstLineChars="200"/>
              <w:rPr>
                <w:rFonts w:ascii="仿宋_GB2312" w:hAnsi="仿宋_GB2312" w:eastAsia="仿宋_GB2312" w:cs="仿宋_GB2312"/>
                <w:sz w:val="21"/>
                <w:szCs w:val="21"/>
              </w:rPr>
            </w:pPr>
            <w:r>
              <w:rPr>
                <w:rFonts w:hint="eastAsia" w:ascii="仿宋_GB2312" w:hAnsi="仿宋_GB2312" w:eastAsia="仿宋_GB2312" w:cs="仿宋_GB2312"/>
                <w:b/>
                <w:bCs/>
                <w:color w:val="000000" w:themeColor="text1"/>
                <w:sz w:val="21"/>
                <w:szCs w:val="21"/>
                <w14:textFill>
                  <w14:solidFill>
                    <w14:schemeClr w14:val="tx1"/>
                  </w14:solidFill>
                </w14:textFill>
              </w:rPr>
              <w:t>一档（</w:t>
            </w:r>
            <w:r>
              <w:rPr>
                <w:rFonts w:hint="eastAsia" w:ascii="仿宋_GB2312" w:hAnsi="仿宋_GB2312" w:eastAsia="仿宋_GB2312" w:cs="仿宋_GB2312"/>
                <w:b/>
                <w:bCs/>
                <w:color w:val="000000" w:themeColor="text1"/>
                <w:sz w:val="21"/>
                <w:szCs w:val="21"/>
                <w:lang w:val="en-US" w:eastAsia="zh-CN"/>
                <w14:textFill>
                  <w14:solidFill>
                    <w14:schemeClr w14:val="tx1"/>
                  </w14:solidFill>
                </w14:textFill>
              </w:rPr>
              <w:t>16</w:t>
            </w:r>
            <w:r>
              <w:rPr>
                <w:rFonts w:hint="eastAsia" w:ascii="仿宋_GB2312" w:hAnsi="仿宋_GB2312" w:eastAsia="仿宋_GB2312" w:cs="仿宋_GB2312"/>
                <w:b/>
                <w:bCs/>
                <w:color w:val="000000" w:themeColor="text1"/>
                <w:sz w:val="21"/>
                <w:szCs w:val="21"/>
                <w14:textFill>
                  <w14:solidFill>
                    <w14:schemeClr w14:val="tx1"/>
                  </w14:solidFill>
                </w14:textFill>
              </w:rPr>
              <w:t>分）</w:t>
            </w:r>
            <w:r>
              <w:rPr>
                <w:rFonts w:hint="eastAsia" w:ascii="仿宋_GB2312" w:hAnsi="仿宋_GB2312" w:eastAsia="仿宋_GB2312" w:cs="仿宋_GB2312"/>
                <w:color w:val="000000" w:themeColor="text1"/>
                <w:sz w:val="21"/>
                <w:szCs w:val="21"/>
                <w14:textFill>
                  <w14:solidFill>
                    <w14:schemeClr w14:val="tx1"/>
                  </w14:solidFill>
                </w14:textFill>
              </w:rPr>
              <w:t>：</w:t>
            </w:r>
            <w:r>
              <w:rPr>
                <w:rFonts w:hint="eastAsia" w:ascii="仿宋_GB2312" w:hAnsi="仿宋_GB2312" w:eastAsia="仿宋_GB2312" w:cs="仿宋_GB2312"/>
                <w:sz w:val="21"/>
                <w:szCs w:val="21"/>
              </w:rPr>
              <w:t>在满足二档的基础上，安装质量保证措施阐述清晰合理、明确且符合本次采购需求，对各项关键工作安排合理；</w:t>
            </w:r>
            <w:r>
              <w:rPr>
                <w:rFonts w:hint="eastAsia" w:ascii="仿宋_GB2312" w:hAnsi="Times New Roman" w:eastAsia="仿宋_GB2312" w:cs="Times New Roman"/>
                <w:color w:val="000000"/>
                <w:kern w:val="2"/>
                <w:sz w:val="21"/>
                <w:szCs w:val="24"/>
                <w:lang w:val="en-US" w:eastAsia="zh-CN" w:bidi="ar"/>
              </w:rPr>
              <w:t>货物运输符合防震、防破损等要求，有合理的安装操作流程和规范；</w:t>
            </w:r>
            <w:r>
              <w:rPr>
                <w:rFonts w:hint="eastAsia" w:ascii="仿宋_GB2312" w:hAnsi="仿宋_GB2312" w:eastAsia="仿宋_GB2312" w:cs="仿宋_GB2312"/>
                <w:sz w:val="21"/>
                <w:szCs w:val="21"/>
              </w:rPr>
              <w:t>对本项目的风险预见、风险应对措施完备，项目解决方案、项目管理方案、组织机构安排及分工与职责安排等方案详细，实施流程合理、考虑周全、进度有保障，有提出具有建设性的方案优化建议。</w:t>
            </w:r>
          </w:p>
          <w:p w14:paraId="376A736A">
            <w:pPr>
              <w:snapToGrid w:val="0"/>
              <w:spacing w:line="400" w:lineRule="exact"/>
              <w:ind w:firstLine="420" w:firstLineChars="200"/>
              <w:rPr>
                <w:rFonts w:ascii="仿宋_GB2312" w:hAnsi="仿宋_GB2312" w:eastAsia="仿宋_GB2312" w:cs="仿宋_GB2312"/>
                <w:szCs w:val="21"/>
              </w:rPr>
            </w:pPr>
            <w:r>
              <w:rPr>
                <w:rFonts w:hint="eastAsia" w:ascii="仿宋_GB2312" w:hAnsi="仿宋_GB2312" w:eastAsia="仿宋_GB2312" w:cs="仿宋_GB2312"/>
                <w:color w:val="000000" w:themeColor="text1"/>
                <w:szCs w:val="21"/>
                <w14:textFill>
                  <w14:solidFill>
                    <w14:schemeClr w14:val="tx1"/>
                  </w14:solidFill>
                </w14:textFill>
              </w:rPr>
              <w:t xml:space="preserve"> </w:t>
            </w:r>
            <w:r>
              <w:rPr>
                <w:rFonts w:hint="eastAsia" w:ascii="仿宋_GB2312" w:hAnsi="仿宋_GB2312" w:eastAsia="仿宋_GB2312" w:cs="仿宋_GB2312"/>
                <w:b/>
                <w:bCs/>
                <w:color w:val="000000" w:themeColor="text1"/>
                <w:szCs w:val="21"/>
                <w14:textFill>
                  <w14:solidFill>
                    <w14:schemeClr w14:val="tx1"/>
                  </w14:solidFill>
                </w14:textFill>
              </w:rPr>
              <w:t>二档（</w:t>
            </w:r>
            <w:r>
              <w:rPr>
                <w:rFonts w:hint="eastAsia" w:ascii="仿宋_GB2312" w:hAnsi="仿宋_GB2312" w:eastAsia="仿宋_GB2312" w:cs="仿宋_GB2312"/>
                <w:b/>
                <w:bCs/>
                <w:color w:val="000000" w:themeColor="text1"/>
                <w:szCs w:val="21"/>
                <w:lang w:val="en-US" w:eastAsia="zh-CN"/>
                <w14:textFill>
                  <w14:solidFill>
                    <w14:schemeClr w14:val="tx1"/>
                  </w14:solidFill>
                </w14:textFill>
              </w:rPr>
              <w:t>10</w:t>
            </w:r>
            <w:r>
              <w:rPr>
                <w:rFonts w:hint="eastAsia" w:ascii="仿宋_GB2312" w:hAnsi="仿宋_GB2312" w:eastAsia="仿宋_GB2312" w:cs="仿宋_GB2312"/>
                <w:b/>
                <w:bCs/>
                <w:color w:val="000000" w:themeColor="text1"/>
                <w:szCs w:val="21"/>
                <w14:textFill>
                  <w14:solidFill>
                    <w14:schemeClr w14:val="tx1"/>
                  </w14:solidFill>
                </w14:textFill>
              </w:rPr>
              <w:t>分）</w:t>
            </w:r>
            <w:r>
              <w:rPr>
                <w:rFonts w:hint="eastAsia" w:ascii="仿宋_GB2312" w:hAnsi="仿宋_GB2312" w:eastAsia="仿宋_GB2312" w:cs="仿宋_GB2312"/>
                <w:color w:val="000000" w:themeColor="text1"/>
                <w:szCs w:val="21"/>
                <w14:textFill>
                  <w14:solidFill>
                    <w14:schemeClr w14:val="tx1"/>
                  </w14:solidFill>
                </w14:textFill>
              </w:rPr>
              <w:t>：</w:t>
            </w:r>
            <w:r>
              <w:rPr>
                <w:rFonts w:hint="eastAsia" w:ascii="仿宋_GB2312" w:hAnsi="仿宋_GB2312" w:eastAsia="仿宋_GB2312" w:cs="仿宋_GB2312"/>
                <w:szCs w:val="21"/>
              </w:rPr>
              <w:t>投标人的项目实施方案进度安排、相关保障措施能力、对各项关键工作安排、对本项目的风险预见、风险应对措施、项目管理方案、组织机构安排及分工与职责安排等描述较为详细；人员数量较充足，分工较合理，经验较丰富，技术素质较高。</w:t>
            </w:r>
          </w:p>
          <w:p w14:paraId="657D3899">
            <w:pPr>
              <w:snapToGrid w:val="0"/>
              <w:spacing w:line="400" w:lineRule="exact"/>
              <w:ind w:firstLine="422" w:firstLineChars="200"/>
              <w:rPr>
                <w:rFonts w:ascii="仿宋_GB2312" w:hAnsi="仿宋_GB2312" w:eastAsia="仿宋_GB2312" w:cs="仿宋_GB2312"/>
                <w:color w:val="000000" w:themeColor="text1"/>
                <w:szCs w:val="21"/>
                <w14:textFill>
                  <w14:solidFill>
                    <w14:schemeClr w14:val="tx1"/>
                  </w14:solidFill>
                </w14:textFill>
              </w:rPr>
            </w:pPr>
            <w:r>
              <w:rPr>
                <w:rFonts w:hint="eastAsia" w:ascii="仿宋_GB2312" w:hAnsi="仿宋_GB2312" w:eastAsia="仿宋_GB2312" w:cs="仿宋_GB2312"/>
                <w:b/>
                <w:bCs/>
                <w:color w:val="000000" w:themeColor="text1"/>
                <w:szCs w:val="21"/>
                <w14:textFill>
                  <w14:solidFill>
                    <w14:schemeClr w14:val="tx1"/>
                  </w14:solidFill>
                </w14:textFill>
              </w:rPr>
              <w:t>三档（</w:t>
            </w:r>
            <w:r>
              <w:rPr>
                <w:rFonts w:hint="eastAsia" w:ascii="仿宋_GB2312" w:hAnsi="仿宋_GB2312" w:eastAsia="仿宋_GB2312" w:cs="仿宋_GB2312"/>
                <w:b/>
                <w:bCs/>
                <w:color w:val="000000" w:themeColor="text1"/>
                <w:szCs w:val="21"/>
                <w:lang w:val="en-US" w:eastAsia="zh-CN"/>
                <w14:textFill>
                  <w14:solidFill>
                    <w14:schemeClr w14:val="tx1"/>
                  </w14:solidFill>
                </w14:textFill>
              </w:rPr>
              <w:t>4</w:t>
            </w:r>
            <w:r>
              <w:rPr>
                <w:rFonts w:hint="eastAsia" w:ascii="仿宋_GB2312" w:hAnsi="仿宋_GB2312" w:eastAsia="仿宋_GB2312" w:cs="仿宋_GB2312"/>
                <w:b/>
                <w:bCs/>
                <w:color w:val="000000" w:themeColor="text1"/>
                <w:szCs w:val="21"/>
                <w14:textFill>
                  <w14:solidFill>
                    <w14:schemeClr w14:val="tx1"/>
                  </w14:solidFill>
                </w14:textFill>
              </w:rPr>
              <w:t>分）</w:t>
            </w:r>
            <w:r>
              <w:rPr>
                <w:rFonts w:hint="eastAsia" w:ascii="仿宋_GB2312" w:hAnsi="仿宋_GB2312" w:eastAsia="仿宋_GB2312" w:cs="仿宋_GB2312"/>
                <w:color w:val="000000" w:themeColor="text1"/>
                <w:szCs w:val="21"/>
                <w14:textFill>
                  <w14:solidFill>
                    <w14:schemeClr w14:val="tx1"/>
                  </w14:solidFill>
                </w14:textFill>
              </w:rPr>
              <w:t>：</w:t>
            </w:r>
            <w:r>
              <w:rPr>
                <w:rFonts w:hint="eastAsia" w:ascii="仿宋_GB2312" w:hAnsi="仿宋_GB2312" w:eastAsia="仿宋_GB2312" w:cs="仿宋_GB2312"/>
                <w:szCs w:val="21"/>
              </w:rPr>
              <w:t>投标人具有基本的项目实施方案，且描述简单；实施团队组织一般，各方面基本满足项目实施。</w:t>
            </w:r>
          </w:p>
          <w:p w14:paraId="2C7B31EB">
            <w:pPr>
              <w:pStyle w:val="728"/>
              <w:snapToGrid w:val="0"/>
              <w:spacing w:line="400" w:lineRule="exact"/>
              <w:ind w:firstLine="422" w:firstLineChars="200"/>
              <w:rPr>
                <w:rFonts w:ascii="仿宋_GB2312" w:hAnsi="仿宋_GB2312" w:eastAsia="仿宋_GB2312" w:cs="仿宋_GB2312"/>
                <w:sz w:val="21"/>
                <w:szCs w:val="21"/>
              </w:rPr>
            </w:pPr>
            <w:r>
              <w:rPr>
                <w:rFonts w:hint="eastAsia" w:ascii="仿宋_GB2312" w:hAnsi="仿宋_GB2312" w:eastAsia="仿宋_GB2312" w:cs="仿宋_GB2312"/>
                <w:b/>
                <w:bCs/>
                <w:color w:val="000000" w:themeColor="text1"/>
                <w:sz w:val="21"/>
                <w:szCs w:val="21"/>
                <w14:textFill>
                  <w14:solidFill>
                    <w14:schemeClr w14:val="tx1"/>
                  </w14:solidFill>
                </w14:textFill>
              </w:rPr>
              <w:t>注：</w:t>
            </w:r>
            <w:r>
              <w:rPr>
                <w:rFonts w:hint="eastAsia" w:ascii="仿宋_GB2312" w:hAnsi="仿宋_GB2312" w:eastAsia="仿宋_GB2312" w:cs="仿宋_GB2312"/>
                <w:b/>
                <w:sz w:val="21"/>
                <w:szCs w:val="21"/>
              </w:rPr>
              <w:t>1.该方案内容可以包括：（1）供货响应方案；（</w:t>
            </w:r>
            <w:r>
              <w:rPr>
                <w:rFonts w:hint="eastAsia" w:ascii="仿宋_GB2312" w:hAnsi="仿宋_GB2312" w:eastAsia="仿宋_GB2312" w:cs="仿宋_GB2312"/>
                <w:b/>
                <w:sz w:val="21"/>
                <w:szCs w:val="21"/>
                <w:lang w:val="en-US" w:eastAsia="zh-CN"/>
              </w:rPr>
              <w:t>2</w:t>
            </w:r>
            <w:r>
              <w:rPr>
                <w:rFonts w:hint="eastAsia" w:ascii="仿宋_GB2312" w:hAnsi="仿宋_GB2312" w:eastAsia="仿宋_GB2312" w:cs="仿宋_GB2312"/>
                <w:b/>
                <w:sz w:val="21"/>
                <w:szCs w:val="21"/>
              </w:rPr>
              <w:t>）风险预见及应对；（</w:t>
            </w:r>
            <w:r>
              <w:rPr>
                <w:rFonts w:hint="eastAsia" w:ascii="仿宋_GB2312" w:hAnsi="仿宋_GB2312" w:eastAsia="仿宋_GB2312" w:cs="仿宋_GB2312"/>
                <w:b/>
                <w:sz w:val="21"/>
                <w:szCs w:val="21"/>
                <w:lang w:val="en-US" w:eastAsia="zh-CN"/>
              </w:rPr>
              <w:t>3</w:t>
            </w:r>
            <w:r>
              <w:rPr>
                <w:rFonts w:hint="eastAsia" w:ascii="仿宋_GB2312" w:hAnsi="仿宋_GB2312" w:eastAsia="仿宋_GB2312" w:cs="仿宋_GB2312"/>
                <w:b/>
                <w:sz w:val="21"/>
                <w:szCs w:val="21"/>
              </w:rPr>
              <w:t>）管理方案；（</w:t>
            </w:r>
            <w:r>
              <w:rPr>
                <w:rFonts w:hint="eastAsia" w:ascii="仿宋_GB2312" w:hAnsi="仿宋_GB2312" w:eastAsia="仿宋_GB2312" w:cs="仿宋_GB2312"/>
                <w:b/>
                <w:sz w:val="21"/>
                <w:szCs w:val="21"/>
                <w:lang w:val="en-US" w:eastAsia="zh-CN"/>
              </w:rPr>
              <w:t>4</w:t>
            </w:r>
            <w:r>
              <w:rPr>
                <w:rFonts w:hint="eastAsia" w:ascii="仿宋_GB2312" w:hAnsi="仿宋_GB2312" w:eastAsia="仿宋_GB2312" w:cs="仿宋_GB2312"/>
                <w:b/>
                <w:sz w:val="21"/>
                <w:szCs w:val="21"/>
              </w:rPr>
              <w:t>）组织机构等内容。</w:t>
            </w:r>
          </w:p>
          <w:p w14:paraId="6B41C887">
            <w:pPr>
              <w:pStyle w:val="719"/>
              <w:numPr>
                <w:ilvl w:val="0"/>
                <w:numId w:val="0"/>
              </w:numPr>
              <w:spacing w:line="430" w:lineRule="exact"/>
              <w:ind w:left="0" w:leftChars="0" w:firstLine="462" w:firstLineChars="200"/>
              <w:rPr>
                <w:rFonts w:hint="eastAsia" w:ascii="仿宋_GB2312" w:hAnsi="仿宋_GB2312" w:eastAsia="仿宋_GB2312" w:cs="仿宋_GB2312"/>
                <w:bCs w:val="0"/>
                <w:color w:val="auto"/>
                <w:spacing w:val="0"/>
                <w:kern w:val="2"/>
                <w:sz w:val="21"/>
                <w:szCs w:val="24"/>
                <w:highlight w:val="none"/>
                <w:lang w:val="en-US" w:eastAsia="zh-CN" w:bidi="ar-SA"/>
              </w:rPr>
            </w:pPr>
            <w:r>
              <w:rPr>
                <w:rFonts w:hint="eastAsia" w:ascii="仿宋_GB2312" w:hAnsi="仿宋_GB2312" w:eastAsia="仿宋_GB2312" w:cs="仿宋_GB2312"/>
                <w:b/>
                <w:sz w:val="21"/>
                <w:szCs w:val="21"/>
              </w:rPr>
              <w:t>2.未提供方案或提供的内容与本项目无关的得0分。</w:t>
            </w:r>
          </w:p>
        </w:tc>
        <w:tc>
          <w:tcPr>
            <w:tcW w:w="967" w:type="dxa"/>
            <w:noWrap w:val="0"/>
            <w:vAlign w:val="center"/>
          </w:tcPr>
          <w:p w14:paraId="1A80DFE4">
            <w:pPr>
              <w:spacing w:line="360" w:lineRule="exact"/>
              <w:jc w:val="center"/>
              <w:rPr>
                <w:rFonts w:hint="default"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val="en-US" w:eastAsia="zh-CN"/>
              </w:rPr>
              <w:t>16</w:t>
            </w:r>
          </w:p>
        </w:tc>
        <w:tc>
          <w:tcPr>
            <w:tcW w:w="1550" w:type="dxa"/>
            <w:noWrap w:val="0"/>
            <w:vAlign w:val="center"/>
          </w:tcPr>
          <w:p w14:paraId="33EB4CC1">
            <w:pPr>
              <w:spacing w:line="360" w:lineRule="exact"/>
              <w:jc w:val="center"/>
              <w:rPr>
                <w:rFonts w:hint="eastAsia"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val="0"/>
                <w:bCs w:val="0"/>
                <w:color w:val="auto"/>
                <w:szCs w:val="24"/>
                <w:highlight w:val="none"/>
                <w:lang w:eastAsia="zh-CN"/>
              </w:rPr>
              <w:t>项目实施方案</w:t>
            </w:r>
          </w:p>
        </w:tc>
      </w:tr>
      <w:tr w14:paraId="39DE2B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46D8634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eastAsia" w:ascii="仿宋_GB2312" w:hAnsi="仿宋_GB2312" w:eastAsia="仿宋_GB2312" w:cs="仿宋_GB2312"/>
                <w:b/>
                <w:bCs/>
              </w:rPr>
            </w:pPr>
            <w:r>
              <w:rPr>
                <w:rFonts w:hint="eastAsia" w:ascii="仿宋_GB2312" w:hAnsi="仿宋_GB2312" w:eastAsia="仿宋_GB2312" w:cs="仿宋_GB2312"/>
                <w:b/>
                <w:bCs/>
              </w:rPr>
              <w:t>项目实施方案分</w:t>
            </w:r>
          </w:p>
        </w:tc>
        <w:tc>
          <w:tcPr>
            <w:tcW w:w="1090" w:type="dxa"/>
            <w:noWrap w:val="0"/>
            <w:vAlign w:val="center"/>
          </w:tcPr>
          <w:p w14:paraId="3365F26F">
            <w:pPr>
              <w:widowControl/>
              <w:spacing w:line="360" w:lineRule="exact"/>
              <w:jc w:val="center"/>
              <w:rPr>
                <w:rFonts w:hint="eastAsia" w:ascii="仿宋_GB2312" w:hAnsi="仿宋_GB2312" w:eastAsia="仿宋_GB2312" w:cs="仿宋_GB2312"/>
                <w:color w:val="auto"/>
                <w:kern w:val="2"/>
                <w:sz w:val="21"/>
                <w:szCs w:val="24"/>
                <w:highlight w:val="none"/>
                <w:lang w:val="en-US" w:eastAsia="zh-CN" w:bidi="ar-SA"/>
              </w:rPr>
            </w:pPr>
            <w:r>
              <w:rPr>
                <w:rFonts w:hint="eastAsia" w:ascii="仿宋_GB2312" w:hAnsi="仿宋_GB2312" w:eastAsia="仿宋_GB2312" w:cs="仿宋_GB2312"/>
                <w:b/>
                <w:bCs/>
                <w:color w:val="auto"/>
                <w:szCs w:val="24"/>
                <w:highlight w:val="none"/>
                <w:lang w:val="en-US" w:eastAsia="zh-CN"/>
              </w:rPr>
              <w:t>安装进度计划和工期保证</w:t>
            </w:r>
          </w:p>
        </w:tc>
        <w:tc>
          <w:tcPr>
            <w:tcW w:w="5859" w:type="dxa"/>
            <w:noWrap w:val="0"/>
            <w:vAlign w:val="center"/>
          </w:tcPr>
          <w:p w14:paraId="7854616C">
            <w:pPr>
              <w:widowControl/>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8</w:t>
            </w:r>
            <w:r>
              <w:rPr>
                <w:rFonts w:hint="eastAsia" w:ascii="仿宋_GB2312" w:hAnsi="仿宋_GB2312" w:eastAsia="仿宋_GB2312" w:cs="仿宋_GB2312"/>
                <w:b/>
                <w:bCs/>
              </w:rPr>
              <w:t>分）：</w:t>
            </w:r>
            <w:r>
              <w:rPr>
                <w:rFonts w:hint="eastAsia" w:ascii="仿宋_GB2312" w:hAnsi="仿宋_GB2312" w:eastAsia="仿宋_GB2312" w:cs="仿宋_GB2312"/>
              </w:rPr>
              <w:t>安装进度合理紧凑、各施工节点衔接连贯，计划步骤和要点描述详细全面，</w:t>
            </w:r>
            <w:r>
              <w:rPr>
                <w:rFonts w:hint="eastAsia" w:ascii="仿宋_GB2312" w:eastAsia="仿宋_GB2312"/>
              </w:rPr>
              <w:t>有关键节点时间安排，</w:t>
            </w:r>
            <w:r>
              <w:rPr>
                <w:rFonts w:hint="eastAsia" w:ascii="仿宋_GB2312" w:hAnsi="仿宋_GB2312" w:eastAsia="仿宋_GB2312" w:cs="仿宋_GB2312"/>
              </w:rPr>
              <w:t>切合实际，科学合理，工期保证措施可行性强，优于二档；</w:t>
            </w:r>
          </w:p>
          <w:p w14:paraId="5E0D5D9A">
            <w:pPr>
              <w:widowControl/>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分）：</w:t>
            </w:r>
            <w:r>
              <w:rPr>
                <w:rFonts w:hint="eastAsia" w:ascii="仿宋_GB2312" w:hAnsi="仿宋_GB2312" w:eastAsia="仿宋_GB2312" w:cs="仿宋_GB2312"/>
              </w:rPr>
              <w:t>安装进度较贴合项目需求，计划步骤和要点描述较详细可行，整体方案具有一定的合理性，工期保证措施有一定的针对性，优于三档；</w:t>
            </w:r>
          </w:p>
          <w:p w14:paraId="42867F3A">
            <w:pPr>
              <w:spacing w:line="440" w:lineRule="exact"/>
              <w:ind w:firstLine="422" w:firstLineChars="200"/>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2</w:t>
            </w:r>
            <w:r>
              <w:rPr>
                <w:rFonts w:hint="eastAsia" w:ascii="仿宋_GB2312" w:hAnsi="仿宋_GB2312" w:eastAsia="仿宋_GB2312" w:cs="仿宋_GB2312"/>
                <w:b/>
                <w:bCs/>
              </w:rPr>
              <w:t>分）：</w:t>
            </w:r>
            <w:r>
              <w:rPr>
                <w:rFonts w:hint="eastAsia" w:ascii="仿宋_GB2312" w:hAnsi="仿宋_GB2312" w:eastAsia="仿宋_GB2312" w:cs="仿宋_GB2312"/>
              </w:rPr>
              <w:t>安装进度内容简单，满足采购需求，工期保证措施基本可行，科学合理性较弱。</w:t>
            </w:r>
          </w:p>
          <w:p w14:paraId="0B4F5383">
            <w:pPr>
              <w:widowControl/>
              <w:spacing w:line="440" w:lineRule="exact"/>
              <w:ind w:firstLine="422" w:firstLineChars="200"/>
              <w:rPr>
                <w:rFonts w:ascii="仿宋_GB2312" w:hAnsi="仿宋_GB2312" w:eastAsia="仿宋_GB2312" w:cs="仿宋_GB2312"/>
                <w:b/>
                <w:bCs/>
              </w:rPr>
            </w:pPr>
            <w:r>
              <w:rPr>
                <w:rFonts w:ascii="仿宋_GB2312" w:hAnsi="仿宋_GB2312" w:eastAsia="仿宋_GB2312" w:cs="仿宋_GB2312"/>
                <w:b/>
                <w:bCs/>
              </w:rPr>
              <w:t>注：1.该方案</w:t>
            </w:r>
            <w:r>
              <w:rPr>
                <w:rFonts w:hint="eastAsia" w:ascii="仿宋_GB2312" w:hAnsi="仿宋_GB2312" w:eastAsia="仿宋_GB2312" w:cs="仿宋_GB2312"/>
                <w:b/>
                <w:bCs/>
              </w:rPr>
              <w:t>内容可以</w:t>
            </w:r>
            <w:r>
              <w:rPr>
                <w:rFonts w:ascii="仿宋_GB2312" w:hAnsi="仿宋_GB2312" w:eastAsia="仿宋_GB2312" w:cs="仿宋_GB2312"/>
                <w:b/>
                <w:bCs/>
              </w:rPr>
              <w:t>包括：（1）安装进度计划；（2）工期保证措施</w:t>
            </w:r>
            <w:r>
              <w:rPr>
                <w:rFonts w:hint="eastAsia" w:ascii="仿宋_GB2312" w:hAnsi="仿宋_GB2312" w:eastAsia="仿宋_GB2312" w:cs="仿宋_GB2312"/>
                <w:b/>
                <w:bCs/>
              </w:rPr>
              <w:t>。</w:t>
            </w:r>
          </w:p>
          <w:p w14:paraId="4E0687C2">
            <w:pPr>
              <w:pStyle w:val="721"/>
              <w:numPr>
                <w:ilvl w:val="0"/>
                <w:numId w:val="0"/>
              </w:numPr>
              <w:spacing w:line="430" w:lineRule="exact"/>
              <w:ind w:left="0" w:leftChars="0" w:firstLine="422" w:firstLineChars="200"/>
              <w:rPr>
                <w:rFonts w:hint="default" w:ascii="仿宋_GB2312" w:hAnsi="仿宋_GB2312" w:eastAsia="仿宋_GB2312" w:cs="仿宋_GB2312"/>
                <w:bCs w:val="0"/>
                <w:color w:val="auto"/>
                <w:spacing w:val="0"/>
                <w:kern w:val="2"/>
                <w:sz w:val="21"/>
                <w:szCs w:val="24"/>
                <w:highlight w:val="none"/>
                <w:lang w:val="en-US" w:eastAsia="zh-CN" w:bidi="ar-SA"/>
              </w:rPr>
            </w:pPr>
            <w:r>
              <w:rPr>
                <w:rFonts w:ascii="仿宋_GB2312" w:hAnsi="仿宋_GB2312" w:eastAsia="仿宋_GB2312" w:cs="仿宋_GB2312"/>
                <w:b/>
              </w:rPr>
              <w:t>2.未提供方案或提供的内容与本项目无关的得0分。</w:t>
            </w:r>
          </w:p>
        </w:tc>
        <w:tc>
          <w:tcPr>
            <w:tcW w:w="967" w:type="dxa"/>
            <w:noWrap w:val="0"/>
            <w:vAlign w:val="center"/>
          </w:tcPr>
          <w:p w14:paraId="70B4E7C4">
            <w:pPr>
              <w:spacing w:line="360" w:lineRule="exact"/>
              <w:jc w:val="center"/>
              <w:rPr>
                <w:rFonts w:hint="default"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bCs/>
                <w:color w:val="auto"/>
                <w:kern w:val="2"/>
                <w:sz w:val="21"/>
                <w:szCs w:val="24"/>
                <w:highlight w:val="none"/>
                <w:lang w:val="en-US" w:eastAsia="zh-CN" w:bidi="ar-SA"/>
              </w:rPr>
              <w:t>8</w:t>
            </w:r>
          </w:p>
        </w:tc>
        <w:tc>
          <w:tcPr>
            <w:tcW w:w="1550" w:type="dxa"/>
            <w:noWrap w:val="0"/>
            <w:vAlign w:val="center"/>
          </w:tcPr>
          <w:p w14:paraId="23C7EBF5">
            <w:pPr>
              <w:spacing w:line="360" w:lineRule="exact"/>
              <w:jc w:val="center"/>
              <w:rPr>
                <w:rFonts w:hint="eastAsia" w:ascii="仿宋_GB2312" w:hAnsi="仿宋_GB2312" w:eastAsia="仿宋_GB2312" w:cs="仿宋_GB2312"/>
                <w:b/>
                <w:bCs/>
                <w:color w:val="auto"/>
                <w:kern w:val="2"/>
                <w:sz w:val="21"/>
                <w:szCs w:val="24"/>
                <w:highlight w:val="none"/>
                <w:lang w:val="en-US" w:eastAsia="zh-CN" w:bidi="ar-SA"/>
              </w:rPr>
            </w:pPr>
            <w:r>
              <w:rPr>
                <w:rFonts w:hint="eastAsia" w:ascii="仿宋_GB2312" w:hAnsi="仿宋_GB2312" w:eastAsia="仿宋_GB2312" w:cs="仿宋_GB2312"/>
                <w:b w:val="0"/>
                <w:bCs w:val="0"/>
                <w:color w:val="auto"/>
                <w:szCs w:val="24"/>
                <w:highlight w:val="none"/>
                <w:lang w:val="en-US" w:eastAsia="zh-CN"/>
              </w:rPr>
              <w:t>安装进度计划和工期保证</w:t>
            </w:r>
          </w:p>
        </w:tc>
      </w:tr>
      <w:tr w14:paraId="21DBB1A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849" w:type="dxa"/>
            <w:noWrap w:val="0"/>
            <w:vAlign w:val="center"/>
          </w:tcPr>
          <w:p w14:paraId="4CDA927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hAnsi="仿宋_GB2312" w:eastAsia="仿宋_GB2312" w:cs="仿宋_GB2312"/>
                <w:b/>
                <w:bCs/>
              </w:rPr>
              <w:t>售后服务方案分</w:t>
            </w:r>
          </w:p>
        </w:tc>
        <w:tc>
          <w:tcPr>
            <w:tcW w:w="1090" w:type="dxa"/>
            <w:noWrap w:val="0"/>
            <w:vAlign w:val="center"/>
          </w:tcPr>
          <w:p w14:paraId="3AA966DB">
            <w:pPr>
              <w:keepNext w:val="0"/>
              <w:keepLines w:val="0"/>
              <w:pageBreakBefore w:val="0"/>
              <w:widowControl/>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r>
              <w:rPr>
                <w:rFonts w:hint="eastAsia" w:ascii="仿宋_GB2312" w:hAnsi="仿宋_GB2312" w:eastAsia="仿宋_GB2312" w:cs="仿宋_GB2312"/>
                <w:b/>
                <w:bCs/>
              </w:rPr>
              <w:t>售后服务方案</w:t>
            </w:r>
          </w:p>
        </w:tc>
        <w:tc>
          <w:tcPr>
            <w:tcW w:w="5859" w:type="dxa"/>
            <w:noWrap w:val="0"/>
            <w:vAlign w:val="center"/>
          </w:tcPr>
          <w:p w14:paraId="1FCD8848">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rPr>
            </w:pPr>
            <w:r>
              <w:rPr>
                <w:rFonts w:hint="eastAsia" w:ascii="仿宋_GB2312" w:hAnsi="仿宋_GB2312" w:eastAsia="仿宋_GB2312" w:cs="仿宋_GB2312"/>
                <w:b/>
                <w:bCs/>
              </w:rPr>
              <w:t>一档（</w:t>
            </w:r>
            <w:r>
              <w:rPr>
                <w:rFonts w:hint="eastAsia" w:ascii="仿宋_GB2312" w:hAnsi="仿宋_GB2312" w:eastAsia="仿宋_GB2312" w:cs="仿宋_GB2312"/>
                <w:b/>
                <w:bCs/>
                <w:lang w:val="en-US" w:eastAsia="zh-CN"/>
              </w:rPr>
              <w:t>9</w:t>
            </w:r>
            <w:r>
              <w:rPr>
                <w:rFonts w:hint="eastAsia" w:ascii="仿宋_GB2312" w:hAnsi="仿宋_GB2312" w:eastAsia="仿宋_GB2312" w:cs="仿宋_GB2312"/>
                <w:b/>
                <w:bCs/>
              </w:rPr>
              <w:t>分）</w:t>
            </w:r>
            <w:r>
              <w:rPr>
                <w:rFonts w:hint="eastAsia" w:ascii="仿宋_GB2312" w:hAnsi="仿宋_GB2312" w:eastAsia="仿宋_GB2312" w:cs="仿宋_GB2312"/>
              </w:rPr>
              <w:t>：在优于二档的基础上，投标人的售后服务技术、售后服务保障或维修响应时间等售后服务方案均优于采购需求，有优化服务方案，并能提供其他售后服务（如备品零部件的优惠、质保期后的服务优惠等）或其他实质性的优惠措施；</w:t>
            </w:r>
          </w:p>
          <w:p w14:paraId="2BB3B04E">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rPr>
            </w:pPr>
            <w:r>
              <w:rPr>
                <w:rFonts w:hint="eastAsia" w:ascii="仿宋_GB2312" w:hAnsi="仿宋_GB2312" w:eastAsia="仿宋_GB2312" w:cs="仿宋_GB2312"/>
                <w:b/>
                <w:bCs/>
              </w:rPr>
              <w:t>二档（</w:t>
            </w:r>
            <w:r>
              <w:rPr>
                <w:rFonts w:hint="eastAsia" w:ascii="仿宋_GB2312" w:hAnsi="仿宋_GB2312" w:eastAsia="仿宋_GB2312" w:cs="仿宋_GB2312"/>
                <w:b/>
                <w:bCs/>
                <w:lang w:val="en-US" w:eastAsia="zh-CN"/>
              </w:rPr>
              <w:t>5</w:t>
            </w:r>
            <w:r>
              <w:rPr>
                <w:rFonts w:hint="eastAsia" w:ascii="仿宋_GB2312" w:hAnsi="仿宋_GB2312" w:eastAsia="仿宋_GB2312" w:cs="仿宋_GB2312"/>
                <w:b/>
                <w:bCs/>
              </w:rPr>
              <w:t>分）</w:t>
            </w:r>
            <w:r>
              <w:rPr>
                <w:rFonts w:hint="eastAsia" w:ascii="仿宋_GB2312" w:hAnsi="仿宋_GB2312" w:eastAsia="仿宋_GB2312" w:cs="仿宋_GB2312"/>
              </w:rPr>
              <w:t xml:space="preserve">：投标人的售后服务方案能较好满足采购要求，售后服务保障或维修响应时间等售后服务方案略优于采购需求，符合实际且有较强的针对性； </w:t>
            </w:r>
          </w:p>
          <w:p w14:paraId="17205833">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rPr>
            </w:pPr>
            <w:r>
              <w:rPr>
                <w:rFonts w:hint="eastAsia" w:ascii="仿宋_GB2312" w:hAnsi="仿宋_GB2312" w:eastAsia="仿宋_GB2312" w:cs="仿宋_GB2312"/>
                <w:b/>
                <w:bCs/>
              </w:rPr>
              <w:t>三档（</w:t>
            </w:r>
            <w:r>
              <w:rPr>
                <w:rFonts w:hint="eastAsia" w:ascii="仿宋_GB2312" w:hAnsi="仿宋_GB2312" w:eastAsia="仿宋_GB2312" w:cs="仿宋_GB2312"/>
                <w:b/>
                <w:bCs/>
                <w:lang w:val="en-US" w:eastAsia="zh-CN"/>
              </w:rPr>
              <w:t>1</w:t>
            </w:r>
            <w:r>
              <w:rPr>
                <w:rFonts w:hint="eastAsia" w:ascii="仿宋_GB2312" w:hAnsi="仿宋_GB2312" w:eastAsia="仿宋_GB2312" w:cs="仿宋_GB2312"/>
                <w:b/>
                <w:bCs/>
              </w:rPr>
              <w:t>分）</w:t>
            </w:r>
            <w:r>
              <w:rPr>
                <w:rFonts w:hint="eastAsia" w:ascii="仿宋_GB2312" w:hAnsi="仿宋_GB2312" w:eastAsia="仿宋_GB2312" w:cs="仿宋_GB2312"/>
              </w:rPr>
              <w:t>：投标人的售后服务方</w:t>
            </w:r>
            <w:r>
              <w:rPr>
                <w:rFonts w:hint="eastAsia" w:ascii="仿宋_GB2312" w:hAnsi="仿宋_GB2312" w:eastAsia="仿宋_GB2312" w:cs="仿宋_GB2312"/>
                <w:lang w:val="en-US" w:eastAsia="zh-CN"/>
              </w:rPr>
              <w:t>案</w:t>
            </w:r>
            <w:r>
              <w:rPr>
                <w:rFonts w:hint="eastAsia" w:ascii="仿宋_GB2312" w:hAnsi="仿宋_GB2312" w:eastAsia="仿宋_GB2312" w:cs="仿宋_GB2312"/>
              </w:rPr>
              <w:t>满足采购要求，售后服务保障或维修响应时间方案针对性、可行性一般。</w:t>
            </w:r>
          </w:p>
          <w:p w14:paraId="762AC835">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b/>
                <w:bCs/>
                <w:szCs w:val="24"/>
              </w:rPr>
            </w:pPr>
            <w:r>
              <w:rPr>
                <w:rFonts w:hint="eastAsia" w:ascii="仿宋_GB2312" w:hAnsi="仿宋_GB2312" w:eastAsia="仿宋_GB2312" w:cs="仿宋_GB2312"/>
                <w:b/>
                <w:bCs/>
                <w:szCs w:val="24"/>
              </w:rPr>
              <w:t>注：</w:t>
            </w:r>
            <w:r>
              <w:rPr>
                <w:rFonts w:ascii="仿宋_GB2312" w:hAnsi="仿宋_GB2312" w:eastAsia="仿宋_GB2312" w:cs="仿宋_GB2312"/>
                <w:b/>
                <w:bCs/>
                <w:szCs w:val="24"/>
              </w:rPr>
              <w:t>1.该方案内容可以包括：（1）技术培训方案；（2）定期回访维护方案；（3）售后服务技术支持（包括售后服务机构、技术人员等）；（4）维修应急预案；（5）零配件储备供应；（6）保修期外维修方案。</w:t>
            </w:r>
          </w:p>
          <w:p w14:paraId="3311402C">
            <w:pPr>
              <w:pStyle w:val="724"/>
              <w:keepNext w:val="0"/>
              <w:keepLines w:val="0"/>
              <w:pageBreakBefore w:val="0"/>
              <w:kinsoku/>
              <w:wordWrap/>
              <w:overflowPunct/>
              <w:topLinePunct w:val="0"/>
              <w:autoSpaceDE/>
              <w:autoSpaceDN/>
              <w:bidi w:val="0"/>
              <w:adjustRightInd/>
              <w:snapToGrid/>
              <w:spacing w:line="430" w:lineRule="exact"/>
              <w:ind w:firstLine="422" w:firstLineChars="200"/>
              <w:textAlignment w:val="auto"/>
              <w:rPr>
                <w:rFonts w:ascii="仿宋_GB2312" w:hAnsi="仿宋_GB2312" w:eastAsia="仿宋_GB2312" w:cs="仿宋_GB2312"/>
                <w:szCs w:val="24"/>
              </w:rPr>
            </w:pPr>
            <w:r>
              <w:rPr>
                <w:rFonts w:ascii="仿宋_GB2312" w:hAnsi="仿宋_GB2312" w:eastAsia="仿宋_GB2312" w:cs="仿宋_GB2312"/>
                <w:b/>
                <w:bCs/>
                <w:szCs w:val="24"/>
              </w:rPr>
              <w:t>2.未提供方案或提供的内容与本项目无关的得0分。</w:t>
            </w:r>
          </w:p>
        </w:tc>
        <w:tc>
          <w:tcPr>
            <w:tcW w:w="967" w:type="dxa"/>
            <w:noWrap w:val="0"/>
            <w:vAlign w:val="center"/>
          </w:tcPr>
          <w:p w14:paraId="3C99E289">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strike/>
                <w:lang w:val="en-US" w:eastAsia="zh-CN"/>
              </w:rPr>
            </w:pPr>
            <w:r>
              <w:rPr>
                <w:rFonts w:hint="eastAsia" w:ascii="仿宋_GB2312" w:hAnsi="仿宋_GB2312" w:eastAsia="仿宋_GB2312" w:cs="仿宋_GB2312"/>
                <w:b/>
                <w:bCs/>
                <w:color w:val="auto"/>
                <w:kern w:val="2"/>
                <w:sz w:val="21"/>
                <w:szCs w:val="24"/>
                <w:highlight w:val="none"/>
                <w:lang w:val="en-US" w:eastAsia="zh-CN" w:bidi="ar-SA"/>
              </w:rPr>
              <w:t>9</w:t>
            </w:r>
          </w:p>
        </w:tc>
        <w:tc>
          <w:tcPr>
            <w:tcW w:w="1550" w:type="dxa"/>
            <w:noWrap w:val="0"/>
            <w:vAlign w:val="center"/>
          </w:tcPr>
          <w:p w14:paraId="1AA17FC4">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b/>
                <w:bCs/>
              </w:rPr>
            </w:pPr>
            <w:r>
              <w:rPr>
                <w:rFonts w:hint="eastAsia" w:ascii="仿宋_GB2312" w:hAnsi="仿宋_GB2312" w:eastAsia="仿宋_GB2312" w:cs="仿宋_GB2312"/>
              </w:rPr>
              <w:t>售后服务方案</w:t>
            </w:r>
          </w:p>
        </w:tc>
      </w:tr>
      <w:tr w14:paraId="5DC51B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90" w:hRule="atLeast"/>
        </w:trPr>
        <w:tc>
          <w:tcPr>
            <w:tcW w:w="7798" w:type="dxa"/>
            <w:gridSpan w:val="3"/>
            <w:noWrap w:val="0"/>
            <w:vAlign w:val="center"/>
          </w:tcPr>
          <w:p w14:paraId="18CB2935">
            <w:pPr>
              <w:pStyle w:val="715"/>
              <w:keepNext w:val="0"/>
              <w:keepLines w:val="0"/>
              <w:pageBreakBefore w:val="0"/>
              <w:kinsoku/>
              <w:wordWrap/>
              <w:overflowPunct/>
              <w:topLinePunct w:val="0"/>
              <w:autoSpaceDE/>
              <w:autoSpaceDN/>
              <w:bidi w:val="0"/>
              <w:adjustRightInd/>
              <w:snapToGrid/>
              <w:spacing w:line="400" w:lineRule="exact"/>
              <w:ind w:firstLine="0" w:firstLineChars="0"/>
              <w:jc w:val="center"/>
              <w:textAlignment w:val="auto"/>
              <w:rPr>
                <w:rFonts w:ascii="仿宋_GB2312" w:hAnsi="仿宋_GB2312" w:eastAsia="仿宋_GB2312" w:cs="仿宋_GB2312"/>
                <w:b/>
                <w:bCs/>
                <w:szCs w:val="24"/>
              </w:rPr>
            </w:pPr>
            <w:r>
              <w:rPr>
                <w:rFonts w:hint="eastAsia" w:ascii="仿宋_GB2312" w:hAnsi="仿宋_GB2312" w:eastAsia="仿宋_GB2312" w:cs="仿宋_GB2312"/>
                <w:b/>
                <w:bCs/>
                <w:szCs w:val="24"/>
              </w:rPr>
              <w:t>主观分总分</w:t>
            </w:r>
          </w:p>
        </w:tc>
        <w:tc>
          <w:tcPr>
            <w:tcW w:w="967" w:type="dxa"/>
            <w:noWrap w:val="0"/>
            <w:vAlign w:val="center"/>
          </w:tcPr>
          <w:p w14:paraId="606F2E30">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hint="default" w:ascii="仿宋_GB2312" w:hAnsi="仿宋_GB2312" w:eastAsia="仿宋_GB2312" w:cs="仿宋_GB2312"/>
                <w:b/>
                <w:bCs/>
                <w:lang w:val="en-US" w:eastAsia="zh-CN"/>
              </w:rPr>
            </w:pPr>
            <w:r>
              <w:rPr>
                <w:rFonts w:hint="eastAsia" w:ascii="仿宋_GB2312" w:hAnsi="仿宋_GB2312" w:eastAsia="仿宋_GB2312" w:cs="仿宋_GB2312"/>
                <w:b/>
                <w:bCs/>
                <w:lang w:val="en-US" w:eastAsia="zh-CN"/>
              </w:rPr>
              <w:t>33</w:t>
            </w:r>
          </w:p>
        </w:tc>
        <w:tc>
          <w:tcPr>
            <w:tcW w:w="1550" w:type="dxa"/>
            <w:noWrap w:val="0"/>
            <w:vAlign w:val="center"/>
          </w:tcPr>
          <w:p w14:paraId="167C87D6">
            <w:pPr>
              <w:keepNext w:val="0"/>
              <w:keepLines w:val="0"/>
              <w:pageBreakBefore w:val="0"/>
              <w:kinsoku/>
              <w:wordWrap/>
              <w:overflowPunct/>
              <w:topLinePunct w:val="0"/>
              <w:autoSpaceDE/>
              <w:autoSpaceDN/>
              <w:bidi w:val="0"/>
              <w:adjustRightInd/>
              <w:snapToGrid/>
              <w:spacing w:line="360" w:lineRule="exact"/>
              <w:ind w:firstLine="0" w:firstLineChars="0"/>
              <w:jc w:val="center"/>
              <w:textAlignment w:val="auto"/>
              <w:rPr>
                <w:rFonts w:ascii="仿宋_GB2312" w:hAnsi="仿宋_GB2312" w:eastAsia="仿宋_GB2312" w:cs="仿宋_GB2312"/>
              </w:rPr>
            </w:pPr>
          </w:p>
        </w:tc>
      </w:tr>
    </w:tbl>
    <w:p w14:paraId="588E0335">
      <w:pPr>
        <w:widowControl/>
        <w:adjustRightInd w:val="0"/>
        <w:spacing w:line="440" w:lineRule="exact"/>
        <w:ind w:right="-1" w:firstLine="141" w:firstLineChars="59"/>
        <w:textAlignment w:val="baseline"/>
        <w:rPr>
          <w:rFonts w:ascii="仿宋_GB2312" w:eastAsia="仿宋_GB2312"/>
          <w:bCs/>
          <w:sz w:val="24"/>
        </w:rPr>
      </w:pPr>
    </w:p>
    <w:p w14:paraId="0AFBECA8">
      <w:pPr>
        <w:widowControl/>
        <w:adjustRightInd w:val="0"/>
        <w:spacing w:line="440" w:lineRule="exact"/>
        <w:ind w:right="-1" w:firstLine="141" w:firstLineChars="59"/>
        <w:textAlignment w:val="baseline"/>
        <w:rPr>
          <w:rFonts w:ascii="仿宋_GB2312" w:eastAsia="仿宋_GB2312"/>
          <w:bCs/>
          <w:sz w:val="24"/>
        </w:rPr>
      </w:pPr>
    </w:p>
    <w:p w14:paraId="75AB3851">
      <w:pPr>
        <w:spacing w:line="390" w:lineRule="exact"/>
        <w:ind w:right="-168" w:rightChars="-80" w:firstLine="236" w:firstLineChars="98"/>
        <w:rPr>
          <w:rFonts w:ascii="仿宋_GB2312" w:eastAsia="仿宋_GB2312"/>
          <w:b/>
          <w:sz w:val="24"/>
        </w:rPr>
      </w:pPr>
      <w:r>
        <w:rPr>
          <w:rFonts w:hint="eastAsia" w:ascii="仿宋_GB2312" w:eastAsia="仿宋_GB2312"/>
          <w:b/>
          <w:sz w:val="24"/>
        </w:rPr>
        <w:t>（三）总得分=客观分+主观分</w:t>
      </w:r>
    </w:p>
    <w:p w14:paraId="48C5095C">
      <w:pPr>
        <w:adjustRightInd w:val="0"/>
        <w:spacing w:line="400" w:lineRule="exact"/>
        <w:ind w:firstLine="482" w:firstLineChars="200"/>
        <w:jc w:val="left"/>
        <w:textAlignment w:val="baseline"/>
        <w:rPr>
          <w:rFonts w:hint="eastAsia" w:ascii="仿宋_GB2312" w:hAnsi="宋体" w:eastAsia="仿宋_GB2312"/>
          <w:b/>
          <w:kern w:val="0"/>
          <w:sz w:val="24"/>
        </w:rPr>
      </w:pPr>
      <w:bookmarkStart w:id="68" w:name="gxebd_pack_1_EvalFactorScoreEnd"/>
      <w:bookmarkEnd w:id="68"/>
      <w:r>
        <w:rPr>
          <w:rFonts w:hint="eastAsia" w:ascii="仿宋_GB2312" w:hAnsi="宋体" w:eastAsia="仿宋_GB2312"/>
          <w:b/>
          <w:kern w:val="0"/>
          <w:sz w:val="24"/>
        </w:rPr>
        <w:t>三、中标标准及中标候选人推荐原则</w:t>
      </w:r>
    </w:p>
    <w:p w14:paraId="3E58082C">
      <w:pPr>
        <w:adjustRightInd w:val="0"/>
        <w:spacing w:line="400" w:lineRule="exact"/>
        <w:ind w:firstLine="482" w:firstLineChars="200"/>
        <w:jc w:val="left"/>
        <w:textAlignment w:val="baseline"/>
        <w:rPr>
          <w:rFonts w:hint="eastAsia" w:ascii="仿宋_GB2312" w:hAnsi="宋体" w:eastAsia="仿宋_GB2312"/>
          <w:b/>
          <w:kern w:val="0"/>
          <w:sz w:val="24"/>
        </w:rPr>
      </w:pPr>
      <w:r>
        <w:rPr>
          <w:rFonts w:hint="eastAsia" w:ascii="仿宋_GB2312" w:hAnsi="宋体" w:eastAsia="仿宋_GB2312"/>
          <w:b/>
          <w:kern w:val="0"/>
          <w:sz w:val="24"/>
        </w:rPr>
        <w:t>评标委员会将根据综合得分由高到低排列次序（得分相同时，以投标报价由低到高顺序排列；得分相同且投标报价相同的，按技术指标优劣顺序排列）并推荐综合得分前三名为中标候选人。采购人应当确定评审委员会推荐排名第一的中标候选人为中标人。</w:t>
      </w:r>
      <w:bookmarkStart w:id="69" w:name="_Hlk93676949"/>
      <w:r>
        <w:rPr>
          <w:rFonts w:hint="eastAsia" w:ascii="仿宋_GB2312" w:hAnsi="宋体" w:eastAsia="仿宋_GB2312"/>
          <w:b/>
          <w:kern w:val="0"/>
          <w:sz w:val="24"/>
        </w:rPr>
        <w:t>排名第一的中标候选人放弃中标、因不可抗力提出不能履行合同，</w:t>
      </w:r>
      <w:bookmarkEnd w:id="69"/>
      <w:r>
        <w:rPr>
          <w:rFonts w:hint="eastAsia" w:ascii="仿宋_GB2312" w:hAnsi="宋体" w:eastAsia="仿宋_GB2312"/>
          <w:b/>
          <w:kern w:val="0"/>
          <w:sz w:val="24"/>
        </w:rPr>
        <w:t>采购人或采购代理机构应将该情况报政府采购监督管理部门，从合格的中标候选人中另行确定中标人或重新开展政府采购活动。</w:t>
      </w:r>
    </w:p>
    <w:p w14:paraId="3BF1FD50">
      <w:pPr>
        <w:adjustRightInd w:val="0"/>
        <w:spacing w:line="400" w:lineRule="exact"/>
        <w:ind w:firstLine="482" w:firstLineChars="200"/>
        <w:jc w:val="left"/>
        <w:textAlignment w:val="baseline"/>
        <w:rPr>
          <w:rFonts w:hint="eastAsia" w:ascii="仿宋_GB2312" w:hAnsi="宋体" w:eastAsia="仿宋_GB2312"/>
          <w:b/>
          <w:bCs/>
          <w:sz w:val="24"/>
        </w:rPr>
      </w:pPr>
      <w:r>
        <w:rPr>
          <w:rFonts w:hint="eastAsia" w:ascii="仿宋_GB2312" w:hAnsi="宋体" w:eastAsia="仿宋_GB2312"/>
          <w:b/>
          <w:kern w:val="0"/>
          <w:sz w:val="24"/>
        </w:rPr>
        <w:t>在中标通知书发出前，采购人或采购代理机构应当对中标人信用进行查询，并按照信用信息使用规则处理。当中标人属于信用信息使用规则中应被拒绝参与政府采购活动的情形时，采购人或采购代理机构应将该情况报政府采购监督管理部门，从合格的中标候选人中另行确定中标人或重新开展政府采购活动</w:t>
      </w:r>
      <w:r>
        <w:rPr>
          <w:rFonts w:hint="eastAsia" w:ascii="仿宋_GB2312" w:hAnsi="宋体" w:eastAsia="仿宋_GB2312"/>
          <w:b/>
          <w:bCs/>
          <w:sz w:val="24"/>
        </w:rPr>
        <w:t>。</w:t>
      </w:r>
    </w:p>
    <w:p w14:paraId="6C1D4516"/>
    <w:p w14:paraId="7690D23C">
      <w:pPr>
        <w:spacing w:line="440" w:lineRule="exact"/>
      </w:pPr>
    </w:p>
    <w:p w14:paraId="37C9F2DC">
      <w:pPr>
        <w:spacing w:line="240" w:lineRule="auto"/>
      </w:pPr>
      <w:r>
        <w:br w:type="page"/>
      </w:r>
    </w:p>
    <w:p w14:paraId="354213FE">
      <w:pPr>
        <w:spacing w:before="342" w:line="400" w:lineRule="exact"/>
        <w:rPr>
          <w:rFonts w:ascii="仿宋_GB2312" w:hAnsi="仿宋_GB2312" w:eastAsia="仿宋_GB2312" w:cs="仿宋_GB2312"/>
          <w:spacing w:val="-2"/>
          <w:sz w:val="28"/>
          <w:szCs w:val="28"/>
        </w:rPr>
      </w:pPr>
      <w:r>
        <w:rPr>
          <w:rFonts w:hint="eastAsia" w:ascii="仿宋_GB2312" w:hAnsi="仿宋_GB2312" w:eastAsia="仿宋_GB2312" w:cs="仿宋_GB2312"/>
          <w:spacing w:val="-2"/>
          <w:sz w:val="28"/>
          <w:szCs w:val="28"/>
        </w:rPr>
        <w:t>附件一：</w:t>
      </w:r>
    </w:p>
    <w:p w14:paraId="7D98FD9A">
      <w:pPr>
        <w:spacing w:before="342" w:line="175" w:lineRule="auto"/>
        <w:jc w:val="center"/>
        <w:rPr>
          <w:rFonts w:ascii="微软雅黑" w:hAnsi="微软雅黑" w:eastAsia="微软雅黑" w:cs="微软雅黑"/>
          <w:sz w:val="40"/>
          <w:szCs w:val="40"/>
        </w:rPr>
      </w:pPr>
      <w:r>
        <w:rPr>
          <w:rFonts w:ascii="微软雅黑" w:hAnsi="微软雅黑" w:eastAsia="微软雅黑" w:cs="微软雅黑"/>
          <w:spacing w:val="-2"/>
          <w:sz w:val="40"/>
          <w:szCs w:val="40"/>
        </w:rPr>
        <w:t>节能产品政府采购品目清单</w:t>
      </w:r>
    </w:p>
    <w:p w14:paraId="2E26C7DB">
      <w:pPr>
        <w:spacing w:line="151" w:lineRule="exact"/>
      </w:pPr>
    </w:p>
    <w:tbl>
      <w:tblPr>
        <w:tblStyle w:val="733"/>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24BE4CD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578" w:type="dxa"/>
          </w:tcPr>
          <w:p w14:paraId="0A779291">
            <w:pPr>
              <w:pStyle w:val="732"/>
              <w:spacing w:before="129" w:line="249" w:lineRule="auto"/>
              <w:ind w:left="72" w:right="66" w:firstLine="18"/>
              <w:rPr>
                <w:sz w:val="22"/>
                <w:szCs w:val="22"/>
              </w:rPr>
            </w:pPr>
            <w:r>
              <w:rPr>
                <w:b/>
                <w:bCs/>
                <w:spacing w:val="-15"/>
                <w:sz w:val="22"/>
                <w:szCs w:val="22"/>
              </w:rPr>
              <w:t>品目</w:t>
            </w:r>
            <w:r>
              <w:rPr>
                <w:sz w:val="22"/>
                <w:szCs w:val="22"/>
              </w:rPr>
              <w:t xml:space="preserve"> </w:t>
            </w:r>
            <w:r>
              <w:rPr>
                <w:b/>
                <w:bCs/>
                <w:spacing w:val="-6"/>
                <w:sz w:val="22"/>
                <w:szCs w:val="22"/>
              </w:rPr>
              <w:t>序号</w:t>
            </w:r>
          </w:p>
        </w:tc>
        <w:tc>
          <w:tcPr>
            <w:tcW w:w="4879" w:type="dxa"/>
            <w:gridSpan w:val="3"/>
          </w:tcPr>
          <w:p w14:paraId="2BCCE190">
            <w:pPr>
              <w:pStyle w:val="732"/>
              <w:spacing w:before="285" w:line="223" w:lineRule="auto"/>
              <w:ind w:left="2226"/>
              <w:rPr>
                <w:sz w:val="22"/>
                <w:szCs w:val="22"/>
              </w:rPr>
            </w:pPr>
            <w:r>
              <w:rPr>
                <w:b/>
                <w:bCs/>
                <w:spacing w:val="-5"/>
                <w:sz w:val="22"/>
                <w:szCs w:val="22"/>
              </w:rPr>
              <w:t>名称</w:t>
            </w:r>
          </w:p>
        </w:tc>
        <w:tc>
          <w:tcPr>
            <w:tcW w:w="2969" w:type="dxa"/>
          </w:tcPr>
          <w:p w14:paraId="7BC3E349">
            <w:pPr>
              <w:pStyle w:val="732"/>
              <w:spacing w:before="285" w:line="220" w:lineRule="auto"/>
              <w:ind w:left="939"/>
              <w:rPr>
                <w:sz w:val="22"/>
                <w:szCs w:val="22"/>
              </w:rPr>
            </w:pPr>
            <w:r>
              <w:rPr>
                <w:b/>
                <w:bCs/>
                <w:spacing w:val="-4"/>
                <w:sz w:val="22"/>
                <w:szCs w:val="22"/>
              </w:rPr>
              <w:t>依据的标准</w:t>
            </w:r>
          </w:p>
        </w:tc>
      </w:tr>
      <w:tr w14:paraId="3FABDFD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2" w:hRule="atLeast"/>
          <w:jc w:val="center"/>
        </w:trPr>
        <w:tc>
          <w:tcPr>
            <w:tcW w:w="578" w:type="dxa"/>
            <w:vMerge w:val="restart"/>
            <w:tcBorders>
              <w:bottom w:val="nil"/>
            </w:tcBorders>
          </w:tcPr>
          <w:p w14:paraId="7DB0F034">
            <w:pPr>
              <w:spacing w:line="254" w:lineRule="auto"/>
              <w:rPr>
                <w:rFonts w:ascii="Arial"/>
              </w:rPr>
            </w:pPr>
          </w:p>
          <w:p w14:paraId="03251A1E">
            <w:pPr>
              <w:spacing w:line="254" w:lineRule="auto"/>
              <w:rPr>
                <w:rFonts w:ascii="Arial"/>
              </w:rPr>
            </w:pPr>
          </w:p>
          <w:p w14:paraId="127F5E4F">
            <w:pPr>
              <w:spacing w:line="254" w:lineRule="auto"/>
              <w:rPr>
                <w:rFonts w:ascii="Arial"/>
              </w:rPr>
            </w:pPr>
          </w:p>
          <w:p w14:paraId="30D6F0D8">
            <w:pPr>
              <w:spacing w:line="255" w:lineRule="auto"/>
              <w:rPr>
                <w:rFonts w:ascii="Arial"/>
              </w:rPr>
            </w:pPr>
          </w:p>
          <w:p w14:paraId="318ED6A9">
            <w:pPr>
              <w:pStyle w:val="732"/>
              <w:spacing w:before="62" w:line="190" w:lineRule="auto"/>
              <w:ind w:left="257"/>
            </w:pPr>
            <w:r>
              <w:t>1</w:t>
            </w:r>
          </w:p>
        </w:tc>
        <w:tc>
          <w:tcPr>
            <w:tcW w:w="1166" w:type="dxa"/>
            <w:vMerge w:val="restart"/>
            <w:tcBorders>
              <w:bottom w:val="nil"/>
            </w:tcBorders>
          </w:tcPr>
          <w:p w14:paraId="20424D5D">
            <w:pPr>
              <w:spacing w:line="277" w:lineRule="auto"/>
              <w:rPr>
                <w:rFonts w:ascii="Arial"/>
              </w:rPr>
            </w:pPr>
          </w:p>
          <w:p w14:paraId="5BC79841">
            <w:pPr>
              <w:spacing w:line="277" w:lineRule="auto"/>
              <w:rPr>
                <w:rFonts w:ascii="Arial"/>
              </w:rPr>
            </w:pPr>
          </w:p>
          <w:p w14:paraId="4E8809AC">
            <w:pPr>
              <w:spacing w:line="278" w:lineRule="auto"/>
              <w:rPr>
                <w:rFonts w:ascii="Arial"/>
              </w:rPr>
            </w:pPr>
          </w:p>
          <w:p w14:paraId="266E67AF">
            <w:pPr>
              <w:pStyle w:val="732"/>
              <w:spacing w:before="61" w:line="288" w:lineRule="auto"/>
              <w:ind w:left="14" w:right="8" w:hanging="5"/>
            </w:pPr>
            <w:r>
              <w:rPr>
                <w:spacing w:val="5"/>
              </w:rPr>
              <w:t>A020101</w:t>
            </w:r>
            <w:r>
              <w:rPr>
                <w:spacing w:val="-43"/>
              </w:rPr>
              <w:t xml:space="preserve"> </w:t>
            </w:r>
            <w:r>
              <w:rPr>
                <w:spacing w:val="5"/>
              </w:rPr>
              <w:t>计算</w:t>
            </w:r>
            <w:r>
              <w:t xml:space="preserve"> </w:t>
            </w:r>
            <w:r>
              <w:rPr>
                <w:spacing w:val="6"/>
              </w:rPr>
              <w:t>机设备</w:t>
            </w:r>
          </w:p>
        </w:tc>
        <w:tc>
          <w:tcPr>
            <w:tcW w:w="1799" w:type="dxa"/>
          </w:tcPr>
          <w:p w14:paraId="78DB07DC">
            <w:pPr>
              <w:pStyle w:val="732"/>
              <w:spacing w:before="155" w:line="288" w:lineRule="auto"/>
              <w:ind w:left="17" w:right="10" w:firstLine="1"/>
            </w:pPr>
            <w:r>
              <w:rPr>
                <w:spacing w:val="3"/>
              </w:rPr>
              <w:t>★A02010104 台式计</w:t>
            </w:r>
            <w:r>
              <w:rPr>
                <w:spacing w:val="12"/>
              </w:rPr>
              <w:t xml:space="preserve"> </w:t>
            </w:r>
            <w:r>
              <w:rPr>
                <w:spacing w:val="4"/>
              </w:rPr>
              <w:t>算机</w:t>
            </w:r>
          </w:p>
        </w:tc>
        <w:tc>
          <w:tcPr>
            <w:tcW w:w="1914" w:type="dxa"/>
          </w:tcPr>
          <w:p w14:paraId="2E165A98">
            <w:pPr>
              <w:rPr>
                <w:rFonts w:ascii="Arial"/>
              </w:rPr>
            </w:pPr>
          </w:p>
        </w:tc>
        <w:tc>
          <w:tcPr>
            <w:tcW w:w="2969" w:type="dxa"/>
          </w:tcPr>
          <w:p w14:paraId="76A0E061">
            <w:pPr>
              <w:pStyle w:val="732"/>
              <w:spacing w:before="155" w:line="288" w:lineRule="auto"/>
              <w:ind w:left="19" w:right="11" w:firstLine="3"/>
              <w:rPr>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4E7DEE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22" w:hRule="atLeast"/>
          <w:jc w:val="center"/>
        </w:trPr>
        <w:tc>
          <w:tcPr>
            <w:tcW w:w="578" w:type="dxa"/>
            <w:vMerge w:val="continue"/>
            <w:tcBorders>
              <w:top w:val="nil"/>
              <w:bottom w:val="nil"/>
            </w:tcBorders>
          </w:tcPr>
          <w:p w14:paraId="0623D6DC">
            <w:pPr>
              <w:rPr>
                <w:rFonts w:ascii="Arial"/>
              </w:rPr>
            </w:pPr>
          </w:p>
        </w:tc>
        <w:tc>
          <w:tcPr>
            <w:tcW w:w="1166" w:type="dxa"/>
            <w:vMerge w:val="continue"/>
            <w:tcBorders>
              <w:top w:val="nil"/>
              <w:bottom w:val="nil"/>
            </w:tcBorders>
          </w:tcPr>
          <w:p w14:paraId="2F74FDA7">
            <w:pPr>
              <w:rPr>
                <w:rFonts w:ascii="Arial"/>
              </w:rPr>
            </w:pPr>
          </w:p>
        </w:tc>
        <w:tc>
          <w:tcPr>
            <w:tcW w:w="1799" w:type="dxa"/>
          </w:tcPr>
          <w:p w14:paraId="7FB4492C">
            <w:pPr>
              <w:pStyle w:val="732"/>
              <w:spacing w:before="110" w:line="288" w:lineRule="auto"/>
              <w:ind w:left="15" w:right="10" w:firstLine="3"/>
            </w:pPr>
            <w:r>
              <w:rPr>
                <w:spacing w:val="3"/>
              </w:rPr>
              <w:t>★A02010105 便携式</w:t>
            </w:r>
            <w:r>
              <w:rPr>
                <w:spacing w:val="12"/>
              </w:rPr>
              <w:t xml:space="preserve"> </w:t>
            </w:r>
            <w:r>
              <w:rPr>
                <w:spacing w:val="6"/>
              </w:rPr>
              <w:t>计算机</w:t>
            </w:r>
          </w:p>
        </w:tc>
        <w:tc>
          <w:tcPr>
            <w:tcW w:w="1914" w:type="dxa"/>
          </w:tcPr>
          <w:p w14:paraId="1C7B4D48">
            <w:pPr>
              <w:rPr>
                <w:rFonts w:ascii="Arial"/>
              </w:rPr>
            </w:pPr>
          </w:p>
        </w:tc>
        <w:tc>
          <w:tcPr>
            <w:tcW w:w="2969" w:type="dxa"/>
          </w:tcPr>
          <w:p w14:paraId="7E0D85F2">
            <w:pPr>
              <w:pStyle w:val="732"/>
              <w:spacing w:before="111" w:line="288" w:lineRule="auto"/>
              <w:ind w:left="19" w:right="11" w:firstLine="3"/>
              <w:rPr>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4F1B0C2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57" w:hRule="atLeast"/>
          <w:jc w:val="center"/>
        </w:trPr>
        <w:tc>
          <w:tcPr>
            <w:tcW w:w="578" w:type="dxa"/>
            <w:vMerge w:val="continue"/>
            <w:tcBorders>
              <w:top w:val="nil"/>
            </w:tcBorders>
          </w:tcPr>
          <w:p w14:paraId="34D72451">
            <w:pPr>
              <w:rPr>
                <w:rFonts w:ascii="Arial"/>
              </w:rPr>
            </w:pPr>
          </w:p>
        </w:tc>
        <w:tc>
          <w:tcPr>
            <w:tcW w:w="1166" w:type="dxa"/>
            <w:vMerge w:val="continue"/>
            <w:tcBorders>
              <w:top w:val="nil"/>
            </w:tcBorders>
          </w:tcPr>
          <w:p w14:paraId="4145D57C">
            <w:pPr>
              <w:rPr>
                <w:rFonts w:ascii="Arial"/>
              </w:rPr>
            </w:pPr>
          </w:p>
        </w:tc>
        <w:tc>
          <w:tcPr>
            <w:tcW w:w="1799" w:type="dxa"/>
          </w:tcPr>
          <w:p w14:paraId="6047FDF3">
            <w:pPr>
              <w:pStyle w:val="732"/>
              <w:spacing w:before="130" w:line="288" w:lineRule="auto"/>
              <w:ind w:left="15" w:right="10" w:firstLine="3"/>
              <w:rPr>
                <w:lang w:eastAsia="zh-CN"/>
              </w:rPr>
            </w:pPr>
            <w:r>
              <w:rPr>
                <w:spacing w:val="3"/>
                <w:lang w:eastAsia="zh-CN"/>
              </w:rPr>
              <w:t>★A02010107 平板式</w:t>
            </w:r>
            <w:r>
              <w:rPr>
                <w:spacing w:val="12"/>
                <w:lang w:eastAsia="zh-CN"/>
              </w:rPr>
              <w:t xml:space="preserve"> </w:t>
            </w:r>
            <w:r>
              <w:rPr>
                <w:spacing w:val="8"/>
                <w:lang w:eastAsia="zh-CN"/>
              </w:rPr>
              <w:t>微型计算机</w:t>
            </w:r>
          </w:p>
        </w:tc>
        <w:tc>
          <w:tcPr>
            <w:tcW w:w="1914" w:type="dxa"/>
          </w:tcPr>
          <w:p w14:paraId="1BA92761">
            <w:pPr>
              <w:rPr>
                <w:rFonts w:ascii="Arial"/>
              </w:rPr>
            </w:pPr>
          </w:p>
        </w:tc>
        <w:tc>
          <w:tcPr>
            <w:tcW w:w="2969" w:type="dxa"/>
          </w:tcPr>
          <w:p w14:paraId="3FAEFB13">
            <w:pPr>
              <w:pStyle w:val="732"/>
              <w:spacing w:before="130" w:line="288" w:lineRule="auto"/>
              <w:ind w:left="19" w:right="11" w:firstLine="3"/>
              <w:rPr>
                <w:lang w:eastAsia="zh-CN"/>
              </w:rPr>
            </w:pPr>
            <w:r>
              <w:rPr>
                <w:spacing w:val="19"/>
                <w:lang w:eastAsia="zh-CN"/>
              </w:rPr>
              <w:t>《微型计算机能效限定值及能效</w:t>
            </w:r>
            <w:r>
              <w:rPr>
                <w:spacing w:val="2"/>
                <w:lang w:eastAsia="zh-CN"/>
              </w:rPr>
              <w:t xml:space="preserve"> </w:t>
            </w:r>
            <w:r>
              <w:rPr>
                <w:spacing w:val="6"/>
                <w:lang w:eastAsia="zh-CN"/>
              </w:rPr>
              <w:t>等级》（</w:t>
            </w:r>
            <w:r>
              <w:rPr>
                <w:lang w:eastAsia="zh-CN"/>
              </w:rPr>
              <w:t>GB</w:t>
            </w:r>
            <w:r>
              <w:rPr>
                <w:spacing w:val="6"/>
                <w:lang w:eastAsia="zh-CN"/>
              </w:rPr>
              <w:t xml:space="preserve"> 28380）</w:t>
            </w:r>
          </w:p>
        </w:tc>
      </w:tr>
      <w:tr w14:paraId="12F3A2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578" w:type="dxa"/>
            <w:vMerge w:val="restart"/>
            <w:tcBorders>
              <w:bottom w:val="nil"/>
            </w:tcBorders>
          </w:tcPr>
          <w:p w14:paraId="6880E25F">
            <w:pPr>
              <w:spacing w:line="255" w:lineRule="auto"/>
              <w:rPr>
                <w:rFonts w:ascii="Arial"/>
              </w:rPr>
            </w:pPr>
          </w:p>
          <w:p w14:paraId="58EBA8C3">
            <w:pPr>
              <w:spacing w:line="255" w:lineRule="auto"/>
              <w:rPr>
                <w:rFonts w:ascii="Arial"/>
              </w:rPr>
            </w:pPr>
          </w:p>
          <w:p w14:paraId="00E501D3">
            <w:pPr>
              <w:spacing w:line="255" w:lineRule="auto"/>
              <w:rPr>
                <w:rFonts w:ascii="Arial"/>
              </w:rPr>
            </w:pPr>
          </w:p>
          <w:p w14:paraId="17A2A437">
            <w:pPr>
              <w:spacing w:line="255" w:lineRule="auto"/>
              <w:rPr>
                <w:rFonts w:ascii="Arial"/>
              </w:rPr>
            </w:pPr>
          </w:p>
          <w:p w14:paraId="3911D1E5">
            <w:pPr>
              <w:spacing w:line="255" w:lineRule="auto"/>
              <w:rPr>
                <w:rFonts w:ascii="Arial"/>
              </w:rPr>
            </w:pPr>
          </w:p>
          <w:p w14:paraId="3C5FA794">
            <w:pPr>
              <w:spacing w:line="255" w:lineRule="auto"/>
              <w:rPr>
                <w:rFonts w:ascii="Arial"/>
              </w:rPr>
            </w:pPr>
          </w:p>
          <w:p w14:paraId="2BA283AC">
            <w:pPr>
              <w:spacing w:line="256" w:lineRule="auto"/>
              <w:rPr>
                <w:rFonts w:ascii="Arial"/>
              </w:rPr>
            </w:pPr>
          </w:p>
          <w:p w14:paraId="39C58D08">
            <w:pPr>
              <w:spacing w:line="256" w:lineRule="auto"/>
              <w:rPr>
                <w:rFonts w:ascii="Arial"/>
              </w:rPr>
            </w:pPr>
          </w:p>
          <w:p w14:paraId="69779B31">
            <w:pPr>
              <w:pStyle w:val="732"/>
              <w:spacing w:before="62" w:line="189" w:lineRule="auto"/>
              <w:ind w:left="245"/>
            </w:pPr>
            <w:r>
              <w:t>2</w:t>
            </w:r>
          </w:p>
        </w:tc>
        <w:tc>
          <w:tcPr>
            <w:tcW w:w="1166" w:type="dxa"/>
            <w:vMerge w:val="restart"/>
            <w:tcBorders>
              <w:bottom w:val="nil"/>
            </w:tcBorders>
          </w:tcPr>
          <w:p w14:paraId="5D1EF812">
            <w:pPr>
              <w:spacing w:line="265" w:lineRule="auto"/>
              <w:rPr>
                <w:rFonts w:ascii="Arial"/>
              </w:rPr>
            </w:pPr>
          </w:p>
          <w:p w14:paraId="64D3C203">
            <w:pPr>
              <w:spacing w:line="265" w:lineRule="auto"/>
              <w:rPr>
                <w:rFonts w:ascii="Arial"/>
              </w:rPr>
            </w:pPr>
          </w:p>
          <w:p w14:paraId="587CB2AC">
            <w:pPr>
              <w:spacing w:line="265" w:lineRule="auto"/>
              <w:rPr>
                <w:rFonts w:ascii="Arial"/>
              </w:rPr>
            </w:pPr>
          </w:p>
          <w:p w14:paraId="0E193522">
            <w:pPr>
              <w:spacing w:line="265" w:lineRule="auto"/>
              <w:rPr>
                <w:rFonts w:ascii="Arial"/>
              </w:rPr>
            </w:pPr>
          </w:p>
          <w:p w14:paraId="30F0B634">
            <w:pPr>
              <w:spacing w:line="265" w:lineRule="auto"/>
              <w:rPr>
                <w:rFonts w:ascii="Arial"/>
              </w:rPr>
            </w:pPr>
          </w:p>
          <w:p w14:paraId="00EB2B58">
            <w:pPr>
              <w:spacing w:line="265" w:lineRule="auto"/>
              <w:rPr>
                <w:rFonts w:ascii="Arial"/>
              </w:rPr>
            </w:pPr>
          </w:p>
          <w:p w14:paraId="43B2ED80">
            <w:pPr>
              <w:spacing w:line="266" w:lineRule="auto"/>
              <w:rPr>
                <w:rFonts w:ascii="Arial"/>
              </w:rPr>
            </w:pPr>
          </w:p>
          <w:p w14:paraId="3168E0FE">
            <w:pPr>
              <w:pStyle w:val="732"/>
              <w:spacing w:before="62" w:line="288" w:lineRule="auto"/>
              <w:ind w:left="14" w:right="8" w:hanging="5"/>
            </w:pPr>
            <w:r>
              <w:rPr>
                <w:spacing w:val="5"/>
              </w:rPr>
              <w:t>A020106</w:t>
            </w:r>
            <w:r>
              <w:rPr>
                <w:spacing w:val="-43"/>
              </w:rPr>
              <w:t xml:space="preserve"> </w:t>
            </w:r>
            <w:r>
              <w:rPr>
                <w:spacing w:val="5"/>
              </w:rPr>
              <w:t>输入</w:t>
            </w:r>
            <w:r>
              <w:t xml:space="preserve"> </w:t>
            </w:r>
            <w:r>
              <w:rPr>
                <w:spacing w:val="7"/>
              </w:rPr>
              <w:t>输出设备</w:t>
            </w:r>
          </w:p>
        </w:tc>
        <w:tc>
          <w:tcPr>
            <w:tcW w:w="1799" w:type="dxa"/>
            <w:vMerge w:val="restart"/>
            <w:tcBorders>
              <w:bottom w:val="nil"/>
            </w:tcBorders>
          </w:tcPr>
          <w:p w14:paraId="5ED5741C">
            <w:pPr>
              <w:spacing w:line="316" w:lineRule="auto"/>
              <w:rPr>
                <w:rFonts w:ascii="Arial"/>
              </w:rPr>
            </w:pPr>
          </w:p>
          <w:p w14:paraId="3A6D2564">
            <w:pPr>
              <w:spacing w:line="316" w:lineRule="auto"/>
              <w:rPr>
                <w:rFonts w:ascii="Arial"/>
              </w:rPr>
            </w:pPr>
          </w:p>
          <w:p w14:paraId="0FEDB863">
            <w:pPr>
              <w:spacing w:line="317" w:lineRule="auto"/>
              <w:rPr>
                <w:rFonts w:ascii="Arial"/>
              </w:rPr>
            </w:pPr>
          </w:p>
          <w:p w14:paraId="3CDDC7A4">
            <w:pPr>
              <w:pStyle w:val="732"/>
              <w:spacing w:before="62" w:line="229" w:lineRule="auto"/>
              <w:ind w:left="9"/>
            </w:pPr>
            <w:r>
              <w:rPr>
                <w:spacing w:val="5"/>
              </w:rPr>
              <w:t>A02010601</w:t>
            </w:r>
            <w:r>
              <w:rPr>
                <w:spacing w:val="-28"/>
              </w:rPr>
              <w:t xml:space="preserve"> </w:t>
            </w:r>
            <w:r>
              <w:rPr>
                <w:spacing w:val="5"/>
              </w:rPr>
              <w:t>打印设备</w:t>
            </w:r>
          </w:p>
        </w:tc>
        <w:tc>
          <w:tcPr>
            <w:tcW w:w="1914" w:type="dxa"/>
          </w:tcPr>
          <w:p w14:paraId="35F67868">
            <w:pPr>
              <w:pStyle w:val="732"/>
              <w:spacing w:before="119" w:line="288" w:lineRule="auto"/>
              <w:ind w:left="31" w:right="8" w:hanging="21"/>
            </w:pPr>
            <w:r>
              <w:rPr>
                <w:spacing w:val="3"/>
              </w:rPr>
              <w:t>A0201060101</w:t>
            </w:r>
            <w:r>
              <w:rPr>
                <w:spacing w:val="50"/>
              </w:rPr>
              <w:t xml:space="preserve"> </w:t>
            </w:r>
            <w:r>
              <w:rPr>
                <w:spacing w:val="3"/>
              </w:rPr>
              <w:t>喷</w:t>
            </w:r>
            <w:r>
              <w:rPr>
                <w:spacing w:val="-51"/>
              </w:rPr>
              <w:t xml:space="preserve"> </w:t>
            </w:r>
            <w:r>
              <w:rPr>
                <w:spacing w:val="3"/>
              </w:rPr>
              <w:t>墨</w:t>
            </w:r>
            <w:r>
              <w:rPr>
                <w:spacing w:val="-53"/>
              </w:rPr>
              <w:t xml:space="preserve"> </w:t>
            </w:r>
            <w:r>
              <w:rPr>
                <w:spacing w:val="3"/>
              </w:rPr>
              <w:t>打</w:t>
            </w:r>
            <w:r>
              <w:t xml:space="preserve"> </w:t>
            </w:r>
            <w:r>
              <w:rPr>
                <w:spacing w:val="-2"/>
              </w:rPr>
              <w:t>印机</w:t>
            </w:r>
          </w:p>
        </w:tc>
        <w:tc>
          <w:tcPr>
            <w:tcW w:w="2969" w:type="dxa"/>
          </w:tcPr>
          <w:p w14:paraId="7794E293">
            <w:pPr>
              <w:pStyle w:val="732"/>
              <w:spacing w:before="120" w:line="288" w:lineRule="auto"/>
              <w:ind w:left="22" w:right="13"/>
              <w:rPr>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28CA0B2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578" w:type="dxa"/>
            <w:vMerge w:val="continue"/>
            <w:tcBorders>
              <w:top w:val="nil"/>
              <w:bottom w:val="nil"/>
            </w:tcBorders>
          </w:tcPr>
          <w:p w14:paraId="70ACAA8C">
            <w:pPr>
              <w:rPr>
                <w:rFonts w:ascii="Arial"/>
              </w:rPr>
            </w:pPr>
          </w:p>
        </w:tc>
        <w:tc>
          <w:tcPr>
            <w:tcW w:w="1166" w:type="dxa"/>
            <w:vMerge w:val="continue"/>
            <w:tcBorders>
              <w:top w:val="nil"/>
              <w:bottom w:val="nil"/>
            </w:tcBorders>
          </w:tcPr>
          <w:p w14:paraId="1E379450">
            <w:pPr>
              <w:rPr>
                <w:rFonts w:ascii="Arial"/>
              </w:rPr>
            </w:pPr>
          </w:p>
        </w:tc>
        <w:tc>
          <w:tcPr>
            <w:tcW w:w="1799" w:type="dxa"/>
            <w:vMerge w:val="continue"/>
            <w:tcBorders>
              <w:top w:val="nil"/>
              <w:bottom w:val="nil"/>
            </w:tcBorders>
          </w:tcPr>
          <w:p w14:paraId="21A9E518">
            <w:pPr>
              <w:rPr>
                <w:rFonts w:ascii="Arial"/>
              </w:rPr>
            </w:pPr>
          </w:p>
        </w:tc>
        <w:tc>
          <w:tcPr>
            <w:tcW w:w="1914" w:type="dxa"/>
          </w:tcPr>
          <w:p w14:paraId="5C01DC4A">
            <w:pPr>
              <w:pStyle w:val="732"/>
              <w:spacing w:before="119" w:line="288" w:lineRule="auto"/>
              <w:ind w:left="19" w:right="8"/>
            </w:pPr>
            <w:r>
              <w:rPr>
                <w:spacing w:val="3"/>
              </w:rPr>
              <w:t>★</w:t>
            </w:r>
            <w:r>
              <w:rPr>
                <w:spacing w:val="-50"/>
              </w:rPr>
              <w:t xml:space="preserve"> </w:t>
            </w:r>
            <w:r>
              <w:rPr>
                <w:spacing w:val="3"/>
              </w:rPr>
              <w:t>A0201060102</w:t>
            </w:r>
            <w:r>
              <w:rPr>
                <w:spacing w:val="41"/>
              </w:rPr>
              <w:t xml:space="preserve"> </w:t>
            </w:r>
            <w:r>
              <w:rPr>
                <w:spacing w:val="3"/>
              </w:rPr>
              <w:t>激</w:t>
            </w:r>
            <w:r>
              <w:rPr>
                <w:spacing w:val="-54"/>
              </w:rPr>
              <w:t xml:space="preserve"> </w:t>
            </w:r>
            <w:r>
              <w:rPr>
                <w:spacing w:val="3"/>
              </w:rPr>
              <w:t>光</w:t>
            </w:r>
            <w:r>
              <w:t xml:space="preserve"> </w:t>
            </w:r>
            <w:r>
              <w:rPr>
                <w:spacing w:val="5"/>
              </w:rPr>
              <w:t>打印机</w:t>
            </w:r>
          </w:p>
        </w:tc>
        <w:tc>
          <w:tcPr>
            <w:tcW w:w="2969" w:type="dxa"/>
          </w:tcPr>
          <w:p w14:paraId="3054F32B">
            <w:pPr>
              <w:pStyle w:val="732"/>
              <w:spacing w:before="120" w:line="288" w:lineRule="auto"/>
              <w:ind w:left="22" w:right="13"/>
              <w:rPr>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00DCB08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7" w:hRule="atLeast"/>
          <w:jc w:val="center"/>
        </w:trPr>
        <w:tc>
          <w:tcPr>
            <w:tcW w:w="578" w:type="dxa"/>
            <w:vMerge w:val="continue"/>
            <w:tcBorders>
              <w:top w:val="nil"/>
              <w:bottom w:val="nil"/>
            </w:tcBorders>
          </w:tcPr>
          <w:p w14:paraId="12AB1E81">
            <w:pPr>
              <w:rPr>
                <w:rFonts w:ascii="Arial"/>
              </w:rPr>
            </w:pPr>
          </w:p>
        </w:tc>
        <w:tc>
          <w:tcPr>
            <w:tcW w:w="1166" w:type="dxa"/>
            <w:vMerge w:val="continue"/>
            <w:tcBorders>
              <w:top w:val="nil"/>
              <w:bottom w:val="nil"/>
            </w:tcBorders>
          </w:tcPr>
          <w:p w14:paraId="1BE72638">
            <w:pPr>
              <w:rPr>
                <w:rFonts w:ascii="Arial"/>
              </w:rPr>
            </w:pPr>
          </w:p>
        </w:tc>
        <w:tc>
          <w:tcPr>
            <w:tcW w:w="1799" w:type="dxa"/>
            <w:vMerge w:val="continue"/>
            <w:tcBorders>
              <w:top w:val="nil"/>
            </w:tcBorders>
          </w:tcPr>
          <w:p w14:paraId="6F1BA934">
            <w:pPr>
              <w:rPr>
                <w:rFonts w:ascii="Arial"/>
              </w:rPr>
            </w:pPr>
          </w:p>
        </w:tc>
        <w:tc>
          <w:tcPr>
            <w:tcW w:w="1914" w:type="dxa"/>
          </w:tcPr>
          <w:p w14:paraId="398B99FE">
            <w:pPr>
              <w:pStyle w:val="732"/>
              <w:spacing w:before="119" w:line="288" w:lineRule="auto"/>
              <w:ind w:left="19" w:right="8"/>
            </w:pPr>
            <w:r>
              <w:rPr>
                <w:spacing w:val="3"/>
              </w:rPr>
              <w:t>★</w:t>
            </w:r>
            <w:r>
              <w:rPr>
                <w:spacing w:val="-54"/>
              </w:rPr>
              <w:t xml:space="preserve"> </w:t>
            </w:r>
            <w:r>
              <w:rPr>
                <w:spacing w:val="3"/>
              </w:rPr>
              <w:t>A0201060104</w:t>
            </w:r>
            <w:r>
              <w:rPr>
                <w:spacing w:val="43"/>
              </w:rPr>
              <w:t xml:space="preserve"> </w:t>
            </w:r>
            <w:r>
              <w:rPr>
                <w:spacing w:val="3"/>
              </w:rPr>
              <w:t>针</w:t>
            </w:r>
            <w:r>
              <w:rPr>
                <w:spacing w:val="-52"/>
              </w:rPr>
              <w:t xml:space="preserve"> </w:t>
            </w:r>
            <w:r>
              <w:rPr>
                <w:spacing w:val="3"/>
              </w:rPr>
              <w:t>式</w:t>
            </w:r>
            <w:r>
              <w:t xml:space="preserve"> </w:t>
            </w:r>
            <w:r>
              <w:rPr>
                <w:spacing w:val="5"/>
              </w:rPr>
              <w:t>打印机</w:t>
            </w:r>
          </w:p>
        </w:tc>
        <w:tc>
          <w:tcPr>
            <w:tcW w:w="2969" w:type="dxa"/>
          </w:tcPr>
          <w:p w14:paraId="21B3EE43">
            <w:pPr>
              <w:pStyle w:val="732"/>
              <w:spacing w:before="120" w:line="288" w:lineRule="auto"/>
              <w:ind w:left="22" w:right="13"/>
              <w:rPr>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4341B71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8" w:hRule="atLeast"/>
          <w:jc w:val="center"/>
        </w:trPr>
        <w:tc>
          <w:tcPr>
            <w:tcW w:w="578" w:type="dxa"/>
            <w:vMerge w:val="continue"/>
            <w:tcBorders>
              <w:top w:val="nil"/>
              <w:bottom w:val="nil"/>
            </w:tcBorders>
          </w:tcPr>
          <w:p w14:paraId="00B983DF">
            <w:pPr>
              <w:rPr>
                <w:rFonts w:ascii="Arial"/>
              </w:rPr>
            </w:pPr>
          </w:p>
        </w:tc>
        <w:tc>
          <w:tcPr>
            <w:tcW w:w="1166" w:type="dxa"/>
            <w:vMerge w:val="continue"/>
            <w:tcBorders>
              <w:top w:val="nil"/>
              <w:bottom w:val="nil"/>
            </w:tcBorders>
          </w:tcPr>
          <w:p w14:paraId="06ADC605">
            <w:pPr>
              <w:rPr>
                <w:rFonts w:ascii="Arial"/>
              </w:rPr>
            </w:pPr>
          </w:p>
        </w:tc>
        <w:tc>
          <w:tcPr>
            <w:tcW w:w="1799" w:type="dxa"/>
          </w:tcPr>
          <w:p w14:paraId="357645EE">
            <w:pPr>
              <w:pStyle w:val="732"/>
              <w:spacing w:before="292" w:line="230" w:lineRule="auto"/>
              <w:ind w:left="9"/>
            </w:pPr>
            <w:r>
              <w:rPr>
                <w:spacing w:val="5"/>
              </w:rPr>
              <w:t>A02010604</w:t>
            </w:r>
            <w:r>
              <w:rPr>
                <w:spacing w:val="-28"/>
              </w:rPr>
              <w:t xml:space="preserve"> </w:t>
            </w:r>
            <w:r>
              <w:rPr>
                <w:spacing w:val="5"/>
              </w:rPr>
              <w:t>显示设备</w:t>
            </w:r>
          </w:p>
        </w:tc>
        <w:tc>
          <w:tcPr>
            <w:tcW w:w="1914" w:type="dxa"/>
          </w:tcPr>
          <w:p w14:paraId="47D620E3">
            <w:pPr>
              <w:pStyle w:val="732"/>
              <w:spacing w:before="136" w:line="289" w:lineRule="auto"/>
              <w:ind w:left="20" w:right="8" w:hanging="1"/>
            </w:pPr>
            <w:r>
              <w:rPr>
                <w:spacing w:val="2"/>
              </w:rPr>
              <w:t>★</w:t>
            </w:r>
            <w:r>
              <w:rPr>
                <w:spacing w:val="-54"/>
              </w:rPr>
              <w:t xml:space="preserve"> </w:t>
            </w:r>
            <w:r>
              <w:rPr>
                <w:spacing w:val="2"/>
              </w:rPr>
              <w:t>A0201060401</w:t>
            </w:r>
            <w:r>
              <w:rPr>
                <w:spacing w:val="44"/>
              </w:rPr>
              <w:t xml:space="preserve"> </w:t>
            </w:r>
            <w:r>
              <w:rPr>
                <w:spacing w:val="2"/>
              </w:rPr>
              <w:t>液</w:t>
            </w:r>
            <w:r>
              <w:rPr>
                <w:spacing w:val="-39"/>
              </w:rPr>
              <w:t xml:space="preserve"> </w:t>
            </w:r>
            <w:r>
              <w:rPr>
                <w:spacing w:val="2"/>
              </w:rPr>
              <w:t>晶</w:t>
            </w:r>
            <w:r>
              <w:t xml:space="preserve"> </w:t>
            </w:r>
            <w:r>
              <w:rPr>
                <w:spacing w:val="5"/>
              </w:rPr>
              <w:t>显示器</w:t>
            </w:r>
          </w:p>
        </w:tc>
        <w:tc>
          <w:tcPr>
            <w:tcW w:w="2969" w:type="dxa"/>
          </w:tcPr>
          <w:p w14:paraId="0C646B89">
            <w:pPr>
              <w:pStyle w:val="732"/>
              <w:spacing w:before="136" w:line="288" w:lineRule="auto"/>
              <w:ind w:left="22" w:right="11"/>
              <w:rPr>
                <w:lang w:eastAsia="zh-CN"/>
              </w:rPr>
            </w:pPr>
            <w:r>
              <w:rPr>
                <w:spacing w:val="19"/>
                <w:lang w:eastAsia="zh-CN"/>
              </w:rPr>
              <w:t>《计算机显示器能效限定值及能</w:t>
            </w:r>
            <w:r>
              <w:rPr>
                <w:spacing w:val="2"/>
                <w:lang w:eastAsia="zh-CN"/>
              </w:rPr>
              <w:t xml:space="preserve"> </w:t>
            </w:r>
            <w:r>
              <w:rPr>
                <w:spacing w:val="6"/>
                <w:lang w:eastAsia="zh-CN"/>
              </w:rPr>
              <w:t>效等级》（</w:t>
            </w:r>
            <w:r>
              <w:rPr>
                <w:lang w:eastAsia="zh-CN"/>
              </w:rPr>
              <w:t>GB</w:t>
            </w:r>
            <w:r>
              <w:rPr>
                <w:spacing w:val="6"/>
                <w:lang w:eastAsia="zh-CN"/>
              </w:rPr>
              <w:t xml:space="preserve"> 21520）</w:t>
            </w:r>
          </w:p>
        </w:tc>
      </w:tr>
      <w:tr w14:paraId="465422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56" w:hRule="atLeast"/>
          <w:jc w:val="center"/>
        </w:trPr>
        <w:tc>
          <w:tcPr>
            <w:tcW w:w="578" w:type="dxa"/>
            <w:vMerge w:val="continue"/>
            <w:tcBorders>
              <w:top w:val="nil"/>
            </w:tcBorders>
          </w:tcPr>
          <w:p w14:paraId="2A91CED3">
            <w:pPr>
              <w:rPr>
                <w:rFonts w:ascii="Arial"/>
              </w:rPr>
            </w:pPr>
          </w:p>
        </w:tc>
        <w:tc>
          <w:tcPr>
            <w:tcW w:w="1166" w:type="dxa"/>
            <w:vMerge w:val="continue"/>
            <w:tcBorders>
              <w:top w:val="nil"/>
            </w:tcBorders>
          </w:tcPr>
          <w:p w14:paraId="498647A4">
            <w:pPr>
              <w:rPr>
                <w:rFonts w:ascii="Arial"/>
              </w:rPr>
            </w:pPr>
          </w:p>
        </w:tc>
        <w:tc>
          <w:tcPr>
            <w:tcW w:w="1799" w:type="dxa"/>
          </w:tcPr>
          <w:p w14:paraId="2839DE84">
            <w:pPr>
              <w:spacing w:line="365" w:lineRule="auto"/>
              <w:rPr>
                <w:rFonts w:ascii="Arial"/>
              </w:rPr>
            </w:pPr>
          </w:p>
          <w:p w14:paraId="30071CB5">
            <w:pPr>
              <w:pStyle w:val="732"/>
              <w:spacing w:before="62" w:line="288" w:lineRule="auto"/>
              <w:ind w:left="14" w:right="10" w:hanging="5"/>
            </w:pPr>
            <w:r>
              <w:rPr>
                <w:spacing w:val="4"/>
              </w:rPr>
              <w:t>A02010609 图形图像</w:t>
            </w:r>
            <w:r>
              <w:rPr>
                <w:spacing w:val="7"/>
              </w:rPr>
              <w:t xml:space="preserve"> 输入设备</w:t>
            </w:r>
          </w:p>
        </w:tc>
        <w:tc>
          <w:tcPr>
            <w:tcW w:w="1914" w:type="dxa"/>
          </w:tcPr>
          <w:p w14:paraId="3EE85691">
            <w:pPr>
              <w:spacing w:line="260" w:lineRule="auto"/>
              <w:rPr>
                <w:rFonts w:ascii="Arial"/>
              </w:rPr>
            </w:pPr>
          </w:p>
          <w:p w14:paraId="284946C2">
            <w:pPr>
              <w:spacing w:line="260" w:lineRule="auto"/>
              <w:rPr>
                <w:rFonts w:ascii="Arial"/>
              </w:rPr>
            </w:pPr>
          </w:p>
          <w:p w14:paraId="3B565DB6">
            <w:pPr>
              <w:pStyle w:val="732"/>
              <w:spacing w:before="61" w:line="229" w:lineRule="auto"/>
              <w:ind w:left="10"/>
            </w:pPr>
            <w:r>
              <w:rPr>
                <w:spacing w:val="5"/>
              </w:rPr>
              <w:t>A0201060901</w:t>
            </w:r>
            <w:r>
              <w:rPr>
                <w:spacing w:val="-34"/>
              </w:rPr>
              <w:t xml:space="preserve"> </w:t>
            </w:r>
            <w:r>
              <w:rPr>
                <w:spacing w:val="5"/>
              </w:rPr>
              <w:t>扫描仪</w:t>
            </w:r>
          </w:p>
        </w:tc>
        <w:tc>
          <w:tcPr>
            <w:tcW w:w="2969" w:type="dxa"/>
          </w:tcPr>
          <w:p w14:paraId="17CF413A">
            <w:pPr>
              <w:pStyle w:val="732"/>
              <w:spacing w:before="114" w:line="296" w:lineRule="auto"/>
              <w:ind w:left="22" w:hanging="3"/>
              <w:rPr>
                <w:lang w:eastAsia="zh-CN"/>
              </w:rPr>
            </w:pPr>
            <w:r>
              <w:rPr>
                <w:lang w:eastAsia="zh-CN"/>
              </w:rPr>
              <w:t>参照《复印机、打印机和传真机能</w:t>
            </w:r>
            <w:r>
              <w:rPr>
                <w:spacing w:val="3"/>
                <w:lang w:eastAsia="zh-CN"/>
              </w:rPr>
              <w:t xml:space="preserve">  </w:t>
            </w:r>
            <w:r>
              <w:rPr>
                <w:spacing w:val="-4"/>
                <w:lang w:eastAsia="zh-CN"/>
              </w:rPr>
              <w:t>效限定值及能效等级》（GB</w:t>
            </w:r>
            <w:r>
              <w:rPr>
                <w:spacing w:val="-24"/>
                <w:lang w:eastAsia="zh-CN"/>
              </w:rPr>
              <w:t xml:space="preserve"> </w:t>
            </w:r>
            <w:r>
              <w:rPr>
                <w:spacing w:val="-4"/>
                <w:lang w:eastAsia="zh-CN"/>
              </w:rPr>
              <w:t>21521）</w:t>
            </w:r>
            <w:r>
              <w:rPr>
                <w:lang w:eastAsia="zh-CN"/>
              </w:rPr>
              <w:t xml:space="preserve"> </w:t>
            </w:r>
            <w:r>
              <w:rPr>
                <w:spacing w:val="4"/>
                <w:lang w:eastAsia="zh-CN"/>
              </w:rPr>
              <w:t>中打印速度为</w:t>
            </w:r>
            <w:r>
              <w:rPr>
                <w:spacing w:val="38"/>
                <w:lang w:eastAsia="zh-CN"/>
              </w:rPr>
              <w:t xml:space="preserve"> </w:t>
            </w:r>
            <w:r>
              <w:rPr>
                <w:spacing w:val="4"/>
                <w:lang w:eastAsia="zh-CN"/>
              </w:rPr>
              <w:t>15 页/分的针式打</w:t>
            </w:r>
            <w:r>
              <w:rPr>
                <w:lang w:eastAsia="zh-CN"/>
              </w:rPr>
              <w:t xml:space="preserve">  </w:t>
            </w:r>
            <w:r>
              <w:rPr>
                <w:spacing w:val="2"/>
                <w:lang w:eastAsia="zh-CN"/>
              </w:rPr>
              <w:t>印机相关要求</w:t>
            </w:r>
          </w:p>
        </w:tc>
      </w:tr>
      <w:tr w14:paraId="168E27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79" w:hRule="atLeast"/>
          <w:jc w:val="center"/>
        </w:trPr>
        <w:tc>
          <w:tcPr>
            <w:tcW w:w="578" w:type="dxa"/>
          </w:tcPr>
          <w:p w14:paraId="2656133A">
            <w:pPr>
              <w:pStyle w:val="732"/>
              <w:spacing w:before="277" w:line="189" w:lineRule="auto"/>
              <w:ind w:left="246"/>
            </w:pPr>
            <w:r>
              <w:t>3</w:t>
            </w:r>
          </w:p>
        </w:tc>
        <w:tc>
          <w:tcPr>
            <w:tcW w:w="1166" w:type="dxa"/>
          </w:tcPr>
          <w:p w14:paraId="5D5BE0D0">
            <w:pPr>
              <w:pStyle w:val="732"/>
              <w:spacing w:before="90" w:line="281" w:lineRule="auto"/>
              <w:ind w:left="15" w:right="8" w:hanging="6"/>
            </w:pPr>
            <w:r>
              <w:rPr>
                <w:spacing w:val="4"/>
              </w:rPr>
              <w:t>A020202</w:t>
            </w:r>
            <w:r>
              <w:rPr>
                <w:spacing w:val="-34"/>
              </w:rPr>
              <w:t xml:space="preserve"> </w:t>
            </w:r>
            <w:r>
              <w:rPr>
                <w:spacing w:val="4"/>
              </w:rPr>
              <w:t>投影</w:t>
            </w:r>
            <w:r>
              <w:t xml:space="preserve"> 仪</w:t>
            </w:r>
          </w:p>
        </w:tc>
        <w:tc>
          <w:tcPr>
            <w:tcW w:w="1799" w:type="dxa"/>
          </w:tcPr>
          <w:p w14:paraId="0F067AB8">
            <w:pPr>
              <w:rPr>
                <w:rFonts w:ascii="Arial"/>
              </w:rPr>
            </w:pPr>
          </w:p>
        </w:tc>
        <w:tc>
          <w:tcPr>
            <w:tcW w:w="1914" w:type="dxa"/>
          </w:tcPr>
          <w:p w14:paraId="1DA9CE2E">
            <w:pPr>
              <w:rPr>
                <w:rFonts w:ascii="Arial"/>
              </w:rPr>
            </w:pPr>
          </w:p>
        </w:tc>
        <w:tc>
          <w:tcPr>
            <w:tcW w:w="2969" w:type="dxa"/>
          </w:tcPr>
          <w:p w14:paraId="2401614C">
            <w:pPr>
              <w:pStyle w:val="732"/>
              <w:spacing w:before="90" w:line="281" w:lineRule="auto"/>
              <w:ind w:left="27" w:hanging="4"/>
              <w:rPr>
                <w:lang w:eastAsia="zh-CN"/>
              </w:rPr>
            </w:pPr>
            <w:r>
              <w:rPr>
                <w:spacing w:val="6"/>
                <w:lang w:eastAsia="zh-CN"/>
              </w:rPr>
              <w:t>《投影机能效限定值及能效等级》</w:t>
            </w:r>
            <w:r>
              <w:rPr>
                <w:lang w:eastAsia="zh-CN"/>
              </w:rPr>
              <w:t xml:space="preserve"> （GB</w:t>
            </w:r>
            <w:r>
              <w:rPr>
                <w:spacing w:val="22"/>
                <w:lang w:eastAsia="zh-CN"/>
              </w:rPr>
              <w:t xml:space="preserve"> </w:t>
            </w:r>
            <w:r>
              <w:rPr>
                <w:lang w:eastAsia="zh-CN"/>
              </w:rPr>
              <w:t>32028）</w:t>
            </w:r>
          </w:p>
        </w:tc>
      </w:tr>
      <w:tr w14:paraId="454AC25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65" w:hRule="atLeast"/>
          <w:jc w:val="center"/>
        </w:trPr>
        <w:tc>
          <w:tcPr>
            <w:tcW w:w="578" w:type="dxa"/>
          </w:tcPr>
          <w:p w14:paraId="412B4997">
            <w:pPr>
              <w:spacing w:line="257" w:lineRule="auto"/>
              <w:rPr>
                <w:rFonts w:ascii="Arial"/>
              </w:rPr>
            </w:pPr>
          </w:p>
          <w:p w14:paraId="36568ED6">
            <w:pPr>
              <w:pStyle w:val="732"/>
              <w:spacing w:before="62" w:line="189" w:lineRule="auto"/>
              <w:ind w:left="242"/>
            </w:pPr>
            <w:r>
              <w:t>4</w:t>
            </w:r>
          </w:p>
        </w:tc>
        <w:tc>
          <w:tcPr>
            <w:tcW w:w="1166" w:type="dxa"/>
          </w:tcPr>
          <w:p w14:paraId="586DE8E7">
            <w:pPr>
              <w:pStyle w:val="732"/>
              <w:spacing w:before="133" w:line="288" w:lineRule="auto"/>
              <w:ind w:left="22" w:right="8" w:hanging="13"/>
            </w:pPr>
            <w:r>
              <w:rPr>
                <w:spacing w:val="4"/>
              </w:rPr>
              <w:t>A020204</w:t>
            </w:r>
            <w:r>
              <w:rPr>
                <w:spacing w:val="-34"/>
              </w:rPr>
              <w:t xml:space="preserve"> </w:t>
            </w:r>
            <w:r>
              <w:rPr>
                <w:spacing w:val="4"/>
              </w:rPr>
              <w:t>多功</w:t>
            </w:r>
            <w:r>
              <w:t xml:space="preserve"> </w:t>
            </w:r>
            <w:r>
              <w:rPr>
                <w:spacing w:val="5"/>
              </w:rPr>
              <w:t>能一体机</w:t>
            </w:r>
          </w:p>
        </w:tc>
        <w:tc>
          <w:tcPr>
            <w:tcW w:w="1799" w:type="dxa"/>
          </w:tcPr>
          <w:p w14:paraId="3ECCB3C0">
            <w:pPr>
              <w:rPr>
                <w:rFonts w:ascii="Arial"/>
              </w:rPr>
            </w:pPr>
          </w:p>
        </w:tc>
        <w:tc>
          <w:tcPr>
            <w:tcW w:w="1914" w:type="dxa"/>
          </w:tcPr>
          <w:p w14:paraId="64480B82">
            <w:pPr>
              <w:rPr>
                <w:rFonts w:ascii="Arial"/>
              </w:rPr>
            </w:pPr>
          </w:p>
        </w:tc>
        <w:tc>
          <w:tcPr>
            <w:tcW w:w="2969" w:type="dxa"/>
          </w:tcPr>
          <w:p w14:paraId="387AC7E5">
            <w:pPr>
              <w:pStyle w:val="732"/>
              <w:spacing w:before="133" w:line="288" w:lineRule="auto"/>
              <w:ind w:left="22" w:right="13"/>
              <w:rPr>
                <w:lang w:eastAsia="zh-CN"/>
              </w:rPr>
            </w:pPr>
            <w:r>
              <w:rPr>
                <w:spacing w:val="5"/>
                <w:lang w:eastAsia="zh-CN"/>
              </w:rPr>
              <w:t>《复印机、打印机和传真机能效限</w:t>
            </w:r>
            <w:r>
              <w:rPr>
                <w:lang w:eastAsia="zh-CN"/>
              </w:rPr>
              <w:t xml:space="preserve"> </w:t>
            </w:r>
            <w:r>
              <w:rPr>
                <w:spacing w:val="7"/>
                <w:lang w:eastAsia="zh-CN"/>
              </w:rPr>
              <w:t>定值及能效等级》（</w:t>
            </w:r>
            <w:r>
              <w:rPr>
                <w:lang w:eastAsia="zh-CN"/>
              </w:rPr>
              <w:t>GB</w:t>
            </w:r>
            <w:r>
              <w:rPr>
                <w:spacing w:val="7"/>
                <w:lang w:eastAsia="zh-CN"/>
              </w:rPr>
              <w:t xml:space="preserve"> 21521）</w:t>
            </w:r>
          </w:p>
        </w:tc>
      </w:tr>
      <w:tr w14:paraId="268F73B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41" w:hRule="atLeast"/>
          <w:jc w:val="center"/>
        </w:trPr>
        <w:tc>
          <w:tcPr>
            <w:tcW w:w="578" w:type="dxa"/>
          </w:tcPr>
          <w:p w14:paraId="6AC07C2E">
            <w:pPr>
              <w:pStyle w:val="732"/>
              <w:spacing w:before="260" w:line="188" w:lineRule="auto"/>
              <w:ind w:left="246"/>
            </w:pPr>
            <w:r>
              <w:t>5</w:t>
            </w:r>
          </w:p>
        </w:tc>
        <w:tc>
          <w:tcPr>
            <w:tcW w:w="1166" w:type="dxa"/>
          </w:tcPr>
          <w:p w14:paraId="0D7D8DA3">
            <w:pPr>
              <w:pStyle w:val="732"/>
              <w:spacing w:before="227" w:line="229" w:lineRule="auto"/>
              <w:ind w:left="9"/>
            </w:pPr>
            <w:r>
              <w:rPr>
                <w:spacing w:val="4"/>
              </w:rPr>
              <w:t>A020519</w:t>
            </w:r>
            <w:r>
              <w:rPr>
                <w:spacing w:val="-32"/>
              </w:rPr>
              <w:t xml:space="preserve"> </w:t>
            </w:r>
            <w:r>
              <w:rPr>
                <w:spacing w:val="4"/>
              </w:rPr>
              <w:t>泵</w:t>
            </w:r>
          </w:p>
        </w:tc>
        <w:tc>
          <w:tcPr>
            <w:tcW w:w="1799" w:type="dxa"/>
          </w:tcPr>
          <w:p w14:paraId="54234535">
            <w:pPr>
              <w:pStyle w:val="732"/>
              <w:spacing w:before="227" w:line="229" w:lineRule="auto"/>
              <w:ind w:left="9"/>
            </w:pPr>
            <w:r>
              <w:rPr>
                <w:spacing w:val="5"/>
              </w:rPr>
              <w:t>A02051901</w:t>
            </w:r>
            <w:r>
              <w:rPr>
                <w:spacing w:val="-33"/>
              </w:rPr>
              <w:t xml:space="preserve"> </w:t>
            </w:r>
            <w:r>
              <w:rPr>
                <w:spacing w:val="5"/>
              </w:rPr>
              <w:t>离心泵</w:t>
            </w:r>
          </w:p>
        </w:tc>
        <w:tc>
          <w:tcPr>
            <w:tcW w:w="1914" w:type="dxa"/>
          </w:tcPr>
          <w:p w14:paraId="52B65AD7">
            <w:pPr>
              <w:rPr>
                <w:rFonts w:ascii="Arial"/>
              </w:rPr>
            </w:pPr>
          </w:p>
        </w:tc>
        <w:tc>
          <w:tcPr>
            <w:tcW w:w="2969" w:type="dxa"/>
          </w:tcPr>
          <w:p w14:paraId="52DBDEC4">
            <w:pPr>
              <w:pStyle w:val="732"/>
              <w:spacing w:before="71" w:line="272" w:lineRule="auto"/>
              <w:ind w:left="17" w:right="11" w:firstLine="6"/>
              <w:rPr>
                <w:lang w:eastAsia="zh-CN"/>
              </w:rPr>
            </w:pPr>
            <w:r>
              <w:rPr>
                <w:spacing w:val="19"/>
                <w:lang w:eastAsia="zh-CN"/>
              </w:rPr>
              <w:t>《清水离心泵能效限定值及节能</w:t>
            </w:r>
            <w:r>
              <w:rPr>
                <w:spacing w:val="2"/>
                <w:lang w:eastAsia="zh-CN"/>
              </w:rPr>
              <w:t xml:space="preserve"> </w:t>
            </w:r>
            <w:r>
              <w:rPr>
                <w:spacing w:val="4"/>
                <w:lang w:eastAsia="zh-CN"/>
              </w:rPr>
              <w:t>评价值》（</w:t>
            </w:r>
            <w:r>
              <w:rPr>
                <w:lang w:eastAsia="zh-CN"/>
              </w:rPr>
              <w:t>GB</w:t>
            </w:r>
            <w:r>
              <w:rPr>
                <w:spacing w:val="39"/>
                <w:lang w:eastAsia="zh-CN"/>
              </w:rPr>
              <w:t xml:space="preserve"> </w:t>
            </w:r>
            <w:r>
              <w:rPr>
                <w:spacing w:val="4"/>
                <w:lang w:eastAsia="zh-CN"/>
              </w:rPr>
              <w:t>19762）</w:t>
            </w:r>
          </w:p>
        </w:tc>
      </w:tr>
      <w:tr w14:paraId="0D30AE9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317" w:hRule="atLeast"/>
          <w:jc w:val="center"/>
        </w:trPr>
        <w:tc>
          <w:tcPr>
            <w:tcW w:w="578" w:type="dxa"/>
            <w:vMerge w:val="restart"/>
            <w:tcBorders>
              <w:bottom w:val="nil"/>
            </w:tcBorders>
          </w:tcPr>
          <w:p w14:paraId="425BCA32">
            <w:pPr>
              <w:spacing w:line="300" w:lineRule="auto"/>
              <w:rPr>
                <w:rFonts w:ascii="Arial"/>
              </w:rPr>
            </w:pPr>
          </w:p>
          <w:p w14:paraId="3B16D5A0">
            <w:pPr>
              <w:spacing w:line="300" w:lineRule="auto"/>
              <w:rPr>
                <w:rFonts w:ascii="Arial"/>
              </w:rPr>
            </w:pPr>
          </w:p>
          <w:p w14:paraId="0B4C3A2C">
            <w:pPr>
              <w:spacing w:line="301" w:lineRule="auto"/>
              <w:rPr>
                <w:rFonts w:ascii="Arial"/>
              </w:rPr>
            </w:pPr>
          </w:p>
          <w:p w14:paraId="3368EFAC">
            <w:pPr>
              <w:pStyle w:val="732"/>
              <w:spacing w:before="62" w:line="189" w:lineRule="auto"/>
              <w:ind w:left="244"/>
            </w:pPr>
            <w:r>
              <w:t>6</w:t>
            </w:r>
          </w:p>
        </w:tc>
        <w:tc>
          <w:tcPr>
            <w:tcW w:w="1166" w:type="dxa"/>
            <w:vMerge w:val="restart"/>
            <w:tcBorders>
              <w:bottom w:val="nil"/>
            </w:tcBorders>
          </w:tcPr>
          <w:p w14:paraId="6E362E18">
            <w:pPr>
              <w:spacing w:line="357" w:lineRule="auto"/>
              <w:rPr>
                <w:rFonts w:ascii="Arial"/>
              </w:rPr>
            </w:pPr>
          </w:p>
          <w:p w14:paraId="3B9475B5">
            <w:pPr>
              <w:spacing w:line="358" w:lineRule="auto"/>
              <w:rPr>
                <w:rFonts w:ascii="Arial"/>
              </w:rPr>
            </w:pPr>
          </w:p>
          <w:p w14:paraId="645AB0C4">
            <w:pPr>
              <w:pStyle w:val="732"/>
              <w:spacing w:before="61" w:line="289" w:lineRule="auto"/>
              <w:ind w:left="21" w:right="8" w:hanging="12"/>
            </w:pPr>
            <w:r>
              <w:rPr>
                <w:spacing w:val="5"/>
              </w:rPr>
              <w:t>A020523</w:t>
            </w:r>
            <w:r>
              <w:rPr>
                <w:spacing w:val="-43"/>
              </w:rPr>
              <w:t xml:space="preserve"> </w:t>
            </w:r>
            <w:r>
              <w:rPr>
                <w:spacing w:val="5"/>
              </w:rPr>
              <w:t>制冷</w:t>
            </w:r>
            <w:r>
              <w:t xml:space="preserve"> </w:t>
            </w:r>
            <w:r>
              <w:rPr>
                <w:spacing w:val="5"/>
              </w:rPr>
              <w:t>空调设备</w:t>
            </w:r>
          </w:p>
        </w:tc>
        <w:tc>
          <w:tcPr>
            <w:tcW w:w="1799" w:type="dxa"/>
            <w:vMerge w:val="restart"/>
            <w:tcBorders>
              <w:bottom w:val="nil"/>
            </w:tcBorders>
          </w:tcPr>
          <w:p w14:paraId="20B4ABDA">
            <w:pPr>
              <w:spacing w:line="357" w:lineRule="auto"/>
              <w:rPr>
                <w:rFonts w:ascii="Arial"/>
              </w:rPr>
            </w:pPr>
          </w:p>
          <w:p w14:paraId="1E227D24">
            <w:pPr>
              <w:spacing w:line="357" w:lineRule="auto"/>
              <w:rPr>
                <w:rFonts w:ascii="Arial"/>
              </w:rPr>
            </w:pPr>
          </w:p>
          <w:p w14:paraId="7751B125">
            <w:pPr>
              <w:pStyle w:val="732"/>
              <w:spacing w:before="62" w:line="288" w:lineRule="auto"/>
              <w:ind w:left="15" w:right="10" w:firstLine="3"/>
            </w:pPr>
            <w:r>
              <w:rPr>
                <w:spacing w:val="3"/>
              </w:rPr>
              <w:t>★A02052301 制冷压</w:t>
            </w:r>
            <w:r>
              <w:rPr>
                <w:spacing w:val="12"/>
              </w:rPr>
              <w:t xml:space="preserve"> </w:t>
            </w:r>
            <w:r>
              <w:rPr>
                <w:spacing w:val="5"/>
              </w:rPr>
              <w:t>缩机</w:t>
            </w:r>
          </w:p>
        </w:tc>
        <w:tc>
          <w:tcPr>
            <w:tcW w:w="1914" w:type="dxa"/>
          </w:tcPr>
          <w:p w14:paraId="79C29BFD">
            <w:pPr>
              <w:spacing w:line="250" w:lineRule="auto"/>
              <w:rPr>
                <w:rFonts w:ascii="Arial"/>
              </w:rPr>
            </w:pPr>
          </w:p>
          <w:p w14:paraId="7231AFEB">
            <w:pPr>
              <w:spacing w:line="251" w:lineRule="auto"/>
              <w:rPr>
                <w:rFonts w:ascii="Arial"/>
              </w:rPr>
            </w:pPr>
          </w:p>
          <w:p w14:paraId="7260CE65">
            <w:pPr>
              <w:pStyle w:val="732"/>
              <w:spacing w:before="61" w:line="228" w:lineRule="auto"/>
              <w:ind w:left="18"/>
            </w:pPr>
            <w:r>
              <w:rPr>
                <w:spacing w:val="6"/>
              </w:rPr>
              <w:t>冷水机组</w:t>
            </w:r>
          </w:p>
        </w:tc>
        <w:tc>
          <w:tcPr>
            <w:tcW w:w="2969" w:type="dxa"/>
          </w:tcPr>
          <w:p w14:paraId="0B0D2DCD">
            <w:pPr>
              <w:pStyle w:val="732"/>
              <w:spacing w:before="96" w:line="294" w:lineRule="auto"/>
              <w:ind w:left="17" w:right="11" w:firstLine="5"/>
              <w:rPr>
                <w:lang w:eastAsia="zh-CN"/>
              </w:rPr>
            </w:pPr>
            <w:r>
              <w:rPr>
                <w:spacing w:val="19"/>
                <w:lang w:eastAsia="zh-CN"/>
              </w:rPr>
              <w:t>《冷水机组能效限定值及能效等</w:t>
            </w:r>
            <w:r>
              <w:rPr>
                <w:spacing w:val="2"/>
                <w:lang w:eastAsia="zh-CN"/>
              </w:rPr>
              <w:t xml:space="preserve"> </w:t>
            </w:r>
            <w:r>
              <w:rPr>
                <w:spacing w:val="6"/>
                <w:lang w:eastAsia="zh-CN"/>
              </w:rPr>
              <w:t>级》（</w:t>
            </w:r>
            <w:r>
              <w:rPr>
                <w:lang w:eastAsia="zh-CN"/>
              </w:rPr>
              <w:t>GB</w:t>
            </w:r>
            <w:r>
              <w:rPr>
                <w:spacing w:val="-21"/>
                <w:lang w:eastAsia="zh-CN"/>
              </w:rPr>
              <w:t xml:space="preserve"> </w:t>
            </w:r>
            <w:r>
              <w:rPr>
                <w:spacing w:val="6"/>
                <w:lang w:eastAsia="zh-CN"/>
              </w:rPr>
              <w:t>19577</w:t>
            </w:r>
            <w:r>
              <w:rPr>
                <w:spacing w:val="9"/>
                <w:lang w:eastAsia="zh-CN"/>
              </w:rPr>
              <w:t>），</w:t>
            </w:r>
            <w:r>
              <w:rPr>
                <w:spacing w:val="6"/>
                <w:lang w:eastAsia="zh-CN"/>
              </w:rPr>
              <w:t>《低环境温度</w:t>
            </w:r>
            <w:r>
              <w:rPr>
                <w:lang w:eastAsia="zh-CN"/>
              </w:rPr>
              <w:t xml:space="preserve"> </w:t>
            </w:r>
            <w:r>
              <w:rPr>
                <w:spacing w:val="5"/>
                <w:lang w:eastAsia="zh-CN"/>
              </w:rPr>
              <w:t>空气源热泵（冷水）机组能效限定</w:t>
            </w:r>
            <w:r>
              <w:rPr>
                <w:spacing w:val="6"/>
                <w:lang w:eastAsia="zh-CN"/>
              </w:rPr>
              <w:t xml:space="preserve"> </w:t>
            </w:r>
            <w:r>
              <w:rPr>
                <w:spacing w:val="7"/>
                <w:lang w:eastAsia="zh-CN"/>
              </w:rPr>
              <w:t>值及能效等级》（</w:t>
            </w:r>
            <w:r>
              <w:rPr>
                <w:lang w:eastAsia="zh-CN"/>
              </w:rPr>
              <w:t>GB</w:t>
            </w:r>
            <w:r>
              <w:rPr>
                <w:spacing w:val="7"/>
                <w:lang w:eastAsia="zh-CN"/>
              </w:rPr>
              <w:t xml:space="preserve"> 37480）</w:t>
            </w:r>
          </w:p>
        </w:tc>
      </w:tr>
      <w:tr w14:paraId="33EF71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4" w:hRule="atLeast"/>
          <w:jc w:val="center"/>
        </w:trPr>
        <w:tc>
          <w:tcPr>
            <w:tcW w:w="578" w:type="dxa"/>
            <w:vMerge w:val="continue"/>
            <w:tcBorders>
              <w:top w:val="nil"/>
            </w:tcBorders>
          </w:tcPr>
          <w:p w14:paraId="6DDA3B13">
            <w:pPr>
              <w:rPr>
                <w:rFonts w:ascii="Arial"/>
              </w:rPr>
            </w:pPr>
          </w:p>
        </w:tc>
        <w:tc>
          <w:tcPr>
            <w:tcW w:w="1166" w:type="dxa"/>
            <w:vMerge w:val="continue"/>
            <w:tcBorders>
              <w:top w:val="nil"/>
            </w:tcBorders>
          </w:tcPr>
          <w:p w14:paraId="3D272250">
            <w:pPr>
              <w:rPr>
                <w:rFonts w:ascii="Arial"/>
              </w:rPr>
            </w:pPr>
          </w:p>
        </w:tc>
        <w:tc>
          <w:tcPr>
            <w:tcW w:w="1799" w:type="dxa"/>
            <w:vMerge w:val="continue"/>
            <w:tcBorders>
              <w:top w:val="nil"/>
            </w:tcBorders>
          </w:tcPr>
          <w:p w14:paraId="3A715352">
            <w:pPr>
              <w:rPr>
                <w:rFonts w:ascii="Arial"/>
              </w:rPr>
            </w:pPr>
          </w:p>
        </w:tc>
        <w:tc>
          <w:tcPr>
            <w:tcW w:w="1914" w:type="dxa"/>
          </w:tcPr>
          <w:p w14:paraId="2BDB77BE">
            <w:pPr>
              <w:pStyle w:val="732"/>
              <w:spacing w:before="275" w:line="228" w:lineRule="auto"/>
              <w:ind w:left="19"/>
            </w:pPr>
            <w:r>
              <w:rPr>
                <w:spacing w:val="7"/>
              </w:rPr>
              <w:t>水源热泵机组</w:t>
            </w:r>
          </w:p>
        </w:tc>
        <w:tc>
          <w:tcPr>
            <w:tcW w:w="2969" w:type="dxa"/>
          </w:tcPr>
          <w:p w14:paraId="7EB74B6C">
            <w:pPr>
              <w:pStyle w:val="732"/>
              <w:spacing w:before="120" w:line="288" w:lineRule="auto"/>
              <w:ind w:left="17" w:right="13" w:firstLine="6"/>
              <w:rPr>
                <w:lang w:eastAsia="zh-CN"/>
              </w:rPr>
            </w:pPr>
            <w:r>
              <w:rPr>
                <w:spacing w:val="5"/>
                <w:lang w:eastAsia="zh-CN"/>
              </w:rPr>
              <w:t>《水（地）源热泵机组能效限定值</w:t>
            </w:r>
            <w:r>
              <w:rPr>
                <w:lang w:eastAsia="zh-CN"/>
              </w:rPr>
              <w:t xml:space="preserve"> </w:t>
            </w:r>
            <w:r>
              <w:rPr>
                <w:spacing w:val="7"/>
                <w:lang w:eastAsia="zh-CN"/>
              </w:rPr>
              <w:t>及能效等级》（</w:t>
            </w:r>
            <w:r>
              <w:rPr>
                <w:lang w:eastAsia="zh-CN"/>
              </w:rPr>
              <w:t>GB</w:t>
            </w:r>
            <w:r>
              <w:rPr>
                <w:spacing w:val="7"/>
                <w:lang w:eastAsia="zh-CN"/>
              </w:rPr>
              <w:t xml:space="preserve"> 30721）</w:t>
            </w:r>
          </w:p>
        </w:tc>
      </w:tr>
    </w:tbl>
    <w:p w14:paraId="22248304">
      <w:pPr>
        <w:rPr>
          <w:rFonts w:ascii="Arial"/>
        </w:rPr>
      </w:pPr>
    </w:p>
    <w:p w14:paraId="6B2826CD">
      <w:pPr>
        <w:rPr>
          <w:rFonts w:ascii="Arial" w:hAnsi="Arial" w:eastAsia="Arial" w:cs="Arial"/>
          <w:szCs w:val="21"/>
        </w:rPr>
        <w:sectPr>
          <w:pgSz w:w="11906" w:h="16838"/>
          <w:pgMar w:top="1440" w:right="567" w:bottom="1440" w:left="850" w:header="850" w:footer="992" w:gutter="0"/>
          <w:cols w:space="0" w:num="1"/>
        </w:sectPr>
      </w:pPr>
    </w:p>
    <w:p w14:paraId="256B54E6">
      <w:pPr>
        <w:spacing w:line="91" w:lineRule="auto"/>
        <w:rPr>
          <w:rFonts w:ascii="Arial"/>
          <w:sz w:val="2"/>
        </w:rPr>
      </w:pPr>
    </w:p>
    <w:tbl>
      <w:tblPr>
        <w:tblStyle w:val="733"/>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7813B29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23" w:hRule="atLeast"/>
          <w:jc w:val="center"/>
        </w:trPr>
        <w:tc>
          <w:tcPr>
            <w:tcW w:w="578" w:type="dxa"/>
            <w:vMerge w:val="restart"/>
            <w:tcBorders>
              <w:bottom w:val="nil"/>
            </w:tcBorders>
          </w:tcPr>
          <w:p w14:paraId="53495A39">
            <w:pPr>
              <w:rPr>
                <w:rFonts w:ascii="Arial"/>
              </w:rPr>
            </w:pPr>
          </w:p>
        </w:tc>
        <w:tc>
          <w:tcPr>
            <w:tcW w:w="1166" w:type="dxa"/>
            <w:vMerge w:val="restart"/>
            <w:tcBorders>
              <w:bottom w:val="nil"/>
            </w:tcBorders>
          </w:tcPr>
          <w:p w14:paraId="526BE963">
            <w:pPr>
              <w:rPr>
                <w:rFonts w:ascii="Arial"/>
              </w:rPr>
            </w:pPr>
          </w:p>
        </w:tc>
        <w:tc>
          <w:tcPr>
            <w:tcW w:w="1799" w:type="dxa"/>
          </w:tcPr>
          <w:p w14:paraId="3E2A9BCA">
            <w:pPr>
              <w:rPr>
                <w:rFonts w:ascii="Arial"/>
              </w:rPr>
            </w:pPr>
          </w:p>
        </w:tc>
        <w:tc>
          <w:tcPr>
            <w:tcW w:w="1914" w:type="dxa"/>
          </w:tcPr>
          <w:p w14:paraId="56F7C756">
            <w:pPr>
              <w:pStyle w:val="732"/>
              <w:spacing w:before="159" w:line="294" w:lineRule="auto"/>
              <w:ind w:left="19" w:right="11" w:firstLine="1"/>
              <w:rPr>
                <w:lang w:eastAsia="zh-CN"/>
              </w:rPr>
            </w:pPr>
            <w:r>
              <w:rPr>
                <w:spacing w:val="18"/>
                <w:lang w:eastAsia="zh-CN"/>
              </w:rPr>
              <w:t>溴化锂吸收式冷水机</w:t>
            </w:r>
            <w:r>
              <w:rPr>
                <w:spacing w:val="4"/>
                <w:lang w:eastAsia="zh-CN"/>
              </w:rPr>
              <w:t xml:space="preserve"> </w:t>
            </w:r>
            <w:r>
              <w:rPr>
                <w:lang w:eastAsia="zh-CN"/>
              </w:rPr>
              <w:t>组</w:t>
            </w:r>
          </w:p>
        </w:tc>
        <w:tc>
          <w:tcPr>
            <w:tcW w:w="2969" w:type="dxa"/>
          </w:tcPr>
          <w:p w14:paraId="29BB9D7C">
            <w:pPr>
              <w:pStyle w:val="732"/>
              <w:spacing w:before="160" w:line="288" w:lineRule="auto"/>
              <w:ind w:left="22" w:right="11"/>
              <w:rPr>
                <w:lang w:eastAsia="zh-CN"/>
              </w:rPr>
            </w:pPr>
            <w:r>
              <w:rPr>
                <w:spacing w:val="19"/>
                <w:lang w:eastAsia="zh-CN"/>
              </w:rPr>
              <w:t>《溴化锂吸收式冷水机组能效限</w:t>
            </w:r>
            <w:r>
              <w:rPr>
                <w:spacing w:val="2"/>
                <w:lang w:eastAsia="zh-CN"/>
              </w:rPr>
              <w:t xml:space="preserve"> </w:t>
            </w:r>
            <w:r>
              <w:rPr>
                <w:spacing w:val="7"/>
                <w:lang w:eastAsia="zh-CN"/>
              </w:rPr>
              <w:t>定值及能效等级》（</w:t>
            </w:r>
            <w:r>
              <w:rPr>
                <w:lang w:eastAsia="zh-CN"/>
              </w:rPr>
              <w:t>GB</w:t>
            </w:r>
            <w:r>
              <w:rPr>
                <w:spacing w:val="7"/>
                <w:lang w:eastAsia="zh-CN"/>
              </w:rPr>
              <w:t xml:space="preserve"> 29540）</w:t>
            </w:r>
          </w:p>
        </w:tc>
      </w:tr>
      <w:tr w14:paraId="16C9725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578" w:type="dxa"/>
            <w:vMerge w:val="continue"/>
            <w:tcBorders>
              <w:top w:val="nil"/>
              <w:bottom w:val="nil"/>
            </w:tcBorders>
          </w:tcPr>
          <w:p w14:paraId="099EB9F1">
            <w:pPr>
              <w:rPr>
                <w:rFonts w:ascii="Arial"/>
              </w:rPr>
            </w:pPr>
          </w:p>
        </w:tc>
        <w:tc>
          <w:tcPr>
            <w:tcW w:w="1166" w:type="dxa"/>
            <w:vMerge w:val="continue"/>
            <w:tcBorders>
              <w:top w:val="nil"/>
              <w:bottom w:val="nil"/>
            </w:tcBorders>
          </w:tcPr>
          <w:p w14:paraId="4E44833D">
            <w:pPr>
              <w:rPr>
                <w:rFonts w:ascii="Arial"/>
              </w:rPr>
            </w:pPr>
          </w:p>
        </w:tc>
        <w:tc>
          <w:tcPr>
            <w:tcW w:w="1799" w:type="dxa"/>
            <w:vMerge w:val="restart"/>
            <w:tcBorders>
              <w:bottom w:val="nil"/>
            </w:tcBorders>
          </w:tcPr>
          <w:p w14:paraId="70909918">
            <w:pPr>
              <w:spacing w:line="265" w:lineRule="auto"/>
              <w:rPr>
                <w:rFonts w:ascii="Arial"/>
              </w:rPr>
            </w:pPr>
          </w:p>
          <w:p w14:paraId="62A70557">
            <w:pPr>
              <w:spacing w:line="265" w:lineRule="auto"/>
              <w:rPr>
                <w:rFonts w:ascii="Arial"/>
              </w:rPr>
            </w:pPr>
          </w:p>
          <w:p w14:paraId="21C6103D">
            <w:pPr>
              <w:spacing w:line="265" w:lineRule="auto"/>
              <w:rPr>
                <w:rFonts w:ascii="Arial"/>
              </w:rPr>
            </w:pPr>
          </w:p>
          <w:p w14:paraId="61726310">
            <w:pPr>
              <w:pStyle w:val="732"/>
              <w:spacing w:before="62" w:line="294" w:lineRule="auto"/>
              <w:ind w:left="17" w:right="10"/>
            </w:pPr>
            <w:r>
              <w:rPr>
                <w:spacing w:val="3"/>
              </w:rPr>
              <w:t>★A02052305 空调机</w:t>
            </w:r>
            <w:r>
              <w:rPr>
                <w:spacing w:val="12"/>
              </w:rPr>
              <w:t xml:space="preserve"> </w:t>
            </w:r>
            <w:r>
              <w:t>组</w:t>
            </w:r>
          </w:p>
        </w:tc>
        <w:tc>
          <w:tcPr>
            <w:tcW w:w="1914" w:type="dxa"/>
          </w:tcPr>
          <w:p w14:paraId="2DF309E2">
            <w:pPr>
              <w:pStyle w:val="732"/>
              <w:spacing w:before="65" w:line="284" w:lineRule="auto"/>
              <w:ind w:left="15" w:right="11" w:firstLine="10"/>
              <w:rPr>
                <w:lang w:eastAsia="zh-CN"/>
              </w:rPr>
            </w:pPr>
            <w:r>
              <w:rPr>
                <w:spacing w:val="15"/>
                <w:lang w:eastAsia="zh-CN"/>
              </w:rPr>
              <w:t>多联式空调（热泵）</w:t>
            </w:r>
            <w:r>
              <w:rPr>
                <w:spacing w:val="7"/>
                <w:lang w:eastAsia="zh-CN"/>
              </w:rPr>
              <w:t xml:space="preserve"> </w:t>
            </w:r>
            <w:r>
              <w:rPr>
                <w:spacing w:val="-8"/>
                <w:lang w:eastAsia="zh-CN"/>
              </w:rPr>
              <w:t>机</w:t>
            </w:r>
            <w:r>
              <w:rPr>
                <w:spacing w:val="34"/>
                <w:lang w:eastAsia="zh-CN"/>
              </w:rPr>
              <w:t xml:space="preserve">  </w:t>
            </w:r>
            <w:r>
              <w:rPr>
                <w:spacing w:val="-8"/>
                <w:lang w:eastAsia="zh-CN"/>
              </w:rPr>
              <w:t>组</w:t>
            </w:r>
            <w:r>
              <w:rPr>
                <w:spacing w:val="2"/>
                <w:lang w:eastAsia="zh-CN"/>
              </w:rPr>
              <w:t xml:space="preserve">   </w:t>
            </w:r>
            <w:r>
              <w:rPr>
                <w:spacing w:val="-8"/>
                <w:lang w:eastAsia="zh-CN"/>
              </w:rPr>
              <w:t>(</w:t>
            </w:r>
            <w:r>
              <w:rPr>
                <w:spacing w:val="33"/>
                <w:lang w:eastAsia="zh-CN"/>
              </w:rPr>
              <w:t xml:space="preserve">  </w:t>
            </w:r>
            <w:r>
              <w:rPr>
                <w:spacing w:val="-8"/>
                <w:lang w:eastAsia="zh-CN"/>
              </w:rPr>
              <w:t>制</w:t>
            </w:r>
            <w:r>
              <w:rPr>
                <w:spacing w:val="35"/>
                <w:lang w:eastAsia="zh-CN"/>
              </w:rPr>
              <w:t xml:space="preserve">  </w:t>
            </w:r>
            <w:r>
              <w:rPr>
                <w:spacing w:val="-8"/>
                <w:lang w:eastAsia="zh-CN"/>
              </w:rPr>
              <w:t>冷</w:t>
            </w:r>
            <w:r>
              <w:rPr>
                <w:lang w:eastAsia="zh-CN"/>
              </w:rPr>
              <w:t xml:space="preserve"> </w:t>
            </w:r>
            <w:r>
              <w:rPr>
                <w:spacing w:val="5"/>
                <w:lang w:eastAsia="zh-CN"/>
              </w:rPr>
              <w:t>量&gt;14000W)</w:t>
            </w:r>
          </w:p>
        </w:tc>
        <w:tc>
          <w:tcPr>
            <w:tcW w:w="2969" w:type="dxa"/>
          </w:tcPr>
          <w:p w14:paraId="7A56C4F3">
            <w:pPr>
              <w:pStyle w:val="732"/>
              <w:spacing w:before="223" w:line="288" w:lineRule="auto"/>
              <w:ind w:left="22"/>
              <w:rPr>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408109C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76" w:hRule="atLeast"/>
          <w:jc w:val="center"/>
        </w:trPr>
        <w:tc>
          <w:tcPr>
            <w:tcW w:w="578" w:type="dxa"/>
            <w:vMerge w:val="continue"/>
            <w:tcBorders>
              <w:top w:val="nil"/>
              <w:bottom w:val="nil"/>
            </w:tcBorders>
          </w:tcPr>
          <w:p w14:paraId="245A91B5">
            <w:pPr>
              <w:rPr>
                <w:rFonts w:ascii="Arial"/>
              </w:rPr>
            </w:pPr>
          </w:p>
        </w:tc>
        <w:tc>
          <w:tcPr>
            <w:tcW w:w="1166" w:type="dxa"/>
            <w:vMerge w:val="continue"/>
            <w:tcBorders>
              <w:top w:val="nil"/>
              <w:bottom w:val="nil"/>
            </w:tcBorders>
          </w:tcPr>
          <w:p w14:paraId="2853BD29">
            <w:pPr>
              <w:rPr>
                <w:rFonts w:ascii="Arial"/>
              </w:rPr>
            </w:pPr>
          </w:p>
        </w:tc>
        <w:tc>
          <w:tcPr>
            <w:tcW w:w="1799" w:type="dxa"/>
            <w:vMerge w:val="continue"/>
            <w:tcBorders>
              <w:top w:val="nil"/>
            </w:tcBorders>
          </w:tcPr>
          <w:p w14:paraId="5FF36FA2">
            <w:pPr>
              <w:rPr>
                <w:rFonts w:ascii="Arial"/>
              </w:rPr>
            </w:pPr>
          </w:p>
        </w:tc>
        <w:tc>
          <w:tcPr>
            <w:tcW w:w="1914" w:type="dxa"/>
          </w:tcPr>
          <w:p w14:paraId="69E4BEAC">
            <w:pPr>
              <w:spacing w:line="319" w:lineRule="auto"/>
              <w:rPr>
                <w:rFonts w:ascii="Arial"/>
              </w:rPr>
            </w:pPr>
          </w:p>
          <w:p w14:paraId="1F645C3A">
            <w:pPr>
              <w:pStyle w:val="732"/>
              <w:spacing w:before="61" w:line="289" w:lineRule="auto"/>
              <w:ind w:left="51" w:right="11" w:hanging="33"/>
              <w:rPr>
                <w:lang w:eastAsia="zh-CN"/>
              </w:rPr>
            </w:pPr>
            <w:r>
              <w:rPr>
                <w:spacing w:val="44"/>
                <w:lang w:eastAsia="zh-CN"/>
              </w:rPr>
              <w:t>单元式空气调节机</w:t>
            </w:r>
            <w:r>
              <w:rPr>
                <w:spacing w:val="6"/>
                <w:lang w:eastAsia="zh-CN"/>
              </w:rPr>
              <w:t xml:space="preserve"> </w:t>
            </w:r>
            <w:r>
              <w:rPr>
                <w:spacing w:val="2"/>
                <w:lang w:eastAsia="zh-CN"/>
              </w:rPr>
              <w:t>(制冷量&gt;14000W)</w:t>
            </w:r>
          </w:p>
        </w:tc>
        <w:tc>
          <w:tcPr>
            <w:tcW w:w="2969" w:type="dxa"/>
          </w:tcPr>
          <w:p w14:paraId="1A4C600B">
            <w:pPr>
              <w:pStyle w:val="732"/>
              <w:spacing w:before="72" w:line="290" w:lineRule="auto"/>
              <w:ind w:left="16" w:right="11" w:firstLine="6"/>
              <w:rPr>
                <w:lang w:eastAsia="zh-CN"/>
              </w:rPr>
            </w:pPr>
            <w:r>
              <w:rPr>
                <w:spacing w:val="19"/>
                <w:lang w:eastAsia="zh-CN"/>
              </w:rPr>
              <w:t>《单元式空气调节机能效限定值</w:t>
            </w:r>
            <w:r>
              <w:rPr>
                <w:spacing w:val="2"/>
                <w:lang w:eastAsia="zh-CN"/>
              </w:rPr>
              <w:t xml:space="preserve"> </w:t>
            </w:r>
            <w:r>
              <w:rPr>
                <w:spacing w:val="6"/>
                <w:lang w:eastAsia="zh-CN"/>
              </w:rPr>
              <w:t>及能效等级》（</w:t>
            </w:r>
            <w:r>
              <w:rPr>
                <w:lang w:eastAsia="zh-CN"/>
              </w:rPr>
              <w:t>GB</w:t>
            </w:r>
            <w:r>
              <w:rPr>
                <w:spacing w:val="-13"/>
                <w:lang w:eastAsia="zh-CN"/>
              </w:rPr>
              <w:t xml:space="preserve"> </w:t>
            </w:r>
            <w:r>
              <w:rPr>
                <w:spacing w:val="6"/>
                <w:lang w:eastAsia="zh-CN"/>
              </w:rPr>
              <w:t>19576）《风管</w:t>
            </w:r>
            <w:r>
              <w:rPr>
                <w:lang w:eastAsia="zh-CN"/>
              </w:rPr>
              <w:t xml:space="preserve"> </w:t>
            </w:r>
            <w:r>
              <w:rPr>
                <w:spacing w:val="19"/>
                <w:lang w:eastAsia="zh-CN"/>
              </w:rPr>
              <w:t>送风式空调机组能效限定值及能</w:t>
            </w:r>
            <w:r>
              <w:rPr>
                <w:spacing w:val="9"/>
                <w:lang w:eastAsia="zh-CN"/>
              </w:rPr>
              <w:t xml:space="preserve"> </w:t>
            </w:r>
            <w:r>
              <w:rPr>
                <w:spacing w:val="7"/>
                <w:lang w:eastAsia="zh-CN"/>
              </w:rPr>
              <w:t>效等级》（</w:t>
            </w:r>
            <w:r>
              <w:rPr>
                <w:lang w:eastAsia="zh-CN"/>
              </w:rPr>
              <w:t>GB</w:t>
            </w:r>
            <w:r>
              <w:rPr>
                <w:spacing w:val="7"/>
                <w:lang w:eastAsia="zh-CN"/>
              </w:rPr>
              <w:t xml:space="preserve"> 37479）</w:t>
            </w:r>
          </w:p>
        </w:tc>
      </w:tr>
      <w:tr w14:paraId="47A312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578" w:type="dxa"/>
            <w:vMerge w:val="continue"/>
            <w:tcBorders>
              <w:top w:val="nil"/>
              <w:bottom w:val="nil"/>
            </w:tcBorders>
          </w:tcPr>
          <w:p w14:paraId="2101CF1D">
            <w:pPr>
              <w:rPr>
                <w:rFonts w:ascii="Arial"/>
              </w:rPr>
            </w:pPr>
          </w:p>
        </w:tc>
        <w:tc>
          <w:tcPr>
            <w:tcW w:w="1166" w:type="dxa"/>
            <w:vMerge w:val="continue"/>
            <w:tcBorders>
              <w:top w:val="nil"/>
              <w:bottom w:val="nil"/>
            </w:tcBorders>
          </w:tcPr>
          <w:p w14:paraId="14A85636">
            <w:pPr>
              <w:rPr>
                <w:rFonts w:ascii="Arial"/>
              </w:rPr>
            </w:pPr>
          </w:p>
        </w:tc>
        <w:tc>
          <w:tcPr>
            <w:tcW w:w="1799" w:type="dxa"/>
          </w:tcPr>
          <w:p w14:paraId="6B5623D0">
            <w:pPr>
              <w:pStyle w:val="732"/>
              <w:spacing w:before="145" w:line="287" w:lineRule="auto"/>
              <w:ind w:left="17" w:right="10" w:firstLine="1"/>
              <w:rPr>
                <w:lang w:eastAsia="zh-CN"/>
              </w:rPr>
            </w:pPr>
            <w:r>
              <w:rPr>
                <w:spacing w:val="3"/>
                <w:lang w:eastAsia="zh-CN"/>
              </w:rPr>
              <w:t>★A02052309 专用制</w:t>
            </w:r>
            <w:r>
              <w:rPr>
                <w:spacing w:val="12"/>
                <w:lang w:eastAsia="zh-CN"/>
              </w:rPr>
              <w:t xml:space="preserve"> </w:t>
            </w:r>
            <w:r>
              <w:rPr>
                <w:spacing w:val="8"/>
                <w:lang w:eastAsia="zh-CN"/>
              </w:rPr>
              <w:t>冷、空调设备</w:t>
            </w:r>
          </w:p>
        </w:tc>
        <w:tc>
          <w:tcPr>
            <w:tcW w:w="1914" w:type="dxa"/>
          </w:tcPr>
          <w:p w14:paraId="6A4A5905">
            <w:pPr>
              <w:pStyle w:val="732"/>
              <w:spacing w:before="300" w:line="228" w:lineRule="auto"/>
              <w:ind w:left="15"/>
            </w:pPr>
            <w:r>
              <w:rPr>
                <w:spacing w:val="7"/>
              </w:rPr>
              <w:t>机房空调</w:t>
            </w:r>
          </w:p>
        </w:tc>
        <w:tc>
          <w:tcPr>
            <w:tcW w:w="2969" w:type="dxa"/>
          </w:tcPr>
          <w:p w14:paraId="3C676630">
            <w:pPr>
              <w:pStyle w:val="732"/>
              <w:spacing w:before="146" w:line="286" w:lineRule="auto"/>
              <w:ind w:left="17" w:right="11" w:firstLine="6"/>
              <w:rPr>
                <w:lang w:eastAsia="zh-CN"/>
              </w:rPr>
            </w:pPr>
            <w:r>
              <w:rPr>
                <w:spacing w:val="19"/>
                <w:lang w:eastAsia="zh-CN"/>
              </w:rPr>
              <w:t>《单元式空气调节机能效限定值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19576）</w:t>
            </w:r>
          </w:p>
        </w:tc>
      </w:tr>
      <w:tr w14:paraId="0B394C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696" w:hRule="atLeast"/>
          <w:jc w:val="center"/>
        </w:trPr>
        <w:tc>
          <w:tcPr>
            <w:tcW w:w="578" w:type="dxa"/>
            <w:vMerge w:val="continue"/>
            <w:tcBorders>
              <w:top w:val="nil"/>
            </w:tcBorders>
          </w:tcPr>
          <w:p w14:paraId="1F8D1B43">
            <w:pPr>
              <w:rPr>
                <w:rFonts w:ascii="Arial"/>
              </w:rPr>
            </w:pPr>
          </w:p>
        </w:tc>
        <w:tc>
          <w:tcPr>
            <w:tcW w:w="1166" w:type="dxa"/>
            <w:vMerge w:val="continue"/>
            <w:tcBorders>
              <w:top w:val="nil"/>
            </w:tcBorders>
          </w:tcPr>
          <w:p w14:paraId="00AAA716">
            <w:pPr>
              <w:rPr>
                <w:rFonts w:ascii="Arial"/>
              </w:rPr>
            </w:pPr>
          </w:p>
        </w:tc>
        <w:tc>
          <w:tcPr>
            <w:tcW w:w="1799" w:type="dxa"/>
          </w:tcPr>
          <w:p w14:paraId="58B8DA15">
            <w:pPr>
              <w:spacing w:line="265" w:lineRule="auto"/>
              <w:rPr>
                <w:rFonts w:ascii="Arial"/>
              </w:rPr>
            </w:pPr>
          </w:p>
          <w:p w14:paraId="4E3F0BDD">
            <w:pPr>
              <w:spacing w:line="265" w:lineRule="auto"/>
              <w:rPr>
                <w:rFonts w:ascii="Arial"/>
              </w:rPr>
            </w:pPr>
          </w:p>
          <w:p w14:paraId="76332A9A">
            <w:pPr>
              <w:pStyle w:val="732"/>
              <w:spacing w:before="62" w:line="289" w:lineRule="auto"/>
              <w:ind w:left="21" w:right="10" w:hanging="12"/>
            </w:pPr>
            <w:r>
              <w:rPr>
                <w:spacing w:val="4"/>
              </w:rPr>
              <w:t>A02052399 其他制冷</w:t>
            </w:r>
            <w:r>
              <w:rPr>
                <w:spacing w:val="7"/>
              </w:rPr>
              <w:t xml:space="preserve"> </w:t>
            </w:r>
            <w:r>
              <w:rPr>
                <w:spacing w:val="5"/>
              </w:rPr>
              <w:t>空调设备</w:t>
            </w:r>
          </w:p>
        </w:tc>
        <w:tc>
          <w:tcPr>
            <w:tcW w:w="1914" w:type="dxa"/>
          </w:tcPr>
          <w:p w14:paraId="37E70479">
            <w:pPr>
              <w:spacing w:line="343" w:lineRule="auto"/>
              <w:rPr>
                <w:rFonts w:ascii="Arial"/>
              </w:rPr>
            </w:pPr>
          </w:p>
          <w:p w14:paraId="2A04D7CD">
            <w:pPr>
              <w:spacing w:line="343" w:lineRule="auto"/>
              <w:rPr>
                <w:rFonts w:ascii="Arial"/>
              </w:rPr>
            </w:pPr>
          </w:p>
          <w:p w14:paraId="3458BD77">
            <w:pPr>
              <w:pStyle w:val="732"/>
              <w:spacing w:before="62" w:line="231" w:lineRule="auto"/>
              <w:ind w:left="18"/>
            </w:pPr>
            <w:r>
              <w:rPr>
                <w:spacing w:val="6"/>
              </w:rPr>
              <w:t>冷却塔</w:t>
            </w:r>
          </w:p>
        </w:tc>
        <w:tc>
          <w:tcPr>
            <w:tcW w:w="2969" w:type="dxa"/>
          </w:tcPr>
          <w:p w14:paraId="0A77774A">
            <w:pPr>
              <w:pStyle w:val="732"/>
              <w:spacing w:before="284" w:line="296" w:lineRule="auto"/>
              <w:ind w:left="23"/>
              <w:rPr>
                <w:lang w:eastAsia="zh-CN"/>
              </w:rPr>
            </w:pPr>
            <w:r>
              <w:rPr>
                <w:spacing w:val="2"/>
                <w:lang w:eastAsia="zh-CN"/>
              </w:rPr>
              <w:t>《机械通风冷却塔 第 1 部分：中</w:t>
            </w:r>
            <w:r>
              <w:rPr>
                <w:spacing w:val="3"/>
                <w:lang w:eastAsia="zh-CN"/>
              </w:rPr>
              <w:t xml:space="preserve"> </w:t>
            </w:r>
            <w:r>
              <w:rPr>
                <w:spacing w:val="-6"/>
                <w:lang w:eastAsia="zh-CN"/>
              </w:rPr>
              <w:t>小型开式冷却塔》（GB</w:t>
            </w:r>
            <w:r>
              <w:rPr>
                <w:spacing w:val="-36"/>
                <w:lang w:eastAsia="zh-CN"/>
              </w:rPr>
              <w:t xml:space="preserve"> </w:t>
            </w:r>
            <w:r>
              <w:rPr>
                <w:spacing w:val="-6"/>
                <w:lang w:eastAsia="zh-CN"/>
              </w:rPr>
              <w:t>/T</w:t>
            </w:r>
            <w:r>
              <w:rPr>
                <w:spacing w:val="-31"/>
                <w:lang w:eastAsia="zh-CN"/>
              </w:rPr>
              <w:t xml:space="preserve"> </w:t>
            </w:r>
            <w:r>
              <w:rPr>
                <w:spacing w:val="-6"/>
                <w:lang w:eastAsia="zh-CN"/>
              </w:rPr>
              <w:t>7190.1</w:t>
            </w:r>
            <w:r>
              <w:rPr>
                <w:spacing w:val="-49"/>
                <w:w w:val="97"/>
                <w:lang w:eastAsia="zh-CN"/>
              </w:rPr>
              <w:t>）；</w:t>
            </w:r>
            <w:r>
              <w:rPr>
                <w:lang w:eastAsia="zh-CN"/>
              </w:rPr>
              <w:t xml:space="preserve"> </w:t>
            </w:r>
            <w:r>
              <w:rPr>
                <w:spacing w:val="2"/>
                <w:lang w:eastAsia="zh-CN"/>
              </w:rPr>
              <w:t>《机械通风冷却塔 第 2 部分：大</w:t>
            </w:r>
            <w:r>
              <w:rPr>
                <w:spacing w:val="3"/>
                <w:lang w:eastAsia="zh-CN"/>
              </w:rPr>
              <w:t xml:space="preserve"> </w:t>
            </w:r>
            <w:r>
              <w:rPr>
                <w:spacing w:val="4"/>
                <w:lang w:eastAsia="zh-CN"/>
              </w:rPr>
              <w:t>型开式冷却塔》（</w:t>
            </w:r>
            <w:r>
              <w:rPr>
                <w:lang w:eastAsia="zh-CN"/>
              </w:rPr>
              <w:t>GB</w:t>
            </w:r>
            <w:r>
              <w:rPr>
                <w:spacing w:val="4"/>
                <w:lang w:eastAsia="zh-CN"/>
              </w:rPr>
              <w:t xml:space="preserve"> /T 7190.2）</w:t>
            </w:r>
          </w:p>
        </w:tc>
      </w:tr>
      <w:tr w14:paraId="4682E37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578" w:type="dxa"/>
          </w:tcPr>
          <w:p w14:paraId="23D76017">
            <w:pPr>
              <w:spacing w:line="242" w:lineRule="auto"/>
              <w:rPr>
                <w:rFonts w:ascii="Arial"/>
              </w:rPr>
            </w:pPr>
          </w:p>
          <w:p w14:paraId="484281CF">
            <w:pPr>
              <w:pStyle w:val="732"/>
              <w:spacing w:before="62" w:line="188" w:lineRule="auto"/>
              <w:ind w:left="247"/>
            </w:pPr>
            <w:r>
              <w:t>7</w:t>
            </w:r>
          </w:p>
        </w:tc>
        <w:tc>
          <w:tcPr>
            <w:tcW w:w="1166" w:type="dxa"/>
          </w:tcPr>
          <w:p w14:paraId="0B362013">
            <w:pPr>
              <w:pStyle w:val="732"/>
              <w:spacing w:before="273" w:line="228" w:lineRule="auto"/>
              <w:ind w:left="9"/>
            </w:pPr>
            <w:r>
              <w:rPr>
                <w:spacing w:val="3"/>
              </w:rPr>
              <w:t>A020601</w:t>
            </w:r>
            <w:r>
              <w:rPr>
                <w:spacing w:val="-19"/>
              </w:rPr>
              <w:t xml:space="preserve"> </w:t>
            </w:r>
            <w:r>
              <w:rPr>
                <w:spacing w:val="3"/>
              </w:rPr>
              <w:t>电机</w:t>
            </w:r>
          </w:p>
        </w:tc>
        <w:tc>
          <w:tcPr>
            <w:tcW w:w="1799" w:type="dxa"/>
          </w:tcPr>
          <w:p w14:paraId="6EEEE7FE">
            <w:pPr>
              <w:rPr>
                <w:rFonts w:ascii="Arial"/>
              </w:rPr>
            </w:pPr>
          </w:p>
        </w:tc>
        <w:tc>
          <w:tcPr>
            <w:tcW w:w="1914" w:type="dxa"/>
          </w:tcPr>
          <w:p w14:paraId="37E9508F">
            <w:pPr>
              <w:rPr>
                <w:rFonts w:ascii="Arial"/>
              </w:rPr>
            </w:pPr>
          </w:p>
        </w:tc>
        <w:tc>
          <w:tcPr>
            <w:tcW w:w="2969" w:type="dxa"/>
          </w:tcPr>
          <w:p w14:paraId="51237E7F">
            <w:pPr>
              <w:pStyle w:val="732"/>
              <w:spacing w:before="117" w:line="288" w:lineRule="auto"/>
              <w:ind w:left="22" w:right="11"/>
              <w:rPr>
                <w:lang w:eastAsia="zh-CN"/>
              </w:rPr>
            </w:pPr>
            <w:r>
              <w:rPr>
                <w:spacing w:val="19"/>
                <w:lang w:eastAsia="zh-CN"/>
              </w:rPr>
              <w:t>《中小型三相异步电动机能效限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18613）</w:t>
            </w:r>
          </w:p>
        </w:tc>
      </w:tr>
      <w:tr w14:paraId="4B77E4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93" w:hRule="atLeast"/>
          <w:jc w:val="center"/>
        </w:trPr>
        <w:tc>
          <w:tcPr>
            <w:tcW w:w="578" w:type="dxa"/>
          </w:tcPr>
          <w:p w14:paraId="1E0CC041">
            <w:pPr>
              <w:pStyle w:val="732"/>
              <w:spacing w:before="283" w:line="189" w:lineRule="auto"/>
              <w:ind w:left="243"/>
            </w:pPr>
            <w:r>
              <w:t>8</w:t>
            </w:r>
          </w:p>
        </w:tc>
        <w:tc>
          <w:tcPr>
            <w:tcW w:w="1166" w:type="dxa"/>
          </w:tcPr>
          <w:p w14:paraId="2287F28D">
            <w:pPr>
              <w:pStyle w:val="732"/>
              <w:spacing w:before="96" w:line="285" w:lineRule="auto"/>
              <w:ind w:left="15" w:right="8" w:hanging="6"/>
            </w:pPr>
            <w:r>
              <w:rPr>
                <w:spacing w:val="5"/>
              </w:rPr>
              <w:t>A020602</w:t>
            </w:r>
            <w:r>
              <w:rPr>
                <w:spacing w:val="-43"/>
              </w:rPr>
              <w:t xml:space="preserve"> </w:t>
            </w:r>
            <w:r>
              <w:rPr>
                <w:spacing w:val="5"/>
              </w:rPr>
              <w:t>变压</w:t>
            </w:r>
            <w:r>
              <w:t xml:space="preserve"> </w:t>
            </w:r>
            <w:r>
              <w:rPr>
                <w:spacing w:val="1"/>
              </w:rPr>
              <w:t>器</w:t>
            </w:r>
          </w:p>
        </w:tc>
        <w:tc>
          <w:tcPr>
            <w:tcW w:w="1799" w:type="dxa"/>
          </w:tcPr>
          <w:p w14:paraId="68698659">
            <w:pPr>
              <w:pStyle w:val="732"/>
              <w:spacing w:before="252" w:line="230" w:lineRule="auto"/>
              <w:ind w:left="15"/>
            </w:pPr>
            <w:r>
              <w:rPr>
                <w:spacing w:val="8"/>
              </w:rPr>
              <w:t>配电变压器</w:t>
            </w:r>
          </w:p>
        </w:tc>
        <w:tc>
          <w:tcPr>
            <w:tcW w:w="1914" w:type="dxa"/>
          </w:tcPr>
          <w:p w14:paraId="21D28E22">
            <w:pPr>
              <w:rPr>
                <w:rFonts w:ascii="Arial"/>
              </w:rPr>
            </w:pPr>
          </w:p>
        </w:tc>
        <w:tc>
          <w:tcPr>
            <w:tcW w:w="2969" w:type="dxa"/>
          </w:tcPr>
          <w:p w14:paraId="7030F238">
            <w:pPr>
              <w:pStyle w:val="732"/>
              <w:spacing w:before="96" w:line="285" w:lineRule="auto"/>
              <w:ind w:left="25" w:right="11" w:hanging="2"/>
              <w:rPr>
                <w:lang w:eastAsia="zh-CN"/>
              </w:rPr>
            </w:pPr>
            <w:r>
              <w:rPr>
                <w:spacing w:val="19"/>
                <w:lang w:eastAsia="zh-CN"/>
              </w:rPr>
              <w:t>《三相配电变压器能效限定值及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20052）</w:t>
            </w:r>
          </w:p>
        </w:tc>
      </w:tr>
      <w:tr w14:paraId="7506198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5" w:hRule="atLeast"/>
          <w:jc w:val="center"/>
        </w:trPr>
        <w:tc>
          <w:tcPr>
            <w:tcW w:w="578" w:type="dxa"/>
          </w:tcPr>
          <w:p w14:paraId="2DFEEABB">
            <w:pPr>
              <w:spacing w:line="316" w:lineRule="auto"/>
              <w:rPr>
                <w:rFonts w:ascii="Arial"/>
              </w:rPr>
            </w:pPr>
          </w:p>
          <w:p w14:paraId="2367A762">
            <w:pPr>
              <w:pStyle w:val="732"/>
              <w:spacing w:before="61" w:line="189" w:lineRule="auto"/>
              <w:ind w:left="243"/>
            </w:pPr>
            <w:r>
              <w:t>9</w:t>
            </w:r>
          </w:p>
        </w:tc>
        <w:tc>
          <w:tcPr>
            <w:tcW w:w="1166" w:type="dxa"/>
          </w:tcPr>
          <w:p w14:paraId="75C4C176">
            <w:pPr>
              <w:pStyle w:val="732"/>
              <w:spacing w:before="192" w:line="290" w:lineRule="auto"/>
              <w:ind w:left="16" w:right="8" w:firstLine="2"/>
            </w:pPr>
            <w:r>
              <w:rPr>
                <w:spacing w:val="4"/>
              </w:rPr>
              <w:t>★A020609</w:t>
            </w:r>
            <w:r>
              <w:rPr>
                <w:spacing w:val="-43"/>
              </w:rPr>
              <w:t xml:space="preserve"> </w:t>
            </w:r>
            <w:r>
              <w:rPr>
                <w:spacing w:val="4"/>
              </w:rPr>
              <w:t>镇</w:t>
            </w:r>
            <w:r>
              <w:t xml:space="preserve"> </w:t>
            </w:r>
            <w:r>
              <w:rPr>
                <w:spacing w:val="4"/>
              </w:rPr>
              <w:t>流器</w:t>
            </w:r>
          </w:p>
        </w:tc>
        <w:tc>
          <w:tcPr>
            <w:tcW w:w="1799" w:type="dxa"/>
          </w:tcPr>
          <w:p w14:paraId="754DFFB8">
            <w:pPr>
              <w:spacing w:line="284" w:lineRule="auto"/>
              <w:rPr>
                <w:rFonts w:ascii="Arial"/>
              </w:rPr>
            </w:pPr>
          </w:p>
          <w:p w14:paraId="325823A1">
            <w:pPr>
              <w:pStyle w:val="732"/>
              <w:spacing w:before="62" w:line="229" w:lineRule="auto"/>
              <w:ind w:left="19"/>
            </w:pPr>
            <w:r>
              <w:rPr>
                <w:spacing w:val="8"/>
              </w:rPr>
              <w:t>管型荧光灯镇流器</w:t>
            </w:r>
          </w:p>
        </w:tc>
        <w:tc>
          <w:tcPr>
            <w:tcW w:w="1914" w:type="dxa"/>
          </w:tcPr>
          <w:p w14:paraId="75506EAA">
            <w:pPr>
              <w:rPr>
                <w:rFonts w:ascii="Arial"/>
              </w:rPr>
            </w:pPr>
          </w:p>
        </w:tc>
        <w:tc>
          <w:tcPr>
            <w:tcW w:w="2969" w:type="dxa"/>
          </w:tcPr>
          <w:p w14:paraId="3FD53E68">
            <w:pPr>
              <w:pStyle w:val="732"/>
              <w:spacing w:before="192" w:line="288" w:lineRule="auto"/>
              <w:ind w:left="17" w:right="11" w:firstLine="6"/>
              <w:rPr>
                <w:lang w:eastAsia="zh-CN"/>
              </w:rPr>
            </w:pPr>
            <w:r>
              <w:rPr>
                <w:spacing w:val="19"/>
                <w:lang w:eastAsia="zh-CN"/>
              </w:rPr>
              <w:t>《管形荧光灯镇流器能效限定值</w:t>
            </w:r>
            <w:r>
              <w:rPr>
                <w:spacing w:val="2"/>
                <w:lang w:eastAsia="zh-CN"/>
              </w:rPr>
              <w:t xml:space="preserve"> </w:t>
            </w:r>
            <w:r>
              <w:rPr>
                <w:spacing w:val="5"/>
                <w:lang w:eastAsia="zh-CN"/>
              </w:rPr>
              <w:t>及能效等级》（</w:t>
            </w:r>
            <w:r>
              <w:rPr>
                <w:lang w:eastAsia="zh-CN"/>
              </w:rPr>
              <w:t>GB</w:t>
            </w:r>
            <w:r>
              <w:rPr>
                <w:spacing w:val="39"/>
                <w:lang w:eastAsia="zh-CN"/>
              </w:rPr>
              <w:t xml:space="preserve"> </w:t>
            </w:r>
            <w:r>
              <w:rPr>
                <w:spacing w:val="5"/>
                <w:lang w:eastAsia="zh-CN"/>
              </w:rPr>
              <w:t>17896）</w:t>
            </w:r>
          </w:p>
        </w:tc>
      </w:tr>
      <w:tr w14:paraId="2EA05D2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9" w:hRule="atLeast"/>
          <w:jc w:val="center"/>
        </w:trPr>
        <w:tc>
          <w:tcPr>
            <w:tcW w:w="578" w:type="dxa"/>
            <w:vMerge w:val="restart"/>
            <w:tcBorders>
              <w:bottom w:val="nil"/>
            </w:tcBorders>
          </w:tcPr>
          <w:p w14:paraId="35BFA759">
            <w:pPr>
              <w:spacing w:line="261" w:lineRule="auto"/>
              <w:rPr>
                <w:rFonts w:ascii="Arial"/>
              </w:rPr>
            </w:pPr>
          </w:p>
          <w:p w14:paraId="5F9422A3">
            <w:pPr>
              <w:spacing w:line="261" w:lineRule="auto"/>
              <w:rPr>
                <w:rFonts w:ascii="Arial"/>
              </w:rPr>
            </w:pPr>
          </w:p>
          <w:p w14:paraId="6B7CA03B">
            <w:pPr>
              <w:spacing w:line="261" w:lineRule="auto"/>
              <w:rPr>
                <w:rFonts w:ascii="Arial"/>
              </w:rPr>
            </w:pPr>
          </w:p>
          <w:p w14:paraId="6C928FDD">
            <w:pPr>
              <w:spacing w:line="261" w:lineRule="auto"/>
              <w:rPr>
                <w:rFonts w:ascii="Arial"/>
              </w:rPr>
            </w:pPr>
          </w:p>
          <w:p w14:paraId="5441DEDA">
            <w:pPr>
              <w:spacing w:line="261" w:lineRule="auto"/>
              <w:rPr>
                <w:rFonts w:ascii="Arial"/>
              </w:rPr>
            </w:pPr>
          </w:p>
          <w:p w14:paraId="7D3EBFBD">
            <w:pPr>
              <w:spacing w:line="261" w:lineRule="auto"/>
              <w:rPr>
                <w:rFonts w:ascii="Arial"/>
              </w:rPr>
            </w:pPr>
          </w:p>
          <w:p w14:paraId="5809C58F">
            <w:pPr>
              <w:spacing w:line="262" w:lineRule="auto"/>
              <w:rPr>
                <w:rFonts w:ascii="Arial"/>
              </w:rPr>
            </w:pPr>
          </w:p>
          <w:p w14:paraId="002AEE8E">
            <w:pPr>
              <w:spacing w:line="262" w:lineRule="auto"/>
              <w:rPr>
                <w:rFonts w:ascii="Arial"/>
              </w:rPr>
            </w:pPr>
          </w:p>
          <w:p w14:paraId="61DF1EC0">
            <w:pPr>
              <w:spacing w:line="262" w:lineRule="auto"/>
              <w:rPr>
                <w:rFonts w:ascii="Arial"/>
              </w:rPr>
            </w:pPr>
          </w:p>
          <w:p w14:paraId="3A3A1D22">
            <w:pPr>
              <w:spacing w:line="262" w:lineRule="auto"/>
              <w:rPr>
                <w:rFonts w:ascii="Arial"/>
              </w:rPr>
            </w:pPr>
          </w:p>
          <w:p w14:paraId="2D496EFE">
            <w:pPr>
              <w:pStyle w:val="732"/>
              <w:spacing w:before="62" w:line="190" w:lineRule="auto"/>
              <w:ind w:left="209"/>
            </w:pPr>
            <w:r>
              <w:rPr>
                <w:spacing w:val="-7"/>
              </w:rPr>
              <w:t>10</w:t>
            </w:r>
          </w:p>
        </w:tc>
        <w:tc>
          <w:tcPr>
            <w:tcW w:w="1166" w:type="dxa"/>
            <w:vMerge w:val="restart"/>
            <w:tcBorders>
              <w:bottom w:val="nil"/>
            </w:tcBorders>
          </w:tcPr>
          <w:p w14:paraId="7ECED946">
            <w:pPr>
              <w:spacing w:line="242" w:lineRule="auto"/>
              <w:rPr>
                <w:rFonts w:ascii="Arial"/>
              </w:rPr>
            </w:pPr>
          </w:p>
          <w:p w14:paraId="785F00E5">
            <w:pPr>
              <w:spacing w:line="243" w:lineRule="auto"/>
              <w:rPr>
                <w:rFonts w:ascii="Arial"/>
              </w:rPr>
            </w:pPr>
          </w:p>
          <w:p w14:paraId="16DE2E3C">
            <w:pPr>
              <w:spacing w:line="243" w:lineRule="auto"/>
              <w:rPr>
                <w:rFonts w:ascii="Arial"/>
              </w:rPr>
            </w:pPr>
          </w:p>
          <w:p w14:paraId="18E0E516">
            <w:pPr>
              <w:spacing w:line="243" w:lineRule="auto"/>
              <w:rPr>
                <w:rFonts w:ascii="Arial"/>
              </w:rPr>
            </w:pPr>
          </w:p>
          <w:p w14:paraId="51470540">
            <w:pPr>
              <w:spacing w:line="243" w:lineRule="auto"/>
              <w:rPr>
                <w:rFonts w:ascii="Arial"/>
              </w:rPr>
            </w:pPr>
          </w:p>
          <w:p w14:paraId="6D9E1C31">
            <w:pPr>
              <w:spacing w:line="243" w:lineRule="auto"/>
              <w:rPr>
                <w:rFonts w:ascii="Arial"/>
              </w:rPr>
            </w:pPr>
          </w:p>
          <w:p w14:paraId="103EEDDE">
            <w:pPr>
              <w:spacing w:line="243" w:lineRule="auto"/>
              <w:rPr>
                <w:rFonts w:ascii="Arial"/>
              </w:rPr>
            </w:pPr>
          </w:p>
          <w:p w14:paraId="4C1937D6">
            <w:pPr>
              <w:spacing w:line="243" w:lineRule="auto"/>
              <w:rPr>
                <w:rFonts w:ascii="Arial"/>
              </w:rPr>
            </w:pPr>
          </w:p>
          <w:p w14:paraId="20E8B9D5">
            <w:pPr>
              <w:spacing w:line="243" w:lineRule="auto"/>
              <w:rPr>
                <w:rFonts w:ascii="Arial"/>
              </w:rPr>
            </w:pPr>
          </w:p>
          <w:p w14:paraId="3E1AD659">
            <w:pPr>
              <w:spacing w:line="243" w:lineRule="auto"/>
              <w:rPr>
                <w:rFonts w:ascii="Arial"/>
              </w:rPr>
            </w:pPr>
          </w:p>
          <w:p w14:paraId="034C161E">
            <w:pPr>
              <w:pStyle w:val="732"/>
              <w:spacing w:before="62" w:line="289" w:lineRule="auto"/>
              <w:ind w:left="16" w:right="8" w:hanging="7"/>
            </w:pPr>
            <w:r>
              <w:rPr>
                <w:spacing w:val="4"/>
              </w:rPr>
              <w:t>A020618</w:t>
            </w:r>
            <w:r>
              <w:rPr>
                <w:spacing w:val="-34"/>
              </w:rPr>
              <w:t xml:space="preserve"> </w:t>
            </w:r>
            <w:r>
              <w:rPr>
                <w:spacing w:val="4"/>
              </w:rPr>
              <w:t>生活</w:t>
            </w:r>
            <w:r>
              <w:t xml:space="preserve"> </w:t>
            </w:r>
            <w:r>
              <w:rPr>
                <w:spacing w:val="6"/>
              </w:rPr>
              <w:t>用电器</w:t>
            </w:r>
          </w:p>
        </w:tc>
        <w:tc>
          <w:tcPr>
            <w:tcW w:w="1799" w:type="dxa"/>
          </w:tcPr>
          <w:p w14:paraId="0AA54627">
            <w:pPr>
              <w:pStyle w:val="732"/>
              <w:spacing w:before="276" w:line="230" w:lineRule="auto"/>
              <w:ind w:left="9"/>
            </w:pPr>
            <w:r>
              <w:rPr>
                <w:spacing w:val="3"/>
              </w:rPr>
              <w:t>A0206180101</w:t>
            </w:r>
            <w:r>
              <w:rPr>
                <w:spacing w:val="-4"/>
              </w:rPr>
              <w:t xml:space="preserve"> </w:t>
            </w:r>
            <w:r>
              <w:rPr>
                <w:spacing w:val="3"/>
              </w:rPr>
              <w:t>电冰箱</w:t>
            </w:r>
          </w:p>
        </w:tc>
        <w:tc>
          <w:tcPr>
            <w:tcW w:w="1914" w:type="dxa"/>
          </w:tcPr>
          <w:p w14:paraId="6A437A9F">
            <w:pPr>
              <w:rPr>
                <w:rFonts w:ascii="Arial"/>
              </w:rPr>
            </w:pPr>
          </w:p>
        </w:tc>
        <w:tc>
          <w:tcPr>
            <w:tcW w:w="2969" w:type="dxa"/>
          </w:tcPr>
          <w:p w14:paraId="6D51F33A">
            <w:pPr>
              <w:pStyle w:val="732"/>
              <w:spacing w:before="121" w:line="288" w:lineRule="auto"/>
              <w:ind w:left="22" w:right="11"/>
              <w:rPr>
                <w:lang w:eastAsia="zh-CN"/>
              </w:rPr>
            </w:pPr>
            <w:r>
              <w:rPr>
                <w:spacing w:val="19"/>
                <w:lang w:eastAsia="zh-CN"/>
              </w:rPr>
              <w:t>《家用电冰箱耗电量限定值及能</w:t>
            </w:r>
            <w:r>
              <w:rPr>
                <w:spacing w:val="2"/>
                <w:lang w:eastAsia="zh-CN"/>
              </w:rPr>
              <w:t xml:space="preserve"> </w:t>
            </w:r>
            <w:r>
              <w:rPr>
                <w:spacing w:val="4"/>
                <w:lang w:eastAsia="zh-CN"/>
              </w:rPr>
              <w:t>效等级》（</w:t>
            </w:r>
            <w:r>
              <w:rPr>
                <w:lang w:eastAsia="zh-CN"/>
              </w:rPr>
              <w:t>GB</w:t>
            </w:r>
            <w:r>
              <w:rPr>
                <w:spacing w:val="20"/>
                <w:lang w:eastAsia="zh-CN"/>
              </w:rPr>
              <w:t xml:space="preserve">  </w:t>
            </w:r>
            <w:r>
              <w:rPr>
                <w:spacing w:val="4"/>
                <w:lang w:eastAsia="zh-CN"/>
              </w:rPr>
              <w:t>12021.2）</w:t>
            </w:r>
          </w:p>
        </w:tc>
      </w:tr>
      <w:tr w14:paraId="3F8C8F9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888" w:hRule="atLeast"/>
          <w:jc w:val="center"/>
        </w:trPr>
        <w:tc>
          <w:tcPr>
            <w:tcW w:w="578" w:type="dxa"/>
            <w:vMerge w:val="continue"/>
            <w:tcBorders>
              <w:top w:val="nil"/>
              <w:bottom w:val="nil"/>
            </w:tcBorders>
          </w:tcPr>
          <w:p w14:paraId="6392F70A">
            <w:pPr>
              <w:rPr>
                <w:rFonts w:ascii="Arial"/>
              </w:rPr>
            </w:pPr>
          </w:p>
        </w:tc>
        <w:tc>
          <w:tcPr>
            <w:tcW w:w="1166" w:type="dxa"/>
            <w:vMerge w:val="continue"/>
            <w:tcBorders>
              <w:top w:val="nil"/>
              <w:bottom w:val="nil"/>
            </w:tcBorders>
          </w:tcPr>
          <w:p w14:paraId="0B940EBF">
            <w:pPr>
              <w:rPr>
                <w:rFonts w:ascii="Arial"/>
              </w:rPr>
            </w:pPr>
          </w:p>
        </w:tc>
        <w:tc>
          <w:tcPr>
            <w:tcW w:w="1799" w:type="dxa"/>
            <w:vMerge w:val="restart"/>
            <w:tcBorders>
              <w:bottom w:val="nil"/>
            </w:tcBorders>
          </w:tcPr>
          <w:p w14:paraId="0551F823">
            <w:pPr>
              <w:spacing w:line="247" w:lineRule="auto"/>
              <w:rPr>
                <w:rFonts w:ascii="Arial"/>
              </w:rPr>
            </w:pPr>
          </w:p>
          <w:p w14:paraId="7587437A">
            <w:pPr>
              <w:spacing w:line="247" w:lineRule="auto"/>
              <w:rPr>
                <w:rFonts w:ascii="Arial"/>
              </w:rPr>
            </w:pPr>
          </w:p>
          <w:p w14:paraId="08B6E8AB">
            <w:pPr>
              <w:spacing w:line="248" w:lineRule="auto"/>
              <w:rPr>
                <w:rFonts w:ascii="Arial"/>
              </w:rPr>
            </w:pPr>
          </w:p>
          <w:p w14:paraId="1FC0E3DA">
            <w:pPr>
              <w:spacing w:line="248" w:lineRule="auto"/>
              <w:rPr>
                <w:rFonts w:ascii="Arial"/>
              </w:rPr>
            </w:pPr>
          </w:p>
          <w:p w14:paraId="677EE89C">
            <w:pPr>
              <w:spacing w:line="248" w:lineRule="auto"/>
              <w:rPr>
                <w:rFonts w:ascii="Arial"/>
              </w:rPr>
            </w:pPr>
          </w:p>
          <w:p w14:paraId="7E7958EE">
            <w:pPr>
              <w:spacing w:line="248" w:lineRule="auto"/>
              <w:rPr>
                <w:rFonts w:ascii="Arial"/>
              </w:rPr>
            </w:pPr>
          </w:p>
          <w:p w14:paraId="77C55834">
            <w:pPr>
              <w:spacing w:line="248" w:lineRule="auto"/>
              <w:rPr>
                <w:rFonts w:ascii="Arial"/>
              </w:rPr>
            </w:pPr>
          </w:p>
          <w:p w14:paraId="77D79387">
            <w:pPr>
              <w:pStyle w:val="732"/>
              <w:spacing w:before="62" w:line="288" w:lineRule="auto"/>
              <w:ind w:left="14" w:right="10" w:firstLine="3"/>
            </w:pPr>
            <w:r>
              <w:rPr>
                <w:spacing w:val="3"/>
              </w:rPr>
              <w:t>★A0206180203 空调</w:t>
            </w:r>
            <w:r>
              <w:rPr>
                <w:spacing w:val="9"/>
              </w:rPr>
              <w:t xml:space="preserve"> </w:t>
            </w:r>
            <w:r>
              <w:rPr>
                <w:spacing w:val="2"/>
              </w:rPr>
              <w:t>机</w:t>
            </w:r>
          </w:p>
        </w:tc>
        <w:tc>
          <w:tcPr>
            <w:tcW w:w="1914" w:type="dxa"/>
          </w:tcPr>
          <w:p w14:paraId="0C7E5CCA">
            <w:pPr>
              <w:spacing w:line="261" w:lineRule="auto"/>
              <w:rPr>
                <w:rFonts w:ascii="Arial"/>
              </w:rPr>
            </w:pPr>
          </w:p>
          <w:p w14:paraId="279FABF5">
            <w:pPr>
              <w:spacing w:line="261" w:lineRule="auto"/>
              <w:rPr>
                <w:rFonts w:ascii="Arial"/>
              </w:rPr>
            </w:pPr>
          </w:p>
          <w:p w14:paraId="1A53B1EC">
            <w:pPr>
              <w:spacing w:line="261" w:lineRule="auto"/>
              <w:rPr>
                <w:rFonts w:ascii="Arial"/>
              </w:rPr>
            </w:pPr>
          </w:p>
          <w:p w14:paraId="43CF296C">
            <w:pPr>
              <w:pStyle w:val="732"/>
              <w:spacing w:before="62" w:line="230" w:lineRule="auto"/>
              <w:ind w:left="17"/>
            </w:pPr>
            <w:r>
              <w:rPr>
                <w:spacing w:val="8"/>
              </w:rPr>
              <w:t>房间空气调节器</w:t>
            </w:r>
          </w:p>
        </w:tc>
        <w:tc>
          <w:tcPr>
            <w:tcW w:w="2969" w:type="dxa"/>
          </w:tcPr>
          <w:p w14:paraId="3006B2C6">
            <w:pPr>
              <w:pStyle w:val="732"/>
              <w:spacing w:before="68" w:line="293" w:lineRule="auto"/>
              <w:ind w:left="17" w:firstLine="5"/>
              <w:rPr>
                <w:lang w:eastAsia="zh-CN"/>
              </w:rPr>
            </w:pPr>
            <w:r>
              <w:rPr>
                <w:spacing w:val="14"/>
                <w:lang w:eastAsia="zh-CN"/>
              </w:rPr>
              <w:t>《转速可控型房间空气调节器能</w:t>
            </w:r>
            <w:r>
              <w:rPr>
                <w:lang w:eastAsia="zh-CN"/>
              </w:rPr>
              <w:t xml:space="preserve">  </w:t>
            </w:r>
            <w:r>
              <w:rPr>
                <w:spacing w:val="-9"/>
                <w:lang w:eastAsia="zh-CN"/>
              </w:rPr>
              <w:t>效</w:t>
            </w:r>
            <w:r>
              <w:rPr>
                <w:spacing w:val="-19"/>
                <w:lang w:eastAsia="zh-CN"/>
              </w:rPr>
              <w:t xml:space="preserve"> </w:t>
            </w:r>
            <w:r>
              <w:rPr>
                <w:spacing w:val="-9"/>
                <w:lang w:eastAsia="zh-CN"/>
              </w:rPr>
              <w:t>限</w:t>
            </w:r>
            <w:r>
              <w:rPr>
                <w:spacing w:val="-33"/>
                <w:lang w:eastAsia="zh-CN"/>
              </w:rPr>
              <w:t xml:space="preserve"> </w:t>
            </w:r>
            <w:r>
              <w:rPr>
                <w:spacing w:val="-9"/>
                <w:lang w:eastAsia="zh-CN"/>
              </w:rPr>
              <w:t>定</w:t>
            </w:r>
            <w:r>
              <w:rPr>
                <w:spacing w:val="-38"/>
                <w:lang w:eastAsia="zh-CN"/>
              </w:rPr>
              <w:t xml:space="preserve"> </w:t>
            </w:r>
            <w:r>
              <w:rPr>
                <w:spacing w:val="-9"/>
                <w:lang w:eastAsia="zh-CN"/>
              </w:rPr>
              <w:t>值</w:t>
            </w:r>
            <w:r>
              <w:rPr>
                <w:spacing w:val="-39"/>
                <w:lang w:eastAsia="zh-CN"/>
              </w:rPr>
              <w:t xml:space="preserve"> </w:t>
            </w:r>
            <w:r>
              <w:rPr>
                <w:spacing w:val="-9"/>
                <w:lang w:eastAsia="zh-CN"/>
              </w:rPr>
              <w:t>及</w:t>
            </w:r>
            <w:r>
              <w:rPr>
                <w:spacing w:val="-31"/>
                <w:lang w:eastAsia="zh-CN"/>
              </w:rPr>
              <w:t xml:space="preserve"> </w:t>
            </w:r>
            <w:r>
              <w:rPr>
                <w:spacing w:val="-9"/>
                <w:lang w:eastAsia="zh-CN"/>
              </w:rPr>
              <w:t>能</w:t>
            </w:r>
            <w:r>
              <w:rPr>
                <w:spacing w:val="-34"/>
                <w:lang w:eastAsia="zh-CN"/>
              </w:rPr>
              <w:t xml:space="preserve"> </w:t>
            </w:r>
            <w:r>
              <w:rPr>
                <w:spacing w:val="-9"/>
                <w:lang w:eastAsia="zh-CN"/>
              </w:rPr>
              <w:t>效</w:t>
            </w:r>
            <w:r>
              <w:rPr>
                <w:spacing w:val="-36"/>
                <w:lang w:eastAsia="zh-CN"/>
              </w:rPr>
              <w:t xml:space="preserve"> </w:t>
            </w:r>
            <w:r>
              <w:rPr>
                <w:spacing w:val="-9"/>
                <w:lang w:eastAsia="zh-CN"/>
              </w:rPr>
              <w:t>等</w:t>
            </w:r>
            <w:r>
              <w:rPr>
                <w:spacing w:val="-36"/>
                <w:lang w:eastAsia="zh-CN"/>
              </w:rPr>
              <w:t xml:space="preserve"> </w:t>
            </w:r>
            <w:r>
              <w:rPr>
                <w:spacing w:val="-9"/>
                <w:lang w:eastAsia="zh-CN"/>
              </w:rPr>
              <w:t>级</w:t>
            </w:r>
            <w:r>
              <w:rPr>
                <w:spacing w:val="-29"/>
                <w:lang w:eastAsia="zh-CN"/>
              </w:rPr>
              <w:t xml:space="preserve"> </w:t>
            </w:r>
            <w:r>
              <w:rPr>
                <w:spacing w:val="-9"/>
                <w:lang w:eastAsia="zh-CN"/>
              </w:rPr>
              <w:t>》</w:t>
            </w:r>
            <w:r>
              <w:rPr>
                <w:spacing w:val="-41"/>
                <w:lang w:eastAsia="zh-CN"/>
              </w:rPr>
              <w:t xml:space="preserve"> </w:t>
            </w:r>
            <w:r>
              <w:rPr>
                <w:spacing w:val="-9"/>
                <w:lang w:eastAsia="zh-CN"/>
              </w:rPr>
              <w:t>（ GB</w:t>
            </w:r>
            <w:r>
              <w:rPr>
                <w:lang w:eastAsia="zh-CN"/>
              </w:rPr>
              <w:t xml:space="preserve">  21455-2013</w:t>
            </w:r>
            <w:r>
              <w:rPr>
                <w:spacing w:val="12"/>
                <w:lang w:eastAsia="zh-CN"/>
              </w:rPr>
              <w:t>），</w:t>
            </w:r>
            <w:r>
              <w:rPr>
                <w:lang w:eastAsia="zh-CN"/>
              </w:rPr>
              <w:t>待 2019</w:t>
            </w:r>
            <w:r>
              <w:rPr>
                <w:spacing w:val="-15"/>
                <w:lang w:eastAsia="zh-CN"/>
              </w:rPr>
              <w:t xml:space="preserve"> </w:t>
            </w:r>
            <w:r>
              <w:rPr>
                <w:lang w:eastAsia="zh-CN"/>
              </w:rPr>
              <w:t>年修订发  布后，按《房间空气调节器能效限</w:t>
            </w:r>
            <w:r>
              <w:rPr>
                <w:spacing w:val="4"/>
                <w:lang w:eastAsia="zh-CN"/>
              </w:rPr>
              <w:t xml:space="preserve">  </w:t>
            </w:r>
            <w:r>
              <w:rPr>
                <w:spacing w:val="-5"/>
                <w:lang w:eastAsia="zh-CN"/>
              </w:rPr>
              <w:t>定值及能效等级》（GB21455-2019）</w:t>
            </w:r>
            <w:r>
              <w:rPr>
                <w:spacing w:val="15"/>
                <w:lang w:eastAsia="zh-CN"/>
              </w:rPr>
              <w:t xml:space="preserve"> </w:t>
            </w:r>
            <w:r>
              <w:rPr>
                <w:lang w:eastAsia="zh-CN"/>
              </w:rPr>
              <w:t>实施。</w:t>
            </w:r>
          </w:p>
        </w:tc>
      </w:tr>
      <w:tr w14:paraId="10EF699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578" w:type="dxa"/>
            <w:vMerge w:val="continue"/>
            <w:tcBorders>
              <w:top w:val="nil"/>
              <w:bottom w:val="nil"/>
            </w:tcBorders>
          </w:tcPr>
          <w:p w14:paraId="05712B76">
            <w:pPr>
              <w:rPr>
                <w:rFonts w:ascii="Arial"/>
              </w:rPr>
            </w:pPr>
          </w:p>
        </w:tc>
        <w:tc>
          <w:tcPr>
            <w:tcW w:w="1166" w:type="dxa"/>
            <w:vMerge w:val="continue"/>
            <w:tcBorders>
              <w:top w:val="nil"/>
              <w:bottom w:val="nil"/>
            </w:tcBorders>
          </w:tcPr>
          <w:p w14:paraId="7E4FEF1E">
            <w:pPr>
              <w:rPr>
                <w:rFonts w:ascii="Arial"/>
              </w:rPr>
            </w:pPr>
          </w:p>
        </w:tc>
        <w:tc>
          <w:tcPr>
            <w:tcW w:w="1799" w:type="dxa"/>
            <w:vMerge w:val="continue"/>
            <w:tcBorders>
              <w:top w:val="nil"/>
              <w:bottom w:val="nil"/>
            </w:tcBorders>
          </w:tcPr>
          <w:p w14:paraId="2EFF2C44">
            <w:pPr>
              <w:rPr>
                <w:rFonts w:ascii="Arial"/>
              </w:rPr>
            </w:pPr>
          </w:p>
        </w:tc>
        <w:tc>
          <w:tcPr>
            <w:tcW w:w="1914" w:type="dxa"/>
          </w:tcPr>
          <w:p w14:paraId="1A8950C1">
            <w:pPr>
              <w:pStyle w:val="732"/>
              <w:spacing w:before="71" w:line="282" w:lineRule="auto"/>
              <w:ind w:left="15" w:right="11" w:firstLine="10"/>
              <w:rPr>
                <w:lang w:eastAsia="zh-CN"/>
              </w:rPr>
            </w:pPr>
            <w:r>
              <w:rPr>
                <w:spacing w:val="15"/>
                <w:lang w:eastAsia="zh-CN"/>
              </w:rPr>
              <w:t>多联式空调（热泵）</w:t>
            </w:r>
            <w:r>
              <w:rPr>
                <w:spacing w:val="7"/>
                <w:lang w:eastAsia="zh-CN"/>
              </w:rPr>
              <w:t xml:space="preserve"> </w:t>
            </w:r>
            <w:r>
              <w:rPr>
                <w:spacing w:val="-4"/>
                <w:lang w:eastAsia="zh-CN"/>
              </w:rPr>
              <w:t>机 组 （</w:t>
            </w:r>
            <w:r>
              <w:rPr>
                <w:spacing w:val="28"/>
                <w:lang w:eastAsia="zh-CN"/>
              </w:rPr>
              <w:t xml:space="preserve"> </w:t>
            </w:r>
            <w:r>
              <w:rPr>
                <w:spacing w:val="-4"/>
                <w:lang w:eastAsia="zh-CN"/>
              </w:rPr>
              <w:t>制 冷 量 ≤</w:t>
            </w:r>
            <w:r>
              <w:rPr>
                <w:lang w:eastAsia="zh-CN"/>
              </w:rPr>
              <w:t xml:space="preserve"> </w:t>
            </w:r>
            <w:r>
              <w:rPr>
                <w:spacing w:val="3"/>
                <w:lang w:eastAsia="zh-CN"/>
              </w:rPr>
              <w:t>14000W）</w:t>
            </w:r>
          </w:p>
        </w:tc>
        <w:tc>
          <w:tcPr>
            <w:tcW w:w="2969" w:type="dxa"/>
          </w:tcPr>
          <w:p w14:paraId="17422CE5">
            <w:pPr>
              <w:pStyle w:val="732"/>
              <w:spacing w:before="227" w:line="288" w:lineRule="auto"/>
              <w:ind w:left="22"/>
              <w:rPr>
                <w:lang w:eastAsia="zh-CN"/>
              </w:rPr>
            </w:pPr>
            <w:r>
              <w:rPr>
                <w:lang w:eastAsia="zh-CN"/>
              </w:rPr>
              <w:t>《多联式空调（热泵）机组能效限</w:t>
            </w:r>
            <w:r>
              <w:rPr>
                <w:spacing w:val="2"/>
                <w:lang w:eastAsia="zh-CN"/>
              </w:rPr>
              <w:t xml:space="preserve">  </w:t>
            </w:r>
            <w:r>
              <w:rPr>
                <w:spacing w:val="-4"/>
                <w:lang w:eastAsia="zh-CN"/>
              </w:rPr>
              <w:t>定值及能源效率等级》（GB</w:t>
            </w:r>
            <w:r>
              <w:rPr>
                <w:spacing w:val="-24"/>
                <w:lang w:eastAsia="zh-CN"/>
              </w:rPr>
              <w:t xml:space="preserve"> </w:t>
            </w:r>
            <w:r>
              <w:rPr>
                <w:spacing w:val="-4"/>
                <w:lang w:eastAsia="zh-CN"/>
              </w:rPr>
              <w:t>21454）</w:t>
            </w:r>
          </w:p>
        </w:tc>
      </w:tr>
      <w:tr w14:paraId="38256DD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264" w:hRule="atLeast"/>
          <w:jc w:val="center"/>
        </w:trPr>
        <w:tc>
          <w:tcPr>
            <w:tcW w:w="578" w:type="dxa"/>
            <w:vMerge w:val="continue"/>
            <w:tcBorders>
              <w:top w:val="nil"/>
              <w:bottom w:val="nil"/>
            </w:tcBorders>
          </w:tcPr>
          <w:p w14:paraId="360C355C">
            <w:pPr>
              <w:rPr>
                <w:rFonts w:ascii="Arial"/>
              </w:rPr>
            </w:pPr>
          </w:p>
        </w:tc>
        <w:tc>
          <w:tcPr>
            <w:tcW w:w="1166" w:type="dxa"/>
            <w:vMerge w:val="continue"/>
            <w:tcBorders>
              <w:top w:val="nil"/>
              <w:bottom w:val="nil"/>
            </w:tcBorders>
          </w:tcPr>
          <w:p w14:paraId="54B9E60D">
            <w:pPr>
              <w:rPr>
                <w:rFonts w:ascii="Arial"/>
              </w:rPr>
            </w:pPr>
          </w:p>
        </w:tc>
        <w:tc>
          <w:tcPr>
            <w:tcW w:w="1799" w:type="dxa"/>
            <w:vMerge w:val="continue"/>
            <w:tcBorders>
              <w:top w:val="nil"/>
            </w:tcBorders>
          </w:tcPr>
          <w:p w14:paraId="1488AEE9">
            <w:pPr>
              <w:rPr>
                <w:rFonts w:ascii="Arial"/>
              </w:rPr>
            </w:pPr>
          </w:p>
        </w:tc>
        <w:tc>
          <w:tcPr>
            <w:tcW w:w="1914" w:type="dxa"/>
          </w:tcPr>
          <w:p w14:paraId="768F0A33">
            <w:pPr>
              <w:spacing w:line="318" w:lineRule="auto"/>
              <w:rPr>
                <w:rFonts w:ascii="Arial"/>
              </w:rPr>
            </w:pPr>
          </w:p>
          <w:p w14:paraId="3F85A4F3">
            <w:pPr>
              <w:pStyle w:val="732"/>
              <w:spacing w:before="62" w:line="289" w:lineRule="auto"/>
              <w:ind w:left="51" w:right="11" w:hanging="33"/>
              <w:rPr>
                <w:lang w:eastAsia="zh-CN"/>
              </w:rPr>
            </w:pPr>
            <w:r>
              <w:rPr>
                <w:spacing w:val="44"/>
                <w:lang w:eastAsia="zh-CN"/>
              </w:rPr>
              <w:t>单元式空气调节机</w:t>
            </w:r>
            <w:r>
              <w:rPr>
                <w:spacing w:val="6"/>
                <w:lang w:eastAsia="zh-CN"/>
              </w:rPr>
              <w:t xml:space="preserve"> </w:t>
            </w:r>
            <w:r>
              <w:rPr>
                <w:spacing w:val="3"/>
                <w:lang w:eastAsia="zh-CN"/>
              </w:rPr>
              <w:t>(制冷量≤14000W)</w:t>
            </w:r>
          </w:p>
        </w:tc>
        <w:tc>
          <w:tcPr>
            <w:tcW w:w="2969" w:type="dxa"/>
          </w:tcPr>
          <w:p w14:paraId="60F6F7FE">
            <w:pPr>
              <w:pStyle w:val="732"/>
              <w:spacing w:before="72" w:line="287" w:lineRule="auto"/>
              <w:ind w:left="17" w:right="11" w:firstLine="6"/>
              <w:rPr>
                <w:lang w:eastAsia="zh-CN"/>
              </w:rPr>
            </w:pPr>
            <w:r>
              <w:rPr>
                <w:spacing w:val="19"/>
                <w:lang w:eastAsia="zh-CN"/>
              </w:rPr>
              <w:t>《单元式空气调节机能效限定值</w:t>
            </w:r>
            <w:r>
              <w:rPr>
                <w:spacing w:val="2"/>
                <w:lang w:eastAsia="zh-CN"/>
              </w:rPr>
              <w:t xml:space="preserve"> </w:t>
            </w:r>
            <w:r>
              <w:rPr>
                <w:spacing w:val="-5"/>
                <w:lang w:eastAsia="zh-CN"/>
              </w:rPr>
              <w:t>及能源效率等级》（GB</w:t>
            </w:r>
            <w:r>
              <w:rPr>
                <w:spacing w:val="-13"/>
                <w:lang w:eastAsia="zh-CN"/>
              </w:rPr>
              <w:t xml:space="preserve"> </w:t>
            </w:r>
            <w:r>
              <w:rPr>
                <w:spacing w:val="-5"/>
                <w:lang w:eastAsia="zh-CN"/>
              </w:rPr>
              <w:t>19576）《风</w:t>
            </w:r>
            <w:r>
              <w:rPr>
                <w:lang w:eastAsia="zh-CN"/>
              </w:rPr>
              <w:t xml:space="preserve"> </w:t>
            </w:r>
            <w:r>
              <w:rPr>
                <w:spacing w:val="19"/>
                <w:lang w:eastAsia="zh-CN"/>
              </w:rPr>
              <w:t>管送风式空调机组能效限定值及</w:t>
            </w:r>
            <w:r>
              <w:rPr>
                <w:spacing w:val="8"/>
                <w:lang w:eastAsia="zh-CN"/>
              </w:rPr>
              <w:t xml:space="preserve"> </w:t>
            </w:r>
            <w:r>
              <w:rPr>
                <w:spacing w:val="7"/>
                <w:lang w:eastAsia="zh-CN"/>
              </w:rPr>
              <w:t>能效等级》（</w:t>
            </w:r>
            <w:r>
              <w:rPr>
                <w:lang w:eastAsia="zh-CN"/>
              </w:rPr>
              <w:t>GB</w:t>
            </w:r>
            <w:r>
              <w:rPr>
                <w:spacing w:val="7"/>
                <w:lang w:eastAsia="zh-CN"/>
              </w:rPr>
              <w:t xml:space="preserve"> 37479）</w:t>
            </w:r>
          </w:p>
        </w:tc>
      </w:tr>
      <w:tr w14:paraId="2D0748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53" w:hRule="atLeast"/>
          <w:jc w:val="center"/>
        </w:trPr>
        <w:tc>
          <w:tcPr>
            <w:tcW w:w="578" w:type="dxa"/>
            <w:vMerge w:val="continue"/>
            <w:tcBorders>
              <w:top w:val="nil"/>
            </w:tcBorders>
          </w:tcPr>
          <w:p w14:paraId="44E3D77B">
            <w:pPr>
              <w:rPr>
                <w:rFonts w:ascii="Arial"/>
              </w:rPr>
            </w:pPr>
          </w:p>
        </w:tc>
        <w:tc>
          <w:tcPr>
            <w:tcW w:w="1166" w:type="dxa"/>
            <w:vMerge w:val="continue"/>
            <w:tcBorders>
              <w:top w:val="nil"/>
            </w:tcBorders>
          </w:tcPr>
          <w:p w14:paraId="7D7D222D">
            <w:pPr>
              <w:rPr>
                <w:rFonts w:ascii="Arial"/>
              </w:rPr>
            </w:pPr>
          </w:p>
        </w:tc>
        <w:tc>
          <w:tcPr>
            <w:tcW w:w="1799" w:type="dxa"/>
          </w:tcPr>
          <w:p w14:paraId="3619C40C">
            <w:pPr>
              <w:pStyle w:val="732"/>
              <w:spacing w:before="230" w:line="228" w:lineRule="auto"/>
              <w:ind w:left="9"/>
            </w:pPr>
            <w:r>
              <w:rPr>
                <w:spacing w:val="5"/>
              </w:rPr>
              <w:t>A0206180301</w:t>
            </w:r>
            <w:r>
              <w:rPr>
                <w:spacing w:val="-33"/>
              </w:rPr>
              <w:t xml:space="preserve"> </w:t>
            </w:r>
            <w:r>
              <w:rPr>
                <w:spacing w:val="5"/>
              </w:rPr>
              <w:t>洗衣机</w:t>
            </w:r>
          </w:p>
        </w:tc>
        <w:tc>
          <w:tcPr>
            <w:tcW w:w="1914" w:type="dxa"/>
          </w:tcPr>
          <w:p w14:paraId="08AE7CAB">
            <w:pPr>
              <w:rPr>
                <w:rFonts w:ascii="Arial"/>
              </w:rPr>
            </w:pPr>
          </w:p>
        </w:tc>
        <w:tc>
          <w:tcPr>
            <w:tcW w:w="2969" w:type="dxa"/>
          </w:tcPr>
          <w:p w14:paraId="3F612C0F">
            <w:pPr>
              <w:pStyle w:val="732"/>
              <w:spacing w:before="74" w:line="276" w:lineRule="auto"/>
              <w:ind w:left="19" w:right="11" w:firstLine="3"/>
              <w:rPr>
                <w:lang w:eastAsia="zh-CN"/>
              </w:rPr>
            </w:pPr>
            <w:r>
              <w:rPr>
                <w:spacing w:val="19"/>
                <w:lang w:eastAsia="zh-CN"/>
              </w:rPr>
              <w:t>《电动洗衣机能效水效限定值及</w:t>
            </w:r>
            <w:r>
              <w:rPr>
                <w:spacing w:val="2"/>
                <w:lang w:eastAsia="zh-CN"/>
              </w:rPr>
              <w:t xml:space="preserve"> </w:t>
            </w:r>
            <w:r>
              <w:rPr>
                <w:spacing w:val="4"/>
                <w:lang w:eastAsia="zh-CN"/>
              </w:rPr>
              <w:t>等级》（</w:t>
            </w:r>
            <w:r>
              <w:rPr>
                <w:lang w:eastAsia="zh-CN"/>
              </w:rPr>
              <w:t>GB</w:t>
            </w:r>
            <w:r>
              <w:rPr>
                <w:spacing w:val="33"/>
                <w:lang w:eastAsia="zh-CN"/>
              </w:rPr>
              <w:t xml:space="preserve"> </w:t>
            </w:r>
            <w:r>
              <w:rPr>
                <w:spacing w:val="4"/>
                <w:lang w:eastAsia="zh-CN"/>
              </w:rPr>
              <w:t>12021.4）</w:t>
            </w:r>
          </w:p>
        </w:tc>
      </w:tr>
    </w:tbl>
    <w:p w14:paraId="1B30AEB3">
      <w:pPr>
        <w:rPr>
          <w:rFonts w:ascii="Arial"/>
        </w:rPr>
      </w:pPr>
    </w:p>
    <w:p w14:paraId="0B583F9D">
      <w:pPr>
        <w:rPr>
          <w:rFonts w:ascii="Arial" w:hAnsi="Arial" w:eastAsia="Arial" w:cs="Arial"/>
          <w:szCs w:val="21"/>
        </w:rPr>
        <w:sectPr>
          <w:pgSz w:w="11906" w:h="16838"/>
          <w:pgMar w:top="1440" w:right="567" w:bottom="1440" w:left="850" w:header="850" w:footer="992" w:gutter="0"/>
          <w:cols w:space="0" w:num="1"/>
        </w:sectPr>
      </w:pPr>
    </w:p>
    <w:p w14:paraId="0F09F530">
      <w:pPr>
        <w:spacing w:line="91" w:lineRule="auto"/>
        <w:rPr>
          <w:rFonts w:ascii="Arial"/>
          <w:sz w:val="2"/>
        </w:rPr>
      </w:pPr>
    </w:p>
    <w:tbl>
      <w:tblPr>
        <w:tblStyle w:val="733"/>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7E54CE7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41" w:hRule="atLeast"/>
          <w:jc w:val="center"/>
        </w:trPr>
        <w:tc>
          <w:tcPr>
            <w:tcW w:w="578" w:type="dxa"/>
            <w:vMerge w:val="restart"/>
            <w:tcBorders>
              <w:bottom w:val="nil"/>
            </w:tcBorders>
          </w:tcPr>
          <w:p w14:paraId="162509C1">
            <w:pPr>
              <w:rPr>
                <w:rFonts w:ascii="Arial"/>
              </w:rPr>
            </w:pPr>
          </w:p>
        </w:tc>
        <w:tc>
          <w:tcPr>
            <w:tcW w:w="1166" w:type="dxa"/>
            <w:vMerge w:val="restart"/>
            <w:tcBorders>
              <w:bottom w:val="nil"/>
            </w:tcBorders>
          </w:tcPr>
          <w:p w14:paraId="136001C1">
            <w:pPr>
              <w:rPr>
                <w:rFonts w:ascii="Arial"/>
              </w:rPr>
            </w:pPr>
          </w:p>
        </w:tc>
        <w:tc>
          <w:tcPr>
            <w:tcW w:w="1799" w:type="dxa"/>
            <w:vMerge w:val="restart"/>
            <w:tcBorders>
              <w:bottom w:val="nil"/>
            </w:tcBorders>
          </w:tcPr>
          <w:p w14:paraId="1FB500A5">
            <w:pPr>
              <w:spacing w:line="244" w:lineRule="auto"/>
              <w:rPr>
                <w:rFonts w:ascii="Arial"/>
              </w:rPr>
            </w:pPr>
          </w:p>
          <w:p w14:paraId="475EDA12">
            <w:pPr>
              <w:spacing w:line="244" w:lineRule="auto"/>
              <w:rPr>
                <w:rFonts w:ascii="Arial"/>
              </w:rPr>
            </w:pPr>
          </w:p>
          <w:p w14:paraId="16E32595">
            <w:pPr>
              <w:spacing w:line="244" w:lineRule="auto"/>
              <w:rPr>
                <w:rFonts w:ascii="Arial"/>
              </w:rPr>
            </w:pPr>
          </w:p>
          <w:p w14:paraId="5B59BB85">
            <w:pPr>
              <w:spacing w:line="244" w:lineRule="auto"/>
              <w:rPr>
                <w:rFonts w:ascii="Arial"/>
              </w:rPr>
            </w:pPr>
          </w:p>
          <w:p w14:paraId="022877CC">
            <w:pPr>
              <w:spacing w:line="245" w:lineRule="auto"/>
              <w:rPr>
                <w:rFonts w:ascii="Arial"/>
              </w:rPr>
            </w:pPr>
          </w:p>
          <w:p w14:paraId="2F16A0CB">
            <w:pPr>
              <w:spacing w:line="245" w:lineRule="auto"/>
              <w:rPr>
                <w:rFonts w:ascii="Arial"/>
              </w:rPr>
            </w:pPr>
          </w:p>
          <w:p w14:paraId="688CAA81">
            <w:pPr>
              <w:pStyle w:val="732"/>
              <w:spacing w:before="62" w:line="229" w:lineRule="auto"/>
              <w:ind w:left="9"/>
            </w:pPr>
            <w:r>
              <w:rPr>
                <w:spacing w:val="5"/>
              </w:rPr>
              <w:t>A02061808</w:t>
            </w:r>
            <w:r>
              <w:rPr>
                <w:spacing w:val="-32"/>
              </w:rPr>
              <w:t xml:space="preserve"> </w:t>
            </w:r>
            <w:r>
              <w:rPr>
                <w:spacing w:val="5"/>
              </w:rPr>
              <w:t>热水器</w:t>
            </w:r>
          </w:p>
        </w:tc>
        <w:tc>
          <w:tcPr>
            <w:tcW w:w="1914" w:type="dxa"/>
          </w:tcPr>
          <w:p w14:paraId="74E996D4">
            <w:pPr>
              <w:pStyle w:val="732"/>
              <w:spacing w:before="275" w:line="229" w:lineRule="auto"/>
              <w:ind w:left="19"/>
            </w:pPr>
            <w:r>
              <w:rPr>
                <w:spacing w:val="7"/>
              </w:rPr>
              <w:t>★电热水器</w:t>
            </w:r>
          </w:p>
        </w:tc>
        <w:tc>
          <w:tcPr>
            <w:tcW w:w="2969" w:type="dxa"/>
          </w:tcPr>
          <w:p w14:paraId="013EABD2">
            <w:pPr>
              <w:pStyle w:val="732"/>
              <w:spacing w:before="119" w:line="288" w:lineRule="auto"/>
              <w:ind w:left="25" w:right="11" w:hanging="2"/>
              <w:rPr>
                <w:lang w:eastAsia="zh-CN"/>
              </w:rPr>
            </w:pPr>
            <w:r>
              <w:rPr>
                <w:spacing w:val="19"/>
                <w:lang w:eastAsia="zh-CN"/>
              </w:rPr>
              <w:t>《储水式电热水器能效限定值及</w:t>
            </w:r>
            <w:r>
              <w:rPr>
                <w:spacing w:val="2"/>
                <w:lang w:eastAsia="zh-CN"/>
              </w:rPr>
              <w:t xml:space="preserve"> </w:t>
            </w:r>
            <w:r>
              <w:rPr>
                <w:spacing w:val="6"/>
                <w:lang w:eastAsia="zh-CN"/>
              </w:rPr>
              <w:t>能效等级》（</w:t>
            </w:r>
            <w:r>
              <w:rPr>
                <w:lang w:eastAsia="zh-CN"/>
              </w:rPr>
              <w:t>GB</w:t>
            </w:r>
            <w:r>
              <w:rPr>
                <w:spacing w:val="6"/>
                <w:lang w:eastAsia="zh-CN"/>
              </w:rPr>
              <w:t xml:space="preserve">  21519）</w:t>
            </w:r>
          </w:p>
        </w:tc>
      </w:tr>
      <w:tr w14:paraId="33143E0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52" w:hRule="atLeast"/>
          <w:jc w:val="center"/>
        </w:trPr>
        <w:tc>
          <w:tcPr>
            <w:tcW w:w="578" w:type="dxa"/>
            <w:vMerge w:val="continue"/>
            <w:tcBorders>
              <w:top w:val="nil"/>
              <w:bottom w:val="nil"/>
            </w:tcBorders>
          </w:tcPr>
          <w:p w14:paraId="409BAD67">
            <w:pPr>
              <w:rPr>
                <w:rFonts w:ascii="Arial"/>
              </w:rPr>
            </w:pPr>
          </w:p>
        </w:tc>
        <w:tc>
          <w:tcPr>
            <w:tcW w:w="1166" w:type="dxa"/>
            <w:vMerge w:val="continue"/>
            <w:tcBorders>
              <w:top w:val="nil"/>
              <w:bottom w:val="nil"/>
            </w:tcBorders>
          </w:tcPr>
          <w:p w14:paraId="4C5852C3">
            <w:pPr>
              <w:rPr>
                <w:rFonts w:ascii="Arial"/>
              </w:rPr>
            </w:pPr>
          </w:p>
        </w:tc>
        <w:tc>
          <w:tcPr>
            <w:tcW w:w="1799" w:type="dxa"/>
            <w:vMerge w:val="continue"/>
            <w:tcBorders>
              <w:top w:val="nil"/>
              <w:bottom w:val="nil"/>
            </w:tcBorders>
          </w:tcPr>
          <w:p w14:paraId="32B1E3DD">
            <w:pPr>
              <w:rPr>
                <w:rFonts w:ascii="Arial"/>
              </w:rPr>
            </w:pPr>
          </w:p>
        </w:tc>
        <w:tc>
          <w:tcPr>
            <w:tcW w:w="1914" w:type="dxa"/>
          </w:tcPr>
          <w:p w14:paraId="5CC86B9A">
            <w:pPr>
              <w:spacing w:line="315" w:lineRule="auto"/>
              <w:rPr>
                <w:rFonts w:ascii="Arial"/>
              </w:rPr>
            </w:pPr>
          </w:p>
          <w:p w14:paraId="1FA2D0FA">
            <w:pPr>
              <w:pStyle w:val="732"/>
              <w:spacing w:before="61" w:line="229" w:lineRule="auto"/>
              <w:ind w:left="15"/>
            </w:pPr>
            <w:r>
              <w:rPr>
                <w:spacing w:val="8"/>
              </w:rPr>
              <w:t>燃气热水器</w:t>
            </w:r>
          </w:p>
        </w:tc>
        <w:tc>
          <w:tcPr>
            <w:tcW w:w="2969" w:type="dxa"/>
          </w:tcPr>
          <w:p w14:paraId="1F0A899F">
            <w:pPr>
              <w:pStyle w:val="732"/>
              <w:spacing w:before="68" w:line="283" w:lineRule="auto"/>
              <w:ind w:left="25" w:hanging="2"/>
              <w:rPr>
                <w:lang w:eastAsia="zh-CN"/>
              </w:rPr>
            </w:pPr>
            <w:r>
              <w:rPr>
                <w:spacing w:val="17"/>
                <w:lang w:eastAsia="zh-CN"/>
              </w:rPr>
              <w:t>《家用燃气快速热水器和燃气采</w:t>
            </w:r>
            <w:r>
              <w:rPr>
                <w:lang w:eastAsia="zh-CN"/>
              </w:rPr>
              <w:t xml:space="preserve"> </w:t>
            </w:r>
            <w:r>
              <w:rPr>
                <w:spacing w:val="5"/>
                <w:lang w:eastAsia="zh-CN"/>
              </w:rPr>
              <w:t>暖热水炉能效限定值及能效等级》</w:t>
            </w:r>
            <w:r>
              <w:rPr>
                <w:spacing w:val="12"/>
                <w:lang w:eastAsia="zh-CN"/>
              </w:rPr>
              <w:t xml:space="preserve"> </w:t>
            </w:r>
            <w:r>
              <w:rPr>
                <w:spacing w:val="1"/>
                <w:lang w:eastAsia="zh-CN"/>
              </w:rPr>
              <w:t>（</w:t>
            </w:r>
            <w:r>
              <w:rPr>
                <w:lang w:eastAsia="zh-CN"/>
              </w:rPr>
              <w:t>GB</w:t>
            </w:r>
            <w:r>
              <w:rPr>
                <w:spacing w:val="18"/>
                <w:lang w:eastAsia="zh-CN"/>
              </w:rPr>
              <w:t xml:space="preserve"> </w:t>
            </w:r>
            <w:r>
              <w:rPr>
                <w:spacing w:val="1"/>
                <w:lang w:eastAsia="zh-CN"/>
              </w:rPr>
              <w:t>20665）</w:t>
            </w:r>
          </w:p>
        </w:tc>
      </w:tr>
      <w:tr w14:paraId="3E60AE6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8" w:hRule="atLeast"/>
          <w:jc w:val="center"/>
        </w:trPr>
        <w:tc>
          <w:tcPr>
            <w:tcW w:w="578" w:type="dxa"/>
            <w:vMerge w:val="continue"/>
            <w:tcBorders>
              <w:top w:val="nil"/>
              <w:bottom w:val="nil"/>
            </w:tcBorders>
          </w:tcPr>
          <w:p w14:paraId="4C847C27">
            <w:pPr>
              <w:rPr>
                <w:rFonts w:ascii="Arial"/>
              </w:rPr>
            </w:pPr>
          </w:p>
        </w:tc>
        <w:tc>
          <w:tcPr>
            <w:tcW w:w="1166" w:type="dxa"/>
            <w:vMerge w:val="continue"/>
            <w:tcBorders>
              <w:top w:val="nil"/>
              <w:bottom w:val="nil"/>
            </w:tcBorders>
          </w:tcPr>
          <w:p w14:paraId="70E73BFD">
            <w:pPr>
              <w:rPr>
                <w:rFonts w:ascii="Arial"/>
              </w:rPr>
            </w:pPr>
          </w:p>
        </w:tc>
        <w:tc>
          <w:tcPr>
            <w:tcW w:w="1799" w:type="dxa"/>
            <w:vMerge w:val="continue"/>
            <w:tcBorders>
              <w:top w:val="nil"/>
              <w:bottom w:val="nil"/>
            </w:tcBorders>
          </w:tcPr>
          <w:p w14:paraId="52262301">
            <w:pPr>
              <w:rPr>
                <w:rFonts w:ascii="Arial"/>
              </w:rPr>
            </w:pPr>
          </w:p>
        </w:tc>
        <w:tc>
          <w:tcPr>
            <w:tcW w:w="1914" w:type="dxa"/>
          </w:tcPr>
          <w:p w14:paraId="0C52DD3E">
            <w:pPr>
              <w:spacing w:line="248" w:lineRule="auto"/>
              <w:rPr>
                <w:rFonts w:ascii="Arial"/>
              </w:rPr>
            </w:pPr>
          </w:p>
          <w:p w14:paraId="7D3D4EE7">
            <w:pPr>
              <w:pStyle w:val="732"/>
              <w:spacing w:before="62" w:line="229" w:lineRule="auto"/>
              <w:ind w:left="20"/>
            </w:pPr>
            <w:r>
              <w:rPr>
                <w:spacing w:val="7"/>
              </w:rPr>
              <w:t>热泵热水器</w:t>
            </w:r>
          </w:p>
        </w:tc>
        <w:tc>
          <w:tcPr>
            <w:tcW w:w="2969" w:type="dxa"/>
          </w:tcPr>
          <w:p w14:paraId="19133D64">
            <w:pPr>
              <w:pStyle w:val="732"/>
              <w:spacing w:before="156" w:line="288" w:lineRule="auto"/>
              <w:ind w:left="25" w:right="13" w:hanging="2"/>
              <w:rPr>
                <w:lang w:eastAsia="zh-CN"/>
              </w:rPr>
            </w:pPr>
            <w:r>
              <w:rPr>
                <w:spacing w:val="5"/>
                <w:lang w:eastAsia="zh-CN"/>
              </w:rPr>
              <w:t>《热泵热水机（器）能效限定值及</w:t>
            </w:r>
            <w:r>
              <w:rPr>
                <w:spacing w:val="1"/>
                <w:lang w:eastAsia="zh-CN"/>
              </w:rPr>
              <w:t xml:space="preserve"> </w:t>
            </w:r>
            <w:r>
              <w:rPr>
                <w:spacing w:val="6"/>
                <w:lang w:eastAsia="zh-CN"/>
              </w:rPr>
              <w:t>能效等级》（</w:t>
            </w:r>
            <w:r>
              <w:rPr>
                <w:lang w:eastAsia="zh-CN"/>
              </w:rPr>
              <w:t>GB</w:t>
            </w:r>
            <w:r>
              <w:rPr>
                <w:spacing w:val="6"/>
                <w:lang w:eastAsia="zh-CN"/>
              </w:rPr>
              <w:t xml:space="preserve"> 29541）</w:t>
            </w:r>
          </w:p>
        </w:tc>
      </w:tr>
      <w:tr w14:paraId="54638E1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36" w:hRule="atLeast"/>
          <w:jc w:val="center"/>
        </w:trPr>
        <w:tc>
          <w:tcPr>
            <w:tcW w:w="578" w:type="dxa"/>
            <w:vMerge w:val="continue"/>
            <w:tcBorders>
              <w:top w:val="nil"/>
            </w:tcBorders>
          </w:tcPr>
          <w:p w14:paraId="36181B2B">
            <w:pPr>
              <w:rPr>
                <w:rFonts w:ascii="Arial"/>
              </w:rPr>
            </w:pPr>
          </w:p>
        </w:tc>
        <w:tc>
          <w:tcPr>
            <w:tcW w:w="1166" w:type="dxa"/>
            <w:vMerge w:val="continue"/>
            <w:tcBorders>
              <w:top w:val="nil"/>
            </w:tcBorders>
          </w:tcPr>
          <w:p w14:paraId="073C3B00">
            <w:pPr>
              <w:rPr>
                <w:rFonts w:ascii="Arial"/>
              </w:rPr>
            </w:pPr>
          </w:p>
        </w:tc>
        <w:tc>
          <w:tcPr>
            <w:tcW w:w="1799" w:type="dxa"/>
            <w:vMerge w:val="continue"/>
            <w:tcBorders>
              <w:top w:val="nil"/>
            </w:tcBorders>
          </w:tcPr>
          <w:p w14:paraId="0921B70A">
            <w:pPr>
              <w:rPr>
                <w:rFonts w:ascii="Arial"/>
              </w:rPr>
            </w:pPr>
          </w:p>
        </w:tc>
        <w:tc>
          <w:tcPr>
            <w:tcW w:w="1914" w:type="dxa"/>
          </w:tcPr>
          <w:p w14:paraId="19D0A63D">
            <w:pPr>
              <w:pStyle w:val="732"/>
              <w:spacing w:before="271" w:line="229" w:lineRule="auto"/>
              <w:ind w:left="16"/>
            </w:pPr>
            <w:r>
              <w:rPr>
                <w:spacing w:val="8"/>
              </w:rPr>
              <w:t>太阳能热水系统</w:t>
            </w:r>
          </w:p>
        </w:tc>
        <w:tc>
          <w:tcPr>
            <w:tcW w:w="2969" w:type="dxa"/>
          </w:tcPr>
          <w:p w14:paraId="35FE7FF3">
            <w:pPr>
              <w:pStyle w:val="732"/>
              <w:spacing w:before="116" w:line="288" w:lineRule="auto"/>
              <w:ind w:left="17" w:right="11" w:firstLine="5"/>
              <w:rPr>
                <w:lang w:eastAsia="zh-CN"/>
              </w:rPr>
            </w:pPr>
            <w:r>
              <w:rPr>
                <w:spacing w:val="19"/>
                <w:lang w:eastAsia="zh-CN"/>
              </w:rPr>
              <w:t>《家用太阳能热水系统能效限定</w:t>
            </w:r>
            <w:r>
              <w:rPr>
                <w:spacing w:val="2"/>
                <w:lang w:eastAsia="zh-CN"/>
              </w:rPr>
              <w:t xml:space="preserve"> </w:t>
            </w:r>
            <w:r>
              <w:rPr>
                <w:spacing w:val="7"/>
                <w:lang w:eastAsia="zh-CN"/>
              </w:rPr>
              <w:t>值及能效等级》（</w:t>
            </w:r>
            <w:r>
              <w:rPr>
                <w:lang w:eastAsia="zh-CN"/>
              </w:rPr>
              <w:t>GB</w:t>
            </w:r>
            <w:r>
              <w:rPr>
                <w:spacing w:val="7"/>
                <w:lang w:eastAsia="zh-CN"/>
              </w:rPr>
              <w:t xml:space="preserve"> 26969）</w:t>
            </w:r>
          </w:p>
        </w:tc>
      </w:tr>
      <w:tr w14:paraId="5BB0F3C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97" w:hRule="atLeast"/>
          <w:jc w:val="center"/>
        </w:trPr>
        <w:tc>
          <w:tcPr>
            <w:tcW w:w="578" w:type="dxa"/>
            <w:vMerge w:val="restart"/>
            <w:tcBorders>
              <w:bottom w:val="nil"/>
            </w:tcBorders>
          </w:tcPr>
          <w:p w14:paraId="5E06E070">
            <w:pPr>
              <w:spacing w:line="274" w:lineRule="auto"/>
              <w:rPr>
                <w:rFonts w:ascii="Arial"/>
              </w:rPr>
            </w:pPr>
          </w:p>
          <w:p w14:paraId="384F96EE">
            <w:pPr>
              <w:spacing w:line="274" w:lineRule="auto"/>
              <w:rPr>
                <w:rFonts w:ascii="Arial"/>
              </w:rPr>
            </w:pPr>
          </w:p>
          <w:p w14:paraId="39931A62">
            <w:pPr>
              <w:spacing w:line="274" w:lineRule="auto"/>
              <w:rPr>
                <w:rFonts w:ascii="Arial"/>
              </w:rPr>
            </w:pPr>
          </w:p>
          <w:p w14:paraId="25635B6B">
            <w:pPr>
              <w:spacing w:line="274" w:lineRule="auto"/>
              <w:rPr>
                <w:rFonts w:ascii="Arial"/>
              </w:rPr>
            </w:pPr>
          </w:p>
          <w:p w14:paraId="39D297AD">
            <w:pPr>
              <w:spacing w:line="274" w:lineRule="auto"/>
              <w:rPr>
                <w:rFonts w:ascii="Arial"/>
              </w:rPr>
            </w:pPr>
          </w:p>
          <w:p w14:paraId="00171027">
            <w:pPr>
              <w:spacing w:line="274" w:lineRule="auto"/>
              <w:rPr>
                <w:rFonts w:ascii="Arial"/>
              </w:rPr>
            </w:pPr>
          </w:p>
          <w:p w14:paraId="1B400224">
            <w:pPr>
              <w:pStyle w:val="732"/>
              <w:spacing w:before="62" w:line="190" w:lineRule="auto"/>
              <w:ind w:left="209"/>
            </w:pPr>
            <w:r>
              <w:rPr>
                <w:spacing w:val="-7"/>
              </w:rPr>
              <w:t>11</w:t>
            </w:r>
          </w:p>
        </w:tc>
        <w:tc>
          <w:tcPr>
            <w:tcW w:w="1166" w:type="dxa"/>
            <w:vMerge w:val="restart"/>
            <w:tcBorders>
              <w:bottom w:val="nil"/>
            </w:tcBorders>
          </w:tcPr>
          <w:p w14:paraId="5D554FAD">
            <w:pPr>
              <w:spacing w:line="243" w:lineRule="auto"/>
              <w:rPr>
                <w:rFonts w:ascii="Arial"/>
              </w:rPr>
            </w:pPr>
          </w:p>
          <w:p w14:paraId="51FF0109">
            <w:pPr>
              <w:spacing w:line="243" w:lineRule="auto"/>
              <w:rPr>
                <w:rFonts w:ascii="Arial"/>
              </w:rPr>
            </w:pPr>
          </w:p>
          <w:p w14:paraId="2C030286">
            <w:pPr>
              <w:spacing w:line="243" w:lineRule="auto"/>
              <w:rPr>
                <w:rFonts w:ascii="Arial"/>
              </w:rPr>
            </w:pPr>
          </w:p>
          <w:p w14:paraId="15426C74">
            <w:pPr>
              <w:spacing w:line="243" w:lineRule="auto"/>
              <w:rPr>
                <w:rFonts w:ascii="Arial"/>
              </w:rPr>
            </w:pPr>
          </w:p>
          <w:p w14:paraId="54D39ADF">
            <w:pPr>
              <w:spacing w:line="243" w:lineRule="auto"/>
              <w:rPr>
                <w:rFonts w:ascii="Arial"/>
              </w:rPr>
            </w:pPr>
          </w:p>
          <w:p w14:paraId="3D13DDE2">
            <w:pPr>
              <w:spacing w:line="243" w:lineRule="auto"/>
              <w:rPr>
                <w:rFonts w:ascii="Arial"/>
              </w:rPr>
            </w:pPr>
          </w:p>
          <w:p w14:paraId="4F09AC5D">
            <w:pPr>
              <w:pStyle w:val="732"/>
              <w:spacing w:before="62" w:line="289" w:lineRule="auto"/>
              <w:ind w:left="18" w:right="8" w:hanging="9"/>
            </w:pPr>
            <w:r>
              <w:rPr>
                <w:spacing w:val="5"/>
              </w:rPr>
              <w:t>A020619</w:t>
            </w:r>
            <w:r>
              <w:rPr>
                <w:spacing w:val="-43"/>
              </w:rPr>
              <w:t xml:space="preserve"> </w:t>
            </w:r>
            <w:r>
              <w:rPr>
                <w:spacing w:val="5"/>
              </w:rPr>
              <w:t>照明</w:t>
            </w:r>
            <w:r>
              <w:t xml:space="preserve"> </w:t>
            </w:r>
            <w:r>
              <w:rPr>
                <w:spacing w:val="3"/>
              </w:rPr>
              <w:t>设备</w:t>
            </w:r>
          </w:p>
        </w:tc>
        <w:tc>
          <w:tcPr>
            <w:tcW w:w="1799" w:type="dxa"/>
          </w:tcPr>
          <w:p w14:paraId="3920DE36">
            <w:pPr>
              <w:pStyle w:val="732"/>
              <w:spacing w:before="198" w:line="288" w:lineRule="auto"/>
              <w:ind w:left="20" w:right="12" w:hanging="2"/>
              <w:rPr>
                <w:lang w:eastAsia="zh-CN"/>
              </w:rPr>
            </w:pPr>
            <w:r>
              <w:rPr>
                <w:spacing w:val="19"/>
                <w:lang w:eastAsia="zh-CN"/>
              </w:rPr>
              <w:t>★</w:t>
            </w:r>
            <w:r>
              <w:rPr>
                <w:spacing w:val="-59"/>
                <w:lang w:eastAsia="zh-CN"/>
              </w:rPr>
              <w:t xml:space="preserve"> </w:t>
            </w:r>
            <w:r>
              <w:rPr>
                <w:spacing w:val="19"/>
                <w:lang w:eastAsia="zh-CN"/>
              </w:rPr>
              <w:t>普通照</w:t>
            </w:r>
            <w:r>
              <w:rPr>
                <w:spacing w:val="-42"/>
                <w:lang w:eastAsia="zh-CN"/>
              </w:rPr>
              <w:t xml:space="preserve"> </w:t>
            </w:r>
            <w:r>
              <w:rPr>
                <w:spacing w:val="19"/>
                <w:lang w:eastAsia="zh-CN"/>
              </w:rPr>
              <w:t>明用双端</w:t>
            </w:r>
            <w:r>
              <w:rPr>
                <w:lang w:eastAsia="zh-CN"/>
              </w:rPr>
              <w:t xml:space="preserve"> </w:t>
            </w:r>
            <w:r>
              <w:rPr>
                <w:spacing w:val="4"/>
                <w:lang w:eastAsia="zh-CN"/>
              </w:rPr>
              <w:t>荧光灯</w:t>
            </w:r>
          </w:p>
        </w:tc>
        <w:tc>
          <w:tcPr>
            <w:tcW w:w="1914" w:type="dxa"/>
          </w:tcPr>
          <w:p w14:paraId="19CCE154">
            <w:pPr>
              <w:rPr>
                <w:rFonts w:ascii="Arial"/>
              </w:rPr>
            </w:pPr>
          </w:p>
        </w:tc>
        <w:tc>
          <w:tcPr>
            <w:tcW w:w="2969" w:type="dxa"/>
          </w:tcPr>
          <w:p w14:paraId="3A8D8657">
            <w:pPr>
              <w:pStyle w:val="732"/>
              <w:spacing w:before="198" w:line="288" w:lineRule="auto"/>
              <w:ind w:left="22" w:right="11"/>
              <w:rPr>
                <w:lang w:eastAsia="zh-CN"/>
              </w:rPr>
            </w:pPr>
            <w:r>
              <w:rPr>
                <w:spacing w:val="19"/>
                <w:lang w:eastAsia="zh-CN"/>
              </w:rPr>
              <w:t>《普通照明用双端荧光灯能效限</w:t>
            </w:r>
            <w:r>
              <w:rPr>
                <w:spacing w:val="2"/>
                <w:lang w:eastAsia="zh-CN"/>
              </w:rPr>
              <w:t xml:space="preserve"> </w:t>
            </w:r>
            <w:r>
              <w:rPr>
                <w:spacing w:val="5"/>
                <w:lang w:eastAsia="zh-CN"/>
              </w:rPr>
              <w:t>定值及能效等级》（</w:t>
            </w:r>
            <w:r>
              <w:rPr>
                <w:lang w:eastAsia="zh-CN"/>
              </w:rPr>
              <w:t>GB</w:t>
            </w:r>
            <w:r>
              <w:rPr>
                <w:spacing w:val="42"/>
                <w:lang w:eastAsia="zh-CN"/>
              </w:rPr>
              <w:t xml:space="preserve"> </w:t>
            </w:r>
            <w:r>
              <w:rPr>
                <w:spacing w:val="5"/>
                <w:lang w:eastAsia="zh-CN"/>
              </w:rPr>
              <w:t>19043）</w:t>
            </w:r>
          </w:p>
        </w:tc>
      </w:tr>
      <w:tr w14:paraId="1A9392F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16" w:hRule="atLeast"/>
          <w:jc w:val="center"/>
        </w:trPr>
        <w:tc>
          <w:tcPr>
            <w:tcW w:w="578" w:type="dxa"/>
            <w:vMerge w:val="continue"/>
            <w:tcBorders>
              <w:top w:val="nil"/>
              <w:bottom w:val="nil"/>
            </w:tcBorders>
          </w:tcPr>
          <w:p w14:paraId="165A3923">
            <w:pPr>
              <w:rPr>
                <w:rFonts w:ascii="Arial"/>
              </w:rPr>
            </w:pPr>
          </w:p>
        </w:tc>
        <w:tc>
          <w:tcPr>
            <w:tcW w:w="1166" w:type="dxa"/>
            <w:vMerge w:val="continue"/>
            <w:tcBorders>
              <w:top w:val="nil"/>
              <w:bottom w:val="nil"/>
            </w:tcBorders>
          </w:tcPr>
          <w:p w14:paraId="2AFB9121">
            <w:pPr>
              <w:rPr>
                <w:rFonts w:ascii="Arial"/>
              </w:rPr>
            </w:pPr>
          </w:p>
        </w:tc>
        <w:tc>
          <w:tcPr>
            <w:tcW w:w="1799" w:type="dxa"/>
          </w:tcPr>
          <w:p w14:paraId="46A5963F">
            <w:pPr>
              <w:pStyle w:val="732"/>
              <w:spacing w:before="158" w:line="288" w:lineRule="auto"/>
              <w:ind w:left="14" w:right="7" w:hanging="1"/>
            </w:pPr>
            <w:r>
              <w:t>LED</w:t>
            </w:r>
            <w:r>
              <w:rPr>
                <w:spacing w:val="23"/>
              </w:rPr>
              <w:t xml:space="preserve"> </w:t>
            </w:r>
            <w:r>
              <w:rPr>
                <w:spacing w:val="19"/>
              </w:rPr>
              <w:t>道路/隧道照明</w:t>
            </w:r>
            <w:r>
              <w:t xml:space="preserve"> </w:t>
            </w:r>
            <w:r>
              <w:rPr>
                <w:spacing w:val="5"/>
              </w:rPr>
              <w:t>产品</w:t>
            </w:r>
          </w:p>
        </w:tc>
        <w:tc>
          <w:tcPr>
            <w:tcW w:w="1914" w:type="dxa"/>
          </w:tcPr>
          <w:p w14:paraId="79BEF72E">
            <w:pPr>
              <w:rPr>
                <w:rFonts w:ascii="Arial"/>
              </w:rPr>
            </w:pPr>
          </w:p>
        </w:tc>
        <w:tc>
          <w:tcPr>
            <w:tcW w:w="2969" w:type="dxa"/>
          </w:tcPr>
          <w:p w14:paraId="6D76DD2E">
            <w:pPr>
              <w:pStyle w:val="732"/>
              <w:spacing w:before="158" w:line="288" w:lineRule="auto"/>
              <w:ind w:left="22"/>
            </w:pPr>
            <w:r>
              <w:rPr>
                <w:spacing w:val="7"/>
              </w:rPr>
              <w:t xml:space="preserve">《道路和隧道照明用 </w:t>
            </w:r>
            <w:r>
              <w:t>LED</w:t>
            </w:r>
            <w:r>
              <w:rPr>
                <w:spacing w:val="7"/>
              </w:rPr>
              <w:t xml:space="preserve"> 灯具能</w:t>
            </w:r>
            <w:r>
              <w:t xml:space="preserve">  </w:t>
            </w:r>
            <w:r>
              <w:rPr>
                <w:spacing w:val="-4"/>
              </w:rPr>
              <w:t>效限定值及能效等级》（GB</w:t>
            </w:r>
            <w:r>
              <w:rPr>
                <w:spacing w:val="-24"/>
              </w:rPr>
              <w:t xml:space="preserve"> </w:t>
            </w:r>
            <w:r>
              <w:rPr>
                <w:spacing w:val="-4"/>
              </w:rPr>
              <w:t>37478）</w:t>
            </w:r>
          </w:p>
        </w:tc>
      </w:tr>
      <w:tr w14:paraId="5F936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9" w:hRule="atLeast"/>
          <w:jc w:val="center"/>
        </w:trPr>
        <w:tc>
          <w:tcPr>
            <w:tcW w:w="578" w:type="dxa"/>
            <w:vMerge w:val="continue"/>
            <w:tcBorders>
              <w:top w:val="nil"/>
              <w:bottom w:val="nil"/>
            </w:tcBorders>
          </w:tcPr>
          <w:p w14:paraId="194EE51C">
            <w:pPr>
              <w:rPr>
                <w:rFonts w:ascii="Arial"/>
              </w:rPr>
            </w:pPr>
          </w:p>
        </w:tc>
        <w:tc>
          <w:tcPr>
            <w:tcW w:w="1166" w:type="dxa"/>
            <w:vMerge w:val="continue"/>
            <w:tcBorders>
              <w:top w:val="nil"/>
              <w:bottom w:val="nil"/>
            </w:tcBorders>
          </w:tcPr>
          <w:p w14:paraId="4461B14C">
            <w:pPr>
              <w:rPr>
                <w:rFonts w:ascii="Arial"/>
              </w:rPr>
            </w:pPr>
          </w:p>
        </w:tc>
        <w:tc>
          <w:tcPr>
            <w:tcW w:w="1799" w:type="dxa"/>
          </w:tcPr>
          <w:p w14:paraId="0414628F">
            <w:pPr>
              <w:rPr>
                <w:rFonts w:ascii="Arial"/>
              </w:rPr>
            </w:pPr>
          </w:p>
          <w:p w14:paraId="201469BD">
            <w:pPr>
              <w:pStyle w:val="732"/>
              <w:spacing w:before="62" w:line="229" w:lineRule="auto"/>
              <w:ind w:left="13"/>
            </w:pPr>
            <w:r>
              <w:t>LED</w:t>
            </w:r>
            <w:r>
              <w:rPr>
                <w:spacing w:val="-32"/>
              </w:rPr>
              <w:t xml:space="preserve"> </w:t>
            </w:r>
            <w:r>
              <w:rPr>
                <w:spacing w:val="8"/>
              </w:rPr>
              <w:t>筒灯</w:t>
            </w:r>
          </w:p>
        </w:tc>
        <w:tc>
          <w:tcPr>
            <w:tcW w:w="1914" w:type="dxa"/>
          </w:tcPr>
          <w:p w14:paraId="41DEEA80">
            <w:pPr>
              <w:rPr>
                <w:rFonts w:ascii="Arial"/>
              </w:rPr>
            </w:pPr>
          </w:p>
        </w:tc>
        <w:tc>
          <w:tcPr>
            <w:tcW w:w="2969" w:type="dxa"/>
          </w:tcPr>
          <w:p w14:paraId="18F99E55">
            <w:pPr>
              <w:pStyle w:val="732"/>
              <w:spacing w:before="148" w:line="288" w:lineRule="auto"/>
              <w:ind w:left="17" w:right="13" w:firstLine="5"/>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4120B5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036" w:hRule="atLeast"/>
          <w:jc w:val="center"/>
        </w:trPr>
        <w:tc>
          <w:tcPr>
            <w:tcW w:w="578" w:type="dxa"/>
            <w:vMerge w:val="continue"/>
            <w:tcBorders>
              <w:top w:val="nil"/>
            </w:tcBorders>
          </w:tcPr>
          <w:p w14:paraId="096F4939">
            <w:pPr>
              <w:rPr>
                <w:rFonts w:ascii="Arial"/>
              </w:rPr>
            </w:pPr>
          </w:p>
        </w:tc>
        <w:tc>
          <w:tcPr>
            <w:tcW w:w="1166" w:type="dxa"/>
            <w:vMerge w:val="continue"/>
            <w:tcBorders>
              <w:top w:val="nil"/>
            </w:tcBorders>
          </w:tcPr>
          <w:p w14:paraId="78695CDA">
            <w:pPr>
              <w:rPr>
                <w:rFonts w:ascii="Arial"/>
              </w:rPr>
            </w:pPr>
          </w:p>
        </w:tc>
        <w:tc>
          <w:tcPr>
            <w:tcW w:w="1799" w:type="dxa"/>
          </w:tcPr>
          <w:p w14:paraId="70C032AB">
            <w:pPr>
              <w:pStyle w:val="732"/>
              <w:spacing w:before="265" w:line="288" w:lineRule="auto"/>
              <w:ind w:left="47" w:right="12" w:hanging="33"/>
            </w:pPr>
            <w:r>
              <w:rPr>
                <w:spacing w:val="30"/>
              </w:rPr>
              <w:t>普通照明用非定向</w:t>
            </w:r>
            <w:r>
              <w:rPr>
                <w:spacing w:val="5"/>
              </w:rPr>
              <w:t xml:space="preserve"> </w:t>
            </w:r>
            <w:r>
              <w:rPr>
                <w:spacing w:val="-1"/>
              </w:rPr>
              <w:t>自镇流</w:t>
            </w:r>
            <w:r>
              <w:rPr>
                <w:spacing w:val="-33"/>
              </w:rPr>
              <w:t xml:space="preserve"> </w:t>
            </w:r>
            <w:r>
              <w:rPr>
                <w:spacing w:val="-1"/>
              </w:rPr>
              <w:t>LED</w:t>
            </w:r>
            <w:r>
              <w:rPr>
                <w:spacing w:val="-37"/>
              </w:rPr>
              <w:t xml:space="preserve"> </w:t>
            </w:r>
            <w:r>
              <w:rPr>
                <w:spacing w:val="-1"/>
              </w:rPr>
              <w:t>灯</w:t>
            </w:r>
          </w:p>
        </w:tc>
        <w:tc>
          <w:tcPr>
            <w:tcW w:w="1914" w:type="dxa"/>
          </w:tcPr>
          <w:p w14:paraId="16DE74EA">
            <w:pPr>
              <w:rPr>
                <w:rFonts w:ascii="Arial"/>
              </w:rPr>
            </w:pPr>
          </w:p>
        </w:tc>
        <w:tc>
          <w:tcPr>
            <w:tcW w:w="2969" w:type="dxa"/>
          </w:tcPr>
          <w:p w14:paraId="1BC2364F">
            <w:pPr>
              <w:pStyle w:val="732"/>
              <w:spacing w:before="265" w:line="288" w:lineRule="auto"/>
              <w:ind w:left="17" w:right="13" w:firstLine="5"/>
            </w:pPr>
            <w:r>
              <w:rPr>
                <w:spacing w:val="12"/>
              </w:rPr>
              <w:t xml:space="preserve">《室内照明用 </w:t>
            </w:r>
            <w:r>
              <w:t>LED</w:t>
            </w:r>
            <w:r>
              <w:rPr>
                <w:spacing w:val="12"/>
              </w:rPr>
              <w:t xml:space="preserve"> 产品能效限定</w:t>
            </w:r>
            <w:r>
              <w:rPr>
                <w:spacing w:val="2"/>
              </w:rPr>
              <w:t xml:space="preserve"> </w:t>
            </w:r>
            <w:r>
              <w:rPr>
                <w:spacing w:val="7"/>
              </w:rPr>
              <w:t>值及能效等级》（</w:t>
            </w:r>
            <w:r>
              <w:t>GB</w:t>
            </w:r>
            <w:r>
              <w:rPr>
                <w:spacing w:val="7"/>
              </w:rPr>
              <w:t xml:space="preserve"> 30255）</w:t>
            </w:r>
          </w:p>
        </w:tc>
      </w:tr>
      <w:tr w14:paraId="0837B7B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96" w:hRule="atLeast"/>
          <w:jc w:val="center"/>
        </w:trPr>
        <w:tc>
          <w:tcPr>
            <w:tcW w:w="578" w:type="dxa"/>
          </w:tcPr>
          <w:p w14:paraId="5F832CAE">
            <w:pPr>
              <w:spacing w:line="268" w:lineRule="auto"/>
              <w:rPr>
                <w:rFonts w:ascii="Arial"/>
              </w:rPr>
            </w:pPr>
          </w:p>
          <w:p w14:paraId="1FE8561E">
            <w:pPr>
              <w:pStyle w:val="732"/>
              <w:spacing w:before="62" w:line="190" w:lineRule="auto"/>
              <w:ind w:left="209"/>
            </w:pPr>
            <w:r>
              <w:rPr>
                <w:spacing w:val="-7"/>
              </w:rPr>
              <w:t>12</w:t>
            </w:r>
          </w:p>
        </w:tc>
        <w:tc>
          <w:tcPr>
            <w:tcW w:w="1166" w:type="dxa"/>
          </w:tcPr>
          <w:p w14:paraId="2EDEB8B7">
            <w:pPr>
              <w:pStyle w:val="732"/>
              <w:spacing w:before="144" w:line="289" w:lineRule="auto"/>
              <w:ind w:left="14" w:right="8" w:firstLine="3"/>
            </w:pPr>
            <w:r>
              <w:rPr>
                <w:spacing w:val="1"/>
              </w:rPr>
              <w:t>★A020910</w:t>
            </w:r>
            <w:r>
              <w:rPr>
                <w:spacing w:val="-17"/>
              </w:rPr>
              <w:t xml:space="preserve"> </w:t>
            </w:r>
            <w:r>
              <w:rPr>
                <w:spacing w:val="1"/>
              </w:rPr>
              <w:t>电</w:t>
            </w:r>
            <w:r>
              <w:t xml:space="preserve"> </w:t>
            </w:r>
            <w:r>
              <w:rPr>
                <w:spacing w:val="6"/>
              </w:rPr>
              <w:t>视设备</w:t>
            </w:r>
          </w:p>
        </w:tc>
        <w:tc>
          <w:tcPr>
            <w:tcW w:w="1799" w:type="dxa"/>
          </w:tcPr>
          <w:p w14:paraId="59DC4A64">
            <w:pPr>
              <w:pStyle w:val="732"/>
              <w:spacing w:before="145" w:line="288" w:lineRule="auto"/>
              <w:ind w:left="18" w:right="10" w:hanging="9"/>
              <w:rPr>
                <w:lang w:eastAsia="zh-CN"/>
              </w:rPr>
            </w:pPr>
            <w:r>
              <w:rPr>
                <w:spacing w:val="4"/>
                <w:lang w:eastAsia="zh-CN"/>
              </w:rPr>
              <w:t>A02091001 普通电视</w:t>
            </w:r>
            <w:r>
              <w:rPr>
                <w:spacing w:val="7"/>
                <w:lang w:eastAsia="zh-CN"/>
              </w:rPr>
              <w:t xml:space="preserve"> </w:t>
            </w:r>
            <w:r>
              <w:rPr>
                <w:spacing w:val="6"/>
                <w:lang w:eastAsia="zh-CN"/>
              </w:rPr>
              <w:t>设备（电视机）</w:t>
            </w:r>
          </w:p>
        </w:tc>
        <w:tc>
          <w:tcPr>
            <w:tcW w:w="1914" w:type="dxa"/>
          </w:tcPr>
          <w:p w14:paraId="3D5A40EA">
            <w:pPr>
              <w:rPr>
                <w:rFonts w:ascii="Arial"/>
              </w:rPr>
            </w:pPr>
          </w:p>
        </w:tc>
        <w:tc>
          <w:tcPr>
            <w:tcW w:w="2969" w:type="dxa"/>
          </w:tcPr>
          <w:p w14:paraId="0B8F9BB3">
            <w:pPr>
              <w:pStyle w:val="732"/>
              <w:spacing w:before="146" w:line="289" w:lineRule="auto"/>
              <w:ind w:left="21" w:right="11" w:firstLine="2"/>
              <w:rPr>
                <w:lang w:eastAsia="zh-CN"/>
              </w:rPr>
            </w:pPr>
            <w:r>
              <w:rPr>
                <w:spacing w:val="19"/>
                <w:lang w:eastAsia="zh-CN"/>
              </w:rPr>
              <w:t>《平板电视能效限定值及能效等</w:t>
            </w:r>
            <w:r>
              <w:rPr>
                <w:spacing w:val="2"/>
                <w:lang w:eastAsia="zh-CN"/>
              </w:rPr>
              <w:t xml:space="preserve"> </w:t>
            </w:r>
            <w:r>
              <w:rPr>
                <w:spacing w:val="4"/>
                <w:lang w:eastAsia="zh-CN"/>
              </w:rPr>
              <w:t>级》（</w:t>
            </w:r>
            <w:r>
              <w:rPr>
                <w:lang w:eastAsia="zh-CN"/>
              </w:rPr>
              <w:t>GB</w:t>
            </w:r>
            <w:r>
              <w:rPr>
                <w:spacing w:val="23"/>
                <w:lang w:eastAsia="zh-CN"/>
              </w:rPr>
              <w:t xml:space="preserve"> </w:t>
            </w:r>
            <w:r>
              <w:rPr>
                <w:spacing w:val="4"/>
                <w:lang w:eastAsia="zh-CN"/>
              </w:rPr>
              <w:t>24850）</w:t>
            </w:r>
          </w:p>
        </w:tc>
      </w:tr>
      <w:tr w14:paraId="636B749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1936" w:hRule="atLeast"/>
          <w:jc w:val="center"/>
        </w:trPr>
        <w:tc>
          <w:tcPr>
            <w:tcW w:w="578" w:type="dxa"/>
          </w:tcPr>
          <w:p w14:paraId="718BDA13">
            <w:pPr>
              <w:spacing w:line="279" w:lineRule="auto"/>
              <w:rPr>
                <w:rFonts w:ascii="Arial"/>
              </w:rPr>
            </w:pPr>
          </w:p>
          <w:p w14:paraId="0CF34691">
            <w:pPr>
              <w:spacing w:line="279" w:lineRule="auto"/>
              <w:rPr>
                <w:rFonts w:ascii="Arial"/>
              </w:rPr>
            </w:pPr>
          </w:p>
          <w:p w14:paraId="78B9F7CB">
            <w:pPr>
              <w:spacing w:line="279" w:lineRule="auto"/>
              <w:rPr>
                <w:rFonts w:ascii="Arial"/>
              </w:rPr>
            </w:pPr>
          </w:p>
          <w:p w14:paraId="6A08DAEE">
            <w:pPr>
              <w:pStyle w:val="732"/>
              <w:spacing w:before="61" w:line="190" w:lineRule="auto"/>
              <w:ind w:left="209"/>
            </w:pPr>
            <w:r>
              <w:rPr>
                <w:spacing w:val="-7"/>
              </w:rPr>
              <w:t>13</w:t>
            </w:r>
          </w:p>
        </w:tc>
        <w:tc>
          <w:tcPr>
            <w:tcW w:w="1166" w:type="dxa"/>
          </w:tcPr>
          <w:p w14:paraId="041CB916">
            <w:pPr>
              <w:spacing w:line="325" w:lineRule="auto"/>
              <w:rPr>
                <w:rFonts w:ascii="Arial"/>
              </w:rPr>
            </w:pPr>
          </w:p>
          <w:p w14:paraId="18E0A2E4">
            <w:pPr>
              <w:spacing w:line="326" w:lineRule="auto"/>
              <w:rPr>
                <w:rFonts w:ascii="Arial"/>
              </w:rPr>
            </w:pPr>
          </w:p>
          <w:p w14:paraId="6FDFF220">
            <w:pPr>
              <w:pStyle w:val="732"/>
              <w:spacing w:before="62" w:line="289" w:lineRule="auto"/>
              <w:ind w:left="16" w:right="8" w:firstLine="2"/>
            </w:pPr>
            <w:r>
              <w:rPr>
                <w:spacing w:val="4"/>
              </w:rPr>
              <w:t>★A020911</w:t>
            </w:r>
            <w:r>
              <w:rPr>
                <w:spacing w:val="-44"/>
              </w:rPr>
              <w:t xml:space="preserve"> </w:t>
            </w:r>
            <w:r>
              <w:rPr>
                <w:spacing w:val="4"/>
              </w:rPr>
              <w:t>视</w:t>
            </w:r>
            <w:r>
              <w:t xml:space="preserve"> </w:t>
            </w:r>
            <w:r>
              <w:rPr>
                <w:spacing w:val="6"/>
              </w:rPr>
              <w:t>频设备</w:t>
            </w:r>
          </w:p>
        </w:tc>
        <w:tc>
          <w:tcPr>
            <w:tcW w:w="1799" w:type="dxa"/>
          </w:tcPr>
          <w:p w14:paraId="6959268E">
            <w:pPr>
              <w:spacing w:line="325" w:lineRule="auto"/>
              <w:rPr>
                <w:rFonts w:ascii="Arial"/>
              </w:rPr>
            </w:pPr>
          </w:p>
          <w:p w14:paraId="1858984A">
            <w:pPr>
              <w:spacing w:line="326" w:lineRule="auto"/>
              <w:rPr>
                <w:rFonts w:ascii="Arial"/>
              </w:rPr>
            </w:pPr>
          </w:p>
          <w:p w14:paraId="7C4F77AD">
            <w:pPr>
              <w:pStyle w:val="732"/>
              <w:spacing w:before="62" w:line="289" w:lineRule="auto"/>
              <w:ind w:left="18" w:right="10" w:hanging="9"/>
            </w:pPr>
            <w:r>
              <w:rPr>
                <w:spacing w:val="4"/>
              </w:rPr>
              <w:t>A02091107 视频监控</w:t>
            </w:r>
            <w:r>
              <w:rPr>
                <w:spacing w:val="7"/>
              </w:rPr>
              <w:t xml:space="preserve"> </w:t>
            </w:r>
            <w:r>
              <w:rPr>
                <w:spacing w:val="3"/>
              </w:rPr>
              <w:t>设备</w:t>
            </w:r>
          </w:p>
        </w:tc>
        <w:tc>
          <w:tcPr>
            <w:tcW w:w="1914" w:type="dxa"/>
          </w:tcPr>
          <w:p w14:paraId="62CBF4EA">
            <w:pPr>
              <w:spacing w:line="268" w:lineRule="auto"/>
              <w:rPr>
                <w:rFonts w:ascii="Arial"/>
              </w:rPr>
            </w:pPr>
          </w:p>
          <w:p w14:paraId="2DFB0163">
            <w:pPr>
              <w:spacing w:line="269" w:lineRule="auto"/>
              <w:rPr>
                <w:rFonts w:ascii="Arial"/>
              </w:rPr>
            </w:pPr>
          </w:p>
          <w:p w14:paraId="005EC942">
            <w:pPr>
              <w:spacing w:line="269" w:lineRule="auto"/>
              <w:rPr>
                <w:rFonts w:ascii="Arial"/>
              </w:rPr>
            </w:pPr>
          </w:p>
          <w:p w14:paraId="041040E6">
            <w:pPr>
              <w:pStyle w:val="732"/>
              <w:spacing w:before="62" w:line="230" w:lineRule="auto"/>
              <w:ind w:left="17"/>
            </w:pPr>
            <w:r>
              <w:rPr>
                <w:spacing w:val="6"/>
              </w:rPr>
              <w:t>监视器</w:t>
            </w:r>
          </w:p>
        </w:tc>
        <w:tc>
          <w:tcPr>
            <w:tcW w:w="2969" w:type="dxa"/>
          </w:tcPr>
          <w:p w14:paraId="317C08C3">
            <w:pPr>
              <w:pStyle w:val="732"/>
              <w:spacing w:before="94" w:line="293" w:lineRule="auto"/>
              <w:ind w:left="17" w:right="11" w:firstLine="23"/>
              <w:rPr>
                <w:lang w:eastAsia="zh-CN"/>
              </w:rPr>
            </w:pPr>
            <w:r>
              <w:rPr>
                <w:spacing w:val="18"/>
                <w:lang w:eastAsia="zh-CN"/>
              </w:rPr>
              <w:t>以射频信号为主要信号输入的监</w:t>
            </w:r>
            <w:r>
              <w:rPr>
                <w:lang w:eastAsia="zh-CN"/>
              </w:rPr>
              <w:t xml:space="preserve"> </w:t>
            </w:r>
            <w:r>
              <w:rPr>
                <w:spacing w:val="5"/>
                <w:lang w:eastAsia="zh-CN"/>
              </w:rPr>
              <w:t>视器应符合《平板电视能效限定值</w:t>
            </w:r>
            <w:r>
              <w:rPr>
                <w:spacing w:val="7"/>
                <w:lang w:eastAsia="zh-CN"/>
              </w:rPr>
              <w:t xml:space="preserve"> </w:t>
            </w:r>
            <w:r>
              <w:rPr>
                <w:spacing w:val="8"/>
                <w:lang w:eastAsia="zh-CN"/>
              </w:rPr>
              <w:t>及能效等级》（</w:t>
            </w:r>
            <w:r>
              <w:rPr>
                <w:lang w:eastAsia="zh-CN"/>
              </w:rPr>
              <w:t>GB</w:t>
            </w:r>
            <w:r>
              <w:rPr>
                <w:spacing w:val="8"/>
                <w:lang w:eastAsia="zh-CN"/>
              </w:rPr>
              <w:t xml:space="preserve"> 24850</w:t>
            </w:r>
            <w:r>
              <w:rPr>
                <w:lang w:eastAsia="zh-CN"/>
              </w:rPr>
              <w:t>），</w:t>
            </w:r>
          </w:p>
          <w:p w14:paraId="29F2DAED">
            <w:pPr>
              <w:pStyle w:val="732"/>
              <w:spacing w:before="31" w:line="290" w:lineRule="auto"/>
              <w:ind w:left="17" w:right="11" w:firstLine="23"/>
              <w:rPr>
                <w:lang w:eastAsia="zh-CN"/>
              </w:rPr>
            </w:pPr>
            <w:r>
              <w:rPr>
                <w:spacing w:val="18"/>
                <w:lang w:eastAsia="zh-CN"/>
              </w:rPr>
              <w:t>以数字信号为主要信号输入的监</w:t>
            </w:r>
            <w:r>
              <w:rPr>
                <w:lang w:eastAsia="zh-CN"/>
              </w:rPr>
              <w:t xml:space="preserve"> </w:t>
            </w:r>
            <w:r>
              <w:rPr>
                <w:spacing w:val="5"/>
                <w:lang w:eastAsia="zh-CN"/>
              </w:rPr>
              <w:t>视器应符合《计算机显示器能效限</w:t>
            </w:r>
            <w:r>
              <w:rPr>
                <w:spacing w:val="7"/>
                <w:lang w:eastAsia="zh-CN"/>
              </w:rPr>
              <w:t xml:space="preserve"> 定值及能效等级》（</w:t>
            </w:r>
            <w:r>
              <w:rPr>
                <w:lang w:eastAsia="zh-CN"/>
              </w:rPr>
              <w:t>GB</w:t>
            </w:r>
            <w:r>
              <w:rPr>
                <w:spacing w:val="7"/>
                <w:lang w:eastAsia="zh-CN"/>
              </w:rPr>
              <w:t xml:space="preserve"> 21520）</w:t>
            </w:r>
          </w:p>
        </w:tc>
      </w:tr>
      <w:tr w14:paraId="3DB42D8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782" w:hRule="atLeast"/>
          <w:jc w:val="center"/>
        </w:trPr>
        <w:tc>
          <w:tcPr>
            <w:tcW w:w="578" w:type="dxa"/>
          </w:tcPr>
          <w:p w14:paraId="03898395">
            <w:pPr>
              <w:spacing w:line="265" w:lineRule="auto"/>
              <w:rPr>
                <w:rFonts w:ascii="Arial"/>
              </w:rPr>
            </w:pPr>
          </w:p>
          <w:p w14:paraId="1EFF16A9">
            <w:pPr>
              <w:pStyle w:val="732"/>
              <w:spacing w:before="62" w:line="190" w:lineRule="auto"/>
              <w:ind w:left="209"/>
            </w:pPr>
            <w:r>
              <w:rPr>
                <w:spacing w:val="-7"/>
              </w:rPr>
              <w:t>14</w:t>
            </w:r>
          </w:p>
        </w:tc>
        <w:tc>
          <w:tcPr>
            <w:tcW w:w="1166" w:type="dxa"/>
          </w:tcPr>
          <w:p w14:paraId="20D7D5C1">
            <w:pPr>
              <w:pStyle w:val="732"/>
              <w:spacing w:before="141" w:line="288" w:lineRule="auto"/>
              <w:ind w:left="15" w:right="8" w:hanging="6"/>
            </w:pPr>
            <w:r>
              <w:rPr>
                <w:spacing w:val="5"/>
              </w:rPr>
              <w:t>A031210</w:t>
            </w:r>
            <w:r>
              <w:rPr>
                <w:spacing w:val="-43"/>
              </w:rPr>
              <w:t xml:space="preserve"> </w:t>
            </w:r>
            <w:r>
              <w:rPr>
                <w:spacing w:val="5"/>
              </w:rPr>
              <w:t>饮食</w:t>
            </w:r>
            <w:r>
              <w:t xml:space="preserve"> </w:t>
            </w:r>
            <w:r>
              <w:rPr>
                <w:spacing w:val="7"/>
              </w:rPr>
              <w:t>炊事机械</w:t>
            </w:r>
          </w:p>
        </w:tc>
        <w:tc>
          <w:tcPr>
            <w:tcW w:w="1799" w:type="dxa"/>
          </w:tcPr>
          <w:p w14:paraId="1B6DF57C">
            <w:pPr>
              <w:pStyle w:val="732"/>
              <w:spacing w:before="297" w:line="230" w:lineRule="auto"/>
              <w:ind w:left="19"/>
            </w:pPr>
            <w:r>
              <w:rPr>
                <w:spacing w:val="7"/>
              </w:rPr>
              <w:t>商用燃气灶具</w:t>
            </w:r>
          </w:p>
        </w:tc>
        <w:tc>
          <w:tcPr>
            <w:tcW w:w="1914" w:type="dxa"/>
          </w:tcPr>
          <w:p w14:paraId="1C6A9BBE">
            <w:pPr>
              <w:rPr>
                <w:rFonts w:ascii="Arial"/>
              </w:rPr>
            </w:pPr>
          </w:p>
        </w:tc>
        <w:tc>
          <w:tcPr>
            <w:tcW w:w="2969" w:type="dxa"/>
          </w:tcPr>
          <w:p w14:paraId="7D31A3A4">
            <w:pPr>
              <w:pStyle w:val="732"/>
              <w:spacing w:before="142" w:line="288" w:lineRule="auto"/>
              <w:ind w:left="22" w:right="11"/>
              <w:rPr>
                <w:lang w:eastAsia="zh-CN"/>
              </w:rPr>
            </w:pPr>
            <w:r>
              <w:rPr>
                <w:spacing w:val="19"/>
                <w:lang w:eastAsia="zh-CN"/>
              </w:rPr>
              <w:t>《商用燃气灶具能效限定值及能</w:t>
            </w:r>
            <w:r>
              <w:rPr>
                <w:spacing w:val="2"/>
                <w:lang w:eastAsia="zh-CN"/>
              </w:rPr>
              <w:t xml:space="preserve"> </w:t>
            </w:r>
            <w:r>
              <w:rPr>
                <w:spacing w:val="6"/>
                <w:lang w:eastAsia="zh-CN"/>
              </w:rPr>
              <w:t>效等级》（</w:t>
            </w:r>
            <w:r>
              <w:rPr>
                <w:lang w:eastAsia="zh-CN"/>
              </w:rPr>
              <w:t>GB</w:t>
            </w:r>
            <w:r>
              <w:rPr>
                <w:spacing w:val="6"/>
                <w:lang w:eastAsia="zh-CN"/>
              </w:rPr>
              <w:t xml:space="preserve"> 30531）</w:t>
            </w:r>
          </w:p>
        </w:tc>
      </w:tr>
      <w:tr w14:paraId="58FB2A9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578" w:type="dxa"/>
            <w:vMerge w:val="restart"/>
            <w:tcBorders>
              <w:bottom w:val="nil"/>
            </w:tcBorders>
          </w:tcPr>
          <w:p w14:paraId="583F9FF9">
            <w:pPr>
              <w:spacing w:line="298" w:lineRule="auto"/>
              <w:rPr>
                <w:rFonts w:ascii="Arial"/>
              </w:rPr>
            </w:pPr>
          </w:p>
          <w:p w14:paraId="37A7E8CF">
            <w:pPr>
              <w:spacing w:line="298" w:lineRule="auto"/>
              <w:rPr>
                <w:rFonts w:ascii="Arial"/>
              </w:rPr>
            </w:pPr>
          </w:p>
          <w:p w14:paraId="7FB5D934">
            <w:pPr>
              <w:spacing w:line="298" w:lineRule="auto"/>
              <w:rPr>
                <w:rFonts w:ascii="Arial"/>
              </w:rPr>
            </w:pPr>
          </w:p>
          <w:p w14:paraId="6CD28DDC">
            <w:pPr>
              <w:spacing w:line="299" w:lineRule="auto"/>
              <w:rPr>
                <w:rFonts w:ascii="Arial"/>
              </w:rPr>
            </w:pPr>
          </w:p>
          <w:p w14:paraId="26B0AEEF">
            <w:pPr>
              <w:pStyle w:val="732"/>
              <w:spacing w:before="62" w:line="190" w:lineRule="auto"/>
              <w:ind w:left="209"/>
            </w:pPr>
            <w:r>
              <w:rPr>
                <w:spacing w:val="-7"/>
              </w:rPr>
              <w:t>15</w:t>
            </w:r>
          </w:p>
        </w:tc>
        <w:tc>
          <w:tcPr>
            <w:tcW w:w="1166" w:type="dxa"/>
            <w:vMerge w:val="restart"/>
            <w:tcBorders>
              <w:bottom w:val="nil"/>
            </w:tcBorders>
          </w:tcPr>
          <w:p w14:paraId="0478F175">
            <w:pPr>
              <w:spacing w:line="251" w:lineRule="auto"/>
              <w:rPr>
                <w:rFonts w:ascii="Arial"/>
              </w:rPr>
            </w:pPr>
          </w:p>
          <w:p w14:paraId="2AD39572">
            <w:pPr>
              <w:spacing w:line="251" w:lineRule="auto"/>
              <w:rPr>
                <w:rFonts w:ascii="Arial"/>
              </w:rPr>
            </w:pPr>
          </w:p>
          <w:p w14:paraId="6296A5F8">
            <w:pPr>
              <w:spacing w:line="252" w:lineRule="auto"/>
              <w:rPr>
                <w:rFonts w:ascii="Arial"/>
              </w:rPr>
            </w:pPr>
          </w:p>
          <w:p w14:paraId="03C88AA5">
            <w:pPr>
              <w:pStyle w:val="732"/>
              <w:spacing w:before="62" w:line="291" w:lineRule="auto"/>
              <w:ind w:left="15" w:right="8" w:firstLine="3"/>
            </w:pPr>
            <w:r>
              <w:rPr>
                <w:spacing w:val="3"/>
              </w:rPr>
              <w:t>★A060805</w:t>
            </w:r>
            <w:r>
              <w:rPr>
                <w:spacing w:val="-35"/>
              </w:rPr>
              <w:t xml:space="preserve"> </w:t>
            </w:r>
            <w:r>
              <w:rPr>
                <w:spacing w:val="3"/>
              </w:rPr>
              <w:t>便</w:t>
            </w:r>
            <w:r>
              <w:t xml:space="preserve"> </w:t>
            </w:r>
            <w:r>
              <w:rPr>
                <w:spacing w:val="1"/>
              </w:rPr>
              <w:t>器</w:t>
            </w:r>
          </w:p>
        </w:tc>
        <w:tc>
          <w:tcPr>
            <w:tcW w:w="1799" w:type="dxa"/>
          </w:tcPr>
          <w:p w14:paraId="2A76E5C1">
            <w:pPr>
              <w:spacing w:line="282" w:lineRule="auto"/>
              <w:rPr>
                <w:rFonts w:ascii="Arial"/>
              </w:rPr>
            </w:pPr>
          </w:p>
          <w:p w14:paraId="2ABCDD9F">
            <w:pPr>
              <w:pStyle w:val="732"/>
              <w:spacing w:before="62" w:line="229" w:lineRule="auto"/>
              <w:ind w:left="16"/>
            </w:pPr>
            <w:r>
              <w:rPr>
                <w:spacing w:val="6"/>
              </w:rPr>
              <w:t>坐便器</w:t>
            </w:r>
          </w:p>
        </w:tc>
        <w:tc>
          <w:tcPr>
            <w:tcW w:w="1914" w:type="dxa"/>
          </w:tcPr>
          <w:p w14:paraId="6D1FAAB2">
            <w:pPr>
              <w:rPr>
                <w:rFonts w:ascii="Arial"/>
              </w:rPr>
            </w:pPr>
          </w:p>
        </w:tc>
        <w:tc>
          <w:tcPr>
            <w:tcW w:w="2969" w:type="dxa"/>
          </w:tcPr>
          <w:p w14:paraId="4B13A203">
            <w:pPr>
              <w:pStyle w:val="732"/>
              <w:spacing w:before="189" w:line="295" w:lineRule="auto"/>
              <w:ind w:left="27" w:hanging="4"/>
              <w:rPr>
                <w:lang w:eastAsia="zh-CN"/>
              </w:rPr>
            </w:pPr>
            <w:r>
              <w:rPr>
                <w:spacing w:val="6"/>
                <w:lang w:eastAsia="zh-CN"/>
              </w:rPr>
              <w:t>《坐便器水效限定值及水效等级》</w:t>
            </w:r>
            <w:r>
              <w:rPr>
                <w:lang w:eastAsia="zh-CN"/>
              </w:rPr>
              <w:t xml:space="preserve"> </w:t>
            </w:r>
            <w:r>
              <w:rPr>
                <w:spacing w:val="1"/>
                <w:lang w:eastAsia="zh-CN"/>
              </w:rPr>
              <w:t>（</w:t>
            </w:r>
            <w:r>
              <w:rPr>
                <w:lang w:eastAsia="zh-CN"/>
              </w:rPr>
              <w:t>GB</w:t>
            </w:r>
            <w:r>
              <w:rPr>
                <w:spacing w:val="15"/>
                <w:lang w:eastAsia="zh-CN"/>
              </w:rPr>
              <w:t xml:space="preserve"> </w:t>
            </w:r>
            <w:r>
              <w:rPr>
                <w:spacing w:val="1"/>
                <w:lang w:eastAsia="zh-CN"/>
              </w:rPr>
              <w:t>25502）</w:t>
            </w:r>
          </w:p>
        </w:tc>
      </w:tr>
      <w:tr w14:paraId="7025B56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0" w:hRule="atLeast"/>
          <w:jc w:val="center"/>
        </w:trPr>
        <w:tc>
          <w:tcPr>
            <w:tcW w:w="578" w:type="dxa"/>
            <w:vMerge w:val="continue"/>
            <w:tcBorders>
              <w:top w:val="nil"/>
              <w:bottom w:val="nil"/>
            </w:tcBorders>
          </w:tcPr>
          <w:p w14:paraId="09C24D65">
            <w:pPr>
              <w:rPr>
                <w:rFonts w:ascii="Arial"/>
              </w:rPr>
            </w:pPr>
          </w:p>
        </w:tc>
        <w:tc>
          <w:tcPr>
            <w:tcW w:w="1166" w:type="dxa"/>
            <w:vMerge w:val="continue"/>
            <w:tcBorders>
              <w:top w:val="nil"/>
              <w:bottom w:val="nil"/>
            </w:tcBorders>
          </w:tcPr>
          <w:p w14:paraId="6EA2A1A9">
            <w:pPr>
              <w:rPr>
                <w:rFonts w:ascii="Arial"/>
              </w:rPr>
            </w:pPr>
          </w:p>
        </w:tc>
        <w:tc>
          <w:tcPr>
            <w:tcW w:w="1799" w:type="dxa"/>
          </w:tcPr>
          <w:p w14:paraId="2A7EDFB0">
            <w:pPr>
              <w:spacing w:line="283" w:lineRule="auto"/>
              <w:rPr>
                <w:rFonts w:ascii="Arial"/>
              </w:rPr>
            </w:pPr>
          </w:p>
          <w:p w14:paraId="3FCF6054">
            <w:pPr>
              <w:pStyle w:val="732"/>
              <w:spacing w:before="62" w:line="229" w:lineRule="auto"/>
              <w:ind w:left="14"/>
            </w:pPr>
            <w:r>
              <w:rPr>
                <w:spacing w:val="6"/>
              </w:rPr>
              <w:t>蹲便器</w:t>
            </w:r>
          </w:p>
        </w:tc>
        <w:tc>
          <w:tcPr>
            <w:tcW w:w="1914" w:type="dxa"/>
          </w:tcPr>
          <w:p w14:paraId="4A78B5E4">
            <w:pPr>
              <w:rPr>
                <w:rFonts w:ascii="Arial"/>
              </w:rPr>
            </w:pPr>
          </w:p>
        </w:tc>
        <w:tc>
          <w:tcPr>
            <w:tcW w:w="2969" w:type="dxa"/>
          </w:tcPr>
          <w:p w14:paraId="5C541B2C">
            <w:pPr>
              <w:pStyle w:val="732"/>
              <w:spacing w:before="191" w:line="288" w:lineRule="auto"/>
              <w:ind w:left="22" w:right="11"/>
              <w:rPr>
                <w:lang w:eastAsia="zh-CN"/>
              </w:rPr>
            </w:pPr>
            <w:r>
              <w:rPr>
                <w:spacing w:val="19"/>
                <w:lang w:eastAsia="zh-CN"/>
              </w:rPr>
              <w:t>《蹲便器用水效率限定值及用水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30717）</w:t>
            </w:r>
          </w:p>
        </w:tc>
      </w:tr>
      <w:tr w14:paraId="001E3F0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88" w:hRule="atLeast"/>
          <w:jc w:val="center"/>
        </w:trPr>
        <w:tc>
          <w:tcPr>
            <w:tcW w:w="578" w:type="dxa"/>
            <w:vMerge w:val="continue"/>
            <w:tcBorders>
              <w:top w:val="nil"/>
            </w:tcBorders>
          </w:tcPr>
          <w:p w14:paraId="3761F327">
            <w:pPr>
              <w:rPr>
                <w:rFonts w:ascii="Arial"/>
              </w:rPr>
            </w:pPr>
          </w:p>
        </w:tc>
        <w:tc>
          <w:tcPr>
            <w:tcW w:w="1166" w:type="dxa"/>
            <w:vMerge w:val="continue"/>
            <w:tcBorders>
              <w:top w:val="nil"/>
            </w:tcBorders>
          </w:tcPr>
          <w:p w14:paraId="4D070ED3">
            <w:pPr>
              <w:rPr>
                <w:rFonts w:ascii="Arial"/>
              </w:rPr>
            </w:pPr>
          </w:p>
        </w:tc>
        <w:tc>
          <w:tcPr>
            <w:tcW w:w="1799" w:type="dxa"/>
          </w:tcPr>
          <w:p w14:paraId="74D10723">
            <w:pPr>
              <w:spacing w:line="284" w:lineRule="auto"/>
              <w:rPr>
                <w:rFonts w:ascii="Arial"/>
              </w:rPr>
            </w:pPr>
          </w:p>
          <w:p w14:paraId="64A9BDD7">
            <w:pPr>
              <w:pStyle w:val="732"/>
              <w:spacing w:before="61" w:line="229" w:lineRule="auto"/>
              <w:ind w:left="20"/>
            </w:pPr>
            <w:r>
              <w:rPr>
                <w:spacing w:val="4"/>
              </w:rPr>
              <w:t>小便器</w:t>
            </w:r>
          </w:p>
        </w:tc>
        <w:tc>
          <w:tcPr>
            <w:tcW w:w="1914" w:type="dxa"/>
          </w:tcPr>
          <w:p w14:paraId="436768A1">
            <w:pPr>
              <w:rPr>
                <w:rFonts w:ascii="Arial"/>
              </w:rPr>
            </w:pPr>
          </w:p>
        </w:tc>
        <w:tc>
          <w:tcPr>
            <w:tcW w:w="2969" w:type="dxa"/>
          </w:tcPr>
          <w:p w14:paraId="38A1AB53">
            <w:pPr>
              <w:pStyle w:val="732"/>
              <w:spacing w:before="191" w:line="288" w:lineRule="auto"/>
              <w:ind w:left="22" w:right="11"/>
              <w:rPr>
                <w:lang w:eastAsia="zh-CN"/>
              </w:rPr>
            </w:pPr>
            <w:r>
              <w:rPr>
                <w:spacing w:val="19"/>
                <w:lang w:eastAsia="zh-CN"/>
              </w:rPr>
              <w:t>《小便器用水效率限定值及用水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28377）</w:t>
            </w:r>
          </w:p>
        </w:tc>
      </w:tr>
    </w:tbl>
    <w:p w14:paraId="3D74E524">
      <w:pPr>
        <w:rPr>
          <w:rFonts w:ascii="Arial"/>
        </w:rPr>
      </w:pPr>
    </w:p>
    <w:p w14:paraId="046D7C85">
      <w:pPr>
        <w:rPr>
          <w:rFonts w:ascii="Arial" w:hAnsi="Arial" w:eastAsia="Arial" w:cs="Arial"/>
          <w:szCs w:val="21"/>
        </w:rPr>
        <w:sectPr>
          <w:pgSz w:w="11906" w:h="16838"/>
          <w:pgMar w:top="1440" w:right="567" w:bottom="1440" w:left="850" w:header="850" w:footer="992" w:gutter="0"/>
          <w:cols w:space="0" w:num="1"/>
        </w:sectPr>
      </w:pPr>
    </w:p>
    <w:p w14:paraId="19B755BE">
      <w:pPr>
        <w:spacing w:line="91" w:lineRule="auto"/>
        <w:rPr>
          <w:rFonts w:ascii="Arial"/>
          <w:sz w:val="2"/>
        </w:rPr>
      </w:pPr>
    </w:p>
    <w:tbl>
      <w:tblPr>
        <w:tblStyle w:val="733"/>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632"/>
        <w:gridCol w:w="1275"/>
        <w:gridCol w:w="1967"/>
        <w:gridCol w:w="2093"/>
        <w:gridCol w:w="3247"/>
      </w:tblGrid>
      <w:tr w14:paraId="30488F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1" w:hRule="atLeast"/>
          <w:jc w:val="center"/>
        </w:trPr>
        <w:tc>
          <w:tcPr>
            <w:tcW w:w="578" w:type="dxa"/>
          </w:tcPr>
          <w:p w14:paraId="1706B7E8">
            <w:pPr>
              <w:spacing w:line="342" w:lineRule="auto"/>
              <w:rPr>
                <w:rFonts w:ascii="Arial"/>
              </w:rPr>
            </w:pPr>
          </w:p>
          <w:p w14:paraId="78AA6398">
            <w:pPr>
              <w:pStyle w:val="732"/>
              <w:spacing w:before="62" w:line="190" w:lineRule="auto"/>
              <w:ind w:left="209"/>
            </w:pPr>
            <w:r>
              <w:rPr>
                <w:spacing w:val="-7"/>
              </w:rPr>
              <w:t>16</w:t>
            </w:r>
          </w:p>
        </w:tc>
        <w:tc>
          <w:tcPr>
            <w:tcW w:w="1166" w:type="dxa"/>
          </w:tcPr>
          <w:p w14:paraId="1E48EC79">
            <w:pPr>
              <w:pStyle w:val="732"/>
              <w:spacing w:before="220" w:line="288" w:lineRule="auto"/>
              <w:ind w:left="22" w:right="8" w:hanging="4"/>
            </w:pPr>
            <w:r>
              <w:rPr>
                <w:spacing w:val="3"/>
              </w:rPr>
              <w:t>★A060806</w:t>
            </w:r>
            <w:r>
              <w:rPr>
                <w:spacing w:val="-35"/>
              </w:rPr>
              <w:t xml:space="preserve"> </w:t>
            </w:r>
            <w:r>
              <w:rPr>
                <w:spacing w:val="3"/>
              </w:rPr>
              <w:t>水</w:t>
            </w:r>
            <w:r>
              <w:t xml:space="preserve"> 嘴</w:t>
            </w:r>
          </w:p>
        </w:tc>
        <w:tc>
          <w:tcPr>
            <w:tcW w:w="1799" w:type="dxa"/>
          </w:tcPr>
          <w:p w14:paraId="4EC364BB">
            <w:pPr>
              <w:rPr>
                <w:rFonts w:ascii="Arial"/>
              </w:rPr>
            </w:pPr>
          </w:p>
        </w:tc>
        <w:tc>
          <w:tcPr>
            <w:tcW w:w="1914" w:type="dxa"/>
          </w:tcPr>
          <w:p w14:paraId="6C11D916">
            <w:pPr>
              <w:rPr>
                <w:rFonts w:ascii="Arial"/>
              </w:rPr>
            </w:pPr>
          </w:p>
        </w:tc>
        <w:tc>
          <w:tcPr>
            <w:tcW w:w="2969" w:type="dxa"/>
          </w:tcPr>
          <w:p w14:paraId="7218451F">
            <w:pPr>
              <w:pStyle w:val="732"/>
              <w:spacing w:before="220" w:line="288" w:lineRule="auto"/>
              <w:ind w:left="19" w:right="11" w:firstLine="3"/>
              <w:rPr>
                <w:lang w:eastAsia="zh-CN"/>
              </w:rPr>
            </w:pPr>
            <w:r>
              <w:rPr>
                <w:spacing w:val="19"/>
                <w:lang w:eastAsia="zh-CN"/>
              </w:rPr>
              <w:t>《水嘴用水效率限定值及用水效</w:t>
            </w:r>
            <w:r>
              <w:rPr>
                <w:spacing w:val="2"/>
                <w:lang w:eastAsia="zh-CN"/>
              </w:rPr>
              <w:t xml:space="preserve"> </w:t>
            </w:r>
            <w:r>
              <w:rPr>
                <w:spacing w:val="6"/>
                <w:lang w:eastAsia="zh-CN"/>
              </w:rPr>
              <w:t>率等级》（</w:t>
            </w:r>
            <w:r>
              <w:rPr>
                <w:lang w:eastAsia="zh-CN"/>
              </w:rPr>
              <w:t>GB</w:t>
            </w:r>
            <w:r>
              <w:rPr>
                <w:spacing w:val="6"/>
                <w:lang w:eastAsia="zh-CN"/>
              </w:rPr>
              <w:t xml:space="preserve"> 25501）</w:t>
            </w:r>
          </w:p>
        </w:tc>
      </w:tr>
      <w:tr w14:paraId="2624534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855" w:hRule="atLeast"/>
          <w:jc w:val="center"/>
        </w:trPr>
        <w:tc>
          <w:tcPr>
            <w:tcW w:w="578" w:type="dxa"/>
          </w:tcPr>
          <w:p w14:paraId="63089533">
            <w:pPr>
              <w:spacing w:line="299" w:lineRule="auto"/>
              <w:rPr>
                <w:rFonts w:ascii="Arial"/>
              </w:rPr>
            </w:pPr>
          </w:p>
          <w:p w14:paraId="291D2183">
            <w:pPr>
              <w:pStyle w:val="732"/>
              <w:spacing w:before="62" w:line="190" w:lineRule="auto"/>
              <w:ind w:left="209"/>
            </w:pPr>
            <w:r>
              <w:rPr>
                <w:spacing w:val="-7"/>
              </w:rPr>
              <w:t>17</w:t>
            </w:r>
          </w:p>
        </w:tc>
        <w:tc>
          <w:tcPr>
            <w:tcW w:w="1166" w:type="dxa"/>
          </w:tcPr>
          <w:p w14:paraId="267AF892">
            <w:pPr>
              <w:pStyle w:val="732"/>
              <w:spacing w:before="176" w:line="289" w:lineRule="auto"/>
              <w:ind w:left="15" w:right="8" w:hanging="6"/>
            </w:pPr>
            <w:r>
              <w:rPr>
                <w:spacing w:val="5"/>
              </w:rPr>
              <w:t>A060807</w:t>
            </w:r>
            <w:r>
              <w:rPr>
                <w:spacing w:val="-43"/>
              </w:rPr>
              <w:t xml:space="preserve"> </w:t>
            </w:r>
            <w:r>
              <w:rPr>
                <w:spacing w:val="5"/>
              </w:rPr>
              <w:t>便器</w:t>
            </w:r>
            <w:r>
              <w:t xml:space="preserve"> </w:t>
            </w:r>
            <w:r>
              <w:rPr>
                <w:spacing w:val="6"/>
              </w:rPr>
              <w:t>冲洗阀</w:t>
            </w:r>
          </w:p>
        </w:tc>
        <w:tc>
          <w:tcPr>
            <w:tcW w:w="1799" w:type="dxa"/>
          </w:tcPr>
          <w:p w14:paraId="47B8EDB5">
            <w:pPr>
              <w:rPr>
                <w:rFonts w:ascii="Arial"/>
              </w:rPr>
            </w:pPr>
          </w:p>
        </w:tc>
        <w:tc>
          <w:tcPr>
            <w:tcW w:w="1914" w:type="dxa"/>
          </w:tcPr>
          <w:p w14:paraId="4B9A1F4C">
            <w:pPr>
              <w:rPr>
                <w:rFonts w:ascii="Arial"/>
              </w:rPr>
            </w:pPr>
          </w:p>
        </w:tc>
        <w:tc>
          <w:tcPr>
            <w:tcW w:w="2969" w:type="dxa"/>
          </w:tcPr>
          <w:p w14:paraId="6DE4ABBF">
            <w:pPr>
              <w:pStyle w:val="732"/>
              <w:spacing w:before="176" w:line="288" w:lineRule="auto"/>
              <w:ind w:left="19" w:right="11" w:firstLine="3"/>
              <w:rPr>
                <w:lang w:eastAsia="zh-CN"/>
              </w:rPr>
            </w:pPr>
            <w:r>
              <w:rPr>
                <w:spacing w:val="19"/>
                <w:lang w:eastAsia="zh-CN"/>
              </w:rPr>
              <w:t>《便器冲洗阀用水效率限定值及</w:t>
            </w:r>
            <w:r>
              <w:rPr>
                <w:spacing w:val="2"/>
                <w:lang w:eastAsia="zh-CN"/>
              </w:rPr>
              <w:t xml:space="preserve"> </w:t>
            </w:r>
            <w:r>
              <w:rPr>
                <w:spacing w:val="7"/>
                <w:lang w:eastAsia="zh-CN"/>
              </w:rPr>
              <w:t>用水效率等级》（</w:t>
            </w:r>
            <w:r>
              <w:rPr>
                <w:lang w:eastAsia="zh-CN"/>
              </w:rPr>
              <w:t>GB</w:t>
            </w:r>
            <w:r>
              <w:rPr>
                <w:spacing w:val="7"/>
                <w:lang w:eastAsia="zh-CN"/>
              </w:rPr>
              <w:t xml:space="preserve"> 28379）</w:t>
            </w:r>
          </w:p>
        </w:tc>
      </w:tr>
      <w:tr w14:paraId="7D931B2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00" w:hRule="atLeast"/>
          <w:jc w:val="center"/>
        </w:trPr>
        <w:tc>
          <w:tcPr>
            <w:tcW w:w="578" w:type="dxa"/>
          </w:tcPr>
          <w:p w14:paraId="5817CE05">
            <w:pPr>
              <w:spacing w:line="320" w:lineRule="auto"/>
              <w:rPr>
                <w:rFonts w:ascii="Arial"/>
              </w:rPr>
            </w:pPr>
          </w:p>
          <w:p w14:paraId="4AE2FB2F">
            <w:pPr>
              <w:pStyle w:val="732"/>
              <w:spacing w:before="61" w:line="190" w:lineRule="auto"/>
              <w:ind w:left="209"/>
            </w:pPr>
            <w:r>
              <w:rPr>
                <w:spacing w:val="-7"/>
              </w:rPr>
              <w:t>18</w:t>
            </w:r>
          </w:p>
        </w:tc>
        <w:tc>
          <w:tcPr>
            <w:tcW w:w="1166" w:type="dxa"/>
          </w:tcPr>
          <w:p w14:paraId="5838AEB8">
            <w:pPr>
              <w:pStyle w:val="732"/>
              <w:spacing w:before="196" w:line="291" w:lineRule="auto"/>
              <w:ind w:left="15" w:right="8" w:hanging="6"/>
            </w:pPr>
            <w:r>
              <w:rPr>
                <w:spacing w:val="4"/>
              </w:rPr>
              <w:t>A060810</w:t>
            </w:r>
            <w:r>
              <w:rPr>
                <w:spacing w:val="-34"/>
              </w:rPr>
              <w:t xml:space="preserve"> </w:t>
            </w:r>
            <w:r>
              <w:rPr>
                <w:spacing w:val="4"/>
              </w:rPr>
              <w:t>淋浴</w:t>
            </w:r>
            <w:r>
              <w:t xml:space="preserve"> </w:t>
            </w:r>
            <w:r>
              <w:rPr>
                <w:spacing w:val="1"/>
              </w:rPr>
              <w:t>器</w:t>
            </w:r>
          </w:p>
        </w:tc>
        <w:tc>
          <w:tcPr>
            <w:tcW w:w="1799" w:type="dxa"/>
          </w:tcPr>
          <w:p w14:paraId="0B07B0EB">
            <w:pPr>
              <w:rPr>
                <w:rFonts w:ascii="Arial"/>
              </w:rPr>
            </w:pPr>
          </w:p>
        </w:tc>
        <w:tc>
          <w:tcPr>
            <w:tcW w:w="1914" w:type="dxa"/>
          </w:tcPr>
          <w:p w14:paraId="04C2BEAF">
            <w:pPr>
              <w:rPr>
                <w:rFonts w:ascii="Arial"/>
              </w:rPr>
            </w:pPr>
          </w:p>
        </w:tc>
        <w:tc>
          <w:tcPr>
            <w:tcW w:w="2969" w:type="dxa"/>
          </w:tcPr>
          <w:p w14:paraId="4F9F7182">
            <w:pPr>
              <w:pStyle w:val="732"/>
              <w:spacing w:before="197" w:line="288" w:lineRule="auto"/>
              <w:ind w:left="22" w:right="11"/>
              <w:rPr>
                <w:lang w:eastAsia="zh-CN"/>
              </w:rPr>
            </w:pPr>
            <w:r>
              <w:rPr>
                <w:spacing w:val="19"/>
                <w:lang w:eastAsia="zh-CN"/>
              </w:rPr>
              <w:t>《淋浴器用水效率限定值及用水</w:t>
            </w:r>
            <w:r>
              <w:rPr>
                <w:spacing w:val="2"/>
                <w:lang w:eastAsia="zh-CN"/>
              </w:rPr>
              <w:t xml:space="preserve"> </w:t>
            </w:r>
            <w:r>
              <w:rPr>
                <w:spacing w:val="6"/>
                <w:lang w:eastAsia="zh-CN"/>
              </w:rPr>
              <w:t>效率等级》（</w:t>
            </w:r>
            <w:r>
              <w:rPr>
                <w:lang w:eastAsia="zh-CN"/>
              </w:rPr>
              <w:t>GB</w:t>
            </w:r>
            <w:r>
              <w:rPr>
                <w:spacing w:val="6"/>
                <w:lang w:eastAsia="zh-CN"/>
              </w:rPr>
              <w:t xml:space="preserve"> 28378）</w:t>
            </w:r>
          </w:p>
        </w:tc>
      </w:tr>
    </w:tbl>
    <w:p w14:paraId="4493E1FA">
      <w:pPr>
        <w:pStyle w:val="21"/>
        <w:spacing w:before="56" w:line="249" w:lineRule="auto"/>
        <w:ind w:left="27" w:hanging="2"/>
        <w:rPr>
          <w:rFonts w:ascii="仿宋_GB2312" w:hAnsi="仿宋_GB2312" w:eastAsia="仿宋_GB2312" w:cs="仿宋_GB2312"/>
        </w:rPr>
      </w:pPr>
      <w:r>
        <w:rPr>
          <w:rFonts w:hint="eastAsia" w:ascii="仿宋_GB2312" w:hAnsi="仿宋_GB2312" w:eastAsia="仿宋_GB2312" w:cs="仿宋_GB2312"/>
          <w:spacing w:val="-2"/>
        </w:rPr>
        <w:t>注：1.节能产品认证应依据相关国家标准的最新版</w:t>
      </w:r>
      <w:r>
        <w:rPr>
          <w:rFonts w:hint="eastAsia" w:ascii="仿宋_GB2312" w:hAnsi="仿宋_GB2312" w:eastAsia="仿宋_GB2312" w:cs="仿宋_GB2312"/>
          <w:spacing w:val="-3"/>
        </w:rPr>
        <w:t>本，依据国家标准中二级能效（水效）</w:t>
      </w:r>
      <w:r>
        <w:rPr>
          <w:rFonts w:hint="eastAsia" w:ascii="仿宋_GB2312" w:hAnsi="仿宋_GB2312" w:eastAsia="仿宋_GB2312" w:cs="仿宋_GB2312"/>
        </w:rPr>
        <w:t xml:space="preserve"> </w:t>
      </w:r>
      <w:r>
        <w:rPr>
          <w:rFonts w:hint="eastAsia" w:ascii="仿宋_GB2312" w:hAnsi="仿宋_GB2312" w:eastAsia="仿宋_GB2312" w:cs="仿宋_GB2312"/>
          <w:spacing w:val="-4"/>
        </w:rPr>
        <w:t>指标。</w:t>
      </w:r>
    </w:p>
    <w:p w14:paraId="4F711A9C">
      <w:pPr>
        <w:pStyle w:val="21"/>
        <w:spacing w:before="31" w:line="248" w:lineRule="auto"/>
        <w:ind w:left="25" w:right="97" w:firstLine="444"/>
        <w:rPr>
          <w:rFonts w:ascii="仿宋_GB2312" w:hAnsi="仿宋_GB2312" w:eastAsia="仿宋_GB2312" w:cs="仿宋_GB2312"/>
        </w:rPr>
      </w:pPr>
      <w:r>
        <w:rPr>
          <w:rFonts w:hint="eastAsia" w:ascii="仿宋_GB2312" w:hAnsi="仿宋_GB2312" w:eastAsia="仿宋_GB2312" w:cs="仿宋_GB2312"/>
          <w:spacing w:val="1"/>
        </w:rPr>
        <w:t>2.上述产品中认证标准发生变更的，依据原认</w:t>
      </w:r>
      <w:r>
        <w:rPr>
          <w:rFonts w:hint="eastAsia" w:ascii="仿宋_GB2312" w:hAnsi="仿宋_GB2312" w:eastAsia="仿宋_GB2312" w:cs="仿宋_GB2312"/>
        </w:rPr>
        <w:t xml:space="preserve">证标准获得的、仍在有效期内的认证 </w:t>
      </w:r>
      <w:r>
        <w:rPr>
          <w:rFonts w:hint="eastAsia" w:ascii="仿宋_GB2312" w:hAnsi="仿宋_GB2312" w:eastAsia="仿宋_GB2312" w:cs="仿宋_GB2312"/>
          <w:spacing w:val="-8"/>
        </w:rPr>
        <w:t>证书可使用至</w:t>
      </w:r>
      <w:r>
        <w:rPr>
          <w:rFonts w:hint="eastAsia" w:ascii="仿宋_GB2312" w:hAnsi="仿宋_GB2312" w:eastAsia="仿宋_GB2312" w:cs="仿宋_GB2312"/>
          <w:spacing w:val="-37"/>
        </w:rPr>
        <w:t xml:space="preserve"> </w:t>
      </w:r>
      <w:r>
        <w:rPr>
          <w:rFonts w:hint="eastAsia" w:ascii="仿宋_GB2312" w:hAnsi="仿宋_GB2312" w:eastAsia="仿宋_GB2312" w:cs="仿宋_GB2312"/>
          <w:spacing w:val="-8"/>
        </w:rPr>
        <w:t>2019</w:t>
      </w:r>
      <w:r>
        <w:rPr>
          <w:rFonts w:hint="eastAsia" w:ascii="仿宋_GB2312" w:hAnsi="仿宋_GB2312" w:eastAsia="仿宋_GB2312" w:cs="仿宋_GB2312"/>
          <w:spacing w:val="-46"/>
        </w:rPr>
        <w:t xml:space="preserve"> </w:t>
      </w:r>
      <w:r>
        <w:rPr>
          <w:rFonts w:hint="eastAsia" w:ascii="仿宋_GB2312" w:hAnsi="仿宋_GB2312" w:eastAsia="仿宋_GB2312" w:cs="仿宋_GB2312"/>
          <w:spacing w:val="-8"/>
        </w:rPr>
        <w:t>年</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6</w:t>
      </w:r>
      <w:r>
        <w:rPr>
          <w:rFonts w:hint="eastAsia" w:ascii="仿宋_GB2312" w:hAnsi="仿宋_GB2312" w:eastAsia="仿宋_GB2312" w:cs="仿宋_GB2312"/>
          <w:spacing w:val="-44"/>
        </w:rPr>
        <w:t xml:space="preserve"> </w:t>
      </w:r>
      <w:r>
        <w:rPr>
          <w:rFonts w:hint="eastAsia" w:ascii="仿宋_GB2312" w:hAnsi="仿宋_GB2312" w:eastAsia="仿宋_GB2312" w:cs="仿宋_GB2312"/>
          <w:spacing w:val="-8"/>
        </w:rPr>
        <w:t>月</w:t>
      </w:r>
      <w:r>
        <w:rPr>
          <w:rFonts w:hint="eastAsia" w:ascii="仿宋_GB2312" w:hAnsi="仿宋_GB2312" w:eastAsia="仿宋_GB2312" w:cs="仿宋_GB2312"/>
          <w:spacing w:val="-29"/>
        </w:rPr>
        <w:t xml:space="preserve"> </w:t>
      </w:r>
      <w:r>
        <w:rPr>
          <w:rFonts w:hint="eastAsia" w:ascii="仿宋_GB2312" w:hAnsi="仿宋_GB2312" w:eastAsia="仿宋_GB2312" w:cs="仿宋_GB2312"/>
          <w:spacing w:val="-8"/>
        </w:rPr>
        <w:t>1 日。</w:t>
      </w:r>
    </w:p>
    <w:p w14:paraId="5E0A4E38">
      <w:pPr>
        <w:pStyle w:val="21"/>
        <w:spacing w:before="33" w:line="220" w:lineRule="auto"/>
        <w:ind w:left="471"/>
        <w:rPr>
          <w:rFonts w:ascii="仿宋_GB2312" w:hAnsi="仿宋_GB2312" w:eastAsia="仿宋_GB2312" w:cs="仿宋_GB2312"/>
        </w:rPr>
      </w:pPr>
      <w:r>
        <w:rPr>
          <w:rFonts w:hint="eastAsia" w:ascii="仿宋_GB2312" w:hAnsi="仿宋_GB2312" w:eastAsia="仿宋_GB2312" w:cs="仿宋_GB2312"/>
          <w:spacing w:val="-3"/>
        </w:rPr>
        <w:t>3.以“★</w:t>
      </w:r>
      <w:r>
        <w:rPr>
          <w:rFonts w:hint="eastAsia" w:ascii="仿宋_GB2312" w:hAnsi="仿宋_GB2312" w:eastAsia="仿宋_GB2312" w:cs="仿宋_GB2312"/>
          <w:spacing w:val="-68"/>
        </w:rPr>
        <w:t xml:space="preserve"> </w:t>
      </w:r>
      <w:r>
        <w:rPr>
          <w:rFonts w:hint="eastAsia" w:ascii="仿宋_GB2312" w:hAnsi="仿宋_GB2312" w:eastAsia="仿宋_GB2312" w:cs="仿宋_GB2312"/>
          <w:spacing w:val="-3"/>
        </w:rPr>
        <w:t>”标注的为政府强制采购产品。</w:t>
      </w:r>
    </w:p>
    <w:p w14:paraId="7F53EE3B">
      <w:pPr>
        <w:rPr>
          <w:rFonts w:ascii="仿宋_GB2312" w:hAnsi="仿宋_GB2312" w:eastAsia="仿宋_GB2312" w:cs="仿宋_GB2312"/>
          <w:sz w:val="24"/>
          <w:highlight w:val="yellow"/>
        </w:rPr>
      </w:pPr>
      <w:r>
        <w:rPr>
          <w:rFonts w:hint="eastAsia" w:ascii="仿宋_GB2312" w:hAnsi="仿宋_GB2312" w:eastAsia="仿宋_GB2312" w:cs="仿宋_GB2312"/>
          <w:sz w:val="24"/>
        </w:rPr>
        <w:t xml:space="preserve">  </w:t>
      </w:r>
      <w:r>
        <w:rPr>
          <w:rFonts w:hint="eastAsia" w:ascii="仿宋_GB2312" w:hAnsi="仿宋_GB2312" w:eastAsia="仿宋_GB2312" w:cs="仿宋_GB2312"/>
          <w:sz w:val="24"/>
          <w:highlight w:val="yellow"/>
        </w:rPr>
        <w:t xml:space="preserve">  4.若表格有变动，按最新政策执行。</w:t>
      </w:r>
    </w:p>
    <w:p w14:paraId="46A48F7D">
      <w:pPr>
        <w:widowControl/>
        <w:jc w:val="left"/>
        <w:rPr>
          <w:rFonts w:ascii="仿宋_GB2312" w:hAnsi="仿宋_GB2312" w:eastAsia="仿宋_GB2312" w:cs="仿宋_GB2312"/>
          <w:sz w:val="28"/>
          <w:szCs w:val="28"/>
        </w:rPr>
      </w:pPr>
      <w:r>
        <w:rPr>
          <w:rFonts w:hint="eastAsia" w:ascii="仿宋_GB2312" w:hAnsi="仿宋_GB2312" w:eastAsia="仿宋_GB2312" w:cs="仿宋_GB2312"/>
          <w:sz w:val="28"/>
          <w:szCs w:val="28"/>
        </w:rPr>
        <w:br w:type="page"/>
      </w:r>
    </w:p>
    <w:p w14:paraId="21F9E2D8">
      <w:pPr>
        <w:rPr>
          <w:rFonts w:ascii="仿宋_GB2312" w:hAnsi="仿宋_GB2312" w:eastAsia="仿宋_GB2312" w:cs="仿宋_GB2312"/>
          <w:sz w:val="28"/>
          <w:szCs w:val="28"/>
        </w:rPr>
      </w:pPr>
      <w:r>
        <w:rPr>
          <w:rFonts w:hint="eastAsia" w:ascii="仿宋_GB2312" w:hAnsi="仿宋_GB2312" w:eastAsia="仿宋_GB2312" w:cs="仿宋_GB2312"/>
          <w:sz w:val="28"/>
          <w:szCs w:val="28"/>
        </w:rPr>
        <w:t>附件二</w:t>
      </w:r>
    </w:p>
    <w:p w14:paraId="3988C1F0">
      <w:pPr>
        <w:spacing w:before="342" w:line="175" w:lineRule="auto"/>
        <w:jc w:val="center"/>
        <w:rPr>
          <w:rFonts w:ascii="微软雅黑" w:hAnsi="微软雅黑" w:eastAsia="微软雅黑" w:cs="微软雅黑"/>
          <w:spacing w:val="-2"/>
          <w:sz w:val="40"/>
          <w:szCs w:val="40"/>
        </w:rPr>
      </w:pPr>
      <w:bookmarkStart w:id="70" w:name="_Toc9572"/>
      <w:r>
        <w:rPr>
          <w:rFonts w:ascii="微软雅黑" w:hAnsi="微软雅黑" w:eastAsia="微软雅黑" w:cs="微软雅黑"/>
          <w:spacing w:val="-2"/>
          <w:sz w:val="40"/>
          <w:szCs w:val="40"/>
        </w:rPr>
        <w:t>环境标志产品政府采购品目清单</w:t>
      </w:r>
      <w:bookmarkEnd w:id="70"/>
    </w:p>
    <w:p w14:paraId="2E6FF5BB">
      <w:pPr>
        <w:spacing w:before="41"/>
      </w:pPr>
    </w:p>
    <w:tbl>
      <w:tblPr>
        <w:tblStyle w:val="733"/>
        <w:tblW w:w="9214" w:type="dxa"/>
        <w:jc w:val="center"/>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Layout w:type="fixed"/>
        <w:tblCellMar>
          <w:top w:w="0" w:type="dxa"/>
          <w:left w:w="0" w:type="dxa"/>
          <w:bottom w:w="0" w:type="dxa"/>
          <w:right w:w="0" w:type="dxa"/>
        </w:tblCellMar>
      </w:tblPr>
      <w:tblGrid>
        <w:gridCol w:w="510"/>
        <w:gridCol w:w="1343"/>
        <w:gridCol w:w="2324"/>
        <w:gridCol w:w="1956"/>
        <w:gridCol w:w="3081"/>
      </w:tblGrid>
      <w:tr w14:paraId="7F0D114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03AD81CB">
            <w:pPr>
              <w:pStyle w:val="732"/>
              <w:spacing w:before="71" w:line="283" w:lineRule="auto"/>
              <w:ind w:left="114" w:right="107" w:firstLine="15"/>
            </w:pPr>
            <w:r>
              <w:rPr>
                <w:b/>
                <w:bCs/>
                <w:spacing w:val="-12"/>
              </w:rPr>
              <w:t>品目</w:t>
            </w:r>
            <w:r>
              <w:t xml:space="preserve"> </w:t>
            </w:r>
            <w:r>
              <w:rPr>
                <w:b/>
                <w:bCs/>
                <w:spacing w:val="-4"/>
              </w:rPr>
              <w:t>序号</w:t>
            </w:r>
          </w:p>
        </w:tc>
        <w:tc>
          <w:tcPr>
            <w:tcW w:w="6462" w:type="dxa"/>
            <w:gridSpan w:val="3"/>
          </w:tcPr>
          <w:p w14:paraId="08D23FFF">
            <w:pPr>
              <w:pStyle w:val="732"/>
              <w:spacing w:before="224" w:line="222" w:lineRule="auto"/>
              <w:ind w:left="3054"/>
            </w:pPr>
            <w:r>
              <w:rPr>
                <w:b/>
                <w:bCs/>
                <w:spacing w:val="-6"/>
              </w:rPr>
              <w:t>名称</w:t>
            </w:r>
          </w:p>
        </w:tc>
        <w:tc>
          <w:tcPr>
            <w:tcW w:w="3543" w:type="dxa"/>
          </w:tcPr>
          <w:p w14:paraId="3DA91D13">
            <w:pPr>
              <w:pStyle w:val="732"/>
              <w:spacing w:before="224" w:line="219" w:lineRule="auto"/>
              <w:ind w:left="1325"/>
            </w:pPr>
            <w:r>
              <w:rPr>
                <w:b/>
                <w:bCs/>
                <w:spacing w:val="-4"/>
              </w:rPr>
              <w:t>依据的标准</w:t>
            </w:r>
          </w:p>
        </w:tc>
      </w:tr>
      <w:tr w14:paraId="656777E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restart"/>
            <w:tcBorders>
              <w:bottom w:val="nil"/>
            </w:tcBorders>
          </w:tcPr>
          <w:p w14:paraId="17B25E6B">
            <w:pPr>
              <w:pStyle w:val="732"/>
              <w:spacing w:before="93" w:line="184" w:lineRule="auto"/>
              <w:ind w:left="128"/>
            </w:pPr>
            <w:r>
              <w:t>1</w:t>
            </w:r>
          </w:p>
        </w:tc>
        <w:tc>
          <w:tcPr>
            <w:tcW w:w="1542" w:type="dxa"/>
            <w:vMerge w:val="restart"/>
            <w:tcBorders>
              <w:bottom w:val="nil"/>
            </w:tcBorders>
          </w:tcPr>
          <w:p w14:paraId="49253628">
            <w:pPr>
              <w:pStyle w:val="732"/>
              <w:spacing w:before="66" w:line="307" w:lineRule="auto"/>
              <w:ind w:left="110" w:right="108" w:hanging="8"/>
            </w:pPr>
            <w:r>
              <w:rPr>
                <w:spacing w:val="3"/>
              </w:rPr>
              <w:t>A020101</w:t>
            </w:r>
            <w:r>
              <w:rPr>
                <w:spacing w:val="34"/>
              </w:rPr>
              <w:t xml:space="preserve"> </w:t>
            </w:r>
            <w:r>
              <w:rPr>
                <w:spacing w:val="3"/>
              </w:rPr>
              <w:t>计算机</w:t>
            </w:r>
            <w:r>
              <w:t xml:space="preserve"> </w:t>
            </w:r>
            <w:r>
              <w:rPr>
                <w:spacing w:val="-3"/>
              </w:rPr>
              <w:t>设备</w:t>
            </w:r>
          </w:p>
        </w:tc>
        <w:tc>
          <w:tcPr>
            <w:tcW w:w="2672" w:type="dxa"/>
          </w:tcPr>
          <w:p w14:paraId="54238BB7">
            <w:pPr>
              <w:pStyle w:val="732"/>
              <w:spacing w:before="66" w:line="220" w:lineRule="auto"/>
              <w:ind w:left="103"/>
            </w:pPr>
            <w:r>
              <w:rPr>
                <w:spacing w:val="-1"/>
              </w:rPr>
              <w:t>A02010103</w:t>
            </w:r>
            <w:r>
              <w:rPr>
                <w:spacing w:val="-32"/>
              </w:rPr>
              <w:t xml:space="preserve"> </w:t>
            </w:r>
            <w:r>
              <w:rPr>
                <w:spacing w:val="-1"/>
              </w:rPr>
              <w:t>服务器</w:t>
            </w:r>
          </w:p>
        </w:tc>
        <w:tc>
          <w:tcPr>
            <w:tcW w:w="2248" w:type="dxa"/>
          </w:tcPr>
          <w:p w14:paraId="5B64DD80">
            <w:pPr>
              <w:rPr>
                <w:rFonts w:ascii="Arial"/>
              </w:rPr>
            </w:pPr>
          </w:p>
        </w:tc>
        <w:tc>
          <w:tcPr>
            <w:tcW w:w="3543" w:type="dxa"/>
          </w:tcPr>
          <w:p w14:paraId="65324C2E">
            <w:pPr>
              <w:pStyle w:val="732"/>
              <w:spacing w:before="66" w:line="219" w:lineRule="auto"/>
              <w:ind w:left="109"/>
            </w:pPr>
            <w:r>
              <w:rPr>
                <w:spacing w:val="-2"/>
              </w:rPr>
              <w:t>HJ2507</w:t>
            </w:r>
            <w:r>
              <w:rPr>
                <w:spacing w:val="-20"/>
              </w:rPr>
              <w:t xml:space="preserve"> </w:t>
            </w:r>
            <w:r>
              <w:rPr>
                <w:spacing w:val="-2"/>
              </w:rPr>
              <w:t>网络服务器</w:t>
            </w:r>
          </w:p>
        </w:tc>
      </w:tr>
      <w:tr w14:paraId="75A8080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664E46C9">
            <w:pPr>
              <w:rPr>
                <w:rFonts w:ascii="Arial"/>
              </w:rPr>
            </w:pPr>
          </w:p>
        </w:tc>
        <w:tc>
          <w:tcPr>
            <w:tcW w:w="1542" w:type="dxa"/>
            <w:vMerge w:val="continue"/>
            <w:tcBorders>
              <w:top w:val="nil"/>
              <w:bottom w:val="nil"/>
            </w:tcBorders>
          </w:tcPr>
          <w:p w14:paraId="280B06D7">
            <w:pPr>
              <w:rPr>
                <w:rFonts w:ascii="Arial"/>
              </w:rPr>
            </w:pPr>
          </w:p>
        </w:tc>
        <w:tc>
          <w:tcPr>
            <w:tcW w:w="2672" w:type="dxa"/>
          </w:tcPr>
          <w:p w14:paraId="0F1243D0">
            <w:pPr>
              <w:pStyle w:val="732"/>
              <w:spacing w:before="65" w:line="219" w:lineRule="auto"/>
              <w:ind w:left="103"/>
            </w:pPr>
            <w:r>
              <w:rPr>
                <w:spacing w:val="-2"/>
              </w:rPr>
              <w:t>A02010104</w:t>
            </w:r>
            <w:r>
              <w:rPr>
                <w:spacing w:val="-14"/>
              </w:rPr>
              <w:t xml:space="preserve"> </w:t>
            </w:r>
            <w:r>
              <w:rPr>
                <w:spacing w:val="-2"/>
              </w:rPr>
              <w:t>台式计算机</w:t>
            </w:r>
          </w:p>
        </w:tc>
        <w:tc>
          <w:tcPr>
            <w:tcW w:w="2248" w:type="dxa"/>
          </w:tcPr>
          <w:p w14:paraId="0DE333E3">
            <w:pPr>
              <w:rPr>
                <w:rFonts w:ascii="Arial"/>
              </w:rPr>
            </w:pPr>
          </w:p>
        </w:tc>
        <w:tc>
          <w:tcPr>
            <w:tcW w:w="3543" w:type="dxa"/>
          </w:tcPr>
          <w:p w14:paraId="66CA4224">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073A63B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8DBDA0B">
            <w:pPr>
              <w:rPr>
                <w:rFonts w:ascii="Arial"/>
              </w:rPr>
            </w:pPr>
          </w:p>
        </w:tc>
        <w:tc>
          <w:tcPr>
            <w:tcW w:w="1542" w:type="dxa"/>
            <w:vMerge w:val="continue"/>
            <w:tcBorders>
              <w:top w:val="nil"/>
              <w:bottom w:val="nil"/>
            </w:tcBorders>
          </w:tcPr>
          <w:p w14:paraId="2F9D1A71">
            <w:pPr>
              <w:rPr>
                <w:rFonts w:ascii="Arial"/>
              </w:rPr>
            </w:pPr>
          </w:p>
        </w:tc>
        <w:tc>
          <w:tcPr>
            <w:tcW w:w="2672" w:type="dxa"/>
          </w:tcPr>
          <w:p w14:paraId="5EBABD93">
            <w:pPr>
              <w:pStyle w:val="732"/>
              <w:spacing w:before="64" w:line="219" w:lineRule="auto"/>
              <w:ind w:left="103"/>
            </w:pPr>
            <w:r>
              <w:rPr>
                <w:spacing w:val="-1"/>
              </w:rPr>
              <w:t>A02010105</w:t>
            </w:r>
            <w:r>
              <w:rPr>
                <w:spacing w:val="-30"/>
              </w:rPr>
              <w:t xml:space="preserve"> </w:t>
            </w:r>
            <w:r>
              <w:rPr>
                <w:spacing w:val="-1"/>
              </w:rPr>
              <w:t>便携式计算机</w:t>
            </w:r>
          </w:p>
        </w:tc>
        <w:tc>
          <w:tcPr>
            <w:tcW w:w="2248" w:type="dxa"/>
          </w:tcPr>
          <w:p w14:paraId="2CCA8E78">
            <w:pPr>
              <w:rPr>
                <w:rFonts w:ascii="Arial"/>
              </w:rPr>
            </w:pPr>
          </w:p>
        </w:tc>
        <w:tc>
          <w:tcPr>
            <w:tcW w:w="3543" w:type="dxa"/>
          </w:tcPr>
          <w:p w14:paraId="089947EC">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5C12E7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1546A6B4">
            <w:pPr>
              <w:rPr>
                <w:rFonts w:ascii="Arial"/>
              </w:rPr>
            </w:pPr>
          </w:p>
        </w:tc>
        <w:tc>
          <w:tcPr>
            <w:tcW w:w="1542" w:type="dxa"/>
            <w:vMerge w:val="continue"/>
            <w:tcBorders>
              <w:top w:val="nil"/>
              <w:bottom w:val="nil"/>
            </w:tcBorders>
          </w:tcPr>
          <w:p w14:paraId="2CB7747B">
            <w:pPr>
              <w:rPr>
                <w:rFonts w:ascii="Arial"/>
              </w:rPr>
            </w:pPr>
          </w:p>
        </w:tc>
        <w:tc>
          <w:tcPr>
            <w:tcW w:w="2672" w:type="dxa"/>
          </w:tcPr>
          <w:p w14:paraId="0ED29452">
            <w:pPr>
              <w:pStyle w:val="732"/>
              <w:spacing w:before="64" w:line="219" w:lineRule="auto"/>
              <w:ind w:left="103"/>
            </w:pPr>
            <w:r>
              <w:rPr>
                <w:spacing w:val="-1"/>
              </w:rPr>
              <w:t>A02010107</w:t>
            </w:r>
            <w:r>
              <w:rPr>
                <w:spacing w:val="-28"/>
              </w:rPr>
              <w:t xml:space="preserve"> </w:t>
            </w:r>
            <w:r>
              <w:rPr>
                <w:spacing w:val="-1"/>
              </w:rPr>
              <w:t>平板式微型计算机</w:t>
            </w:r>
          </w:p>
        </w:tc>
        <w:tc>
          <w:tcPr>
            <w:tcW w:w="2248" w:type="dxa"/>
          </w:tcPr>
          <w:p w14:paraId="55A00D4B">
            <w:pPr>
              <w:rPr>
                <w:rFonts w:ascii="Arial"/>
              </w:rPr>
            </w:pPr>
          </w:p>
        </w:tc>
        <w:tc>
          <w:tcPr>
            <w:tcW w:w="3543" w:type="dxa"/>
          </w:tcPr>
          <w:p w14:paraId="1CFA9FCE">
            <w:pPr>
              <w:pStyle w:val="732"/>
              <w:spacing w:before="63"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31AF21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32A0A5B0">
            <w:pPr>
              <w:rPr>
                <w:rFonts w:ascii="Arial"/>
              </w:rPr>
            </w:pPr>
          </w:p>
        </w:tc>
        <w:tc>
          <w:tcPr>
            <w:tcW w:w="1542" w:type="dxa"/>
            <w:vMerge w:val="continue"/>
            <w:tcBorders>
              <w:top w:val="nil"/>
              <w:bottom w:val="nil"/>
            </w:tcBorders>
          </w:tcPr>
          <w:p w14:paraId="383DFDE3">
            <w:pPr>
              <w:rPr>
                <w:rFonts w:ascii="Arial"/>
              </w:rPr>
            </w:pPr>
          </w:p>
        </w:tc>
        <w:tc>
          <w:tcPr>
            <w:tcW w:w="2672" w:type="dxa"/>
          </w:tcPr>
          <w:p w14:paraId="0D560EE1">
            <w:pPr>
              <w:pStyle w:val="732"/>
              <w:spacing w:before="65" w:line="219" w:lineRule="auto"/>
              <w:ind w:left="103"/>
            </w:pPr>
            <w:r>
              <w:rPr>
                <w:spacing w:val="-2"/>
              </w:rPr>
              <w:t>A02010108</w:t>
            </w:r>
            <w:r>
              <w:rPr>
                <w:spacing w:val="32"/>
              </w:rPr>
              <w:t xml:space="preserve"> </w:t>
            </w:r>
            <w:r>
              <w:rPr>
                <w:spacing w:val="-2"/>
              </w:rPr>
              <w:t>网络计算机</w:t>
            </w:r>
          </w:p>
        </w:tc>
        <w:tc>
          <w:tcPr>
            <w:tcW w:w="2248" w:type="dxa"/>
          </w:tcPr>
          <w:p w14:paraId="113A3EC0">
            <w:pPr>
              <w:rPr>
                <w:rFonts w:ascii="Arial"/>
              </w:rPr>
            </w:pPr>
          </w:p>
        </w:tc>
        <w:tc>
          <w:tcPr>
            <w:tcW w:w="3543" w:type="dxa"/>
          </w:tcPr>
          <w:p w14:paraId="570BFEC2">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0C08157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0DE141B8">
            <w:pPr>
              <w:rPr>
                <w:rFonts w:ascii="Arial"/>
              </w:rPr>
            </w:pPr>
          </w:p>
        </w:tc>
        <w:tc>
          <w:tcPr>
            <w:tcW w:w="1542" w:type="dxa"/>
            <w:vMerge w:val="continue"/>
            <w:tcBorders>
              <w:top w:val="nil"/>
              <w:bottom w:val="nil"/>
            </w:tcBorders>
          </w:tcPr>
          <w:p w14:paraId="43CFB0D2">
            <w:pPr>
              <w:rPr>
                <w:rFonts w:ascii="Arial"/>
              </w:rPr>
            </w:pPr>
          </w:p>
        </w:tc>
        <w:tc>
          <w:tcPr>
            <w:tcW w:w="2672" w:type="dxa"/>
          </w:tcPr>
          <w:p w14:paraId="07C0835E">
            <w:pPr>
              <w:pStyle w:val="732"/>
              <w:spacing w:before="64" w:line="219" w:lineRule="auto"/>
              <w:ind w:left="103"/>
            </w:pPr>
            <w:r>
              <w:t>A02010109 计算机工作站</w:t>
            </w:r>
          </w:p>
        </w:tc>
        <w:tc>
          <w:tcPr>
            <w:tcW w:w="2248" w:type="dxa"/>
          </w:tcPr>
          <w:p w14:paraId="4F19FB78">
            <w:pPr>
              <w:rPr>
                <w:rFonts w:ascii="Arial"/>
              </w:rPr>
            </w:pPr>
          </w:p>
        </w:tc>
        <w:tc>
          <w:tcPr>
            <w:tcW w:w="3543" w:type="dxa"/>
          </w:tcPr>
          <w:p w14:paraId="075B1C5C">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7F57E6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0364A426">
            <w:pPr>
              <w:rPr>
                <w:rFonts w:ascii="Arial"/>
              </w:rPr>
            </w:pPr>
          </w:p>
        </w:tc>
        <w:tc>
          <w:tcPr>
            <w:tcW w:w="1542" w:type="dxa"/>
            <w:vMerge w:val="continue"/>
            <w:tcBorders>
              <w:top w:val="nil"/>
            </w:tcBorders>
          </w:tcPr>
          <w:p w14:paraId="1065D876">
            <w:pPr>
              <w:rPr>
                <w:rFonts w:ascii="Arial"/>
              </w:rPr>
            </w:pPr>
          </w:p>
        </w:tc>
        <w:tc>
          <w:tcPr>
            <w:tcW w:w="2672" w:type="dxa"/>
          </w:tcPr>
          <w:p w14:paraId="49CD0351">
            <w:pPr>
              <w:pStyle w:val="732"/>
              <w:spacing w:before="64" w:line="219" w:lineRule="auto"/>
              <w:ind w:left="103"/>
            </w:pPr>
            <w:r>
              <w:rPr>
                <w:spacing w:val="-1"/>
              </w:rPr>
              <w:t>A02010199</w:t>
            </w:r>
            <w:r>
              <w:rPr>
                <w:spacing w:val="-29"/>
              </w:rPr>
              <w:t xml:space="preserve"> </w:t>
            </w:r>
            <w:r>
              <w:rPr>
                <w:spacing w:val="-1"/>
              </w:rPr>
              <w:t>其他计算机设备</w:t>
            </w:r>
          </w:p>
        </w:tc>
        <w:tc>
          <w:tcPr>
            <w:tcW w:w="2248" w:type="dxa"/>
          </w:tcPr>
          <w:p w14:paraId="402A650E">
            <w:pPr>
              <w:rPr>
                <w:rFonts w:ascii="Arial"/>
              </w:rPr>
            </w:pPr>
          </w:p>
        </w:tc>
        <w:tc>
          <w:tcPr>
            <w:tcW w:w="3543" w:type="dxa"/>
          </w:tcPr>
          <w:p w14:paraId="3A9DA87D">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1AFD554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002A023F">
            <w:pPr>
              <w:pStyle w:val="732"/>
              <w:spacing w:before="93" w:line="183" w:lineRule="auto"/>
              <w:ind w:left="116"/>
            </w:pPr>
            <w:r>
              <w:t>2</w:t>
            </w:r>
          </w:p>
        </w:tc>
        <w:tc>
          <w:tcPr>
            <w:tcW w:w="1542" w:type="dxa"/>
            <w:vMerge w:val="restart"/>
            <w:tcBorders>
              <w:bottom w:val="nil"/>
            </w:tcBorders>
          </w:tcPr>
          <w:p w14:paraId="2556D600">
            <w:pPr>
              <w:pStyle w:val="732"/>
              <w:spacing w:before="65" w:line="307" w:lineRule="auto"/>
              <w:ind w:left="123" w:right="108" w:hanging="21"/>
            </w:pPr>
            <w:r>
              <w:rPr>
                <w:spacing w:val="3"/>
              </w:rPr>
              <w:t>A020106</w:t>
            </w:r>
            <w:r>
              <w:rPr>
                <w:spacing w:val="34"/>
              </w:rPr>
              <w:t xml:space="preserve"> </w:t>
            </w:r>
            <w:r>
              <w:rPr>
                <w:spacing w:val="3"/>
              </w:rPr>
              <w:t>输入输</w:t>
            </w:r>
            <w:r>
              <w:rPr>
                <w:spacing w:val="-5"/>
              </w:rPr>
              <w:t>出设备</w:t>
            </w:r>
          </w:p>
        </w:tc>
        <w:tc>
          <w:tcPr>
            <w:tcW w:w="2672" w:type="dxa"/>
            <w:vMerge w:val="restart"/>
            <w:tcBorders>
              <w:bottom w:val="nil"/>
            </w:tcBorders>
          </w:tcPr>
          <w:p w14:paraId="69239FD5">
            <w:pPr>
              <w:pStyle w:val="732"/>
              <w:spacing w:before="64" w:line="220" w:lineRule="auto"/>
              <w:ind w:left="103"/>
            </w:pPr>
            <w:r>
              <w:rPr>
                <w:spacing w:val="-1"/>
              </w:rPr>
              <w:t>A02010601</w:t>
            </w:r>
            <w:r>
              <w:rPr>
                <w:spacing w:val="-31"/>
              </w:rPr>
              <w:t xml:space="preserve"> </w:t>
            </w:r>
            <w:r>
              <w:rPr>
                <w:spacing w:val="-1"/>
              </w:rPr>
              <w:t>打印设备</w:t>
            </w:r>
          </w:p>
        </w:tc>
        <w:tc>
          <w:tcPr>
            <w:tcW w:w="2248" w:type="dxa"/>
          </w:tcPr>
          <w:p w14:paraId="35BAF4DA">
            <w:pPr>
              <w:pStyle w:val="732"/>
              <w:spacing w:before="65" w:line="219" w:lineRule="auto"/>
              <w:ind w:left="105"/>
            </w:pPr>
            <w:r>
              <w:t>A0201060101 喷墨打印机</w:t>
            </w:r>
          </w:p>
        </w:tc>
        <w:tc>
          <w:tcPr>
            <w:tcW w:w="3543" w:type="dxa"/>
          </w:tcPr>
          <w:p w14:paraId="2B37E17D">
            <w:pPr>
              <w:pStyle w:val="732"/>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599B37E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7FB2B763">
            <w:pPr>
              <w:rPr>
                <w:rFonts w:ascii="Arial"/>
              </w:rPr>
            </w:pPr>
          </w:p>
        </w:tc>
        <w:tc>
          <w:tcPr>
            <w:tcW w:w="1542" w:type="dxa"/>
            <w:vMerge w:val="continue"/>
            <w:tcBorders>
              <w:top w:val="nil"/>
              <w:bottom w:val="nil"/>
            </w:tcBorders>
          </w:tcPr>
          <w:p w14:paraId="2BB318E8">
            <w:pPr>
              <w:rPr>
                <w:rFonts w:ascii="Arial"/>
              </w:rPr>
            </w:pPr>
          </w:p>
        </w:tc>
        <w:tc>
          <w:tcPr>
            <w:tcW w:w="2672" w:type="dxa"/>
            <w:vMerge w:val="continue"/>
            <w:tcBorders>
              <w:top w:val="nil"/>
              <w:bottom w:val="nil"/>
            </w:tcBorders>
          </w:tcPr>
          <w:p w14:paraId="232ACA92">
            <w:pPr>
              <w:rPr>
                <w:rFonts w:ascii="Arial"/>
              </w:rPr>
            </w:pPr>
          </w:p>
        </w:tc>
        <w:tc>
          <w:tcPr>
            <w:tcW w:w="2248" w:type="dxa"/>
          </w:tcPr>
          <w:p w14:paraId="179DA288">
            <w:pPr>
              <w:pStyle w:val="732"/>
              <w:spacing w:before="64" w:line="219" w:lineRule="auto"/>
              <w:ind w:left="105"/>
            </w:pPr>
            <w:r>
              <w:t>A0201060102 激光打印机</w:t>
            </w:r>
          </w:p>
        </w:tc>
        <w:tc>
          <w:tcPr>
            <w:tcW w:w="3543" w:type="dxa"/>
          </w:tcPr>
          <w:p w14:paraId="5044781D">
            <w:pPr>
              <w:pStyle w:val="732"/>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61AC8BB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71E5C225">
            <w:pPr>
              <w:rPr>
                <w:rFonts w:ascii="Arial"/>
              </w:rPr>
            </w:pPr>
          </w:p>
        </w:tc>
        <w:tc>
          <w:tcPr>
            <w:tcW w:w="1542" w:type="dxa"/>
            <w:vMerge w:val="continue"/>
            <w:tcBorders>
              <w:top w:val="nil"/>
              <w:bottom w:val="nil"/>
            </w:tcBorders>
          </w:tcPr>
          <w:p w14:paraId="6FC50B7E">
            <w:pPr>
              <w:rPr>
                <w:rFonts w:ascii="Arial"/>
              </w:rPr>
            </w:pPr>
          </w:p>
        </w:tc>
        <w:tc>
          <w:tcPr>
            <w:tcW w:w="2672" w:type="dxa"/>
            <w:vMerge w:val="continue"/>
            <w:tcBorders>
              <w:top w:val="nil"/>
              <w:bottom w:val="nil"/>
            </w:tcBorders>
          </w:tcPr>
          <w:p w14:paraId="465488A0">
            <w:pPr>
              <w:rPr>
                <w:rFonts w:ascii="Arial"/>
              </w:rPr>
            </w:pPr>
          </w:p>
        </w:tc>
        <w:tc>
          <w:tcPr>
            <w:tcW w:w="2248" w:type="dxa"/>
          </w:tcPr>
          <w:p w14:paraId="63F671A5">
            <w:pPr>
              <w:pStyle w:val="732"/>
              <w:spacing w:before="64" w:line="219" w:lineRule="auto"/>
              <w:ind w:left="105"/>
            </w:pPr>
            <w:r>
              <w:t>A0201060103 热式打印机</w:t>
            </w:r>
          </w:p>
        </w:tc>
        <w:tc>
          <w:tcPr>
            <w:tcW w:w="3543" w:type="dxa"/>
          </w:tcPr>
          <w:p w14:paraId="7E05E77A">
            <w:pPr>
              <w:pStyle w:val="732"/>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7D3626C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5CEB7FF1">
            <w:pPr>
              <w:rPr>
                <w:rFonts w:ascii="Arial"/>
              </w:rPr>
            </w:pPr>
          </w:p>
        </w:tc>
        <w:tc>
          <w:tcPr>
            <w:tcW w:w="1542" w:type="dxa"/>
            <w:vMerge w:val="continue"/>
            <w:tcBorders>
              <w:top w:val="nil"/>
              <w:bottom w:val="nil"/>
            </w:tcBorders>
          </w:tcPr>
          <w:p w14:paraId="0C61C4E9">
            <w:pPr>
              <w:rPr>
                <w:rFonts w:ascii="Arial"/>
              </w:rPr>
            </w:pPr>
          </w:p>
        </w:tc>
        <w:tc>
          <w:tcPr>
            <w:tcW w:w="2672" w:type="dxa"/>
            <w:vMerge w:val="continue"/>
            <w:tcBorders>
              <w:top w:val="nil"/>
            </w:tcBorders>
          </w:tcPr>
          <w:p w14:paraId="58FA8D35">
            <w:pPr>
              <w:rPr>
                <w:rFonts w:ascii="Arial"/>
              </w:rPr>
            </w:pPr>
          </w:p>
        </w:tc>
        <w:tc>
          <w:tcPr>
            <w:tcW w:w="2248" w:type="dxa"/>
          </w:tcPr>
          <w:p w14:paraId="605AF27A">
            <w:pPr>
              <w:pStyle w:val="732"/>
              <w:spacing w:before="65" w:line="219" w:lineRule="auto"/>
              <w:ind w:left="105"/>
            </w:pPr>
            <w:r>
              <w:t>A0201060104 针式打印机</w:t>
            </w:r>
          </w:p>
        </w:tc>
        <w:tc>
          <w:tcPr>
            <w:tcW w:w="3543" w:type="dxa"/>
          </w:tcPr>
          <w:p w14:paraId="3912028C">
            <w:pPr>
              <w:pStyle w:val="732"/>
              <w:spacing w:before="64"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2E7D080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4E290ABD">
            <w:pPr>
              <w:rPr>
                <w:rFonts w:ascii="Arial"/>
              </w:rPr>
            </w:pPr>
          </w:p>
        </w:tc>
        <w:tc>
          <w:tcPr>
            <w:tcW w:w="1542" w:type="dxa"/>
            <w:vMerge w:val="continue"/>
            <w:tcBorders>
              <w:top w:val="nil"/>
              <w:bottom w:val="nil"/>
            </w:tcBorders>
          </w:tcPr>
          <w:p w14:paraId="0ED01537">
            <w:pPr>
              <w:rPr>
                <w:rFonts w:ascii="Arial"/>
              </w:rPr>
            </w:pPr>
          </w:p>
        </w:tc>
        <w:tc>
          <w:tcPr>
            <w:tcW w:w="2672" w:type="dxa"/>
            <w:vMerge w:val="restart"/>
            <w:tcBorders>
              <w:bottom w:val="nil"/>
            </w:tcBorders>
          </w:tcPr>
          <w:p w14:paraId="61D686E6">
            <w:pPr>
              <w:pStyle w:val="732"/>
              <w:spacing w:before="64" w:line="222" w:lineRule="auto"/>
              <w:ind w:left="103"/>
            </w:pPr>
            <w:r>
              <w:t>A02010604 显示设备</w:t>
            </w:r>
          </w:p>
        </w:tc>
        <w:tc>
          <w:tcPr>
            <w:tcW w:w="2248" w:type="dxa"/>
          </w:tcPr>
          <w:p w14:paraId="003CC6D2">
            <w:pPr>
              <w:pStyle w:val="732"/>
              <w:spacing w:before="64" w:line="221" w:lineRule="auto"/>
              <w:ind w:left="105"/>
            </w:pPr>
            <w:r>
              <w:t>A0201060401 液晶显示器</w:t>
            </w:r>
          </w:p>
        </w:tc>
        <w:tc>
          <w:tcPr>
            <w:tcW w:w="3543" w:type="dxa"/>
          </w:tcPr>
          <w:p w14:paraId="271857C2">
            <w:pPr>
              <w:pStyle w:val="732"/>
              <w:spacing w:before="64"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1A4B02D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5BECC65C">
            <w:pPr>
              <w:rPr>
                <w:rFonts w:ascii="Arial"/>
              </w:rPr>
            </w:pPr>
          </w:p>
        </w:tc>
        <w:tc>
          <w:tcPr>
            <w:tcW w:w="1542" w:type="dxa"/>
            <w:vMerge w:val="continue"/>
            <w:tcBorders>
              <w:top w:val="nil"/>
              <w:bottom w:val="nil"/>
            </w:tcBorders>
          </w:tcPr>
          <w:p w14:paraId="3A77044E">
            <w:pPr>
              <w:rPr>
                <w:rFonts w:ascii="Arial"/>
              </w:rPr>
            </w:pPr>
          </w:p>
        </w:tc>
        <w:tc>
          <w:tcPr>
            <w:tcW w:w="2672" w:type="dxa"/>
            <w:vMerge w:val="continue"/>
            <w:tcBorders>
              <w:top w:val="nil"/>
            </w:tcBorders>
          </w:tcPr>
          <w:p w14:paraId="141DF46C">
            <w:pPr>
              <w:rPr>
                <w:rFonts w:ascii="Arial"/>
              </w:rPr>
            </w:pPr>
          </w:p>
        </w:tc>
        <w:tc>
          <w:tcPr>
            <w:tcW w:w="2248" w:type="dxa"/>
          </w:tcPr>
          <w:p w14:paraId="2CF5BA92">
            <w:pPr>
              <w:pStyle w:val="732"/>
              <w:spacing w:before="64" w:line="221" w:lineRule="auto"/>
              <w:ind w:left="105"/>
            </w:pPr>
            <w:r>
              <w:t>A0201060499 其他显示器</w:t>
            </w:r>
          </w:p>
        </w:tc>
        <w:tc>
          <w:tcPr>
            <w:tcW w:w="3543" w:type="dxa"/>
          </w:tcPr>
          <w:p w14:paraId="552AAE51">
            <w:pPr>
              <w:pStyle w:val="732"/>
              <w:spacing w:before="63" w:line="219" w:lineRule="auto"/>
              <w:ind w:left="109"/>
              <w:rPr>
                <w:lang w:eastAsia="zh-CN"/>
              </w:rPr>
            </w:pPr>
            <w:r>
              <w:rPr>
                <w:spacing w:val="-1"/>
                <w:lang w:eastAsia="zh-CN"/>
              </w:rPr>
              <w:t>HJ2536</w:t>
            </w:r>
            <w:r>
              <w:rPr>
                <w:spacing w:val="-28"/>
                <w:lang w:eastAsia="zh-CN"/>
              </w:rPr>
              <w:t xml:space="preserve"> </w:t>
            </w:r>
            <w:r>
              <w:rPr>
                <w:spacing w:val="-1"/>
                <w:lang w:eastAsia="zh-CN"/>
              </w:rPr>
              <w:t>微型计算机、显示器</w:t>
            </w:r>
          </w:p>
        </w:tc>
      </w:tr>
      <w:tr w14:paraId="744661F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06BBC45F">
            <w:pPr>
              <w:rPr>
                <w:rFonts w:ascii="Arial"/>
              </w:rPr>
            </w:pPr>
          </w:p>
        </w:tc>
        <w:tc>
          <w:tcPr>
            <w:tcW w:w="1542" w:type="dxa"/>
            <w:vMerge w:val="continue"/>
            <w:tcBorders>
              <w:top w:val="nil"/>
            </w:tcBorders>
          </w:tcPr>
          <w:p w14:paraId="52B1DF83">
            <w:pPr>
              <w:rPr>
                <w:rFonts w:ascii="Arial"/>
              </w:rPr>
            </w:pPr>
          </w:p>
        </w:tc>
        <w:tc>
          <w:tcPr>
            <w:tcW w:w="2672" w:type="dxa"/>
          </w:tcPr>
          <w:p w14:paraId="6F63DAD8">
            <w:pPr>
              <w:pStyle w:val="732"/>
              <w:spacing w:before="64" w:line="220" w:lineRule="auto"/>
              <w:ind w:left="103"/>
            </w:pPr>
            <w:r>
              <w:rPr>
                <w:spacing w:val="-2"/>
              </w:rPr>
              <w:t>A02010609</w:t>
            </w:r>
            <w:r>
              <w:rPr>
                <w:spacing w:val="-9"/>
              </w:rPr>
              <w:t xml:space="preserve"> </w:t>
            </w:r>
            <w:r>
              <w:rPr>
                <w:spacing w:val="-2"/>
              </w:rPr>
              <w:t>图形图像输入设备</w:t>
            </w:r>
          </w:p>
        </w:tc>
        <w:tc>
          <w:tcPr>
            <w:tcW w:w="2248" w:type="dxa"/>
          </w:tcPr>
          <w:p w14:paraId="65414C52">
            <w:pPr>
              <w:pStyle w:val="732"/>
              <w:spacing w:before="64" w:line="220" w:lineRule="auto"/>
              <w:ind w:left="105"/>
            </w:pPr>
            <w:r>
              <w:t>A0201060901 扫描仪</w:t>
            </w:r>
          </w:p>
        </w:tc>
        <w:tc>
          <w:tcPr>
            <w:tcW w:w="3543" w:type="dxa"/>
          </w:tcPr>
          <w:p w14:paraId="097FC60E">
            <w:pPr>
              <w:pStyle w:val="732"/>
              <w:spacing w:before="64" w:line="219" w:lineRule="auto"/>
              <w:ind w:left="109"/>
            </w:pPr>
            <w:r>
              <w:rPr>
                <w:spacing w:val="-1"/>
              </w:rPr>
              <w:t>HJ2517</w:t>
            </w:r>
            <w:r>
              <w:rPr>
                <w:spacing w:val="-34"/>
              </w:rPr>
              <w:t xml:space="preserve"> </w:t>
            </w:r>
            <w:r>
              <w:rPr>
                <w:spacing w:val="-1"/>
              </w:rPr>
              <w:t>扫描仪</w:t>
            </w:r>
          </w:p>
        </w:tc>
      </w:tr>
      <w:tr w14:paraId="788DF8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66DEDC92">
            <w:pPr>
              <w:pStyle w:val="732"/>
              <w:spacing w:before="93" w:line="183" w:lineRule="auto"/>
              <w:ind w:left="118"/>
            </w:pPr>
            <w:r>
              <w:t>3</w:t>
            </w:r>
          </w:p>
        </w:tc>
        <w:tc>
          <w:tcPr>
            <w:tcW w:w="1542" w:type="dxa"/>
          </w:tcPr>
          <w:p w14:paraId="60580C74">
            <w:pPr>
              <w:pStyle w:val="732"/>
              <w:spacing w:before="64" w:line="220" w:lineRule="auto"/>
              <w:ind w:left="102"/>
            </w:pPr>
            <w:r>
              <w:rPr>
                <w:spacing w:val="-1"/>
              </w:rPr>
              <w:t>A020202</w:t>
            </w:r>
            <w:r>
              <w:rPr>
                <w:spacing w:val="-33"/>
              </w:rPr>
              <w:t xml:space="preserve"> </w:t>
            </w:r>
            <w:r>
              <w:rPr>
                <w:spacing w:val="-1"/>
              </w:rPr>
              <w:t>投影仪</w:t>
            </w:r>
          </w:p>
        </w:tc>
        <w:tc>
          <w:tcPr>
            <w:tcW w:w="2672" w:type="dxa"/>
          </w:tcPr>
          <w:p w14:paraId="48250CD8">
            <w:pPr>
              <w:rPr>
                <w:rFonts w:ascii="Arial"/>
              </w:rPr>
            </w:pPr>
          </w:p>
        </w:tc>
        <w:tc>
          <w:tcPr>
            <w:tcW w:w="2248" w:type="dxa"/>
          </w:tcPr>
          <w:p w14:paraId="056AAB5C">
            <w:pPr>
              <w:rPr>
                <w:rFonts w:ascii="Arial"/>
              </w:rPr>
            </w:pPr>
          </w:p>
        </w:tc>
        <w:tc>
          <w:tcPr>
            <w:tcW w:w="3543" w:type="dxa"/>
          </w:tcPr>
          <w:p w14:paraId="780911EA">
            <w:pPr>
              <w:pStyle w:val="732"/>
              <w:spacing w:before="64" w:line="219" w:lineRule="auto"/>
              <w:ind w:left="109"/>
            </w:pPr>
            <w:r>
              <w:rPr>
                <w:spacing w:val="-1"/>
              </w:rPr>
              <w:t>HJ2516</w:t>
            </w:r>
            <w:r>
              <w:rPr>
                <w:spacing w:val="-34"/>
              </w:rPr>
              <w:t xml:space="preserve"> </w:t>
            </w:r>
            <w:r>
              <w:rPr>
                <w:spacing w:val="-1"/>
              </w:rPr>
              <w:t>投影仪</w:t>
            </w:r>
          </w:p>
        </w:tc>
      </w:tr>
      <w:tr w14:paraId="25FEB0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tcPr>
          <w:p w14:paraId="70B7198D">
            <w:pPr>
              <w:pStyle w:val="732"/>
              <w:spacing w:before="92" w:line="183" w:lineRule="auto"/>
              <w:ind w:left="114"/>
            </w:pPr>
            <w:r>
              <w:t>4</w:t>
            </w:r>
          </w:p>
        </w:tc>
        <w:tc>
          <w:tcPr>
            <w:tcW w:w="1542" w:type="dxa"/>
          </w:tcPr>
          <w:p w14:paraId="46681E9D">
            <w:pPr>
              <w:pStyle w:val="732"/>
              <w:spacing w:before="64" w:line="219" w:lineRule="auto"/>
              <w:ind w:left="102"/>
            </w:pPr>
            <w:r>
              <w:rPr>
                <w:spacing w:val="-1"/>
              </w:rPr>
              <w:t>A020201</w:t>
            </w:r>
            <w:r>
              <w:rPr>
                <w:spacing w:val="-32"/>
              </w:rPr>
              <w:t xml:space="preserve"> </w:t>
            </w:r>
            <w:r>
              <w:rPr>
                <w:spacing w:val="-1"/>
              </w:rPr>
              <w:t>复印机</w:t>
            </w:r>
          </w:p>
        </w:tc>
        <w:tc>
          <w:tcPr>
            <w:tcW w:w="2672" w:type="dxa"/>
          </w:tcPr>
          <w:p w14:paraId="3377D83B">
            <w:pPr>
              <w:rPr>
                <w:rFonts w:ascii="Arial"/>
              </w:rPr>
            </w:pPr>
          </w:p>
        </w:tc>
        <w:tc>
          <w:tcPr>
            <w:tcW w:w="2248" w:type="dxa"/>
          </w:tcPr>
          <w:p w14:paraId="5612A9A1">
            <w:pPr>
              <w:rPr>
                <w:rFonts w:ascii="Arial"/>
              </w:rPr>
            </w:pPr>
          </w:p>
        </w:tc>
        <w:tc>
          <w:tcPr>
            <w:tcW w:w="3543" w:type="dxa"/>
          </w:tcPr>
          <w:p w14:paraId="7676A4EB">
            <w:pPr>
              <w:pStyle w:val="732"/>
              <w:spacing w:before="64" w:line="219" w:lineRule="auto"/>
              <w:ind w:left="109"/>
              <w:rPr>
                <w:lang w:eastAsia="zh-CN"/>
              </w:rPr>
            </w:pPr>
            <w:r>
              <w:rPr>
                <w:lang w:eastAsia="zh-CN"/>
              </w:rPr>
              <w:t>HJ424 数字式复印（包括多功能）设备</w:t>
            </w:r>
          </w:p>
        </w:tc>
      </w:tr>
      <w:tr w14:paraId="7E1EF00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5BC7BCE8">
            <w:pPr>
              <w:pStyle w:val="732"/>
              <w:spacing w:before="94" w:line="182" w:lineRule="auto"/>
              <w:ind w:left="118"/>
            </w:pPr>
            <w:r>
              <w:t>5</w:t>
            </w:r>
          </w:p>
        </w:tc>
        <w:tc>
          <w:tcPr>
            <w:tcW w:w="1542" w:type="dxa"/>
          </w:tcPr>
          <w:p w14:paraId="33D1FF6C">
            <w:pPr>
              <w:pStyle w:val="732"/>
              <w:spacing w:before="64" w:line="284" w:lineRule="auto"/>
              <w:ind w:left="110" w:right="108" w:hanging="8"/>
            </w:pPr>
            <w:r>
              <w:rPr>
                <w:spacing w:val="2"/>
              </w:rPr>
              <w:t>A020204</w:t>
            </w:r>
            <w:r>
              <w:rPr>
                <w:spacing w:val="44"/>
              </w:rPr>
              <w:t xml:space="preserve"> </w:t>
            </w:r>
            <w:r>
              <w:rPr>
                <w:spacing w:val="2"/>
              </w:rPr>
              <w:t>多功能</w:t>
            </w:r>
            <w:r>
              <w:rPr>
                <w:spacing w:val="-4"/>
              </w:rPr>
              <w:t>一体机</w:t>
            </w:r>
          </w:p>
        </w:tc>
        <w:tc>
          <w:tcPr>
            <w:tcW w:w="2672" w:type="dxa"/>
          </w:tcPr>
          <w:p w14:paraId="788F765C">
            <w:pPr>
              <w:rPr>
                <w:rFonts w:ascii="Arial"/>
              </w:rPr>
            </w:pPr>
          </w:p>
        </w:tc>
        <w:tc>
          <w:tcPr>
            <w:tcW w:w="2248" w:type="dxa"/>
          </w:tcPr>
          <w:p w14:paraId="23F5588A">
            <w:pPr>
              <w:rPr>
                <w:rFonts w:ascii="Arial"/>
              </w:rPr>
            </w:pPr>
          </w:p>
        </w:tc>
        <w:tc>
          <w:tcPr>
            <w:tcW w:w="3543" w:type="dxa"/>
          </w:tcPr>
          <w:p w14:paraId="30186EEC">
            <w:pPr>
              <w:pStyle w:val="732"/>
              <w:spacing w:before="64" w:line="219" w:lineRule="auto"/>
              <w:ind w:left="109"/>
              <w:rPr>
                <w:lang w:eastAsia="zh-CN"/>
              </w:rPr>
            </w:pPr>
            <w:r>
              <w:rPr>
                <w:lang w:eastAsia="zh-CN"/>
              </w:rPr>
              <w:t>HJ424 数字式复印（包括多功能）设备</w:t>
            </w:r>
          </w:p>
        </w:tc>
      </w:tr>
      <w:tr w14:paraId="377DBC1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6CCF6183">
            <w:pPr>
              <w:pStyle w:val="732"/>
              <w:spacing w:before="94" w:line="183" w:lineRule="auto"/>
              <w:ind w:left="116"/>
            </w:pPr>
            <w:r>
              <w:t>6</w:t>
            </w:r>
          </w:p>
        </w:tc>
        <w:tc>
          <w:tcPr>
            <w:tcW w:w="1542" w:type="dxa"/>
          </w:tcPr>
          <w:p w14:paraId="7B50C1B1">
            <w:pPr>
              <w:pStyle w:val="732"/>
              <w:spacing w:before="66" w:line="283" w:lineRule="auto"/>
              <w:ind w:left="109" w:right="108" w:hanging="7"/>
            </w:pPr>
            <w:r>
              <w:rPr>
                <w:spacing w:val="-1"/>
              </w:rPr>
              <w:t>A020210</w:t>
            </w:r>
            <w:r>
              <w:rPr>
                <w:spacing w:val="32"/>
              </w:rPr>
              <w:t xml:space="preserve"> </w:t>
            </w:r>
            <w:r>
              <w:rPr>
                <w:spacing w:val="-1"/>
              </w:rPr>
              <w:t>文</w:t>
            </w:r>
            <w:r>
              <w:rPr>
                <w:spacing w:val="-48"/>
              </w:rPr>
              <w:t xml:space="preserve"> </w:t>
            </w:r>
            <w:r>
              <w:rPr>
                <w:spacing w:val="-1"/>
              </w:rPr>
              <w:t>印设</w:t>
            </w:r>
            <w:r>
              <w:t xml:space="preserve"> 备</w:t>
            </w:r>
          </w:p>
        </w:tc>
        <w:tc>
          <w:tcPr>
            <w:tcW w:w="2672" w:type="dxa"/>
          </w:tcPr>
          <w:p w14:paraId="145DC9FF">
            <w:pPr>
              <w:pStyle w:val="732"/>
              <w:spacing w:before="65" w:line="219" w:lineRule="auto"/>
              <w:ind w:left="103"/>
            </w:pPr>
            <w:r>
              <w:t>A02021001 速印机</w:t>
            </w:r>
          </w:p>
        </w:tc>
        <w:tc>
          <w:tcPr>
            <w:tcW w:w="2248" w:type="dxa"/>
          </w:tcPr>
          <w:p w14:paraId="4C9DAB57">
            <w:pPr>
              <w:rPr>
                <w:rFonts w:ascii="Arial"/>
              </w:rPr>
            </w:pPr>
          </w:p>
        </w:tc>
        <w:tc>
          <w:tcPr>
            <w:tcW w:w="3543" w:type="dxa"/>
          </w:tcPr>
          <w:p w14:paraId="457AE5D3">
            <w:pPr>
              <w:pStyle w:val="732"/>
              <w:spacing w:before="65" w:line="219" w:lineRule="auto"/>
              <w:ind w:left="109"/>
              <w:rPr>
                <w:lang w:eastAsia="zh-CN"/>
              </w:rPr>
            </w:pPr>
            <w:r>
              <w:rPr>
                <w:spacing w:val="-1"/>
                <w:lang w:eastAsia="zh-CN"/>
              </w:rPr>
              <w:t>HJ472 数字式一体化速印机</w:t>
            </w:r>
          </w:p>
        </w:tc>
      </w:tr>
      <w:tr w14:paraId="7AAE833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64" w:hRule="atLeast"/>
          <w:jc w:val="center"/>
        </w:trPr>
        <w:tc>
          <w:tcPr>
            <w:tcW w:w="583" w:type="dxa"/>
          </w:tcPr>
          <w:p w14:paraId="26803390">
            <w:pPr>
              <w:pStyle w:val="732"/>
              <w:spacing w:before="95" w:line="182" w:lineRule="auto"/>
              <w:ind w:left="119"/>
            </w:pPr>
            <w:r>
              <w:t>7</w:t>
            </w:r>
          </w:p>
        </w:tc>
        <w:tc>
          <w:tcPr>
            <w:tcW w:w="1542" w:type="dxa"/>
          </w:tcPr>
          <w:p w14:paraId="6C373610">
            <w:pPr>
              <w:pStyle w:val="732"/>
              <w:spacing w:before="67" w:line="301" w:lineRule="auto"/>
              <w:ind w:left="109" w:right="32" w:hanging="7"/>
              <w:rPr>
                <w:lang w:eastAsia="zh-CN"/>
              </w:rPr>
            </w:pPr>
            <w:r>
              <w:rPr>
                <w:spacing w:val="3"/>
                <w:lang w:eastAsia="zh-CN"/>
              </w:rPr>
              <w:t>A020301</w:t>
            </w:r>
            <w:r>
              <w:rPr>
                <w:spacing w:val="34"/>
                <w:lang w:eastAsia="zh-CN"/>
              </w:rPr>
              <w:t xml:space="preserve"> </w:t>
            </w:r>
            <w:r>
              <w:rPr>
                <w:spacing w:val="3"/>
                <w:lang w:eastAsia="zh-CN"/>
              </w:rPr>
              <w:t>载货汽</w:t>
            </w:r>
            <w:r>
              <w:rPr>
                <w:lang w:eastAsia="zh-CN"/>
              </w:rPr>
              <w:t xml:space="preserve">  </w:t>
            </w:r>
            <w:r>
              <w:rPr>
                <w:spacing w:val="-6"/>
                <w:lang w:eastAsia="zh-CN"/>
              </w:rPr>
              <w:t>车（含自卸汽车）</w:t>
            </w:r>
          </w:p>
        </w:tc>
        <w:tc>
          <w:tcPr>
            <w:tcW w:w="2672" w:type="dxa"/>
          </w:tcPr>
          <w:p w14:paraId="1F1D524F">
            <w:pPr>
              <w:rPr>
                <w:rFonts w:ascii="Arial"/>
              </w:rPr>
            </w:pPr>
          </w:p>
        </w:tc>
        <w:tc>
          <w:tcPr>
            <w:tcW w:w="2248" w:type="dxa"/>
          </w:tcPr>
          <w:p w14:paraId="59D9D688">
            <w:pPr>
              <w:rPr>
                <w:rFonts w:ascii="Arial"/>
              </w:rPr>
            </w:pPr>
          </w:p>
        </w:tc>
        <w:tc>
          <w:tcPr>
            <w:tcW w:w="3543" w:type="dxa"/>
          </w:tcPr>
          <w:p w14:paraId="3F65A95F">
            <w:pPr>
              <w:pStyle w:val="732"/>
              <w:spacing w:before="65" w:line="219" w:lineRule="auto"/>
              <w:ind w:left="109"/>
            </w:pPr>
            <w:r>
              <w:rPr>
                <w:spacing w:val="-1"/>
              </w:rPr>
              <w:t>HJ2532</w:t>
            </w:r>
            <w:r>
              <w:rPr>
                <w:spacing w:val="-35"/>
              </w:rPr>
              <w:t xml:space="preserve"> </w:t>
            </w:r>
            <w:r>
              <w:rPr>
                <w:spacing w:val="-1"/>
              </w:rPr>
              <w:t>轻型汽车</w:t>
            </w:r>
          </w:p>
        </w:tc>
      </w:tr>
      <w:tr w14:paraId="1EB9D5B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6" w:hRule="atLeast"/>
          <w:jc w:val="center"/>
        </w:trPr>
        <w:tc>
          <w:tcPr>
            <w:tcW w:w="583" w:type="dxa"/>
            <w:vMerge w:val="restart"/>
            <w:tcBorders>
              <w:bottom w:val="nil"/>
            </w:tcBorders>
          </w:tcPr>
          <w:p w14:paraId="64AE9FA9">
            <w:pPr>
              <w:pStyle w:val="732"/>
              <w:spacing w:before="95" w:line="183" w:lineRule="auto"/>
              <w:ind w:left="115"/>
            </w:pPr>
            <w:r>
              <w:t>8</w:t>
            </w:r>
          </w:p>
        </w:tc>
        <w:tc>
          <w:tcPr>
            <w:tcW w:w="1542" w:type="dxa"/>
            <w:vMerge w:val="restart"/>
            <w:tcBorders>
              <w:bottom w:val="nil"/>
            </w:tcBorders>
          </w:tcPr>
          <w:p w14:paraId="3FD98C4A">
            <w:pPr>
              <w:pStyle w:val="732"/>
              <w:spacing w:before="65" w:line="307" w:lineRule="auto"/>
              <w:ind w:left="112" w:right="108" w:hanging="10"/>
            </w:pPr>
            <w:r>
              <w:rPr>
                <w:spacing w:val="3"/>
              </w:rPr>
              <w:t>A020305</w:t>
            </w:r>
            <w:r>
              <w:rPr>
                <w:spacing w:val="34"/>
              </w:rPr>
              <w:t xml:space="preserve"> </w:t>
            </w:r>
            <w:r>
              <w:rPr>
                <w:spacing w:val="3"/>
              </w:rPr>
              <w:t>乘用车</w:t>
            </w:r>
            <w:r>
              <w:rPr>
                <w:spacing w:val="-3"/>
              </w:rPr>
              <w:t>（轿车）</w:t>
            </w:r>
          </w:p>
        </w:tc>
        <w:tc>
          <w:tcPr>
            <w:tcW w:w="2672" w:type="dxa"/>
          </w:tcPr>
          <w:p w14:paraId="78CACA1E">
            <w:pPr>
              <w:pStyle w:val="732"/>
              <w:spacing w:before="66" w:line="220" w:lineRule="auto"/>
              <w:ind w:left="103"/>
            </w:pPr>
            <w:r>
              <w:t>A02030501 轿车</w:t>
            </w:r>
          </w:p>
        </w:tc>
        <w:tc>
          <w:tcPr>
            <w:tcW w:w="2248" w:type="dxa"/>
          </w:tcPr>
          <w:p w14:paraId="62248D70">
            <w:pPr>
              <w:rPr>
                <w:rFonts w:ascii="Arial"/>
              </w:rPr>
            </w:pPr>
          </w:p>
        </w:tc>
        <w:tc>
          <w:tcPr>
            <w:tcW w:w="3543" w:type="dxa"/>
          </w:tcPr>
          <w:p w14:paraId="44630BC6">
            <w:pPr>
              <w:pStyle w:val="732"/>
              <w:spacing w:before="66" w:line="219" w:lineRule="auto"/>
              <w:ind w:left="109"/>
            </w:pPr>
            <w:r>
              <w:rPr>
                <w:spacing w:val="-1"/>
              </w:rPr>
              <w:t>HJ2532</w:t>
            </w:r>
            <w:r>
              <w:rPr>
                <w:spacing w:val="-35"/>
              </w:rPr>
              <w:t xml:space="preserve"> </w:t>
            </w:r>
            <w:r>
              <w:rPr>
                <w:spacing w:val="-1"/>
              </w:rPr>
              <w:t>轻型汽车</w:t>
            </w:r>
          </w:p>
        </w:tc>
      </w:tr>
      <w:tr w14:paraId="0D68493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719F663A">
            <w:pPr>
              <w:rPr>
                <w:rFonts w:ascii="Arial"/>
              </w:rPr>
            </w:pPr>
          </w:p>
        </w:tc>
        <w:tc>
          <w:tcPr>
            <w:tcW w:w="1542" w:type="dxa"/>
            <w:vMerge w:val="continue"/>
            <w:tcBorders>
              <w:top w:val="nil"/>
            </w:tcBorders>
          </w:tcPr>
          <w:p w14:paraId="233832C4">
            <w:pPr>
              <w:rPr>
                <w:rFonts w:ascii="Arial"/>
              </w:rPr>
            </w:pPr>
          </w:p>
        </w:tc>
        <w:tc>
          <w:tcPr>
            <w:tcW w:w="2672" w:type="dxa"/>
          </w:tcPr>
          <w:p w14:paraId="11B73B7E">
            <w:pPr>
              <w:pStyle w:val="732"/>
              <w:spacing w:before="66" w:line="220" w:lineRule="auto"/>
              <w:ind w:left="103"/>
            </w:pPr>
            <w:r>
              <w:rPr>
                <w:spacing w:val="-1"/>
              </w:rPr>
              <w:t>A02030599</w:t>
            </w:r>
            <w:r>
              <w:rPr>
                <w:spacing w:val="-28"/>
              </w:rPr>
              <w:t xml:space="preserve"> </w:t>
            </w:r>
            <w:r>
              <w:rPr>
                <w:spacing w:val="-1"/>
              </w:rPr>
              <w:t>其他乘用车（轿车）</w:t>
            </w:r>
          </w:p>
        </w:tc>
        <w:tc>
          <w:tcPr>
            <w:tcW w:w="2248" w:type="dxa"/>
          </w:tcPr>
          <w:p w14:paraId="41FCF90F">
            <w:pPr>
              <w:rPr>
                <w:rFonts w:ascii="Arial"/>
              </w:rPr>
            </w:pPr>
          </w:p>
        </w:tc>
        <w:tc>
          <w:tcPr>
            <w:tcW w:w="3543" w:type="dxa"/>
          </w:tcPr>
          <w:p w14:paraId="5524DE4D">
            <w:pPr>
              <w:pStyle w:val="732"/>
              <w:spacing w:before="66" w:line="219" w:lineRule="auto"/>
              <w:ind w:left="109"/>
            </w:pPr>
            <w:r>
              <w:rPr>
                <w:spacing w:val="-1"/>
              </w:rPr>
              <w:t>HJ2532</w:t>
            </w:r>
            <w:r>
              <w:rPr>
                <w:spacing w:val="-35"/>
              </w:rPr>
              <w:t xml:space="preserve"> </w:t>
            </w:r>
            <w:r>
              <w:rPr>
                <w:spacing w:val="-1"/>
              </w:rPr>
              <w:t>轻型汽车</w:t>
            </w:r>
          </w:p>
        </w:tc>
      </w:tr>
      <w:tr w14:paraId="5327ED9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5D08303B">
            <w:pPr>
              <w:pStyle w:val="732"/>
              <w:spacing w:before="94" w:line="183" w:lineRule="auto"/>
              <w:ind w:left="115"/>
            </w:pPr>
            <w:r>
              <w:t>9</w:t>
            </w:r>
          </w:p>
        </w:tc>
        <w:tc>
          <w:tcPr>
            <w:tcW w:w="1542" w:type="dxa"/>
          </w:tcPr>
          <w:p w14:paraId="5FF39384">
            <w:pPr>
              <w:pStyle w:val="732"/>
              <w:spacing w:before="66" w:line="220" w:lineRule="auto"/>
              <w:ind w:left="102"/>
            </w:pPr>
            <w:r>
              <w:rPr>
                <w:spacing w:val="-1"/>
              </w:rPr>
              <w:t>A020306</w:t>
            </w:r>
            <w:r>
              <w:rPr>
                <w:spacing w:val="-33"/>
              </w:rPr>
              <w:t xml:space="preserve"> </w:t>
            </w:r>
            <w:r>
              <w:rPr>
                <w:spacing w:val="-1"/>
              </w:rPr>
              <w:t>客车</w:t>
            </w:r>
          </w:p>
        </w:tc>
        <w:tc>
          <w:tcPr>
            <w:tcW w:w="2672" w:type="dxa"/>
          </w:tcPr>
          <w:p w14:paraId="0098CC12">
            <w:pPr>
              <w:pStyle w:val="732"/>
              <w:spacing w:before="66" w:line="220" w:lineRule="auto"/>
              <w:ind w:left="103"/>
            </w:pPr>
            <w:r>
              <w:rPr>
                <w:spacing w:val="-1"/>
              </w:rPr>
              <w:t>A02030601</w:t>
            </w:r>
            <w:r>
              <w:rPr>
                <w:spacing w:val="-30"/>
              </w:rPr>
              <w:t xml:space="preserve"> </w:t>
            </w:r>
            <w:r>
              <w:rPr>
                <w:spacing w:val="-1"/>
              </w:rPr>
              <w:t>小型客车</w:t>
            </w:r>
          </w:p>
        </w:tc>
        <w:tc>
          <w:tcPr>
            <w:tcW w:w="2248" w:type="dxa"/>
          </w:tcPr>
          <w:p w14:paraId="005BDD7A">
            <w:pPr>
              <w:rPr>
                <w:rFonts w:ascii="Arial"/>
              </w:rPr>
            </w:pPr>
          </w:p>
        </w:tc>
        <w:tc>
          <w:tcPr>
            <w:tcW w:w="3543" w:type="dxa"/>
          </w:tcPr>
          <w:p w14:paraId="4FD87461">
            <w:pPr>
              <w:pStyle w:val="732"/>
              <w:spacing w:before="66" w:line="219" w:lineRule="auto"/>
              <w:ind w:left="109"/>
            </w:pPr>
            <w:r>
              <w:rPr>
                <w:spacing w:val="-1"/>
              </w:rPr>
              <w:t>HJ2532</w:t>
            </w:r>
            <w:r>
              <w:rPr>
                <w:spacing w:val="-35"/>
              </w:rPr>
              <w:t xml:space="preserve"> </w:t>
            </w:r>
            <w:r>
              <w:rPr>
                <w:spacing w:val="-1"/>
              </w:rPr>
              <w:t>轻型汽车</w:t>
            </w:r>
          </w:p>
        </w:tc>
      </w:tr>
      <w:tr w14:paraId="7EF9D48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3C3D820F">
            <w:pPr>
              <w:pStyle w:val="732"/>
              <w:spacing w:before="94" w:line="184" w:lineRule="auto"/>
              <w:ind w:left="128"/>
            </w:pPr>
            <w:r>
              <w:rPr>
                <w:spacing w:val="-10"/>
              </w:rPr>
              <w:t>10</w:t>
            </w:r>
          </w:p>
        </w:tc>
        <w:tc>
          <w:tcPr>
            <w:tcW w:w="1542" w:type="dxa"/>
          </w:tcPr>
          <w:p w14:paraId="13A4EC66">
            <w:pPr>
              <w:pStyle w:val="732"/>
              <w:spacing w:before="66" w:line="283" w:lineRule="auto"/>
              <w:ind w:left="106" w:right="108" w:hanging="4"/>
            </w:pPr>
            <w:r>
              <w:rPr>
                <w:spacing w:val="3"/>
              </w:rPr>
              <w:t>A020307</w:t>
            </w:r>
            <w:r>
              <w:rPr>
                <w:spacing w:val="34"/>
              </w:rPr>
              <w:t xml:space="preserve"> </w:t>
            </w:r>
            <w:r>
              <w:rPr>
                <w:spacing w:val="3"/>
              </w:rPr>
              <w:t>专用车</w:t>
            </w:r>
            <w:r>
              <w:t xml:space="preserve"> 辆</w:t>
            </w:r>
          </w:p>
        </w:tc>
        <w:tc>
          <w:tcPr>
            <w:tcW w:w="2672" w:type="dxa"/>
          </w:tcPr>
          <w:p w14:paraId="08C4A351">
            <w:pPr>
              <w:pStyle w:val="732"/>
              <w:spacing w:before="66" w:line="220" w:lineRule="auto"/>
              <w:ind w:left="103"/>
            </w:pPr>
            <w:r>
              <w:rPr>
                <w:spacing w:val="-1"/>
              </w:rPr>
              <w:t>A02030799</w:t>
            </w:r>
            <w:r>
              <w:rPr>
                <w:spacing w:val="-30"/>
              </w:rPr>
              <w:t xml:space="preserve"> </w:t>
            </w:r>
            <w:r>
              <w:rPr>
                <w:spacing w:val="-1"/>
              </w:rPr>
              <w:t>其他专用汽车</w:t>
            </w:r>
          </w:p>
        </w:tc>
        <w:tc>
          <w:tcPr>
            <w:tcW w:w="2248" w:type="dxa"/>
          </w:tcPr>
          <w:p w14:paraId="3EDB6CDC">
            <w:pPr>
              <w:rPr>
                <w:rFonts w:ascii="Arial"/>
              </w:rPr>
            </w:pPr>
          </w:p>
        </w:tc>
        <w:tc>
          <w:tcPr>
            <w:tcW w:w="3543" w:type="dxa"/>
          </w:tcPr>
          <w:p w14:paraId="4FAA6489">
            <w:pPr>
              <w:pStyle w:val="732"/>
              <w:spacing w:before="66" w:line="219" w:lineRule="auto"/>
              <w:ind w:left="109"/>
            </w:pPr>
            <w:r>
              <w:rPr>
                <w:spacing w:val="-1"/>
              </w:rPr>
              <w:t>HJ2532</w:t>
            </w:r>
            <w:r>
              <w:rPr>
                <w:spacing w:val="-35"/>
              </w:rPr>
              <w:t xml:space="preserve"> </w:t>
            </w:r>
            <w:r>
              <w:rPr>
                <w:spacing w:val="-1"/>
              </w:rPr>
              <w:t>轻型汽车</w:t>
            </w:r>
          </w:p>
        </w:tc>
      </w:tr>
      <w:tr w14:paraId="2B6E6F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9" w:hRule="atLeast"/>
          <w:jc w:val="center"/>
        </w:trPr>
        <w:tc>
          <w:tcPr>
            <w:tcW w:w="583" w:type="dxa"/>
            <w:vMerge w:val="restart"/>
            <w:tcBorders>
              <w:bottom w:val="nil"/>
            </w:tcBorders>
          </w:tcPr>
          <w:p w14:paraId="7EC70198">
            <w:pPr>
              <w:pStyle w:val="732"/>
              <w:spacing w:before="97" w:line="184" w:lineRule="auto"/>
              <w:ind w:left="128"/>
            </w:pPr>
            <w:r>
              <w:rPr>
                <w:spacing w:val="-10"/>
              </w:rPr>
              <w:t>11</w:t>
            </w:r>
          </w:p>
        </w:tc>
        <w:tc>
          <w:tcPr>
            <w:tcW w:w="1542" w:type="dxa"/>
            <w:vMerge w:val="restart"/>
            <w:tcBorders>
              <w:bottom w:val="nil"/>
            </w:tcBorders>
          </w:tcPr>
          <w:p w14:paraId="56342EFA">
            <w:pPr>
              <w:pStyle w:val="732"/>
              <w:spacing w:before="70" w:line="307" w:lineRule="auto"/>
              <w:ind w:left="109" w:right="108" w:hanging="7"/>
            </w:pPr>
            <w:r>
              <w:rPr>
                <w:spacing w:val="3"/>
              </w:rPr>
              <w:t>A020523</w:t>
            </w:r>
            <w:r>
              <w:rPr>
                <w:spacing w:val="34"/>
              </w:rPr>
              <w:t xml:space="preserve"> </w:t>
            </w:r>
            <w:r>
              <w:rPr>
                <w:spacing w:val="3"/>
              </w:rPr>
              <w:t>制冷空</w:t>
            </w:r>
            <w:r>
              <w:rPr>
                <w:spacing w:val="-2"/>
              </w:rPr>
              <w:t>调设备</w:t>
            </w:r>
          </w:p>
        </w:tc>
        <w:tc>
          <w:tcPr>
            <w:tcW w:w="2672" w:type="dxa"/>
          </w:tcPr>
          <w:p w14:paraId="149FC5C2">
            <w:pPr>
              <w:pStyle w:val="732"/>
              <w:spacing w:before="70" w:line="219" w:lineRule="auto"/>
              <w:ind w:left="103"/>
            </w:pPr>
            <w:r>
              <w:t>A02052301 制冷压缩机</w:t>
            </w:r>
          </w:p>
        </w:tc>
        <w:tc>
          <w:tcPr>
            <w:tcW w:w="2248" w:type="dxa"/>
          </w:tcPr>
          <w:p w14:paraId="2DC2730A">
            <w:pPr>
              <w:rPr>
                <w:rFonts w:ascii="Arial"/>
              </w:rPr>
            </w:pPr>
          </w:p>
        </w:tc>
        <w:tc>
          <w:tcPr>
            <w:tcW w:w="3543" w:type="dxa"/>
          </w:tcPr>
          <w:p w14:paraId="227C9FB4">
            <w:pPr>
              <w:pStyle w:val="732"/>
              <w:spacing w:before="69" w:line="219" w:lineRule="auto"/>
              <w:ind w:left="109"/>
            </w:pPr>
            <w:r>
              <w:rPr>
                <w:spacing w:val="-1"/>
              </w:rPr>
              <w:t>HJ2531</w:t>
            </w:r>
            <w:r>
              <w:rPr>
                <w:spacing w:val="-32"/>
              </w:rPr>
              <w:t xml:space="preserve"> </w:t>
            </w:r>
            <w:r>
              <w:rPr>
                <w:spacing w:val="-1"/>
              </w:rPr>
              <w:t>工商用制冷设备</w:t>
            </w:r>
          </w:p>
        </w:tc>
      </w:tr>
      <w:tr w14:paraId="104052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bottom w:val="nil"/>
            </w:tcBorders>
          </w:tcPr>
          <w:p w14:paraId="4171DF9F">
            <w:pPr>
              <w:rPr>
                <w:rFonts w:ascii="Arial"/>
              </w:rPr>
            </w:pPr>
          </w:p>
        </w:tc>
        <w:tc>
          <w:tcPr>
            <w:tcW w:w="1542" w:type="dxa"/>
            <w:vMerge w:val="continue"/>
            <w:tcBorders>
              <w:top w:val="nil"/>
              <w:bottom w:val="nil"/>
            </w:tcBorders>
          </w:tcPr>
          <w:p w14:paraId="18C3B3D9">
            <w:pPr>
              <w:rPr>
                <w:rFonts w:ascii="Arial"/>
              </w:rPr>
            </w:pPr>
          </w:p>
        </w:tc>
        <w:tc>
          <w:tcPr>
            <w:tcW w:w="2672" w:type="dxa"/>
          </w:tcPr>
          <w:p w14:paraId="60909929">
            <w:pPr>
              <w:pStyle w:val="732"/>
              <w:spacing w:before="67" w:line="219" w:lineRule="auto"/>
              <w:ind w:left="103"/>
            </w:pPr>
            <w:r>
              <w:t>A02052305 空调机组</w:t>
            </w:r>
          </w:p>
        </w:tc>
        <w:tc>
          <w:tcPr>
            <w:tcW w:w="2248" w:type="dxa"/>
          </w:tcPr>
          <w:p w14:paraId="228C1466">
            <w:pPr>
              <w:rPr>
                <w:rFonts w:ascii="Arial"/>
              </w:rPr>
            </w:pPr>
          </w:p>
        </w:tc>
        <w:tc>
          <w:tcPr>
            <w:tcW w:w="3543" w:type="dxa"/>
          </w:tcPr>
          <w:p w14:paraId="10B25CCF">
            <w:pPr>
              <w:pStyle w:val="732"/>
              <w:spacing w:before="67" w:line="219" w:lineRule="auto"/>
              <w:ind w:left="109"/>
            </w:pPr>
            <w:r>
              <w:rPr>
                <w:spacing w:val="-1"/>
              </w:rPr>
              <w:t>HJ2531</w:t>
            </w:r>
            <w:r>
              <w:rPr>
                <w:spacing w:val="-32"/>
              </w:rPr>
              <w:t xml:space="preserve"> </w:t>
            </w:r>
            <w:r>
              <w:rPr>
                <w:spacing w:val="-1"/>
              </w:rPr>
              <w:t>工商用制冷设备</w:t>
            </w:r>
          </w:p>
        </w:tc>
      </w:tr>
      <w:tr w14:paraId="7C31A53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16" w:hRule="atLeast"/>
          <w:jc w:val="center"/>
        </w:trPr>
        <w:tc>
          <w:tcPr>
            <w:tcW w:w="583" w:type="dxa"/>
            <w:vMerge w:val="continue"/>
            <w:tcBorders>
              <w:top w:val="nil"/>
            </w:tcBorders>
          </w:tcPr>
          <w:p w14:paraId="65969F0B">
            <w:pPr>
              <w:rPr>
                <w:rFonts w:ascii="Arial"/>
              </w:rPr>
            </w:pPr>
          </w:p>
        </w:tc>
        <w:tc>
          <w:tcPr>
            <w:tcW w:w="1542" w:type="dxa"/>
            <w:vMerge w:val="continue"/>
            <w:tcBorders>
              <w:top w:val="nil"/>
            </w:tcBorders>
          </w:tcPr>
          <w:p w14:paraId="77ED60E3">
            <w:pPr>
              <w:rPr>
                <w:rFonts w:ascii="Arial"/>
              </w:rPr>
            </w:pPr>
          </w:p>
        </w:tc>
        <w:tc>
          <w:tcPr>
            <w:tcW w:w="2672" w:type="dxa"/>
          </w:tcPr>
          <w:p w14:paraId="129FBB50">
            <w:pPr>
              <w:pStyle w:val="732"/>
              <w:spacing w:before="67" w:line="221" w:lineRule="auto"/>
              <w:ind w:left="103"/>
              <w:rPr>
                <w:lang w:eastAsia="zh-CN"/>
              </w:rPr>
            </w:pPr>
            <w:r>
              <w:rPr>
                <w:spacing w:val="-2"/>
                <w:lang w:eastAsia="zh-CN"/>
              </w:rPr>
              <w:t>A02052309</w:t>
            </w:r>
            <w:r>
              <w:rPr>
                <w:spacing w:val="-27"/>
                <w:lang w:eastAsia="zh-CN"/>
              </w:rPr>
              <w:t xml:space="preserve"> </w:t>
            </w:r>
            <w:r>
              <w:rPr>
                <w:spacing w:val="-2"/>
                <w:lang w:eastAsia="zh-CN"/>
              </w:rPr>
              <w:t>专用制冷、空调设备</w:t>
            </w:r>
          </w:p>
        </w:tc>
        <w:tc>
          <w:tcPr>
            <w:tcW w:w="2248" w:type="dxa"/>
          </w:tcPr>
          <w:p w14:paraId="37E0F613">
            <w:pPr>
              <w:rPr>
                <w:rFonts w:ascii="Arial"/>
              </w:rPr>
            </w:pPr>
          </w:p>
        </w:tc>
        <w:tc>
          <w:tcPr>
            <w:tcW w:w="3543" w:type="dxa"/>
          </w:tcPr>
          <w:p w14:paraId="0359A88D">
            <w:pPr>
              <w:pStyle w:val="732"/>
              <w:spacing w:before="67" w:line="219" w:lineRule="auto"/>
              <w:ind w:left="109"/>
            </w:pPr>
            <w:r>
              <w:rPr>
                <w:spacing w:val="-1"/>
              </w:rPr>
              <w:t>HJ2531</w:t>
            </w:r>
            <w:r>
              <w:rPr>
                <w:spacing w:val="-32"/>
              </w:rPr>
              <w:t xml:space="preserve"> </w:t>
            </w:r>
            <w:r>
              <w:rPr>
                <w:spacing w:val="-1"/>
              </w:rPr>
              <w:t>工商用制冷设备</w:t>
            </w:r>
          </w:p>
        </w:tc>
      </w:tr>
      <w:tr w14:paraId="261BA84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0B0F71A0">
            <w:pPr>
              <w:pStyle w:val="732"/>
              <w:spacing w:before="96" w:line="184" w:lineRule="auto"/>
              <w:ind w:left="128"/>
            </w:pPr>
            <w:r>
              <w:rPr>
                <w:spacing w:val="-10"/>
              </w:rPr>
              <w:t>12</w:t>
            </w:r>
          </w:p>
        </w:tc>
        <w:tc>
          <w:tcPr>
            <w:tcW w:w="1542" w:type="dxa"/>
            <w:vMerge w:val="restart"/>
            <w:tcBorders>
              <w:bottom w:val="nil"/>
            </w:tcBorders>
          </w:tcPr>
          <w:p w14:paraId="137072FE">
            <w:pPr>
              <w:pStyle w:val="732"/>
              <w:spacing w:before="68" w:line="309" w:lineRule="auto"/>
              <w:ind w:left="128" w:right="108" w:hanging="26"/>
            </w:pPr>
            <w:r>
              <w:rPr>
                <w:spacing w:val="3"/>
              </w:rPr>
              <w:t>A020618</w:t>
            </w:r>
            <w:r>
              <w:rPr>
                <w:spacing w:val="34"/>
              </w:rPr>
              <w:t xml:space="preserve"> </w:t>
            </w:r>
            <w:r>
              <w:rPr>
                <w:spacing w:val="3"/>
              </w:rPr>
              <w:t>生活用</w:t>
            </w:r>
            <w:r>
              <w:rPr>
                <w:spacing w:val="-8"/>
              </w:rPr>
              <w:t>电器</w:t>
            </w:r>
          </w:p>
        </w:tc>
        <w:tc>
          <w:tcPr>
            <w:tcW w:w="2672" w:type="dxa"/>
          </w:tcPr>
          <w:p w14:paraId="3A6353A9">
            <w:pPr>
              <w:pStyle w:val="732"/>
              <w:spacing w:before="68" w:line="221" w:lineRule="auto"/>
              <w:ind w:left="103"/>
            </w:pPr>
            <w:r>
              <w:rPr>
                <w:spacing w:val="-1"/>
              </w:rPr>
              <w:t>A02061802</w:t>
            </w:r>
            <w:r>
              <w:rPr>
                <w:spacing w:val="-29"/>
              </w:rPr>
              <w:t xml:space="preserve"> </w:t>
            </w:r>
            <w:r>
              <w:rPr>
                <w:spacing w:val="-1"/>
              </w:rPr>
              <w:t>空气调节电器</w:t>
            </w:r>
          </w:p>
        </w:tc>
        <w:tc>
          <w:tcPr>
            <w:tcW w:w="2248" w:type="dxa"/>
          </w:tcPr>
          <w:p w14:paraId="3C64F450">
            <w:pPr>
              <w:pStyle w:val="732"/>
              <w:spacing w:before="68" w:line="219" w:lineRule="auto"/>
              <w:ind w:left="105"/>
            </w:pPr>
            <w:r>
              <w:rPr>
                <w:spacing w:val="-1"/>
              </w:rPr>
              <w:t>A0206180203</w:t>
            </w:r>
            <w:r>
              <w:rPr>
                <w:spacing w:val="-28"/>
              </w:rPr>
              <w:t xml:space="preserve"> </w:t>
            </w:r>
            <w:r>
              <w:rPr>
                <w:spacing w:val="-1"/>
              </w:rPr>
              <w:t>空调机</w:t>
            </w:r>
          </w:p>
        </w:tc>
        <w:tc>
          <w:tcPr>
            <w:tcW w:w="3543" w:type="dxa"/>
          </w:tcPr>
          <w:p w14:paraId="688B9662">
            <w:pPr>
              <w:pStyle w:val="732"/>
              <w:spacing w:before="68" w:line="219" w:lineRule="auto"/>
              <w:ind w:left="109"/>
            </w:pPr>
            <w:r>
              <w:rPr>
                <w:spacing w:val="-1"/>
              </w:rPr>
              <w:t>HJ2535</w:t>
            </w:r>
            <w:r>
              <w:rPr>
                <w:spacing w:val="-32"/>
              </w:rPr>
              <w:t xml:space="preserve"> </w:t>
            </w:r>
            <w:r>
              <w:rPr>
                <w:spacing w:val="-1"/>
              </w:rPr>
              <w:t>房间空气调节器</w:t>
            </w:r>
          </w:p>
        </w:tc>
      </w:tr>
      <w:tr w14:paraId="3286ACF9">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10" w:hRule="atLeast"/>
          <w:jc w:val="center"/>
        </w:trPr>
        <w:tc>
          <w:tcPr>
            <w:tcW w:w="583" w:type="dxa"/>
            <w:vMerge w:val="continue"/>
            <w:tcBorders>
              <w:top w:val="nil"/>
            </w:tcBorders>
          </w:tcPr>
          <w:p w14:paraId="2C1A8468">
            <w:pPr>
              <w:rPr>
                <w:rFonts w:ascii="Arial"/>
              </w:rPr>
            </w:pPr>
          </w:p>
        </w:tc>
        <w:tc>
          <w:tcPr>
            <w:tcW w:w="1542" w:type="dxa"/>
            <w:vMerge w:val="continue"/>
            <w:tcBorders>
              <w:top w:val="nil"/>
            </w:tcBorders>
          </w:tcPr>
          <w:p w14:paraId="48F6616B">
            <w:pPr>
              <w:rPr>
                <w:rFonts w:ascii="Arial"/>
              </w:rPr>
            </w:pPr>
          </w:p>
        </w:tc>
        <w:tc>
          <w:tcPr>
            <w:tcW w:w="2672" w:type="dxa"/>
          </w:tcPr>
          <w:p w14:paraId="3E5DCCD1">
            <w:pPr>
              <w:pStyle w:val="732"/>
              <w:spacing w:before="68" w:line="220" w:lineRule="auto"/>
              <w:ind w:left="103"/>
            </w:pPr>
            <w:r>
              <w:rPr>
                <w:spacing w:val="-1"/>
              </w:rPr>
              <w:t>A02061808</w:t>
            </w:r>
            <w:r>
              <w:rPr>
                <w:spacing w:val="-31"/>
              </w:rPr>
              <w:t xml:space="preserve"> </w:t>
            </w:r>
            <w:r>
              <w:rPr>
                <w:spacing w:val="-1"/>
              </w:rPr>
              <w:t>热水器</w:t>
            </w:r>
          </w:p>
        </w:tc>
        <w:tc>
          <w:tcPr>
            <w:tcW w:w="2248" w:type="dxa"/>
          </w:tcPr>
          <w:p w14:paraId="45566C9F">
            <w:pPr>
              <w:rPr>
                <w:rFonts w:ascii="Arial"/>
              </w:rPr>
            </w:pPr>
          </w:p>
        </w:tc>
        <w:tc>
          <w:tcPr>
            <w:tcW w:w="3543" w:type="dxa"/>
          </w:tcPr>
          <w:p w14:paraId="6659913C">
            <w:pPr>
              <w:pStyle w:val="732"/>
              <w:spacing w:before="67" w:line="219" w:lineRule="auto"/>
              <w:ind w:left="109"/>
            </w:pPr>
            <w:r>
              <w:rPr>
                <w:spacing w:val="-1"/>
              </w:rPr>
              <w:t>HJ/T362</w:t>
            </w:r>
            <w:r>
              <w:rPr>
                <w:spacing w:val="-33"/>
              </w:rPr>
              <w:t xml:space="preserve"> </w:t>
            </w:r>
            <w:r>
              <w:rPr>
                <w:spacing w:val="-1"/>
              </w:rPr>
              <w:t>太阳能集热器</w:t>
            </w:r>
          </w:p>
        </w:tc>
      </w:tr>
      <w:tr w14:paraId="2C725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5B5FA0D8">
            <w:pPr>
              <w:pStyle w:val="732"/>
              <w:spacing w:before="95" w:line="184" w:lineRule="auto"/>
              <w:ind w:left="128"/>
            </w:pPr>
            <w:r>
              <w:rPr>
                <w:spacing w:val="-10"/>
              </w:rPr>
              <w:t>13</w:t>
            </w:r>
          </w:p>
        </w:tc>
        <w:tc>
          <w:tcPr>
            <w:tcW w:w="1542" w:type="dxa"/>
          </w:tcPr>
          <w:p w14:paraId="1B1946E5">
            <w:pPr>
              <w:pStyle w:val="732"/>
              <w:spacing w:before="69" w:line="284" w:lineRule="auto"/>
              <w:ind w:left="109" w:right="108" w:hanging="7"/>
            </w:pPr>
            <w:r>
              <w:rPr>
                <w:spacing w:val="-2"/>
              </w:rPr>
              <w:t>A020619</w:t>
            </w:r>
            <w:r>
              <w:rPr>
                <w:spacing w:val="39"/>
              </w:rPr>
              <w:t xml:space="preserve"> </w:t>
            </w:r>
            <w:r>
              <w:rPr>
                <w:spacing w:val="-2"/>
              </w:rPr>
              <w:t>照</w:t>
            </w:r>
            <w:r>
              <w:rPr>
                <w:spacing w:val="-45"/>
              </w:rPr>
              <w:t xml:space="preserve"> </w:t>
            </w:r>
            <w:r>
              <w:rPr>
                <w:spacing w:val="-2"/>
              </w:rPr>
              <w:t>明设</w:t>
            </w:r>
            <w:r>
              <w:t xml:space="preserve"> 备</w:t>
            </w:r>
          </w:p>
        </w:tc>
        <w:tc>
          <w:tcPr>
            <w:tcW w:w="2672" w:type="dxa"/>
          </w:tcPr>
          <w:p w14:paraId="02FDF60F">
            <w:pPr>
              <w:pStyle w:val="732"/>
              <w:spacing w:before="68" w:line="220" w:lineRule="auto"/>
              <w:ind w:left="103"/>
            </w:pPr>
            <w:r>
              <w:rPr>
                <w:spacing w:val="-1"/>
              </w:rPr>
              <w:t>A02061908</w:t>
            </w:r>
            <w:r>
              <w:rPr>
                <w:spacing w:val="-29"/>
              </w:rPr>
              <w:t xml:space="preserve"> </w:t>
            </w:r>
            <w:r>
              <w:rPr>
                <w:spacing w:val="-1"/>
              </w:rPr>
              <w:t>室内照明灯具</w:t>
            </w:r>
          </w:p>
        </w:tc>
        <w:tc>
          <w:tcPr>
            <w:tcW w:w="2248" w:type="dxa"/>
          </w:tcPr>
          <w:p w14:paraId="776F1C09">
            <w:pPr>
              <w:rPr>
                <w:rFonts w:ascii="Arial"/>
              </w:rPr>
            </w:pPr>
          </w:p>
        </w:tc>
        <w:tc>
          <w:tcPr>
            <w:tcW w:w="3543" w:type="dxa"/>
          </w:tcPr>
          <w:p w14:paraId="6EDD9DCC">
            <w:pPr>
              <w:pStyle w:val="732"/>
              <w:spacing w:before="67" w:line="219" w:lineRule="auto"/>
              <w:ind w:left="109"/>
            </w:pPr>
            <w:r>
              <w:rPr>
                <w:spacing w:val="-1"/>
              </w:rPr>
              <w:t>HJ2518</w:t>
            </w:r>
            <w:r>
              <w:rPr>
                <w:spacing w:val="-35"/>
              </w:rPr>
              <w:t xml:space="preserve"> </w:t>
            </w:r>
            <w:r>
              <w:rPr>
                <w:spacing w:val="-1"/>
              </w:rPr>
              <w:t>照明光源</w:t>
            </w:r>
          </w:p>
        </w:tc>
      </w:tr>
      <w:tr w14:paraId="12358D9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14:paraId="52C368F2">
            <w:pPr>
              <w:pStyle w:val="732"/>
              <w:spacing w:before="91" w:line="184" w:lineRule="auto"/>
              <w:ind w:left="128"/>
            </w:pPr>
            <w:r>
              <w:rPr>
                <w:spacing w:val="-10"/>
              </w:rPr>
              <w:t>14</w:t>
            </w:r>
          </w:p>
        </w:tc>
        <w:tc>
          <w:tcPr>
            <w:tcW w:w="1542" w:type="dxa"/>
          </w:tcPr>
          <w:p w14:paraId="745DBFD1">
            <w:pPr>
              <w:pStyle w:val="732"/>
              <w:spacing w:before="64" w:line="296" w:lineRule="auto"/>
              <w:ind w:left="109" w:right="106" w:hanging="7"/>
              <w:rPr>
                <w:lang w:eastAsia="zh-CN"/>
              </w:rPr>
            </w:pPr>
            <w:r>
              <w:rPr>
                <w:spacing w:val="3"/>
                <w:lang w:eastAsia="zh-CN"/>
              </w:rPr>
              <w:t>A020810</w:t>
            </w:r>
            <w:r>
              <w:rPr>
                <w:spacing w:val="34"/>
                <w:lang w:eastAsia="zh-CN"/>
              </w:rPr>
              <w:t xml:space="preserve"> </w:t>
            </w:r>
            <w:r>
              <w:rPr>
                <w:spacing w:val="3"/>
                <w:lang w:eastAsia="zh-CN"/>
              </w:rPr>
              <w:t>传真及</w:t>
            </w:r>
            <w:r>
              <w:rPr>
                <w:lang w:eastAsia="zh-CN"/>
              </w:rPr>
              <w:t xml:space="preserve"> </w:t>
            </w:r>
            <w:r>
              <w:rPr>
                <w:spacing w:val="8"/>
                <w:lang w:eastAsia="zh-CN"/>
              </w:rPr>
              <w:t>数据数字通信设</w:t>
            </w:r>
            <w:r>
              <w:rPr>
                <w:spacing w:val="4"/>
                <w:lang w:eastAsia="zh-CN"/>
              </w:rPr>
              <w:t xml:space="preserve"> </w:t>
            </w:r>
            <w:r>
              <w:rPr>
                <w:lang w:eastAsia="zh-CN"/>
              </w:rPr>
              <w:t>备</w:t>
            </w:r>
          </w:p>
        </w:tc>
        <w:tc>
          <w:tcPr>
            <w:tcW w:w="2672" w:type="dxa"/>
          </w:tcPr>
          <w:p w14:paraId="5106F218">
            <w:pPr>
              <w:pStyle w:val="732"/>
              <w:spacing w:before="64" w:line="219" w:lineRule="auto"/>
              <w:ind w:left="103"/>
            </w:pPr>
            <w:r>
              <w:rPr>
                <w:spacing w:val="-1"/>
              </w:rPr>
              <w:t>A02081001</w:t>
            </w:r>
            <w:r>
              <w:rPr>
                <w:spacing w:val="-30"/>
              </w:rPr>
              <w:t xml:space="preserve"> </w:t>
            </w:r>
            <w:r>
              <w:rPr>
                <w:spacing w:val="-1"/>
              </w:rPr>
              <w:t>传真通信设备</w:t>
            </w:r>
          </w:p>
        </w:tc>
        <w:tc>
          <w:tcPr>
            <w:tcW w:w="2248" w:type="dxa"/>
          </w:tcPr>
          <w:p w14:paraId="4428302C">
            <w:pPr>
              <w:rPr>
                <w:rFonts w:ascii="Arial"/>
              </w:rPr>
            </w:pPr>
          </w:p>
        </w:tc>
        <w:tc>
          <w:tcPr>
            <w:tcW w:w="3543" w:type="dxa"/>
          </w:tcPr>
          <w:p w14:paraId="17E20FB3">
            <w:pPr>
              <w:pStyle w:val="732"/>
              <w:spacing w:before="63" w:line="219" w:lineRule="auto"/>
              <w:ind w:left="109"/>
              <w:rPr>
                <w:lang w:eastAsia="zh-CN"/>
              </w:rPr>
            </w:pPr>
            <w:r>
              <w:rPr>
                <w:spacing w:val="-1"/>
                <w:lang w:eastAsia="zh-CN"/>
              </w:rPr>
              <w:t>HJ2512</w:t>
            </w:r>
            <w:r>
              <w:rPr>
                <w:spacing w:val="-29"/>
                <w:lang w:eastAsia="zh-CN"/>
              </w:rPr>
              <w:t xml:space="preserve"> </w:t>
            </w:r>
            <w:r>
              <w:rPr>
                <w:spacing w:val="-1"/>
                <w:lang w:eastAsia="zh-CN"/>
              </w:rPr>
              <w:t>打印机、传真机及多功能一体机</w:t>
            </w:r>
          </w:p>
        </w:tc>
      </w:tr>
      <w:tr w14:paraId="5099CFA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751EB13C">
            <w:pPr>
              <w:pStyle w:val="732"/>
              <w:spacing w:before="92" w:line="184" w:lineRule="auto"/>
              <w:ind w:left="128"/>
            </w:pPr>
            <w:r>
              <w:rPr>
                <w:spacing w:val="-10"/>
              </w:rPr>
              <w:t>15</w:t>
            </w:r>
          </w:p>
        </w:tc>
        <w:tc>
          <w:tcPr>
            <w:tcW w:w="1542" w:type="dxa"/>
            <w:vMerge w:val="restart"/>
            <w:tcBorders>
              <w:bottom w:val="nil"/>
            </w:tcBorders>
          </w:tcPr>
          <w:p w14:paraId="66D02F7B">
            <w:pPr>
              <w:pStyle w:val="732"/>
              <w:spacing w:before="65" w:line="307" w:lineRule="auto"/>
              <w:ind w:left="109" w:right="108" w:hanging="7"/>
            </w:pPr>
            <w:r>
              <w:rPr>
                <w:spacing w:val="1"/>
              </w:rPr>
              <w:t>A020910</w:t>
            </w:r>
            <w:r>
              <w:rPr>
                <w:spacing w:val="54"/>
              </w:rPr>
              <w:t xml:space="preserve"> </w:t>
            </w:r>
            <w:r>
              <w:rPr>
                <w:spacing w:val="1"/>
              </w:rPr>
              <w:t>电视设</w:t>
            </w:r>
            <w:r>
              <w:t xml:space="preserve"> 备</w:t>
            </w:r>
          </w:p>
        </w:tc>
        <w:tc>
          <w:tcPr>
            <w:tcW w:w="2672" w:type="dxa"/>
          </w:tcPr>
          <w:p w14:paraId="34ED45A4">
            <w:pPr>
              <w:pStyle w:val="732"/>
              <w:spacing w:before="64" w:line="284" w:lineRule="auto"/>
              <w:ind w:left="107" w:right="107" w:hanging="4"/>
              <w:rPr>
                <w:lang w:eastAsia="zh-CN"/>
              </w:rPr>
            </w:pPr>
            <w:r>
              <w:rPr>
                <w:spacing w:val="-2"/>
                <w:lang w:eastAsia="zh-CN"/>
              </w:rPr>
              <w:t>A02091001</w:t>
            </w:r>
            <w:r>
              <w:rPr>
                <w:spacing w:val="-29"/>
                <w:lang w:eastAsia="zh-CN"/>
              </w:rPr>
              <w:t xml:space="preserve"> </w:t>
            </w:r>
            <w:r>
              <w:rPr>
                <w:spacing w:val="-2"/>
                <w:lang w:eastAsia="zh-CN"/>
              </w:rPr>
              <w:t>普通电视设备（电视</w:t>
            </w:r>
            <w:r>
              <w:rPr>
                <w:lang w:eastAsia="zh-CN"/>
              </w:rPr>
              <w:t xml:space="preserve"> </w:t>
            </w:r>
            <w:r>
              <w:rPr>
                <w:spacing w:val="-4"/>
                <w:lang w:eastAsia="zh-CN"/>
              </w:rPr>
              <w:t>机）</w:t>
            </w:r>
          </w:p>
        </w:tc>
        <w:tc>
          <w:tcPr>
            <w:tcW w:w="2248" w:type="dxa"/>
          </w:tcPr>
          <w:p w14:paraId="5073F313">
            <w:pPr>
              <w:rPr>
                <w:rFonts w:ascii="Arial"/>
              </w:rPr>
            </w:pPr>
          </w:p>
        </w:tc>
        <w:tc>
          <w:tcPr>
            <w:tcW w:w="3543" w:type="dxa"/>
          </w:tcPr>
          <w:p w14:paraId="6D71CDBC">
            <w:pPr>
              <w:pStyle w:val="732"/>
              <w:spacing w:before="64" w:line="219" w:lineRule="auto"/>
              <w:ind w:left="109"/>
              <w:rPr>
                <w:lang w:eastAsia="zh-CN"/>
              </w:rPr>
            </w:pPr>
            <w:r>
              <w:rPr>
                <w:spacing w:val="-1"/>
                <w:lang w:eastAsia="zh-CN"/>
              </w:rPr>
              <w:t>HJ2506</w:t>
            </w:r>
            <w:r>
              <w:rPr>
                <w:spacing w:val="-31"/>
                <w:lang w:eastAsia="zh-CN"/>
              </w:rPr>
              <w:t xml:space="preserve"> </w:t>
            </w:r>
            <w:r>
              <w:rPr>
                <w:spacing w:val="-1"/>
                <w:lang w:eastAsia="zh-CN"/>
              </w:rPr>
              <w:t>彩色电视广播接收机</w:t>
            </w:r>
          </w:p>
        </w:tc>
      </w:tr>
      <w:tr w14:paraId="62F957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14:paraId="1F02C900">
            <w:pPr>
              <w:rPr>
                <w:rFonts w:ascii="Arial"/>
              </w:rPr>
            </w:pPr>
          </w:p>
        </w:tc>
        <w:tc>
          <w:tcPr>
            <w:tcW w:w="1542" w:type="dxa"/>
            <w:vMerge w:val="continue"/>
            <w:tcBorders>
              <w:top w:val="nil"/>
            </w:tcBorders>
          </w:tcPr>
          <w:p w14:paraId="5FE3E14D">
            <w:pPr>
              <w:rPr>
                <w:rFonts w:ascii="Arial"/>
              </w:rPr>
            </w:pPr>
          </w:p>
        </w:tc>
        <w:tc>
          <w:tcPr>
            <w:tcW w:w="2672" w:type="dxa"/>
          </w:tcPr>
          <w:p w14:paraId="036E42D3">
            <w:pPr>
              <w:pStyle w:val="732"/>
              <w:spacing w:before="67" w:line="284" w:lineRule="auto"/>
              <w:ind w:left="111" w:right="107" w:hanging="8"/>
              <w:rPr>
                <w:lang w:eastAsia="zh-CN"/>
              </w:rPr>
            </w:pPr>
            <w:r>
              <w:rPr>
                <w:spacing w:val="6"/>
                <w:lang w:eastAsia="zh-CN"/>
              </w:rPr>
              <w:t>A02091003 特殊功能应用电视</w:t>
            </w:r>
            <w:r>
              <w:rPr>
                <w:spacing w:val="7"/>
                <w:lang w:eastAsia="zh-CN"/>
              </w:rPr>
              <w:t xml:space="preserve"> </w:t>
            </w:r>
            <w:r>
              <w:rPr>
                <w:spacing w:val="-3"/>
                <w:lang w:eastAsia="zh-CN"/>
              </w:rPr>
              <w:t>设备</w:t>
            </w:r>
          </w:p>
        </w:tc>
        <w:tc>
          <w:tcPr>
            <w:tcW w:w="2248" w:type="dxa"/>
          </w:tcPr>
          <w:p w14:paraId="369A6ECA">
            <w:pPr>
              <w:rPr>
                <w:rFonts w:ascii="Arial"/>
              </w:rPr>
            </w:pPr>
          </w:p>
        </w:tc>
        <w:tc>
          <w:tcPr>
            <w:tcW w:w="3543" w:type="dxa"/>
          </w:tcPr>
          <w:p w14:paraId="52450530">
            <w:pPr>
              <w:pStyle w:val="732"/>
              <w:spacing w:before="67" w:line="219" w:lineRule="auto"/>
              <w:ind w:left="109"/>
              <w:rPr>
                <w:lang w:eastAsia="zh-CN"/>
              </w:rPr>
            </w:pPr>
            <w:r>
              <w:rPr>
                <w:spacing w:val="-1"/>
                <w:lang w:eastAsia="zh-CN"/>
              </w:rPr>
              <w:t>HJ2506</w:t>
            </w:r>
            <w:r>
              <w:rPr>
                <w:spacing w:val="-31"/>
                <w:lang w:eastAsia="zh-CN"/>
              </w:rPr>
              <w:t xml:space="preserve"> </w:t>
            </w:r>
            <w:r>
              <w:rPr>
                <w:spacing w:val="-1"/>
                <w:lang w:eastAsia="zh-CN"/>
              </w:rPr>
              <w:t>彩色电视广播接收机</w:t>
            </w:r>
          </w:p>
        </w:tc>
      </w:tr>
      <w:tr w14:paraId="001F3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restart"/>
            <w:tcBorders>
              <w:bottom w:val="nil"/>
            </w:tcBorders>
          </w:tcPr>
          <w:p w14:paraId="01DD748E">
            <w:pPr>
              <w:pStyle w:val="732"/>
              <w:spacing w:before="92" w:line="184" w:lineRule="auto"/>
              <w:ind w:left="128"/>
            </w:pPr>
            <w:r>
              <w:rPr>
                <w:spacing w:val="-10"/>
              </w:rPr>
              <w:t>16</w:t>
            </w:r>
          </w:p>
        </w:tc>
        <w:tc>
          <w:tcPr>
            <w:tcW w:w="1542" w:type="dxa"/>
            <w:vMerge w:val="restart"/>
            <w:tcBorders>
              <w:bottom w:val="nil"/>
            </w:tcBorders>
          </w:tcPr>
          <w:p w14:paraId="4DEF1003">
            <w:pPr>
              <w:pStyle w:val="732"/>
              <w:spacing w:before="65" w:line="220" w:lineRule="auto"/>
              <w:ind w:left="193"/>
            </w:pPr>
            <w:r>
              <w:rPr>
                <w:spacing w:val="-1"/>
              </w:rPr>
              <w:t>A0601</w:t>
            </w:r>
            <w:r>
              <w:rPr>
                <w:spacing w:val="-36"/>
              </w:rPr>
              <w:t xml:space="preserve"> </w:t>
            </w:r>
            <w:r>
              <w:rPr>
                <w:spacing w:val="-1"/>
              </w:rPr>
              <w:t>床类</w:t>
            </w:r>
          </w:p>
        </w:tc>
        <w:tc>
          <w:tcPr>
            <w:tcW w:w="2672" w:type="dxa"/>
          </w:tcPr>
          <w:p w14:paraId="47313266">
            <w:pPr>
              <w:pStyle w:val="732"/>
              <w:spacing w:before="65" w:line="220" w:lineRule="auto"/>
              <w:ind w:left="103"/>
            </w:pPr>
            <w:r>
              <w:rPr>
                <w:spacing w:val="-1"/>
              </w:rPr>
              <w:t>A060101</w:t>
            </w:r>
            <w:r>
              <w:rPr>
                <w:spacing w:val="-34"/>
              </w:rPr>
              <w:t xml:space="preserve"> </w:t>
            </w:r>
            <w:r>
              <w:rPr>
                <w:spacing w:val="-1"/>
              </w:rPr>
              <w:t>钢木床类</w:t>
            </w:r>
          </w:p>
        </w:tc>
        <w:tc>
          <w:tcPr>
            <w:tcW w:w="2248" w:type="dxa"/>
          </w:tcPr>
          <w:p w14:paraId="4C37B7C9">
            <w:pPr>
              <w:rPr>
                <w:rFonts w:ascii="Arial"/>
              </w:rPr>
            </w:pPr>
          </w:p>
        </w:tc>
        <w:tc>
          <w:tcPr>
            <w:tcW w:w="3543" w:type="dxa"/>
          </w:tcPr>
          <w:p w14:paraId="4C577475">
            <w:pPr>
              <w:pStyle w:val="732"/>
              <w:spacing w:before="64"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61681CB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84" w:hRule="atLeast"/>
          <w:jc w:val="center"/>
        </w:trPr>
        <w:tc>
          <w:tcPr>
            <w:tcW w:w="583" w:type="dxa"/>
            <w:vMerge w:val="continue"/>
            <w:tcBorders>
              <w:top w:val="nil"/>
              <w:bottom w:val="nil"/>
            </w:tcBorders>
          </w:tcPr>
          <w:p w14:paraId="6095E601">
            <w:pPr>
              <w:rPr>
                <w:rFonts w:ascii="Arial"/>
              </w:rPr>
            </w:pPr>
          </w:p>
        </w:tc>
        <w:tc>
          <w:tcPr>
            <w:tcW w:w="1542" w:type="dxa"/>
            <w:vMerge w:val="continue"/>
            <w:tcBorders>
              <w:top w:val="nil"/>
              <w:bottom w:val="nil"/>
            </w:tcBorders>
          </w:tcPr>
          <w:p w14:paraId="4551A644">
            <w:pPr>
              <w:rPr>
                <w:rFonts w:ascii="Arial"/>
              </w:rPr>
            </w:pPr>
          </w:p>
        </w:tc>
        <w:tc>
          <w:tcPr>
            <w:tcW w:w="2672" w:type="dxa"/>
          </w:tcPr>
          <w:p w14:paraId="0B037144">
            <w:pPr>
              <w:pStyle w:val="732"/>
              <w:spacing w:before="65" w:line="220" w:lineRule="auto"/>
              <w:ind w:left="103"/>
            </w:pPr>
            <w:r>
              <w:rPr>
                <w:spacing w:val="-1"/>
              </w:rPr>
              <w:t>A060104</w:t>
            </w:r>
            <w:r>
              <w:rPr>
                <w:spacing w:val="-33"/>
              </w:rPr>
              <w:t xml:space="preserve"> </w:t>
            </w:r>
            <w:r>
              <w:rPr>
                <w:spacing w:val="-1"/>
              </w:rPr>
              <w:t>木制床类</w:t>
            </w:r>
          </w:p>
        </w:tc>
        <w:tc>
          <w:tcPr>
            <w:tcW w:w="2248" w:type="dxa"/>
          </w:tcPr>
          <w:p w14:paraId="409D80A3">
            <w:pPr>
              <w:rPr>
                <w:rFonts w:ascii="Arial"/>
              </w:rPr>
            </w:pPr>
          </w:p>
        </w:tc>
        <w:tc>
          <w:tcPr>
            <w:tcW w:w="3543" w:type="dxa"/>
          </w:tcPr>
          <w:p w14:paraId="0C4B760A">
            <w:pPr>
              <w:pStyle w:val="732"/>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ED3658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6D1C7AF4">
            <w:pPr>
              <w:rPr>
                <w:rFonts w:ascii="Arial"/>
              </w:rPr>
            </w:pPr>
          </w:p>
        </w:tc>
        <w:tc>
          <w:tcPr>
            <w:tcW w:w="1542" w:type="dxa"/>
            <w:vMerge w:val="continue"/>
            <w:tcBorders>
              <w:top w:val="nil"/>
            </w:tcBorders>
          </w:tcPr>
          <w:p w14:paraId="582B7646">
            <w:pPr>
              <w:rPr>
                <w:rFonts w:ascii="Arial"/>
              </w:rPr>
            </w:pPr>
          </w:p>
        </w:tc>
        <w:tc>
          <w:tcPr>
            <w:tcW w:w="2672" w:type="dxa"/>
          </w:tcPr>
          <w:p w14:paraId="65D16448">
            <w:pPr>
              <w:pStyle w:val="732"/>
              <w:spacing w:before="65" w:line="220" w:lineRule="auto"/>
              <w:ind w:left="103"/>
            </w:pPr>
            <w:r>
              <w:rPr>
                <w:spacing w:val="-1"/>
              </w:rPr>
              <w:t>A060199</w:t>
            </w:r>
            <w:r>
              <w:rPr>
                <w:spacing w:val="-33"/>
              </w:rPr>
              <w:t xml:space="preserve"> </w:t>
            </w:r>
            <w:r>
              <w:rPr>
                <w:spacing w:val="-1"/>
              </w:rPr>
              <w:t>其他床类</w:t>
            </w:r>
          </w:p>
        </w:tc>
        <w:tc>
          <w:tcPr>
            <w:tcW w:w="2248" w:type="dxa"/>
          </w:tcPr>
          <w:p w14:paraId="0717B2B9">
            <w:pPr>
              <w:rPr>
                <w:rFonts w:ascii="Arial"/>
              </w:rPr>
            </w:pPr>
          </w:p>
        </w:tc>
        <w:tc>
          <w:tcPr>
            <w:tcW w:w="3543" w:type="dxa"/>
          </w:tcPr>
          <w:p w14:paraId="0E3046A0">
            <w:pPr>
              <w:pStyle w:val="732"/>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6562F8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530B7DD7">
            <w:pPr>
              <w:pStyle w:val="732"/>
              <w:spacing w:before="93" w:line="184" w:lineRule="auto"/>
              <w:ind w:left="128"/>
            </w:pPr>
            <w:r>
              <w:rPr>
                <w:spacing w:val="-10"/>
              </w:rPr>
              <w:t>17</w:t>
            </w:r>
          </w:p>
        </w:tc>
        <w:tc>
          <w:tcPr>
            <w:tcW w:w="1542" w:type="dxa"/>
            <w:vMerge w:val="restart"/>
            <w:tcBorders>
              <w:bottom w:val="nil"/>
            </w:tcBorders>
          </w:tcPr>
          <w:p w14:paraId="6C73641F">
            <w:pPr>
              <w:pStyle w:val="732"/>
              <w:spacing w:before="65" w:line="220" w:lineRule="auto"/>
              <w:ind w:left="102"/>
            </w:pPr>
            <w:r>
              <w:rPr>
                <w:spacing w:val="-2"/>
              </w:rPr>
              <w:t>A0602</w:t>
            </w:r>
            <w:r>
              <w:rPr>
                <w:spacing w:val="-22"/>
              </w:rPr>
              <w:t xml:space="preserve"> </w:t>
            </w:r>
            <w:r>
              <w:rPr>
                <w:spacing w:val="-2"/>
              </w:rPr>
              <w:t>台、桌类</w:t>
            </w:r>
          </w:p>
        </w:tc>
        <w:tc>
          <w:tcPr>
            <w:tcW w:w="2672" w:type="dxa"/>
          </w:tcPr>
          <w:p w14:paraId="07283290">
            <w:pPr>
              <w:pStyle w:val="732"/>
              <w:spacing w:before="65" w:line="220" w:lineRule="auto"/>
              <w:ind w:left="103"/>
            </w:pPr>
            <w:r>
              <w:rPr>
                <w:spacing w:val="-1"/>
              </w:rPr>
              <w:t>A060201</w:t>
            </w:r>
            <w:r>
              <w:rPr>
                <w:spacing w:val="-29"/>
              </w:rPr>
              <w:t xml:space="preserve"> </w:t>
            </w:r>
            <w:r>
              <w:rPr>
                <w:spacing w:val="-1"/>
              </w:rPr>
              <w:t>钢木台、桌类</w:t>
            </w:r>
          </w:p>
        </w:tc>
        <w:tc>
          <w:tcPr>
            <w:tcW w:w="2248" w:type="dxa"/>
          </w:tcPr>
          <w:p w14:paraId="3E675EF7">
            <w:pPr>
              <w:rPr>
                <w:rFonts w:ascii="Arial"/>
              </w:rPr>
            </w:pPr>
          </w:p>
        </w:tc>
        <w:tc>
          <w:tcPr>
            <w:tcW w:w="3543" w:type="dxa"/>
          </w:tcPr>
          <w:p w14:paraId="1F9095FD">
            <w:pPr>
              <w:pStyle w:val="732"/>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06854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14:paraId="2E51DB2B">
            <w:pPr>
              <w:rPr>
                <w:rFonts w:ascii="Arial"/>
              </w:rPr>
            </w:pPr>
          </w:p>
        </w:tc>
        <w:tc>
          <w:tcPr>
            <w:tcW w:w="1542" w:type="dxa"/>
            <w:vMerge w:val="continue"/>
            <w:tcBorders>
              <w:top w:val="nil"/>
              <w:bottom w:val="nil"/>
            </w:tcBorders>
          </w:tcPr>
          <w:p w14:paraId="4A6181E2">
            <w:pPr>
              <w:rPr>
                <w:rFonts w:ascii="Arial"/>
              </w:rPr>
            </w:pPr>
          </w:p>
        </w:tc>
        <w:tc>
          <w:tcPr>
            <w:tcW w:w="2672" w:type="dxa"/>
          </w:tcPr>
          <w:p w14:paraId="4AD48F34">
            <w:pPr>
              <w:pStyle w:val="732"/>
              <w:spacing w:before="65" w:line="220" w:lineRule="auto"/>
              <w:ind w:left="103"/>
            </w:pPr>
            <w:r>
              <w:rPr>
                <w:spacing w:val="-1"/>
              </w:rPr>
              <w:t>A060205</w:t>
            </w:r>
            <w:r>
              <w:rPr>
                <w:spacing w:val="-29"/>
              </w:rPr>
              <w:t xml:space="preserve"> </w:t>
            </w:r>
            <w:r>
              <w:rPr>
                <w:spacing w:val="-1"/>
              </w:rPr>
              <w:t>木制台、桌类</w:t>
            </w:r>
          </w:p>
        </w:tc>
        <w:tc>
          <w:tcPr>
            <w:tcW w:w="2248" w:type="dxa"/>
          </w:tcPr>
          <w:p w14:paraId="63416BF8">
            <w:pPr>
              <w:rPr>
                <w:rFonts w:ascii="Arial"/>
              </w:rPr>
            </w:pPr>
          </w:p>
        </w:tc>
        <w:tc>
          <w:tcPr>
            <w:tcW w:w="3543" w:type="dxa"/>
          </w:tcPr>
          <w:p w14:paraId="466A0991">
            <w:pPr>
              <w:pStyle w:val="732"/>
              <w:spacing w:before="65"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40B81E2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26853E7F">
            <w:pPr>
              <w:rPr>
                <w:rFonts w:ascii="Arial"/>
              </w:rPr>
            </w:pPr>
          </w:p>
        </w:tc>
        <w:tc>
          <w:tcPr>
            <w:tcW w:w="1542" w:type="dxa"/>
            <w:vMerge w:val="continue"/>
            <w:tcBorders>
              <w:top w:val="nil"/>
            </w:tcBorders>
          </w:tcPr>
          <w:p w14:paraId="70929F43">
            <w:pPr>
              <w:rPr>
                <w:rFonts w:ascii="Arial"/>
              </w:rPr>
            </w:pPr>
          </w:p>
        </w:tc>
        <w:tc>
          <w:tcPr>
            <w:tcW w:w="2672" w:type="dxa"/>
          </w:tcPr>
          <w:p w14:paraId="138A7EA6">
            <w:pPr>
              <w:pStyle w:val="732"/>
              <w:spacing w:before="66" w:line="220" w:lineRule="auto"/>
              <w:ind w:left="103"/>
            </w:pPr>
            <w:r>
              <w:rPr>
                <w:spacing w:val="-1"/>
              </w:rPr>
              <w:t>A060299</w:t>
            </w:r>
            <w:r>
              <w:rPr>
                <w:spacing w:val="-29"/>
              </w:rPr>
              <w:t xml:space="preserve"> </w:t>
            </w:r>
            <w:r>
              <w:rPr>
                <w:spacing w:val="-1"/>
              </w:rPr>
              <w:t>其他台、桌类</w:t>
            </w:r>
          </w:p>
        </w:tc>
        <w:tc>
          <w:tcPr>
            <w:tcW w:w="2248" w:type="dxa"/>
          </w:tcPr>
          <w:p w14:paraId="52A14082">
            <w:pPr>
              <w:rPr>
                <w:rFonts w:ascii="Arial"/>
              </w:rPr>
            </w:pPr>
          </w:p>
        </w:tc>
        <w:tc>
          <w:tcPr>
            <w:tcW w:w="3543" w:type="dxa"/>
          </w:tcPr>
          <w:p w14:paraId="739442D0">
            <w:pPr>
              <w:pStyle w:val="732"/>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42F1BC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196390A2">
            <w:pPr>
              <w:pStyle w:val="732"/>
              <w:spacing w:before="94" w:line="184" w:lineRule="auto"/>
              <w:ind w:left="128"/>
            </w:pPr>
            <w:r>
              <w:rPr>
                <w:spacing w:val="-10"/>
              </w:rPr>
              <w:t>18</w:t>
            </w:r>
          </w:p>
        </w:tc>
        <w:tc>
          <w:tcPr>
            <w:tcW w:w="1542" w:type="dxa"/>
            <w:vMerge w:val="restart"/>
            <w:tcBorders>
              <w:bottom w:val="nil"/>
            </w:tcBorders>
          </w:tcPr>
          <w:p w14:paraId="6A556300">
            <w:pPr>
              <w:pStyle w:val="732"/>
              <w:spacing w:before="66" w:line="220" w:lineRule="auto"/>
              <w:ind w:left="102"/>
            </w:pPr>
            <w:r>
              <w:rPr>
                <w:spacing w:val="-1"/>
              </w:rPr>
              <w:t>A0603</w:t>
            </w:r>
            <w:r>
              <w:rPr>
                <w:spacing w:val="-36"/>
              </w:rPr>
              <w:t xml:space="preserve"> </w:t>
            </w:r>
            <w:r>
              <w:rPr>
                <w:spacing w:val="-1"/>
              </w:rPr>
              <w:t>椅凳类</w:t>
            </w:r>
          </w:p>
        </w:tc>
        <w:tc>
          <w:tcPr>
            <w:tcW w:w="2672" w:type="dxa"/>
          </w:tcPr>
          <w:p w14:paraId="4E0F85AB">
            <w:pPr>
              <w:pStyle w:val="732"/>
              <w:spacing w:before="66" w:line="220" w:lineRule="auto"/>
              <w:ind w:left="103"/>
            </w:pPr>
            <w:r>
              <w:rPr>
                <w:spacing w:val="-1"/>
              </w:rPr>
              <w:t>A060301</w:t>
            </w:r>
            <w:r>
              <w:rPr>
                <w:spacing w:val="-46"/>
              </w:rPr>
              <w:t xml:space="preserve"> </w:t>
            </w:r>
            <w:r>
              <w:rPr>
                <w:spacing w:val="-1"/>
              </w:rPr>
              <w:t>金属骨架为主的椅凳类</w:t>
            </w:r>
          </w:p>
        </w:tc>
        <w:tc>
          <w:tcPr>
            <w:tcW w:w="2248" w:type="dxa"/>
          </w:tcPr>
          <w:p w14:paraId="7CA86DE2">
            <w:pPr>
              <w:rPr>
                <w:rFonts w:ascii="Arial"/>
              </w:rPr>
            </w:pPr>
          </w:p>
        </w:tc>
        <w:tc>
          <w:tcPr>
            <w:tcW w:w="3543" w:type="dxa"/>
          </w:tcPr>
          <w:p w14:paraId="24B53B21">
            <w:pPr>
              <w:pStyle w:val="732"/>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2036A2E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bottom w:val="nil"/>
            </w:tcBorders>
          </w:tcPr>
          <w:p w14:paraId="0939F4AF">
            <w:pPr>
              <w:rPr>
                <w:rFonts w:ascii="Arial"/>
              </w:rPr>
            </w:pPr>
          </w:p>
        </w:tc>
        <w:tc>
          <w:tcPr>
            <w:tcW w:w="1542" w:type="dxa"/>
            <w:vMerge w:val="continue"/>
            <w:tcBorders>
              <w:top w:val="nil"/>
              <w:bottom w:val="nil"/>
            </w:tcBorders>
          </w:tcPr>
          <w:p w14:paraId="25B5FB63">
            <w:pPr>
              <w:rPr>
                <w:rFonts w:ascii="Arial"/>
              </w:rPr>
            </w:pPr>
          </w:p>
        </w:tc>
        <w:tc>
          <w:tcPr>
            <w:tcW w:w="2672" w:type="dxa"/>
          </w:tcPr>
          <w:p w14:paraId="6265ABBC">
            <w:pPr>
              <w:pStyle w:val="732"/>
              <w:spacing w:before="66" w:line="220" w:lineRule="auto"/>
              <w:ind w:left="103"/>
            </w:pPr>
            <w:r>
              <w:rPr>
                <w:spacing w:val="-1"/>
              </w:rPr>
              <w:t>A060302</w:t>
            </w:r>
            <w:r>
              <w:rPr>
                <w:spacing w:val="-29"/>
              </w:rPr>
              <w:t xml:space="preserve"> </w:t>
            </w:r>
            <w:r>
              <w:rPr>
                <w:spacing w:val="-1"/>
              </w:rPr>
              <w:t>木骨架为主的椅凳类</w:t>
            </w:r>
          </w:p>
        </w:tc>
        <w:tc>
          <w:tcPr>
            <w:tcW w:w="2248" w:type="dxa"/>
          </w:tcPr>
          <w:p w14:paraId="22098F34">
            <w:pPr>
              <w:rPr>
                <w:rFonts w:ascii="Arial"/>
              </w:rPr>
            </w:pPr>
          </w:p>
        </w:tc>
        <w:tc>
          <w:tcPr>
            <w:tcW w:w="3543" w:type="dxa"/>
          </w:tcPr>
          <w:p w14:paraId="3805AF75">
            <w:pPr>
              <w:pStyle w:val="732"/>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7D5D1CA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4E132510">
            <w:pPr>
              <w:rPr>
                <w:rFonts w:ascii="Arial"/>
              </w:rPr>
            </w:pPr>
          </w:p>
        </w:tc>
        <w:tc>
          <w:tcPr>
            <w:tcW w:w="1542" w:type="dxa"/>
            <w:vMerge w:val="continue"/>
            <w:tcBorders>
              <w:top w:val="nil"/>
            </w:tcBorders>
          </w:tcPr>
          <w:p w14:paraId="72C6B5C9">
            <w:pPr>
              <w:rPr>
                <w:rFonts w:ascii="Arial"/>
              </w:rPr>
            </w:pPr>
          </w:p>
        </w:tc>
        <w:tc>
          <w:tcPr>
            <w:tcW w:w="2672" w:type="dxa"/>
          </w:tcPr>
          <w:p w14:paraId="0D62DADC">
            <w:pPr>
              <w:pStyle w:val="732"/>
              <w:spacing w:before="67" w:line="220" w:lineRule="auto"/>
              <w:ind w:left="103"/>
            </w:pPr>
            <w:r>
              <w:rPr>
                <w:spacing w:val="-1"/>
              </w:rPr>
              <w:t>A060399</w:t>
            </w:r>
            <w:r>
              <w:rPr>
                <w:spacing w:val="-33"/>
              </w:rPr>
              <w:t xml:space="preserve"> </w:t>
            </w:r>
            <w:r>
              <w:rPr>
                <w:spacing w:val="-1"/>
              </w:rPr>
              <w:t>其他椅凳类</w:t>
            </w:r>
          </w:p>
        </w:tc>
        <w:tc>
          <w:tcPr>
            <w:tcW w:w="2248" w:type="dxa"/>
          </w:tcPr>
          <w:p w14:paraId="2E1F072A">
            <w:pPr>
              <w:rPr>
                <w:rFonts w:ascii="Arial"/>
              </w:rPr>
            </w:pPr>
          </w:p>
        </w:tc>
        <w:tc>
          <w:tcPr>
            <w:tcW w:w="3543" w:type="dxa"/>
          </w:tcPr>
          <w:p w14:paraId="3DD39417">
            <w:pPr>
              <w:pStyle w:val="732"/>
              <w:spacing w:before="66"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754F84B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2466296D">
            <w:pPr>
              <w:pStyle w:val="732"/>
              <w:spacing w:before="95" w:line="184" w:lineRule="auto"/>
              <w:ind w:left="128"/>
            </w:pPr>
            <w:r>
              <w:rPr>
                <w:spacing w:val="-10"/>
              </w:rPr>
              <w:t>19</w:t>
            </w:r>
          </w:p>
        </w:tc>
        <w:tc>
          <w:tcPr>
            <w:tcW w:w="1542" w:type="dxa"/>
          </w:tcPr>
          <w:p w14:paraId="230DA520">
            <w:pPr>
              <w:pStyle w:val="732"/>
              <w:spacing w:before="67" w:line="220" w:lineRule="auto"/>
              <w:ind w:left="102"/>
            </w:pPr>
            <w:r>
              <w:rPr>
                <w:spacing w:val="-1"/>
              </w:rPr>
              <w:t>A0604</w:t>
            </w:r>
            <w:r>
              <w:rPr>
                <w:spacing w:val="-35"/>
              </w:rPr>
              <w:t xml:space="preserve"> </w:t>
            </w:r>
            <w:r>
              <w:rPr>
                <w:spacing w:val="-1"/>
              </w:rPr>
              <w:t>沙发类</w:t>
            </w:r>
          </w:p>
        </w:tc>
        <w:tc>
          <w:tcPr>
            <w:tcW w:w="2672" w:type="dxa"/>
          </w:tcPr>
          <w:p w14:paraId="53825B6E">
            <w:pPr>
              <w:pStyle w:val="732"/>
              <w:spacing w:before="67" w:line="220" w:lineRule="auto"/>
              <w:ind w:left="103"/>
            </w:pPr>
            <w:r>
              <w:rPr>
                <w:spacing w:val="-1"/>
              </w:rPr>
              <w:t>A060499</w:t>
            </w:r>
            <w:r>
              <w:rPr>
                <w:spacing w:val="-33"/>
              </w:rPr>
              <w:t xml:space="preserve"> </w:t>
            </w:r>
            <w:r>
              <w:rPr>
                <w:spacing w:val="-1"/>
              </w:rPr>
              <w:t>其他沙发类</w:t>
            </w:r>
          </w:p>
        </w:tc>
        <w:tc>
          <w:tcPr>
            <w:tcW w:w="2248" w:type="dxa"/>
          </w:tcPr>
          <w:p w14:paraId="40096FEE">
            <w:pPr>
              <w:rPr>
                <w:rFonts w:ascii="Arial"/>
              </w:rPr>
            </w:pPr>
          </w:p>
        </w:tc>
        <w:tc>
          <w:tcPr>
            <w:tcW w:w="3543" w:type="dxa"/>
          </w:tcPr>
          <w:p w14:paraId="6B5A189F">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48F425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5E336EBF">
            <w:pPr>
              <w:pStyle w:val="732"/>
              <w:spacing w:before="96" w:line="183" w:lineRule="auto"/>
              <w:ind w:left="116"/>
            </w:pPr>
            <w:r>
              <w:rPr>
                <w:spacing w:val="-4"/>
              </w:rPr>
              <w:t>20</w:t>
            </w:r>
          </w:p>
        </w:tc>
        <w:tc>
          <w:tcPr>
            <w:tcW w:w="1542" w:type="dxa"/>
            <w:vMerge w:val="restart"/>
            <w:tcBorders>
              <w:bottom w:val="nil"/>
            </w:tcBorders>
          </w:tcPr>
          <w:p w14:paraId="2D709B24">
            <w:pPr>
              <w:pStyle w:val="732"/>
              <w:spacing w:before="67" w:line="220" w:lineRule="auto"/>
              <w:ind w:left="193"/>
            </w:pPr>
            <w:r>
              <w:rPr>
                <w:spacing w:val="-1"/>
              </w:rPr>
              <w:t>A0605</w:t>
            </w:r>
            <w:r>
              <w:rPr>
                <w:spacing w:val="-36"/>
              </w:rPr>
              <w:t xml:space="preserve"> </w:t>
            </w:r>
            <w:r>
              <w:rPr>
                <w:spacing w:val="-1"/>
              </w:rPr>
              <w:t>柜类</w:t>
            </w:r>
          </w:p>
        </w:tc>
        <w:tc>
          <w:tcPr>
            <w:tcW w:w="2672" w:type="dxa"/>
          </w:tcPr>
          <w:p w14:paraId="38E50009">
            <w:pPr>
              <w:pStyle w:val="732"/>
              <w:spacing w:before="67" w:line="220" w:lineRule="auto"/>
              <w:ind w:left="103"/>
            </w:pPr>
            <w:r>
              <w:rPr>
                <w:spacing w:val="-1"/>
              </w:rPr>
              <w:t>A060501</w:t>
            </w:r>
            <w:r>
              <w:rPr>
                <w:spacing w:val="-33"/>
              </w:rPr>
              <w:t xml:space="preserve"> </w:t>
            </w:r>
            <w:r>
              <w:rPr>
                <w:spacing w:val="-1"/>
              </w:rPr>
              <w:t>木质柜类</w:t>
            </w:r>
          </w:p>
        </w:tc>
        <w:tc>
          <w:tcPr>
            <w:tcW w:w="2248" w:type="dxa"/>
          </w:tcPr>
          <w:p w14:paraId="5C426950">
            <w:pPr>
              <w:rPr>
                <w:rFonts w:ascii="Arial"/>
              </w:rPr>
            </w:pPr>
          </w:p>
        </w:tc>
        <w:tc>
          <w:tcPr>
            <w:tcW w:w="3543" w:type="dxa"/>
          </w:tcPr>
          <w:p w14:paraId="548FF9A1">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1ECADC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514A4404">
            <w:pPr>
              <w:rPr>
                <w:rFonts w:ascii="Arial"/>
              </w:rPr>
            </w:pPr>
          </w:p>
        </w:tc>
        <w:tc>
          <w:tcPr>
            <w:tcW w:w="1542" w:type="dxa"/>
            <w:vMerge w:val="continue"/>
            <w:tcBorders>
              <w:top w:val="nil"/>
              <w:bottom w:val="nil"/>
            </w:tcBorders>
          </w:tcPr>
          <w:p w14:paraId="75ADC7D8">
            <w:pPr>
              <w:rPr>
                <w:rFonts w:ascii="Arial"/>
              </w:rPr>
            </w:pPr>
          </w:p>
        </w:tc>
        <w:tc>
          <w:tcPr>
            <w:tcW w:w="2672" w:type="dxa"/>
          </w:tcPr>
          <w:p w14:paraId="4D1E559F">
            <w:pPr>
              <w:pStyle w:val="732"/>
              <w:spacing w:before="67" w:line="220" w:lineRule="auto"/>
              <w:ind w:left="103"/>
            </w:pPr>
            <w:r>
              <w:rPr>
                <w:spacing w:val="-1"/>
              </w:rPr>
              <w:t>A060503</w:t>
            </w:r>
            <w:r>
              <w:rPr>
                <w:spacing w:val="-32"/>
              </w:rPr>
              <w:t xml:space="preserve"> </w:t>
            </w:r>
            <w:r>
              <w:rPr>
                <w:spacing w:val="-1"/>
              </w:rPr>
              <w:t>金属质柜类</w:t>
            </w:r>
          </w:p>
        </w:tc>
        <w:tc>
          <w:tcPr>
            <w:tcW w:w="2248" w:type="dxa"/>
          </w:tcPr>
          <w:p w14:paraId="2679D8BD">
            <w:pPr>
              <w:rPr>
                <w:rFonts w:ascii="Arial"/>
              </w:rPr>
            </w:pPr>
          </w:p>
        </w:tc>
        <w:tc>
          <w:tcPr>
            <w:tcW w:w="3543" w:type="dxa"/>
          </w:tcPr>
          <w:p w14:paraId="7B00DD46">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40058B2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718B4392">
            <w:pPr>
              <w:rPr>
                <w:rFonts w:ascii="Arial"/>
              </w:rPr>
            </w:pPr>
          </w:p>
        </w:tc>
        <w:tc>
          <w:tcPr>
            <w:tcW w:w="1542" w:type="dxa"/>
            <w:vMerge w:val="continue"/>
            <w:tcBorders>
              <w:top w:val="nil"/>
            </w:tcBorders>
          </w:tcPr>
          <w:p w14:paraId="09354DE7">
            <w:pPr>
              <w:rPr>
                <w:rFonts w:ascii="Arial"/>
              </w:rPr>
            </w:pPr>
          </w:p>
        </w:tc>
        <w:tc>
          <w:tcPr>
            <w:tcW w:w="2672" w:type="dxa"/>
          </w:tcPr>
          <w:p w14:paraId="4B41B916">
            <w:pPr>
              <w:pStyle w:val="732"/>
              <w:spacing w:before="67" w:line="220" w:lineRule="auto"/>
              <w:ind w:left="103"/>
            </w:pPr>
            <w:r>
              <w:rPr>
                <w:spacing w:val="-1"/>
              </w:rPr>
              <w:t>A060599</w:t>
            </w:r>
            <w:r>
              <w:rPr>
                <w:spacing w:val="-33"/>
              </w:rPr>
              <w:t xml:space="preserve"> </w:t>
            </w:r>
            <w:r>
              <w:rPr>
                <w:spacing w:val="-1"/>
              </w:rPr>
              <w:t>其他柜类</w:t>
            </w:r>
          </w:p>
        </w:tc>
        <w:tc>
          <w:tcPr>
            <w:tcW w:w="2248" w:type="dxa"/>
          </w:tcPr>
          <w:p w14:paraId="084CE9A8">
            <w:pPr>
              <w:rPr>
                <w:rFonts w:ascii="Arial"/>
              </w:rPr>
            </w:pPr>
          </w:p>
        </w:tc>
        <w:tc>
          <w:tcPr>
            <w:tcW w:w="3543" w:type="dxa"/>
          </w:tcPr>
          <w:p w14:paraId="1A2D907D">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F2E169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51CDF949">
            <w:pPr>
              <w:pStyle w:val="732"/>
              <w:spacing w:before="94" w:line="184" w:lineRule="auto"/>
              <w:ind w:left="116"/>
            </w:pPr>
            <w:r>
              <w:rPr>
                <w:spacing w:val="-4"/>
              </w:rPr>
              <w:t>21</w:t>
            </w:r>
          </w:p>
        </w:tc>
        <w:tc>
          <w:tcPr>
            <w:tcW w:w="1542" w:type="dxa"/>
            <w:vMerge w:val="restart"/>
            <w:tcBorders>
              <w:bottom w:val="nil"/>
            </w:tcBorders>
          </w:tcPr>
          <w:p w14:paraId="258374D1">
            <w:pPr>
              <w:pStyle w:val="732"/>
              <w:spacing w:before="67" w:line="220" w:lineRule="auto"/>
              <w:ind w:left="102"/>
            </w:pPr>
            <w:r>
              <w:rPr>
                <w:spacing w:val="-1"/>
              </w:rPr>
              <w:t>A0606</w:t>
            </w:r>
            <w:r>
              <w:rPr>
                <w:spacing w:val="-35"/>
              </w:rPr>
              <w:t xml:space="preserve"> </w:t>
            </w:r>
            <w:r>
              <w:rPr>
                <w:spacing w:val="-1"/>
              </w:rPr>
              <w:t>架类</w:t>
            </w:r>
          </w:p>
        </w:tc>
        <w:tc>
          <w:tcPr>
            <w:tcW w:w="2672" w:type="dxa"/>
          </w:tcPr>
          <w:p w14:paraId="76B8B7D6">
            <w:pPr>
              <w:pStyle w:val="732"/>
              <w:spacing w:before="67" w:line="220" w:lineRule="auto"/>
              <w:ind w:left="103"/>
            </w:pPr>
            <w:r>
              <w:rPr>
                <w:spacing w:val="-1"/>
              </w:rPr>
              <w:t>A060601</w:t>
            </w:r>
            <w:r>
              <w:rPr>
                <w:spacing w:val="-33"/>
              </w:rPr>
              <w:t xml:space="preserve"> </w:t>
            </w:r>
            <w:r>
              <w:rPr>
                <w:spacing w:val="-1"/>
              </w:rPr>
              <w:t>木质架类</w:t>
            </w:r>
          </w:p>
        </w:tc>
        <w:tc>
          <w:tcPr>
            <w:tcW w:w="2248" w:type="dxa"/>
          </w:tcPr>
          <w:p w14:paraId="61E6CE3D">
            <w:pPr>
              <w:rPr>
                <w:rFonts w:ascii="Arial"/>
              </w:rPr>
            </w:pPr>
          </w:p>
        </w:tc>
        <w:tc>
          <w:tcPr>
            <w:tcW w:w="3543" w:type="dxa"/>
          </w:tcPr>
          <w:p w14:paraId="64CE1FC1">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6436BF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70A9147B">
            <w:pPr>
              <w:rPr>
                <w:rFonts w:ascii="Arial"/>
              </w:rPr>
            </w:pPr>
          </w:p>
        </w:tc>
        <w:tc>
          <w:tcPr>
            <w:tcW w:w="1542" w:type="dxa"/>
            <w:vMerge w:val="continue"/>
            <w:tcBorders>
              <w:top w:val="nil"/>
            </w:tcBorders>
          </w:tcPr>
          <w:p w14:paraId="1AA51A29">
            <w:pPr>
              <w:rPr>
                <w:rFonts w:ascii="Arial"/>
              </w:rPr>
            </w:pPr>
          </w:p>
        </w:tc>
        <w:tc>
          <w:tcPr>
            <w:tcW w:w="2672" w:type="dxa"/>
          </w:tcPr>
          <w:p w14:paraId="683DE228">
            <w:pPr>
              <w:pStyle w:val="732"/>
              <w:spacing w:before="67" w:line="220" w:lineRule="auto"/>
              <w:ind w:left="103"/>
            </w:pPr>
            <w:r>
              <w:rPr>
                <w:spacing w:val="-1"/>
              </w:rPr>
              <w:t>A060602</w:t>
            </w:r>
            <w:r>
              <w:rPr>
                <w:spacing w:val="-32"/>
              </w:rPr>
              <w:t xml:space="preserve"> </w:t>
            </w:r>
            <w:r>
              <w:rPr>
                <w:spacing w:val="-1"/>
              </w:rPr>
              <w:t>金属质架类</w:t>
            </w:r>
          </w:p>
        </w:tc>
        <w:tc>
          <w:tcPr>
            <w:tcW w:w="2248" w:type="dxa"/>
          </w:tcPr>
          <w:p w14:paraId="2370A028">
            <w:pPr>
              <w:rPr>
                <w:rFonts w:ascii="Arial"/>
              </w:rPr>
            </w:pPr>
          </w:p>
        </w:tc>
        <w:tc>
          <w:tcPr>
            <w:tcW w:w="3543" w:type="dxa"/>
          </w:tcPr>
          <w:p w14:paraId="062E7303">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FD1ED5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0C102912">
            <w:pPr>
              <w:pStyle w:val="732"/>
              <w:spacing w:before="96" w:line="183" w:lineRule="auto"/>
              <w:ind w:left="116"/>
            </w:pPr>
            <w:r>
              <w:rPr>
                <w:spacing w:val="-4"/>
              </w:rPr>
              <w:t>22</w:t>
            </w:r>
          </w:p>
        </w:tc>
        <w:tc>
          <w:tcPr>
            <w:tcW w:w="1542" w:type="dxa"/>
            <w:vMerge w:val="restart"/>
            <w:tcBorders>
              <w:bottom w:val="nil"/>
            </w:tcBorders>
          </w:tcPr>
          <w:p w14:paraId="5041A009">
            <w:pPr>
              <w:pStyle w:val="732"/>
              <w:spacing w:before="67" w:line="220" w:lineRule="auto"/>
              <w:ind w:left="102"/>
            </w:pPr>
            <w:r>
              <w:rPr>
                <w:spacing w:val="-1"/>
              </w:rPr>
              <w:t>A0607</w:t>
            </w:r>
            <w:r>
              <w:rPr>
                <w:spacing w:val="-35"/>
              </w:rPr>
              <w:t xml:space="preserve"> </w:t>
            </w:r>
            <w:r>
              <w:rPr>
                <w:spacing w:val="-1"/>
              </w:rPr>
              <w:t>屏风类</w:t>
            </w:r>
          </w:p>
        </w:tc>
        <w:tc>
          <w:tcPr>
            <w:tcW w:w="2672" w:type="dxa"/>
          </w:tcPr>
          <w:p w14:paraId="6AB8956F">
            <w:pPr>
              <w:pStyle w:val="732"/>
              <w:spacing w:before="67" w:line="220" w:lineRule="auto"/>
              <w:ind w:left="103"/>
            </w:pPr>
            <w:r>
              <w:rPr>
                <w:spacing w:val="-1"/>
              </w:rPr>
              <w:t>A060701</w:t>
            </w:r>
            <w:r>
              <w:rPr>
                <w:spacing w:val="-33"/>
              </w:rPr>
              <w:t xml:space="preserve"> </w:t>
            </w:r>
            <w:r>
              <w:rPr>
                <w:spacing w:val="-1"/>
              </w:rPr>
              <w:t>木质屏风类</w:t>
            </w:r>
          </w:p>
        </w:tc>
        <w:tc>
          <w:tcPr>
            <w:tcW w:w="2248" w:type="dxa"/>
          </w:tcPr>
          <w:p w14:paraId="223FEC50">
            <w:pPr>
              <w:rPr>
                <w:rFonts w:ascii="Arial"/>
              </w:rPr>
            </w:pPr>
          </w:p>
        </w:tc>
        <w:tc>
          <w:tcPr>
            <w:tcW w:w="3543" w:type="dxa"/>
          </w:tcPr>
          <w:p w14:paraId="77475D78">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55D8EF0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19BAA50C">
            <w:pPr>
              <w:rPr>
                <w:rFonts w:ascii="Arial"/>
              </w:rPr>
            </w:pPr>
          </w:p>
        </w:tc>
        <w:tc>
          <w:tcPr>
            <w:tcW w:w="1542" w:type="dxa"/>
            <w:vMerge w:val="continue"/>
            <w:tcBorders>
              <w:top w:val="nil"/>
            </w:tcBorders>
          </w:tcPr>
          <w:p w14:paraId="0D569BEA">
            <w:pPr>
              <w:rPr>
                <w:rFonts w:ascii="Arial"/>
              </w:rPr>
            </w:pPr>
          </w:p>
        </w:tc>
        <w:tc>
          <w:tcPr>
            <w:tcW w:w="2672" w:type="dxa"/>
          </w:tcPr>
          <w:p w14:paraId="35A35AC5">
            <w:pPr>
              <w:pStyle w:val="732"/>
              <w:spacing w:before="67" w:line="220" w:lineRule="auto"/>
              <w:ind w:left="103"/>
            </w:pPr>
            <w:r>
              <w:rPr>
                <w:spacing w:val="-1"/>
              </w:rPr>
              <w:t>A060702</w:t>
            </w:r>
            <w:r>
              <w:rPr>
                <w:spacing w:val="-32"/>
              </w:rPr>
              <w:t xml:space="preserve"> </w:t>
            </w:r>
            <w:r>
              <w:rPr>
                <w:spacing w:val="-1"/>
              </w:rPr>
              <w:t>金属质屏风类</w:t>
            </w:r>
          </w:p>
        </w:tc>
        <w:tc>
          <w:tcPr>
            <w:tcW w:w="2248" w:type="dxa"/>
          </w:tcPr>
          <w:p w14:paraId="22EEAF05">
            <w:pPr>
              <w:rPr>
                <w:rFonts w:ascii="Arial"/>
              </w:rPr>
            </w:pPr>
          </w:p>
        </w:tc>
        <w:tc>
          <w:tcPr>
            <w:tcW w:w="3543" w:type="dxa"/>
          </w:tcPr>
          <w:p w14:paraId="3488BADA">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17F85FF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5D00BC52">
            <w:pPr>
              <w:pStyle w:val="732"/>
              <w:spacing w:before="95" w:line="183" w:lineRule="auto"/>
              <w:ind w:left="116"/>
            </w:pPr>
            <w:r>
              <w:rPr>
                <w:spacing w:val="-4"/>
              </w:rPr>
              <w:t>23</w:t>
            </w:r>
          </w:p>
        </w:tc>
        <w:tc>
          <w:tcPr>
            <w:tcW w:w="1542" w:type="dxa"/>
          </w:tcPr>
          <w:p w14:paraId="5AED8EEC">
            <w:pPr>
              <w:pStyle w:val="732"/>
              <w:spacing w:before="67" w:line="220" w:lineRule="auto"/>
              <w:ind w:left="102"/>
            </w:pPr>
            <w:r>
              <w:rPr>
                <w:spacing w:val="-1"/>
              </w:rPr>
              <w:t>A060804</w:t>
            </w:r>
            <w:r>
              <w:rPr>
                <w:spacing w:val="-32"/>
              </w:rPr>
              <w:t xml:space="preserve"> </w:t>
            </w:r>
            <w:r>
              <w:rPr>
                <w:spacing w:val="-1"/>
              </w:rPr>
              <w:t>水池</w:t>
            </w:r>
          </w:p>
        </w:tc>
        <w:tc>
          <w:tcPr>
            <w:tcW w:w="2672" w:type="dxa"/>
          </w:tcPr>
          <w:p w14:paraId="4385A6DD">
            <w:pPr>
              <w:rPr>
                <w:rFonts w:ascii="Arial"/>
              </w:rPr>
            </w:pPr>
          </w:p>
        </w:tc>
        <w:tc>
          <w:tcPr>
            <w:tcW w:w="2248" w:type="dxa"/>
          </w:tcPr>
          <w:p w14:paraId="10D3995D">
            <w:pPr>
              <w:rPr>
                <w:rFonts w:ascii="Arial"/>
              </w:rPr>
            </w:pPr>
          </w:p>
        </w:tc>
        <w:tc>
          <w:tcPr>
            <w:tcW w:w="3543" w:type="dxa"/>
          </w:tcPr>
          <w:p w14:paraId="2322AD50">
            <w:pPr>
              <w:pStyle w:val="732"/>
              <w:spacing w:before="66" w:line="219" w:lineRule="auto"/>
              <w:ind w:left="109"/>
            </w:pPr>
            <w:r>
              <w:rPr>
                <w:spacing w:val="-1"/>
              </w:rPr>
              <w:t>HJ/T296</w:t>
            </w:r>
            <w:r>
              <w:rPr>
                <w:spacing w:val="-34"/>
              </w:rPr>
              <w:t xml:space="preserve"> </w:t>
            </w:r>
            <w:r>
              <w:rPr>
                <w:spacing w:val="-1"/>
              </w:rPr>
              <w:t>卫生陶瓷</w:t>
            </w:r>
          </w:p>
        </w:tc>
      </w:tr>
      <w:tr w14:paraId="09C68A4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55435A24">
            <w:pPr>
              <w:pStyle w:val="732"/>
              <w:spacing w:before="96" w:line="183" w:lineRule="auto"/>
              <w:ind w:left="116"/>
            </w:pPr>
            <w:r>
              <w:rPr>
                <w:spacing w:val="-4"/>
              </w:rPr>
              <w:t>24</w:t>
            </w:r>
          </w:p>
        </w:tc>
        <w:tc>
          <w:tcPr>
            <w:tcW w:w="1542" w:type="dxa"/>
          </w:tcPr>
          <w:p w14:paraId="10DDC23D">
            <w:pPr>
              <w:pStyle w:val="732"/>
              <w:spacing w:before="67" w:line="220" w:lineRule="auto"/>
              <w:ind w:left="102"/>
            </w:pPr>
            <w:r>
              <w:rPr>
                <w:spacing w:val="-1"/>
              </w:rPr>
              <w:t>A060805</w:t>
            </w:r>
            <w:r>
              <w:rPr>
                <w:spacing w:val="-33"/>
              </w:rPr>
              <w:t xml:space="preserve"> </w:t>
            </w:r>
            <w:r>
              <w:rPr>
                <w:spacing w:val="-1"/>
              </w:rPr>
              <w:t>便器</w:t>
            </w:r>
          </w:p>
        </w:tc>
        <w:tc>
          <w:tcPr>
            <w:tcW w:w="2672" w:type="dxa"/>
          </w:tcPr>
          <w:p w14:paraId="7DA8DF3F">
            <w:pPr>
              <w:rPr>
                <w:rFonts w:ascii="Arial"/>
              </w:rPr>
            </w:pPr>
          </w:p>
        </w:tc>
        <w:tc>
          <w:tcPr>
            <w:tcW w:w="2248" w:type="dxa"/>
          </w:tcPr>
          <w:p w14:paraId="210E8275">
            <w:pPr>
              <w:rPr>
                <w:rFonts w:ascii="Arial"/>
              </w:rPr>
            </w:pPr>
          </w:p>
        </w:tc>
        <w:tc>
          <w:tcPr>
            <w:tcW w:w="3543" w:type="dxa"/>
          </w:tcPr>
          <w:p w14:paraId="7278AB7A">
            <w:pPr>
              <w:pStyle w:val="732"/>
              <w:spacing w:before="67" w:line="219" w:lineRule="auto"/>
              <w:ind w:left="109"/>
            </w:pPr>
            <w:r>
              <w:rPr>
                <w:spacing w:val="-1"/>
              </w:rPr>
              <w:t>HJ/T296</w:t>
            </w:r>
            <w:r>
              <w:rPr>
                <w:spacing w:val="-34"/>
              </w:rPr>
              <w:t xml:space="preserve"> </w:t>
            </w:r>
            <w:r>
              <w:rPr>
                <w:spacing w:val="-1"/>
              </w:rPr>
              <w:t>卫生陶瓷</w:t>
            </w:r>
          </w:p>
        </w:tc>
      </w:tr>
      <w:tr w14:paraId="5B8FA30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tcPr>
          <w:p w14:paraId="02A6865E">
            <w:pPr>
              <w:pStyle w:val="732"/>
              <w:spacing w:before="96" w:line="183" w:lineRule="auto"/>
              <w:ind w:left="116"/>
            </w:pPr>
            <w:r>
              <w:rPr>
                <w:spacing w:val="-4"/>
              </w:rPr>
              <w:t>25</w:t>
            </w:r>
          </w:p>
        </w:tc>
        <w:tc>
          <w:tcPr>
            <w:tcW w:w="1542" w:type="dxa"/>
          </w:tcPr>
          <w:p w14:paraId="65F054E3">
            <w:pPr>
              <w:pStyle w:val="732"/>
              <w:spacing w:before="67" w:line="220" w:lineRule="auto"/>
              <w:ind w:left="102"/>
            </w:pPr>
            <w:r>
              <w:rPr>
                <w:spacing w:val="-1"/>
              </w:rPr>
              <w:t>A060806</w:t>
            </w:r>
            <w:r>
              <w:rPr>
                <w:spacing w:val="-32"/>
              </w:rPr>
              <w:t xml:space="preserve"> </w:t>
            </w:r>
            <w:r>
              <w:rPr>
                <w:spacing w:val="-1"/>
              </w:rPr>
              <w:t>水嘴</w:t>
            </w:r>
          </w:p>
        </w:tc>
        <w:tc>
          <w:tcPr>
            <w:tcW w:w="2672" w:type="dxa"/>
          </w:tcPr>
          <w:p w14:paraId="459A3C44">
            <w:pPr>
              <w:rPr>
                <w:rFonts w:ascii="Arial"/>
              </w:rPr>
            </w:pPr>
          </w:p>
        </w:tc>
        <w:tc>
          <w:tcPr>
            <w:tcW w:w="2248" w:type="dxa"/>
          </w:tcPr>
          <w:p w14:paraId="7A021281">
            <w:pPr>
              <w:rPr>
                <w:rFonts w:ascii="Arial"/>
              </w:rPr>
            </w:pPr>
          </w:p>
        </w:tc>
        <w:tc>
          <w:tcPr>
            <w:tcW w:w="3543" w:type="dxa"/>
          </w:tcPr>
          <w:p w14:paraId="24E30271">
            <w:pPr>
              <w:pStyle w:val="732"/>
              <w:spacing w:before="67" w:line="219" w:lineRule="auto"/>
              <w:ind w:left="109"/>
            </w:pPr>
            <w:r>
              <w:rPr>
                <w:spacing w:val="-1"/>
              </w:rPr>
              <w:t>HJ/T411</w:t>
            </w:r>
            <w:r>
              <w:rPr>
                <w:spacing w:val="-34"/>
              </w:rPr>
              <w:t xml:space="preserve"> </w:t>
            </w:r>
            <w:r>
              <w:rPr>
                <w:spacing w:val="-1"/>
              </w:rPr>
              <w:t>水嘴</w:t>
            </w:r>
          </w:p>
        </w:tc>
      </w:tr>
      <w:tr w14:paraId="01EC48D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6C926C64">
            <w:pPr>
              <w:pStyle w:val="732"/>
              <w:spacing w:before="95" w:line="183" w:lineRule="auto"/>
              <w:ind w:left="116"/>
            </w:pPr>
            <w:r>
              <w:rPr>
                <w:spacing w:val="-4"/>
              </w:rPr>
              <w:t>26</w:t>
            </w:r>
          </w:p>
        </w:tc>
        <w:tc>
          <w:tcPr>
            <w:tcW w:w="1542" w:type="dxa"/>
          </w:tcPr>
          <w:p w14:paraId="3574F024">
            <w:pPr>
              <w:pStyle w:val="732"/>
              <w:spacing w:before="67" w:line="221" w:lineRule="auto"/>
              <w:ind w:left="102"/>
            </w:pPr>
            <w:r>
              <w:rPr>
                <w:spacing w:val="-1"/>
              </w:rPr>
              <w:t>A0609</w:t>
            </w:r>
            <w:r>
              <w:rPr>
                <w:spacing w:val="-34"/>
              </w:rPr>
              <w:t xml:space="preserve"> </w:t>
            </w:r>
            <w:r>
              <w:rPr>
                <w:spacing w:val="-1"/>
              </w:rPr>
              <w:t>组合家具</w:t>
            </w:r>
          </w:p>
        </w:tc>
        <w:tc>
          <w:tcPr>
            <w:tcW w:w="2672" w:type="dxa"/>
          </w:tcPr>
          <w:p w14:paraId="73020486">
            <w:pPr>
              <w:rPr>
                <w:rFonts w:ascii="Arial"/>
              </w:rPr>
            </w:pPr>
          </w:p>
        </w:tc>
        <w:tc>
          <w:tcPr>
            <w:tcW w:w="2248" w:type="dxa"/>
          </w:tcPr>
          <w:p w14:paraId="4384F6F3">
            <w:pPr>
              <w:rPr>
                <w:rFonts w:ascii="Arial"/>
              </w:rPr>
            </w:pPr>
          </w:p>
        </w:tc>
        <w:tc>
          <w:tcPr>
            <w:tcW w:w="3543" w:type="dxa"/>
          </w:tcPr>
          <w:p w14:paraId="1BC2A050">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2E518E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73513B01">
            <w:pPr>
              <w:pStyle w:val="732"/>
              <w:spacing w:before="96" w:line="183" w:lineRule="auto"/>
              <w:ind w:left="116"/>
            </w:pPr>
            <w:r>
              <w:rPr>
                <w:spacing w:val="-4"/>
              </w:rPr>
              <w:t>27</w:t>
            </w:r>
          </w:p>
        </w:tc>
        <w:tc>
          <w:tcPr>
            <w:tcW w:w="1542" w:type="dxa"/>
          </w:tcPr>
          <w:p w14:paraId="6D305CDD">
            <w:pPr>
              <w:pStyle w:val="732"/>
              <w:spacing w:before="68" w:line="282" w:lineRule="auto"/>
              <w:ind w:left="108" w:right="106" w:hanging="6"/>
            </w:pPr>
            <w:r>
              <w:rPr>
                <w:spacing w:val="4"/>
              </w:rPr>
              <w:t>A0610</w:t>
            </w:r>
            <w:r>
              <w:rPr>
                <w:spacing w:val="31"/>
              </w:rPr>
              <w:t xml:space="preserve"> </w:t>
            </w:r>
            <w:r>
              <w:rPr>
                <w:spacing w:val="4"/>
              </w:rPr>
              <w:t>家用家具</w:t>
            </w:r>
            <w:r>
              <w:rPr>
                <w:spacing w:val="-2"/>
              </w:rPr>
              <w:t>零配件</w:t>
            </w:r>
          </w:p>
        </w:tc>
        <w:tc>
          <w:tcPr>
            <w:tcW w:w="2672" w:type="dxa"/>
          </w:tcPr>
          <w:p w14:paraId="657CB5A3">
            <w:pPr>
              <w:rPr>
                <w:rFonts w:ascii="Arial"/>
              </w:rPr>
            </w:pPr>
          </w:p>
        </w:tc>
        <w:tc>
          <w:tcPr>
            <w:tcW w:w="2248" w:type="dxa"/>
          </w:tcPr>
          <w:p w14:paraId="74E8C704">
            <w:pPr>
              <w:rPr>
                <w:rFonts w:ascii="Arial"/>
              </w:rPr>
            </w:pPr>
          </w:p>
        </w:tc>
        <w:tc>
          <w:tcPr>
            <w:tcW w:w="3543" w:type="dxa"/>
          </w:tcPr>
          <w:p w14:paraId="2F29CC67">
            <w:pPr>
              <w:pStyle w:val="732"/>
              <w:spacing w:before="67"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3D244EE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tcPr>
          <w:p w14:paraId="6DE51B9B">
            <w:pPr>
              <w:pStyle w:val="732"/>
              <w:spacing w:before="99" w:line="183" w:lineRule="auto"/>
              <w:ind w:left="116"/>
            </w:pPr>
            <w:r>
              <w:rPr>
                <w:spacing w:val="-4"/>
              </w:rPr>
              <w:t>28</w:t>
            </w:r>
          </w:p>
        </w:tc>
        <w:tc>
          <w:tcPr>
            <w:tcW w:w="1542" w:type="dxa"/>
          </w:tcPr>
          <w:p w14:paraId="429AC9A6">
            <w:pPr>
              <w:pStyle w:val="732"/>
              <w:spacing w:before="71" w:line="282" w:lineRule="auto"/>
              <w:ind w:left="109" w:right="106" w:hanging="7"/>
            </w:pPr>
            <w:r>
              <w:rPr>
                <w:spacing w:val="4"/>
              </w:rPr>
              <w:t>A0699</w:t>
            </w:r>
            <w:r>
              <w:rPr>
                <w:spacing w:val="31"/>
              </w:rPr>
              <w:t xml:space="preserve"> </w:t>
            </w:r>
            <w:r>
              <w:rPr>
                <w:spacing w:val="4"/>
              </w:rPr>
              <w:t>其他家具</w:t>
            </w:r>
            <w:r>
              <w:rPr>
                <w:spacing w:val="-3"/>
              </w:rPr>
              <w:t>用具</w:t>
            </w:r>
          </w:p>
        </w:tc>
        <w:tc>
          <w:tcPr>
            <w:tcW w:w="2672" w:type="dxa"/>
          </w:tcPr>
          <w:p w14:paraId="4D14110A">
            <w:pPr>
              <w:rPr>
                <w:rFonts w:ascii="Arial"/>
              </w:rPr>
            </w:pPr>
          </w:p>
        </w:tc>
        <w:tc>
          <w:tcPr>
            <w:tcW w:w="2248" w:type="dxa"/>
          </w:tcPr>
          <w:p w14:paraId="19B01A39">
            <w:pPr>
              <w:rPr>
                <w:rFonts w:ascii="Arial"/>
              </w:rPr>
            </w:pPr>
          </w:p>
        </w:tc>
        <w:tc>
          <w:tcPr>
            <w:tcW w:w="3543" w:type="dxa"/>
          </w:tcPr>
          <w:p w14:paraId="093E81BC">
            <w:pPr>
              <w:pStyle w:val="732"/>
              <w:spacing w:before="70" w:line="219" w:lineRule="auto"/>
              <w:ind w:left="109"/>
            </w:pPr>
            <w:r>
              <w:rPr>
                <w:spacing w:val="-1"/>
              </w:rPr>
              <w:t>HJ2547</w:t>
            </w:r>
            <w:r>
              <w:rPr>
                <w:spacing w:val="-34"/>
              </w:rPr>
              <w:t xml:space="preserve"> </w:t>
            </w:r>
            <w:r>
              <w:rPr>
                <w:spacing w:val="-1"/>
              </w:rPr>
              <w:t>家具/HJ2540</w:t>
            </w:r>
            <w:r>
              <w:rPr>
                <w:spacing w:val="-37"/>
              </w:rPr>
              <w:t xml:space="preserve"> </w:t>
            </w:r>
            <w:r>
              <w:rPr>
                <w:spacing w:val="-1"/>
              </w:rPr>
              <w:t>木塑制品</w:t>
            </w:r>
          </w:p>
        </w:tc>
      </w:tr>
      <w:tr w14:paraId="63C4C15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2E0250BF">
            <w:pPr>
              <w:pStyle w:val="732"/>
              <w:spacing w:before="96" w:line="183" w:lineRule="auto"/>
              <w:ind w:left="116"/>
            </w:pPr>
            <w:r>
              <w:rPr>
                <w:spacing w:val="-4"/>
              </w:rPr>
              <w:t>29</w:t>
            </w:r>
          </w:p>
        </w:tc>
        <w:tc>
          <w:tcPr>
            <w:tcW w:w="1542" w:type="dxa"/>
          </w:tcPr>
          <w:p w14:paraId="4F73388F">
            <w:pPr>
              <w:pStyle w:val="732"/>
              <w:spacing w:before="69" w:line="284" w:lineRule="auto"/>
              <w:ind w:left="111" w:right="106" w:hanging="9"/>
            </w:pPr>
            <w:r>
              <w:rPr>
                <w:spacing w:val="-7"/>
              </w:rPr>
              <w:t>A070101</w:t>
            </w:r>
            <w:r>
              <w:rPr>
                <w:spacing w:val="-36"/>
              </w:rPr>
              <w:t xml:space="preserve"> </w:t>
            </w:r>
            <w:r>
              <w:rPr>
                <w:spacing w:val="-7"/>
              </w:rPr>
              <w:t>棉、化纤</w:t>
            </w:r>
            <w:r>
              <w:t xml:space="preserve"> </w:t>
            </w:r>
            <w:r>
              <w:rPr>
                <w:spacing w:val="-2"/>
              </w:rPr>
              <w:t>纺织及印染原料</w:t>
            </w:r>
          </w:p>
        </w:tc>
        <w:tc>
          <w:tcPr>
            <w:tcW w:w="2672" w:type="dxa"/>
          </w:tcPr>
          <w:p w14:paraId="4A3C4837">
            <w:pPr>
              <w:rPr>
                <w:rFonts w:ascii="Arial"/>
              </w:rPr>
            </w:pPr>
          </w:p>
        </w:tc>
        <w:tc>
          <w:tcPr>
            <w:tcW w:w="2248" w:type="dxa"/>
          </w:tcPr>
          <w:p w14:paraId="5CEA9BFC">
            <w:pPr>
              <w:rPr>
                <w:rFonts w:ascii="Arial"/>
              </w:rPr>
            </w:pPr>
          </w:p>
        </w:tc>
        <w:tc>
          <w:tcPr>
            <w:tcW w:w="3543" w:type="dxa"/>
          </w:tcPr>
          <w:p w14:paraId="3910D48B">
            <w:pPr>
              <w:pStyle w:val="732"/>
              <w:spacing w:before="67" w:line="219" w:lineRule="auto"/>
              <w:ind w:left="109"/>
            </w:pPr>
            <w:r>
              <w:rPr>
                <w:spacing w:val="-1"/>
              </w:rPr>
              <w:t>HJ2546</w:t>
            </w:r>
            <w:r>
              <w:rPr>
                <w:spacing w:val="-34"/>
              </w:rPr>
              <w:t xml:space="preserve"> </w:t>
            </w:r>
            <w:r>
              <w:rPr>
                <w:spacing w:val="-1"/>
              </w:rPr>
              <w:t>纺织产品</w:t>
            </w:r>
          </w:p>
        </w:tc>
      </w:tr>
      <w:tr w14:paraId="3D832E3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5" w:hRule="atLeast"/>
          <w:jc w:val="center"/>
        </w:trPr>
        <w:tc>
          <w:tcPr>
            <w:tcW w:w="583" w:type="dxa"/>
          </w:tcPr>
          <w:p w14:paraId="3646B56E">
            <w:pPr>
              <w:pStyle w:val="732"/>
              <w:spacing w:before="96" w:line="183" w:lineRule="auto"/>
              <w:ind w:left="118"/>
            </w:pPr>
            <w:r>
              <w:rPr>
                <w:spacing w:val="-5"/>
              </w:rPr>
              <w:t>30</w:t>
            </w:r>
          </w:p>
        </w:tc>
        <w:tc>
          <w:tcPr>
            <w:tcW w:w="1542" w:type="dxa"/>
          </w:tcPr>
          <w:p w14:paraId="2AC609E4">
            <w:pPr>
              <w:pStyle w:val="732"/>
              <w:spacing w:before="69" w:line="296" w:lineRule="auto"/>
              <w:ind w:left="109" w:right="106" w:hanging="7"/>
            </w:pPr>
            <w:r>
              <w:rPr>
                <w:spacing w:val="-2"/>
              </w:rPr>
              <w:t>A090101</w:t>
            </w:r>
            <w:r>
              <w:rPr>
                <w:spacing w:val="42"/>
              </w:rPr>
              <w:t xml:space="preserve"> </w:t>
            </w:r>
            <w:r>
              <w:rPr>
                <w:spacing w:val="-2"/>
              </w:rPr>
              <w:t>复</w:t>
            </w:r>
            <w:r>
              <w:rPr>
                <w:spacing w:val="-48"/>
              </w:rPr>
              <w:t xml:space="preserve"> </w:t>
            </w:r>
            <w:r>
              <w:rPr>
                <w:spacing w:val="-2"/>
              </w:rPr>
              <w:t>印纸</w:t>
            </w:r>
            <w:r>
              <w:t xml:space="preserve"> </w:t>
            </w:r>
            <w:r>
              <w:rPr>
                <w:spacing w:val="8"/>
              </w:rPr>
              <w:t>（包括再生复印</w:t>
            </w:r>
            <w:r>
              <w:rPr>
                <w:spacing w:val="4"/>
              </w:rPr>
              <w:t xml:space="preserve"> </w:t>
            </w:r>
            <w:r>
              <w:rPr>
                <w:spacing w:val="-5"/>
              </w:rPr>
              <w:t>纸）</w:t>
            </w:r>
          </w:p>
        </w:tc>
        <w:tc>
          <w:tcPr>
            <w:tcW w:w="2672" w:type="dxa"/>
          </w:tcPr>
          <w:p w14:paraId="0456D464">
            <w:pPr>
              <w:rPr>
                <w:rFonts w:ascii="Arial"/>
              </w:rPr>
            </w:pPr>
          </w:p>
        </w:tc>
        <w:tc>
          <w:tcPr>
            <w:tcW w:w="2248" w:type="dxa"/>
          </w:tcPr>
          <w:p w14:paraId="34999947">
            <w:pPr>
              <w:rPr>
                <w:rFonts w:ascii="Arial"/>
              </w:rPr>
            </w:pPr>
          </w:p>
        </w:tc>
        <w:tc>
          <w:tcPr>
            <w:tcW w:w="3543" w:type="dxa"/>
          </w:tcPr>
          <w:p w14:paraId="3DD774F7">
            <w:pPr>
              <w:pStyle w:val="732"/>
              <w:spacing w:before="67" w:line="219" w:lineRule="auto"/>
              <w:ind w:left="109"/>
            </w:pPr>
            <w:r>
              <w:rPr>
                <w:spacing w:val="-2"/>
              </w:rPr>
              <w:t>HJ410</w:t>
            </w:r>
            <w:r>
              <w:rPr>
                <w:spacing w:val="-27"/>
              </w:rPr>
              <w:t xml:space="preserve"> </w:t>
            </w:r>
            <w:r>
              <w:rPr>
                <w:spacing w:val="-2"/>
              </w:rPr>
              <w:t>文化用纸</w:t>
            </w:r>
          </w:p>
        </w:tc>
      </w:tr>
      <w:tr w14:paraId="254785C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940" w:hRule="atLeast"/>
          <w:jc w:val="center"/>
        </w:trPr>
        <w:tc>
          <w:tcPr>
            <w:tcW w:w="583" w:type="dxa"/>
          </w:tcPr>
          <w:p w14:paraId="07DF4587">
            <w:pPr>
              <w:pStyle w:val="732"/>
              <w:spacing w:before="91" w:line="184" w:lineRule="auto"/>
              <w:ind w:left="118"/>
            </w:pPr>
            <w:r>
              <w:rPr>
                <w:spacing w:val="-5"/>
              </w:rPr>
              <w:t>31</w:t>
            </w:r>
          </w:p>
        </w:tc>
        <w:tc>
          <w:tcPr>
            <w:tcW w:w="1542" w:type="dxa"/>
          </w:tcPr>
          <w:p w14:paraId="3014E3E7">
            <w:pPr>
              <w:pStyle w:val="732"/>
              <w:spacing w:before="64" w:line="296" w:lineRule="auto"/>
              <w:ind w:left="109" w:right="106" w:hanging="7"/>
            </w:pPr>
            <w:r>
              <w:rPr>
                <w:spacing w:val="3"/>
              </w:rPr>
              <w:t>A090201</w:t>
            </w:r>
            <w:r>
              <w:rPr>
                <w:spacing w:val="34"/>
              </w:rPr>
              <w:t xml:space="preserve"> </w:t>
            </w:r>
            <w:r>
              <w:rPr>
                <w:spacing w:val="3"/>
              </w:rPr>
              <w:t>鼓粉盒</w:t>
            </w:r>
            <w:r>
              <w:t xml:space="preserve"> </w:t>
            </w:r>
            <w:r>
              <w:rPr>
                <w:spacing w:val="8"/>
              </w:rPr>
              <w:t>（包括再生鼓粉</w:t>
            </w:r>
            <w:r>
              <w:rPr>
                <w:spacing w:val="4"/>
              </w:rPr>
              <w:t xml:space="preserve"> </w:t>
            </w:r>
            <w:r>
              <w:rPr>
                <w:spacing w:val="-5"/>
              </w:rPr>
              <w:t>盒）</w:t>
            </w:r>
          </w:p>
        </w:tc>
        <w:tc>
          <w:tcPr>
            <w:tcW w:w="2672" w:type="dxa"/>
          </w:tcPr>
          <w:p w14:paraId="09E845DE">
            <w:pPr>
              <w:rPr>
                <w:rFonts w:ascii="Arial"/>
              </w:rPr>
            </w:pPr>
          </w:p>
        </w:tc>
        <w:tc>
          <w:tcPr>
            <w:tcW w:w="2248" w:type="dxa"/>
          </w:tcPr>
          <w:p w14:paraId="499FCA5A">
            <w:pPr>
              <w:rPr>
                <w:rFonts w:ascii="Arial"/>
              </w:rPr>
            </w:pPr>
          </w:p>
        </w:tc>
        <w:tc>
          <w:tcPr>
            <w:tcW w:w="3543" w:type="dxa"/>
          </w:tcPr>
          <w:p w14:paraId="0A85D5F4">
            <w:pPr>
              <w:pStyle w:val="732"/>
              <w:spacing w:before="63" w:line="219" w:lineRule="auto"/>
              <w:ind w:left="109"/>
            </w:pPr>
            <w:r>
              <w:rPr>
                <w:spacing w:val="-1"/>
              </w:rPr>
              <w:t>HJ/T413</w:t>
            </w:r>
            <w:r>
              <w:rPr>
                <w:spacing w:val="-34"/>
              </w:rPr>
              <w:t xml:space="preserve"> </w:t>
            </w:r>
            <w:r>
              <w:rPr>
                <w:spacing w:val="-1"/>
              </w:rPr>
              <w:t>再生鼓粉盒</w:t>
            </w:r>
          </w:p>
        </w:tc>
      </w:tr>
      <w:tr w14:paraId="10E74932">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60" w:hRule="atLeast"/>
          <w:jc w:val="center"/>
        </w:trPr>
        <w:tc>
          <w:tcPr>
            <w:tcW w:w="583" w:type="dxa"/>
            <w:vMerge w:val="restart"/>
            <w:tcBorders>
              <w:bottom w:val="nil"/>
            </w:tcBorders>
          </w:tcPr>
          <w:p w14:paraId="450E5CCD">
            <w:pPr>
              <w:pStyle w:val="732"/>
              <w:spacing w:before="93" w:line="183" w:lineRule="auto"/>
              <w:ind w:left="118"/>
            </w:pPr>
            <w:r>
              <w:rPr>
                <w:spacing w:val="-5"/>
              </w:rPr>
              <w:t>32</w:t>
            </w:r>
          </w:p>
        </w:tc>
        <w:tc>
          <w:tcPr>
            <w:tcW w:w="1542" w:type="dxa"/>
            <w:vMerge w:val="restart"/>
            <w:tcBorders>
              <w:bottom w:val="nil"/>
            </w:tcBorders>
          </w:tcPr>
          <w:p w14:paraId="21FE9E0E">
            <w:pPr>
              <w:pStyle w:val="732"/>
              <w:spacing w:before="64" w:line="219" w:lineRule="auto"/>
              <w:ind w:left="102"/>
            </w:pPr>
            <w:r>
              <w:rPr>
                <w:spacing w:val="-1"/>
              </w:rPr>
              <w:t>A100203</w:t>
            </w:r>
            <w:r>
              <w:rPr>
                <w:spacing w:val="-33"/>
              </w:rPr>
              <w:t xml:space="preserve"> </w:t>
            </w:r>
            <w:r>
              <w:rPr>
                <w:spacing w:val="-1"/>
              </w:rPr>
              <w:t>人造板</w:t>
            </w:r>
          </w:p>
        </w:tc>
        <w:tc>
          <w:tcPr>
            <w:tcW w:w="2672" w:type="dxa"/>
          </w:tcPr>
          <w:p w14:paraId="18D2414B">
            <w:pPr>
              <w:pStyle w:val="732"/>
              <w:spacing w:before="64" w:line="219" w:lineRule="auto"/>
              <w:ind w:left="103"/>
            </w:pPr>
            <w:r>
              <w:rPr>
                <w:spacing w:val="-1"/>
              </w:rPr>
              <w:t>A10020301</w:t>
            </w:r>
            <w:r>
              <w:rPr>
                <w:spacing w:val="-32"/>
              </w:rPr>
              <w:t xml:space="preserve"> </w:t>
            </w:r>
            <w:r>
              <w:rPr>
                <w:spacing w:val="-1"/>
              </w:rPr>
              <w:t>胶合板</w:t>
            </w:r>
          </w:p>
        </w:tc>
        <w:tc>
          <w:tcPr>
            <w:tcW w:w="2248" w:type="dxa"/>
          </w:tcPr>
          <w:p w14:paraId="6262B612">
            <w:pPr>
              <w:rPr>
                <w:rFonts w:ascii="Arial"/>
              </w:rPr>
            </w:pPr>
          </w:p>
        </w:tc>
        <w:tc>
          <w:tcPr>
            <w:tcW w:w="3543" w:type="dxa"/>
          </w:tcPr>
          <w:p w14:paraId="24B17961">
            <w:pPr>
              <w:pStyle w:val="732"/>
              <w:spacing w:before="64" w:line="219" w:lineRule="auto"/>
              <w:ind w:left="109"/>
            </w:pPr>
            <w:r>
              <w:rPr>
                <w:spacing w:val="-1"/>
              </w:rPr>
              <w:t>HJ571</w:t>
            </w:r>
            <w:r>
              <w:rPr>
                <w:spacing w:val="-34"/>
              </w:rPr>
              <w:t xml:space="preserve"> </w:t>
            </w:r>
            <w:r>
              <w:rPr>
                <w:spacing w:val="-1"/>
              </w:rPr>
              <w:t>人造板及其制品</w:t>
            </w:r>
          </w:p>
        </w:tc>
      </w:tr>
      <w:tr w14:paraId="357AA25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74E74B30">
            <w:pPr>
              <w:rPr>
                <w:rFonts w:ascii="Arial"/>
              </w:rPr>
            </w:pPr>
          </w:p>
        </w:tc>
        <w:tc>
          <w:tcPr>
            <w:tcW w:w="1542" w:type="dxa"/>
            <w:vMerge w:val="continue"/>
            <w:tcBorders>
              <w:top w:val="nil"/>
              <w:bottom w:val="nil"/>
            </w:tcBorders>
          </w:tcPr>
          <w:p w14:paraId="2DE08B5B">
            <w:pPr>
              <w:rPr>
                <w:rFonts w:ascii="Arial"/>
              </w:rPr>
            </w:pPr>
          </w:p>
        </w:tc>
        <w:tc>
          <w:tcPr>
            <w:tcW w:w="2672" w:type="dxa"/>
          </w:tcPr>
          <w:p w14:paraId="4D0367E4">
            <w:pPr>
              <w:pStyle w:val="732"/>
              <w:spacing w:before="65" w:line="219" w:lineRule="auto"/>
              <w:ind w:left="103"/>
            </w:pPr>
            <w:r>
              <w:rPr>
                <w:spacing w:val="-1"/>
              </w:rPr>
              <w:t>A10020302</w:t>
            </w:r>
            <w:r>
              <w:rPr>
                <w:spacing w:val="-30"/>
              </w:rPr>
              <w:t xml:space="preserve"> </w:t>
            </w:r>
            <w:r>
              <w:rPr>
                <w:spacing w:val="-1"/>
              </w:rPr>
              <w:t>纤维板</w:t>
            </w:r>
          </w:p>
        </w:tc>
        <w:tc>
          <w:tcPr>
            <w:tcW w:w="2248" w:type="dxa"/>
          </w:tcPr>
          <w:p w14:paraId="146654E0">
            <w:pPr>
              <w:rPr>
                <w:rFonts w:ascii="Arial"/>
              </w:rPr>
            </w:pPr>
          </w:p>
        </w:tc>
        <w:tc>
          <w:tcPr>
            <w:tcW w:w="3543" w:type="dxa"/>
          </w:tcPr>
          <w:p w14:paraId="1266CBB2">
            <w:pPr>
              <w:pStyle w:val="732"/>
              <w:spacing w:before="64" w:line="219" w:lineRule="auto"/>
              <w:ind w:left="109"/>
            </w:pPr>
            <w:r>
              <w:rPr>
                <w:spacing w:val="-1"/>
              </w:rPr>
              <w:t>HJ571</w:t>
            </w:r>
            <w:r>
              <w:rPr>
                <w:spacing w:val="-34"/>
              </w:rPr>
              <w:t xml:space="preserve"> </w:t>
            </w:r>
            <w:r>
              <w:rPr>
                <w:spacing w:val="-1"/>
              </w:rPr>
              <w:t>人造板及其制品</w:t>
            </w:r>
          </w:p>
        </w:tc>
      </w:tr>
      <w:tr w14:paraId="54AE80A1">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43EB4A55">
            <w:pPr>
              <w:rPr>
                <w:rFonts w:ascii="Arial"/>
              </w:rPr>
            </w:pPr>
          </w:p>
        </w:tc>
        <w:tc>
          <w:tcPr>
            <w:tcW w:w="1542" w:type="dxa"/>
            <w:vMerge w:val="continue"/>
            <w:tcBorders>
              <w:top w:val="nil"/>
              <w:bottom w:val="nil"/>
            </w:tcBorders>
          </w:tcPr>
          <w:p w14:paraId="7F15836B">
            <w:pPr>
              <w:rPr>
                <w:rFonts w:ascii="Arial"/>
              </w:rPr>
            </w:pPr>
          </w:p>
        </w:tc>
        <w:tc>
          <w:tcPr>
            <w:tcW w:w="2672" w:type="dxa"/>
          </w:tcPr>
          <w:p w14:paraId="6D984525">
            <w:pPr>
              <w:pStyle w:val="732"/>
              <w:spacing w:before="65" w:line="219" w:lineRule="auto"/>
              <w:ind w:left="103"/>
            </w:pPr>
            <w:r>
              <w:rPr>
                <w:spacing w:val="-1"/>
              </w:rPr>
              <w:t>A10020303</w:t>
            </w:r>
            <w:r>
              <w:rPr>
                <w:spacing w:val="-32"/>
              </w:rPr>
              <w:t xml:space="preserve"> </w:t>
            </w:r>
            <w:r>
              <w:rPr>
                <w:spacing w:val="-1"/>
              </w:rPr>
              <w:t>刨花板</w:t>
            </w:r>
          </w:p>
        </w:tc>
        <w:tc>
          <w:tcPr>
            <w:tcW w:w="2248" w:type="dxa"/>
          </w:tcPr>
          <w:p w14:paraId="3EFA00A2">
            <w:pPr>
              <w:rPr>
                <w:rFonts w:ascii="Arial"/>
              </w:rPr>
            </w:pPr>
          </w:p>
        </w:tc>
        <w:tc>
          <w:tcPr>
            <w:tcW w:w="3543" w:type="dxa"/>
          </w:tcPr>
          <w:p w14:paraId="5B14C987">
            <w:pPr>
              <w:pStyle w:val="732"/>
              <w:spacing w:before="64" w:line="219" w:lineRule="auto"/>
              <w:ind w:left="109"/>
            </w:pPr>
            <w:r>
              <w:rPr>
                <w:spacing w:val="-1"/>
              </w:rPr>
              <w:t>HJ571</w:t>
            </w:r>
            <w:r>
              <w:rPr>
                <w:spacing w:val="-34"/>
              </w:rPr>
              <w:t xml:space="preserve"> </w:t>
            </w:r>
            <w:r>
              <w:rPr>
                <w:spacing w:val="-1"/>
              </w:rPr>
              <w:t>人造板及其制品</w:t>
            </w:r>
          </w:p>
        </w:tc>
      </w:tr>
      <w:tr w14:paraId="63CF676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3658117A">
            <w:pPr>
              <w:rPr>
                <w:rFonts w:ascii="Arial"/>
              </w:rPr>
            </w:pPr>
          </w:p>
        </w:tc>
        <w:tc>
          <w:tcPr>
            <w:tcW w:w="1542" w:type="dxa"/>
            <w:vMerge w:val="continue"/>
            <w:tcBorders>
              <w:top w:val="nil"/>
              <w:bottom w:val="nil"/>
            </w:tcBorders>
          </w:tcPr>
          <w:p w14:paraId="132085FE">
            <w:pPr>
              <w:rPr>
                <w:rFonts w:ascii="Arial"/>
              </w:rPr>
            </w:pPr>
          </w:p>
        </w:tc>
        <w:tc>
          <w:tcPr>
            <w:tcW w:w="2672" w:type="dxa"/>
          </w:tcPr>
          <w:p w14:paraId="281BF943">
            <w:pPr>
              <w:pStyle w:val="732"/>
              <w:spacing w:before="68" w:line="219" w:lineRule="auto"/>
              <w:ind w:left="103"/>
            </w:pPr>
            <w:r>
              <w:rPr>
                <w:spacing w:val="-1"/>
              </w:rPr>
              <w:t>A10020304</w:t>
            </w:r>
            <w:r>
              <w:rPr>
                <w:spacing w:val="-31"/>
              </w:rPr>
              <w:t xml:space="preserve"> </w:t>
            </w:r>
            <w:r>
              <w:rPr>
                <w:spacing w:val="-1"/>
              </w:rPr>
              <w:t>细木工板</w:t>
            </w:r>
          </w:p>
        </w:tc>
        <w:tc>
          <w:tcPr>
            <w:tcW w:w="2248" w:type="dxa"/>
          </w:tcPr>
          <w:p w14:paraId="1F89A1C1">
            <w:pPr>
              <w:rPr>
                <w:rFonts w:ascii="Arial"/>
              </w:rPr>
            </w:pPr>
          </w:p>
        </w:tc>
        <w:tc>
          <w:tcPr>
            <w:tcW w:w="3543" w:type="dxa"/>
          </w:tcPr>
          <w:p w14:paraId="30EF93FB">
            <w:pPr>
              <w:pStyle w:val="732"/>
              <w:spacing w:before="67" w:line="219" w:lineRule="auto"/>
              <w:ind w:left="109"/>
            </w:pPr>
            <w:r>
              <w:rPr>
                <w:spacing w:val="-1"/>
              </w:rPr>
              <w:t>HJ571</w:t>
            </w:r>
            <w:r>
              <w:rPr>
                <w:spacing w:val="-34"/>
              </w:rPr>
              <w:t xml:space="preserve"> </w:t>
            </w:r>
            <w:r>
              <w:rPr>
                <w:spacing w:val="-1"/>
              </w:rPr>
              <w:t>人造板及其制品</w:t>
            </w:r>
          </w:p>
        </w:tc>
      </w:tr>
      <w:tr w14:paraId="772C6B1F">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46CAD709">
            <w:pPr>
              <w:rPr>
                <w:rFonts w:ascii="Arial"/>
              </w:rPr>
            </w:pPr>
          </w:p>
        </w:tc>
        <w:tc>
          <w:tcPr>
            <w:tcW w:w="1542" w:type="dxa"/>
            <w:vMerge w:val="continue"/>
            <w:tcBorders>
              <w:top w:val="nil"/>
            </w:tcBorders>
          </w:tcPr>
          <w:p w14:paraId="59E54637">
            <w:pPr>
              <w:rPr>
                <w:rFonts w:ascii="Arial"/>
              </w:rPr>
            </w:pPr>
          </w:p>
        </w:tc>
        <w:tc>
          <w:tcPr>
            <w:tcW w:w="2672" w:type="dxa"/>
          </w:tcPr>
          <w:p w14:paraId="5A011AB4">
            <w:pPr>
              <w:pStyle w:val="732"/>
              <w:spacing w:before="65" w:line="219" w:lineRule="auto"/>
              <w:ind w:left="103"/>
            </w:pPr>
            <w:r>
              <w:rPr>
                <w:spacing w:val="-1"/>
              </w:rPr>
              <w:t>A10020399</w:t>
            </w:r>
            <w:r>
              <w:rPr>
                <w:spacing w:val="-31"/>
              </w:rPr>
              <w:t xml:space="preserve"> </w:t>
            </w:r>
            <w:r>
              <w:rPr>
                <w:spacing w:val="-1"/>
              </w:rPr>
              <w:t>其他人造板</w:t>
            </w:r>
          </w:p>
        </w:tc>
        <w:tc>
          <w:tcPr>
            <w:tcW w:w="2248" w:type="dxa"/>
          </w:tcPr>
          <w:p w14:paraId="21AC8A82">
            <w:pPr>
              <w:rPr>
                <w:rFonts w:ascii="Arial"/>
              </w:rPr>
            </w:pPr>
          </w:p>
        </w:tc>
        <w:tc>
          <w:tcPr>
            <w:tcW w:w="3543" w:type="dxa"/>
          </w:tcPr>
          <w:p w14:paraId="70232377">
            <w:pPr>
              <w:pStyle w:val="732"/>
              <w:spacing w:before="64" w:line="219" w:lineRule="auto"/>
              <w:ind w:left="109"/>
            </w:pPr>
            <w:r>
              <w:rPr>
                <w:spacing w:val="-1"/>
              </w:rPr>
              <w:t>HJ571</w:t>
            </w:r>
            <w:r>
              <w:rPr>
                <w:spacing w:val="-34"/>
              </w:rPr>
              <w:t xml:space="preserve"> </w:t>
            </w:r>
            <w:r>
              <w:rPr>
                <w:spacing w:val="-1"/>
              </w:rPr>
              <w:t>人造板及其制品</w:t>
            </w:r>
          </w:p>
        </w:tc>
      </w:tr>
      <w:tr w14:paraId="0F293AB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573" w:hRule="atLeast"/>
          <w:jc w:val="center"/>
        </w:trPr>
        <w:tc>
          <w:tcPr>
            <w:tcW w:w="583" w:type="dxa"/>
            <w:vMerge w:val="restart"/>
            <w:tcBorders>
              <w:bottom w:val="nil"/>
            </w:tcBorders>
          </w:tcPr>
          <w:p w14:paraId="2FE54637">
            <w:pPr>
              <w:pStyle w:val="732"/>
              <w:spacing w:before="93" w:line="183" w:lineRule="auto"/>
              <w:ind w:left="118"/>
            </w:pPr>
            <w:r>
              <w:rPr>
                <w:spacing w:val="-5"/>
              </w:rPr>
              <w:t>33</w:t>
            </w:r>
          </w:p>
        </w:tc>
        <w:tc>
          <w:tcPr>
            <w:tcW w:w="1542" w:type="dxa"/>
            <w:vMerge w:val="restart"/>
            <w:tcBorders>
              <w:bottom w:val="nil"/>
            </w:tcBorders>
          </w:tcPr>
          <w:p w14:paraId="6185C7A5">
            <w:pPr>
              <w:pStyle w:val="732"/>
              <w:spacing w:before="65" w:line="305" w:lineRule="auto"/>
              <w:ind w:left="109" w:right="108" w:hanging="7"/>
            </w:pPr>
            <w:r>
              <w:rPr>
                <w:spacing w:val="3"/>
              </w:rPr>
              <w:t>A100204</w:t>
            </w:r>
            <w:r>
              <w:rPr>
                <w:spacing w:val="34"/>
              </w:rPr>
              <w:t xml:space="preserve"> </w:t>
            </w:r>
            <w:r>
              <w:rPr>
                <w:spacing w:val="3"/>
              </w:rPr>
              <w:t>二次加</w:t>
            </w:r>
            <w:r>
              <w:rPr>
                <w:spacing w:val="-2"/>
              </w:rPr>
              <w:t>工材,相关板材</w:t>
            </w:r>
          </w:p>
        </w:tc>
        <w:tc>
          <w:tcPr>
            <w:tcW w:w="2672" w:type="dxa"/>
          </w:tcPr>
          <w:p w14:paraId="2A7E99C5">
            <w:pPr>
              <w:pStyle w:val="732"/>
              <w:spacing w:before="65" w:line="219" w:lineRule="auto"/>
              <w:ind w:left="103"/>
            </w:pPr>
            <w:r>
              <w:rPr>
                <w:spacing w:val="-1"/>
              </w:rPr>
              <w:t>A10020404</w:t>
            </w:r>
            <w:r>
              <w:rPr>
                <w:spacing w:val="-28"/>
              </w:rPr>
              <w:t xml:space="preserve"> </w:t>
            </w:r>
            <w:r>
              <w:rPr>
                <w:spacing w:val="-1"/>
              </w:rPr>
              <w:t>人造板表面装饰板</w:t>
            </w:r>
          </w:p>
        </w:tc>
        <w:tc>
          <w:tcPr>
            <w:tcW w:w="2248" w:type="dxa"/>
          </w:tcPr>
          <w:p w14:paraId="5967C6D5">
            <w:pPr>
              <w:rPr>
                <w:rFonts w:ascii="Arial"/>
              </w:rPr>
            </w:pPr>
          </w:p>
        </w:tc>
        <w:tc>
          <w:tcPr>
            <w:tcW w:w="3543" w:type="dxa"/>
          </w:tcPr>
          <w:p w14:paraId="16BC00B7">
            <w:pPr>
              <w:pStyle w:val="732"/>
              <w:spacing w:before="64" w:line="219" w:lineRule="auto"/>
              <w:ind w:left="109"/>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0630510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1" w:hRule="atLeast"/>
          <w:jc w:val="center"/>
        </w:trPr>
        <w:tc>
          <w:tcPr>
            <w:tcW w:w="583" w:type="dxa"/>
            <w:vMerge w:val="continue"/>
            <w:tcBorders>
              <w:top w:val="nil"/>
            </w:tcBorders>
          </w:tcPr>
          <w:p w14:paraId="2E627588">
            <w:pPr>
              <w:rPr>
                <w:rFonts w:ascii="Arial"/>
              </w:rPr>
            </w:pPr>
          </w:p>
        </w:tc>
        <w:tc>
          <w:tcPr>
            <w:tcW w:w="1542" w:type="dxa"/>
            <w:vMerge w:val="continue"/>
            <w:tcBorders>
              <w:top w:val="nil"/>
            </w:tcBorders>
          </w:tcPr>
          <w:p w14:paraId="1B5B3890">
            <w:pPr>
              <w:rPr>
                <w:rFonts w:ascii="Arial"/>
              </w:rPr>
            </w:pPr>
          </w:p>
        </w:tc>
        <w:tc>
          <w:tcPr>
            <w:tcW w:w="2672" w:type="dxa"/>
          </w:tcPr>
          <w:p w14:paraId="02D454EA">
            <w:pPr>
              <w:pStyle w:val="732"/>
              <w:spacing w:before="67" w:line="284" w:lineRule="auto"/>
              <w:ind w:left="113" w:right="107" w:hanging="10"/>
            </w:pPr>
            <w:r>
              <w:rPr>
                <w:spacing w:val="5"/>
              </w:rPr>
              <w:t>A10020404</w:t>
            </w:r>
            <w:r>
              <w:rPr>
                <w:spacing w:val="30"/>
              </w:rPr>
              <w:t xml:space="preserve"> </w:t>
            </w:r>
            <w:r>
              <w:rPr>
                <w:spacing w:val="5"/>
              </w:rPr>
              <w:t>人造板表面装饰板</w:t>
            </w:r>
            <w:r>
              <w:t xml:space="preserve"> </w:t>
            </w:r>
            <w:r>
              <w:rPr>
                <w:spacing w:val="-3"/>
              </w:rPr>
              <w:t>（地板）</w:t>
            </w:r>
          </w:p>
        </w:tc>
        <w:tc>
          <w:tcPr>
            <w:tcW w:w="2248" w:type="dxa"/>
          </w:tcPr>
          <w:p w14:paraId="783DBC2B">
            <w:pPr>
              <w:rPr>
                <w:rFonts w:ascii="Arial"/>
              </w:rPr>
            </w:pPr>
          </w:p>
        </w:tc>
        <w:tc>
          <w:tcPr>
            <w:tcW w:w="3543" w:type="dxa"/>
          </w:tcPr>
          <w:p w14:paraId="4EBC264B">
            <w:pPr>
              <w:pStyle w:val="732"/>
              <w:spacing w:before="67" w:line="219" w:lineRule="auto"/>
              <w:ind w:left="109"/>
            </w:pPr>
            <w:r>
              <w:rPr>
                <w:spacing w:val="-1"/>
              </w:rPr>
              <w:t>HJ571</w:t>
            </w:r>
            <w:r>
              <w:rPr>
                <w:spacing w:val="-30"/>
              </w:rPr>
              <w:t xml:space="preserve"> </w:t>
            </w:r>
            <w:r>
              <w:rPr>
                <w:spacing w:val="-1"/>
              </w:rPr>
              <w:t>人造板及其制品/HJ2540</w:t>
            </w:r>
            <w:r>
              <w:rPr>
                <w:spacing w:val="-38"/>
              </w:rPr>
              <w:t xml:space="preserve"> </w:t>
            </w:r>
            <w:r>
              <w:rPr>
                <w:spacing w:val="-1"/>
              </w:rPr>
              <w:t>木塑制品</w:t>
            </w:r>
          </w:p>
        </w:tc>
      </w:tr>
      <w:tr w14:paraId="7D5DC6E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3F86DBCE">
            <w:pPr>
              <w:pStyle w:val="732"/>
              <w:spacing w:before="93" w:line="183" w:lineRule="auto"/>
              <w:ind w:left="118"/>
            </w:pPr>
            <w:r>
              <w:rPr>
                <w:spacing w:val="-5"/>
              </w:rPr>
              <w:t>34</w:t>
            </w:r>
          </w:p>
        </w:tc>
        <w:tc>
          <w:tcPr>
            <w:tcW w:w="1542" w:type="dxa"/>
          </w:tcPr>
          <w:p w14:paraId="4016A36E">
            <w:pPr>
              <w:pStyle w:val="732"/>
              <w:spacing w:before="66" w:line="283" w:lineRule="auto"/>
              <w:ind w:left="107" w:right="108" w:hanging="5"/>
            </w:pPr>
            <w:r>
              <w:rPr>
                <w:spacing w:val="3"/>
              </w:rPr>
              <w:t>A100301</w:t>
            </w:r>
            <w:r>
              <w:rPr>
                <w:spacing w:val="34"/>
              </w:rPr>
              <w:t xml:space="preserve"> </w:t>
            </w:r>
            <w:r>
              <w:rPr>
                <w:spacing w:val="3"/>
              </w:rPr>
              <w:t>水泥熟</w:t>
            </w:r>
            <w:r>
              <w:rPr>
                <w:spacing w:val="-2"/>
              </w:rPr>
              <w:t>料及水泥</w:t>
            </w:r>
          </w:p>
        </w:tc>
        <w:tc>
          <w:tcPr>
            <w:tcW w:w="2672" w:type="dxa"/>
          </w:tcPr>
          <w:p w14:paraId="550D7FE7">
            <w:pPr>
              <w:pStyle w:val="732"/>
              <w:spacing w:before="65" w:line="220" w:lineRule="auto"/>
              <w:ind w:left="103"/>
            </w:pPr>
            <w:r>
              <w:rPr>
                <w:spacing w:val="-1"/>
              </w:rPr>
              <w:t>A10030102</w:t>
            </w:r>
            <w:r>
              <w:rPr>
                <w:spacing w:val="-31"/>
              </w:rPr>
              <w:t xml:space="preserve"> </w:t>
            </w:r>
            <w:r>
              <w:rPr>
                <w:spacing w:val="-1"/>
              </w:rPr>
              <w:t>水泥</w:t>
            </w:r>
          </w:p>
        </w:tc>
        <w:tc>
          <w:tcPr>
            <w:tcW w:w="2248" w:type="dxa"/>
          </w:tcPr>
          <w:p w14:paraId="13385B54">
            <w:pPr>
              <w:rPr>
                <w:rFonts w:ascii="Arial"/>
              </w:rPr>
            </w:pPr>
          </w:p>
        </w:tc>
        <w:tc>
          <w:tcPr>
            <w:tcW w:w="3543" w:type="dxa"/>
          </w:tcPr>
          <w:p w14:paraId="48948FFF">
            <w:pPr>
              <w:pStyle w:val="732"/>
              <w:spacing w:before="64" w:line="219" w:lineRule="auto"/>
              <w:ind w:left="109"/>
            </w:pPr>
            <w:r>
              <w:rPr>
                <w:spacing w:val="-1"/>
              </w:rPr>
              <w:t>HJ2519</w:t>
            </w:r>
            <w:r>
              <w:rPr>
                <w:spacing w:val="-34"/>
              </w:rPr>
              <w:t xml:space="preserve"> </w:t>
            </w:r>
            <w:r>
              <w:rPr>
                <w:spacing w:val="-1"/>
              </w:rPr>
              <w:t>水泥</w:t>
            </w:r>
          </w:p>
        </w:tc>
      </w:tr>
      <w:tr w14:paraId="07FDD91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6E7F4272">
            <w:pPr>
              <w:pStyle w:val="732"/>
              <w:spacing w:before="94" w:line="183" w:lineRule="auto"/>
              <w:ind w:left="118"/>
            </w:pPr>
            <w:r>
              <w:rPr>
                <w:spacing w:val="-5"/>
              </w:rPr>
              <w:t>35</w:t>
            </w:r>
          </w:p>
        </w:tc>
        <w:tc>
          <w:tcPr>
            <w:tcW w:w="1542" w:type="dxa"/>
          </w:tcPr>
          <w:p w14:paraId="33DE9843">
            <w:pPr>
              <w:pStyle w:val="732"/>
              <w:spacing w:before="66" w:line="283" w:lineRule="auto"/>
              <w:ind w:left="106" w:right="108" w:hanging="4"/>
            </w:pPr>
            <w:r>
              <w:rPr>
                <w:spacing w:val="3"/>
              </w:rPr>
              <w:t>A100303</w:t>
            </w:r>
            <w:r>
              <w:rPr>
                <w:spacing w:val="34"/>
              </w:rPr>
              <w:t xml:space="preserve"> </w:t>
            </w:r>
            <w:r>
              <w:rPr>
                <w:spacing w:val="3"/>
              </w:rPr>
              <w:t>水泥混</w:t>
            </w:r>
            <w:r>
              <w:rPr>
                <w:spacing w:val="-2"/>
              </w:rPr>
              <w:t>凝土制品</w:t>
            </w:r>
          </w:p>
        </w:tc>
        <w:tc>
          <w:tcPr>
            <w:tcW w:w="2672" w:type="dxa"/>
          </w:tcPr>
          <w:p w14:paraId="2D1848A3">
            <w:pPr>
              <w:pStyle w:val="732"/>
              <w:spacing w:before="65" w:line="221" w:lineRule="auto"/>
              <w:ind w:left="103"/>
            </w:pPr>
            <w:r>
              <w:rPr>
                <w:spacing w:val="-1"/>
              </w:rPr>
              <w:t>A10030301</w:t>
            </w:r>
            <w:r>
              <w:rPr>
                <w:spacing w:val="-30"/>
              </w:rPr>
              <w:t xml:space="preserve"> </w:t>
            </w:r>
            <w:r>
              <w:rPr>
                <w:spacing w:val="-1"/>
              </w:rPr>
              <w:t>商品混凝土</w:t>
            </w:r>
          </w:p>
        </w:tc>
        <w:tc>
          <w:tcPr>
            <w:tcW w:w="2248" w:type="dxa"/>
          </w:tcPr>
          <w:p w14:paraId="46F8D088">
            <w:pPr>
              <w:rPr>
                <w:rFonts w:ascii="Arial"/>
              </w:rPr>
            </w:pPr>
          </w:p>
        </w:tc>
        <w:tc>
          <w:tcPr>
            <w:tcW w:w="3543" w:type="dxa"/>
          </w:tcPr>
          <w:p w14:paraId="544BBC92">
            <w:pPr>
              <w:pStyle w:val="732"/>
              <w:spacing w:before="65" w:line="219" w:lineRule="auto"/>
              <w:ind w:left="109"/>
            </w:pPr>
            <w:r>
              <w:rPr>
                <w:spacing w:val="-1"/>
              </w:rPr>
              <w:t>HJ/T412</w:t>
            </w:r>
            <w:r>
              <w:rPr>
                <w:spacing w:val="-34"/>
              </w:rPr>
              <w:t xml:space="preserve"> </w:t>
            </w:r>
            <w:r>
              <w:rPr>
                <w:spacing w:val="-1"/>
              </w:rPr>
              <w:t>预拌混凝土</w:t>
            </w:r>
          </w:p>
        </w:tc>
      </w:tr>
      <w:tr w14:paraId="44C269F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7696F0F5">
            <w:pPr>
              <w:pStyle w:val="732"/>
              <w:spacing w:before="94" w:line="183" w:lineRule="auto"/>
              <w:ind w:left="118"/>
            </w:pPr>
            <w:r>
              <w:rPr>
                <w:spacing w:val="-5"/>
              </w:rPr>
              <w:t>36</w:t>
            </w:r>
          </w:p>
        </w:tc>
        <w:tc>
          <w:tcPr>
            <w:tcW w:w="1542" w:type="dxa"/>
            <w:vMerge w:val="restart"/>
            <w:tcBorders>
              <w:bottom w:val="nil"/>
            </w:tcBorders>
          </w:tcPr>
          <w:p w14:paraId="58A05576">
            <w:pPr>
              <w:pStyle w:val="732"/>
              <w:spacing w:before="65" w:line="307" w:lineRule="auto"/>
              <w:ind w:left="111" w:right="108" w:hanging="9"/>
            </w:pPr>
            <w:r>
              <w:rPr>
                <w:spacing w:val="3"/>
              </w:rPr>
              <w:t>A100304</w:t>
            </w:r>
            <w:r>
              <w:rPr>
                <w:spacing w:val="35"/>
              </w:rPr>
              <w:t xml:space="preserve"> </w:t>
            </w:r>
            <w:r>
              <w:rPr>
                <w:spacing w:val="3"/>
              </w:rPr>
              <w:t>纤维增</w:t>
            </w:r>
            <w:r>
              <w:rPr>
                <w:spacing w:val="-2"/>
              </w:rPr>
              <w:t>强水泥制品</w:t>
            </w:r>
          </w:p>
        </w:tc>
        <w:tc>
          <w:tcPr>
            <w:tcW w:w="2672" w:type="dxa"/>
          </w:tcPr>
          <w:p w14:paraId="7FF846F6">
            <w:pPr>
              <w:pStyle w:val="732"/>
              <w:spacing w:before="66" w:line="219" w:lineRule="auto"/>
              <w:ind w:left="103"/>
            </w:pPr>
            <w:r>
              <w:rPr>
                <w:spacing w:val="-1"/>
              </w:rPr>
              <w:t>A10030402</w:t>
            </w:r>
            <w:r>
              <w:rPr>
                <w:spacing w:val="-28"/>
              </w:rPr>
              <w:t xml:space="preserve"> </w:t>
            </w:r>
            <w:r>
              <w:rPr>
                <w:spacing w:val="-1"/>
              </w:rPr>
              <w:t>纤维增强硅酸钙板</w:t>
            </w:r>
          </w:p>
        </w:tc>
        <w:tc>
          <w:tcPr>
            <w:tcW w:w="2248" w:type="dxa"/>
          </w:tcPr>
          <w:p w14:paraId="5FE8C300">
            <w:pPr>
              <w:rPr>
                <w:rFonts w:ascii="Arial"/>
              </w:rPr>
            </w:pPr>
          </w:p>
        </w:tc>
        <w:tc>
          <w:tcPr>
            <w:tcW w:w="3543" w:type="dxa"/>
          </w:tcPr>
          <w:p w14:paraId="36CD932E">
            <w:pPr>
              <w:pStyle w:val="732"/>
              <w:spacing w:before="66" w:line="219" w:lineRule="auto"/>
              <w:ind w:left="109"/>
            </w:pPr>
            <w:r>
              <w:rPr>
                <w:spacing w:val="-1"/>
              </w:rPr>
              <w:t>HJ/T223</w:t>
            </w:r>
            <w:r>
              <w:rPr>
                <w:spacing w:val="-33"/>
              </w:rPr>
              <w:t xml:space="preserve"> </w:t>
            </w:r>
            <w:r>
              <w:rPr>
                <w:spacing w:val="-1"/>
              </w:rPr>
              <w:t>轻质墙体板材</w:t>
            </w:r>
          </w:p>
        </w:tc>
      </w:tr>
      <w:tr w14:paraId="7E48C514">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tcBorders>
          </w:tcPr>
          <w:p w14:paraId="0DF05078">
            <w:pPr>
              <w:rPr>
                <w:rFonts w:ascii="Arial"/>
              </w:rPr>
            </w:pPr>
          </w:p>
        </w:tc>
        <w:tc>
          <w:tcPr>
            <w:tcW w:w="1542" w:type="dxa"/>
            <w:vMerge w:val="continue"/>
            <w:tcBorders>
              <w:top w:val="nil"/>
            </w:tcBorders>
          </w:tcPr>
          <w:p w14:paraId="1E05F957">
            <w:pPr>
              <w:rPr>
                <w:rFonts w:ascii="Arial"/>
              </w:rPr>
            </w:pPr>
          </w:p>
        </w:tc>
        <w:tc>
          <w:tcPr>
            <w:tcW w:w="2672" w:type="dxa"/>
          </w:tcPr>
          <w:p w14:paraId="105E3E73">
            <w:pPr>
              <w:pStyle w:val="732"/>
              <w:spacing w:before="66" w:line="220" w:lineRule="auto"/>
              <w:ind w:left="103"/>
            </w:pPr>
            <w:r>
              <w:rPr>
                <w:spacing w:val="-1"/>
              </w:rPr>
              <w:t>A10030403</w:t>
            </w:r>
            <w:r>
              <w:rPr>
                <w:spacing w:val="-45"/>
              </w:rPr>
              <w:t xml:space="preserve"> </w:t>
            </w:r>
            <w:r>
              <w:rPr>
                <w:spacing w:val="-1"/>
              </w:rPr>
              <w:t>无石棉纤维水泥制品</w:t>
            </w:r>
          </w:p>
        </w:tc>
        <w:tc>
          <w:tcPr>
            <w:tcW w:w="2248" w:type="dxa"/>
          </w:tcPr>
          <w:p w14:paraId="420EB196">
            <w:pPr>
              <w:rPr>
                <w:rFonts w:ascii="Arial"/>
              </w:rPr>
            </w:pPr>
          </w:p>
        </w:tc>
        <w:tc>
          <w:tcPr>
            <w:tcW w:w="3543" w:type="dxa"/>
          </w:tcPr>
          <w:p w14:paraId="1F245634">
            <w:pPr>
              <w:pStyle w:val="732"/>
              <w:spacing w:before="66" w:line="219" w:lineRule="auto"/>
              <w:ind w:left="109"/>
            </w:pPr>
            <w:r>
              <w:rPr>
                <w:spacing w:val="-1"/>
              </w:rPr>
              <w:t>HJ/T223</w:t>
            </w:r>
            <w:r>
              <w:rPr>
                <w:spacing w:val="-33"/>
              </w:rPr>
              <w:t xml:space="preserve"> </w:t>
            </w:r>
            <w:r>
              <w:rPr>
                <w:spacing w:val="-1"/>
              </w:rPr>
              <w:t>轻质墙体板材</w:t>
            </w:r>
          </w:p>
        </w:tc>
      </w:tr>
      <w:tr w14:paraId="0EECBAB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3FCBC6A4">
            <w:pPr>
              <w:pStyle w:val="732"/>
              <w:spacing w:before="95" w:line="183" w:lineRule="auto"/>
              <w:ind w:left="118"/>
            </w:pPr>
            <w:r>
              <w:rPr>
                <w:spacing w:val="-5"/>
              </w:rPr>
              <w:t>37</w:t>
            </w:r>
          </w:p>
        </w:tc>
        <w:tc>
          <w:tcPr>
            <w:tcW w:w="1542" w:type="dxa"/>
            <w:vMerge w:val="restart"/>
            <w:tcBorders>
              <w:bottom w:val="nil"/>
            </w:tcBorders>
          </w:tcPr>
          <w:p w14:paraId="75BB7A8E">
            <w:pPr>
              <w:pStyle w:val="732"/>
              <w:spacing w:before="67" w:line="306" w:lineRule="auto"/>
              <w:ind w:left="109" w:right="108" w:hanging="7"/>
            </w:pPr>
            <w:r>
              <w:rPr>
                <w:spacing w:val="3"/>
              </w:rPr>
              <w:t>A100305</w:t>
            </w:r>
            <w:r>
              <w:rPr>
                <w:spacing w:val="34"/>
              </w:rPr>
              <w:t xml:space="preserve"> </w:t>
            </w:r>
            <w:r>
              <w:rPr>
                <w:spacing w:val="3"/>
              </w:rPr>
              <w:t>轻质建</w:t>
            </w:r>
            <w:r>
              <w:rPr>
                <w:spacing w:val="-2"/>
              </w:rPr>
              <w:t>筑材料及制品</w:t>
            </w:r>
          </w:p>
        </w:tc>
        <w:tc>
          <w:tcPr>
            <w:tcW w:w="2672" w:type="dxa"/>
          </w:tcPr>
          <w:p w14:paraId="548F7A27">
            <w:pPr>
              <w:pStyle w:val="732"/>
              <w:spacing w:before="67" w:line="219" w:lineRule="auto"/>
              <w:ind w:left="103"/>
            </w:pPr>
            <w:r>
              <w:rPr>
                <w:spacing w:val="-1"/>
              </w:rPr>
              <w:t>A10030501</w:t>
            </w:r>
            <w:r>
              <w:rPr>
                <w:spacing w:val="-32"/>
              </w:rPr>
              <w:t xml:space="preserve"> </w:t>
            </w:r>
            <w:r>
              <w:rPr>
                <w:spacing w:val="-1"/>
              </w:rPr>
              <w:t>石膏板</w:t>
            </w:r>
          </w:p>
        </w:tc>
        <w:tc>
          <w:tcPr>
            <w:tcW w:w="2248" w:type="dxa"/>
          </w:tcPr>
          <w:p w14:paraId="076C87D9">
            <w:pPr>
              <w:rPr>
                <w:rFonts w:ascii="Arial"/>
              </w:rPr>
            </w:pPr>
          </w:p>
        </w:tc>
        <w:tc>
          <w:tcPr>
            <w:tcW w:w="3543" w:type="dxa"/>
          </w:tcPr>
          <w:p w14:paraId="7B4CA58B">
            <w:pPr>
              <w:pStyle w:val="732"/>
              <w:spacing w:before="66" w:line="219" w:lineRule="auto"/>
              <w:ind w:left="109"/>
            </w:pPr>
            <w:r>
              <w:rPr>
                <w:spacing w:val="-1"/>
              </w:rPr>
              <w:t>HJ/T223</w:t>
            </w:r>
            <w:r>
              <w:rPr>
                <w:spacing w:val="-33"/>
              </w:rPr>
              <w:t xml:space="preserve"> </w:t>
            </w:r>
            <w:r>
              <w:rPr>
                <w:spacing w:val="-1"/>
              </w:rPr>
              <w:t>轻质墙体板材</w:t>
            </w:r>
          </w:p>
        </w:tc>
      </w:tr>
      <w:tr w14:paraId="5A3D078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398" w:hRule="atLeast"/>
          <w:jc w:val="center"/>
        </w:trPr>
        <w:tc>
          <w:tcPr>
            <w:tcW w:w="583" w:type="dxa"/>
            <w:vMerge w:val="continue"/>
            <w:tcBorders>
              <w:top w:val="nil"/>
            </w:tcBorders>
          </w:tcPr>
          <w:p w14:paraId="1BBA32BB">
            <w:pPr>
              <w:rPr>
                <w:rFonts w:ascii="Arial"/>
              </w:rPr>
            </w:pPr>
          </w:p>
        </w:tc>
        <w:tc>
          <w:tcPr>
            <w:tcW w:w="1542" w:type="dxa"/>
            <w:vMerge w:val="continue"/>
            <w:tcBorders>
              <w:top w:val="nil"/>
            </w:tcBorders>
          </w:tcPr>
          <w:p w14:paraId="0D9E093E">
            <w:pPr>
              <w:rPr>
                <w:rFonts w:ascii="Arial"/>
              </w:rPr>
            </w:pPr>
          </w:p>
        </w:tc>
        <w:tc>
          <w:tcPr>
            <w:tcW w:w="2672" w:type="dxa"/>
          </w:tcPr>
          <w:p w14:paraId="065F1778">
            <w:pPr>
              <w:pStyle w:val="732"/>
              <w:spacing w:before="66" w:line="219" w:lineRule="auto"/>
              <w:ind w:left="103"/>
            </w:pPr>
            <w:r>
              <w:rPr>
                <w:spacing w:val="-1"/>
              </w:rPr>
              <w:t>A10030503</w:t>
            </w:r>
            <w:r>
              <w:rPr>
                <w:spacing w:val="-30"/>
              </w:rPr>
              <w:t xml:space="preserve"> </w:t>
            </w:r>
            <w:r>
              <w:rPr>
                <w:spacing w:val="-1"/>
              </w:rPr>
              <w:t>轻质隔墙条板</w:t>
            </w:r>
          </w:p>
        </w:tc>
        <w:tc>
          <w:tcPr>
            <w:tcW w:w="2248" w:type="dxa"/>
          </w:tcPr>
          <w:p w14:paraId="1789BA53">
            <w:pPr>
              <w:rPr>
                <w:rFonts w:ascii="Arial"/>
              </w:rPr>
            </w:pPr>
          </w:p>
        </w:tc>
        <w:tc>
          <w:tcPr>
            <w:tcW w:w="3543" w:type="dxa"/>
          </w:tcPr>
          <w:p w14:paraId="7930735E">
            <w:pPr>
              <w:pStyle w:val="732"/>
              <w:spacing w:before="66" w:line="219" w:lineRule="auto"/>
              <w:ind w:left="109"/>
            </w:pPr>
            <w:r>
              <w:rPr>
                <w:spacing w:val="-1"/>
              </w:rPr>
              <w:t>HJ/T223</w:t>
            </w:r>
            <w:r>
              <w:rPr>
                <w:spacing w:val="-33"/>
              </w:rPr>
              <w:t xml:space="preserve"> </w:t>
            </w:r>
            <w:r>
              <w:rPr>
                <w:spacing w:val="-1"/>
              </w:rPr>
              <w:t>轻质墙体板材</w:t>
            </w:r>
          </w:p>
        </w:tc>
      </w:tr>
      <w:tr w14:paraId="7A13ABCB">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restart"/>
            <w:tcBorders>
              <w:bottom w:val="nil"/>
            </w:tcBorders>
          </w:tcPr>
          <w:p w14:paraId="154FC3C2">
            <w:pPr>
              <w:pStyle w:val="732"/>
              <w:spacing w:before="95" w:line="183" w:lineRule="auto"/>
              <w:ind w:left="118"/>
            </w:pPr>
            <w:r>
              <w:rPr>
                <w:spacing w:val="-5"/>
              </w:rPr>
              <w:t>38</w:t>
            </w:r>
          </w:p>
        </w:tc>
        <w:tc>
          <w:tcPr>
            <w:tcW w:w="1542" w:type="dxa"/>
            <w:vMerge w:val="restart"/>
            <w:tcBorders>
              <w:bottom w:val="nil"/>
            </w:tcBorders>
          </w:tcPr>
          <w:p w14:paraId="14236396">
            <w:pPr>
              <w:pStyle w:val="732"/>
              <w:spacing w:before="66" w:line="307" w:lineRule="auto"/>
              <w:ind w:left="111" w:right="108" w:hanging="9"/>
            </w:pPr>
            <w:r>
              <w:rPr>
                <w:spacing w:val="-1"/>
              </w:rPr>
              <w:t>A100307</w:t>
            </w:r>
            <w:r>
              <w:rPr>
                <w:spacing w:val="36"/>
              </w:rPr>
              <w:t xml:space="preserve"> </w:t>
            </w:r>
            <w:r>
              <w:rPr>
                <w:spacing w:val="-1"/>
              </w:rPr>
              <w:t>建筑</w:t>
            </w:r>
            <w:r>
              <w:rPr>
                <w:spacing w:val="-52"/>
              </w:rPr>
              <w:t xml:space="preserve"> </w:t>
            </w:r>
            <w:r>
              <w:rPr>
                <w:spacing w:val="-1"/>
              </w:rPr>
              <w:t>陶</w:t>
            </w:r>
            <w:r>
              <w:t xml:space="preserve"> </w:t>
            </w:r>
            <w:r>
              <w:rPr>
                <w:spacing w:val="-3"/>
              </w:rPr>
              <w:t>瓷制品</w:t>
            </w:r>
          </w:p>
        </w:tc>
        <w:tc>
          <w:tcPr>
            <w:tcW w:w="2672" w:type="dxa"/>
          </w:tcPr>
          <w:p w14:paraId="0B55ECA1">
            <w:pPr>
              <w:pStyle w:val="732"/>
              <w:spacing w:before="66" w:line="221" w:lineRule="auto"/>
              <w:ind w:left="103"/>
            </w:pPr>
            <w:r>
              <w:rPr>
                <w:spacing w:val="-1"/>
              </w:rPr>
              <w:t>A10030701</w:t>
            </w:r>
            <w:r>
              <w:rPr>
                <w:spacing w:val="-30"/>
              </w:rPr>
              <w:t xml:space="preserve"> </w:t>
            </w:r>
            <w:r>
              <w:rPr>
                <w:spacing w:val="-1"/>
              </w:rPr>
              <w:t>瓷质砖</w:t>
            </w:r>
          </w:p>
        </w:tc>
        <w:tc>
          <w:tcPr>
            <w:tcW w:w="2248" w:type="dxa"/>
          </w:tcPr>
          <w:p w14:paraId="0EF23226">
            <w:pPr>
              <w:rPr>
                <w:rFonts w:ascii="Arial"/>
              </w:rPr>
            </w:pPr>
          </w:p>
        </w:tc>
        <w:tc>
          <w:tcPr>
            <w:tcW w:w="3543" w:type="dxa"/>
          </w:tcPr>
          <w:p w14:paraId="38CA3179">
            <w:pPr>
              <w:pStyle w:val="732"/>
              <w:spacing w:before="66" w:line="219" w:lineRule="auto"/>
              <w:ind w:left="109"/>
            </w:pPr>
            <w:r>
              <w:rPr>
                <w:spacing w:val="-2"/>
              </w:rPr>
              <w:t>HJ/T297</w:t>
            </w:r>
            <w:r>
              <w:rPr>
                <w:spacing w:val="-22"/>
              </w:rPr>
              <w:t xml:space="preserve"> </w:t>
            </w:r>
            <w:r>
              <w:rPr>
                <w:spacing w:val="-2"/>
              </w:rPr>
              <w:t>陶瓷砖</w:t>
            </w:r>
          </w:p>
        </w:tc>
      </w:tr>
      <w:tr w14:paraId="7B0A25B7">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35FDFA87">
            <w:pPr>
              <w:rPr>
                <w:rFonts w:ascii="Arial"/>
              </w:rPr>
            </w:pPr>
          </w:p>
        </w:tc>
        <w:tc>
          <w:tcPr>
            <w:tcW w:w="1542" w:type="dxa"/>
            <w:vMerge w:val="continue"/>
            <w:tcBorders>
              <w:top w:val="nil"/>
              <w:bottom w:val="nil"/>
            </w:tcBorders>
          </w:tcPr>
          <w:p w14:paraId="19969CA7">
            <w:pPr>
              <w:rPr>
                <w:rFonts w:ascii="Arial"/>
              </w:rPr>
            </w:pPr>
          </w:p>
        </w:tc>
        <w:tc>
          <w:tcPr>
            <w:tcW w:w="2672" w:type="dxa"/>
          </w:tcPr>
          <w:p w14:paraId="3DAB9C84">
            <w:pPr>
              <w:pStyle w:val="732"/>
              <w:spacing w:before="66" w:line="221" w:lineRule="auto"/>
              <w:ind w:left="103"/>
            </w:pPr>
            <w:r>
              <w:t>A10030704 炻质砖</w:t>
            </w:r>
          </w:p>
        </w:tc>
        <w:tc>
          <w:tcPr>
            <w:tcW w:w="2248" w:type="dxa"/>
          </w:tcPr>
          <w:p w14:paraId="46AD4887">
            <w:pPr>
              <w:rPr>
                <w:rFonts w:ascii="Arial"/>
              </w:rPr>
            </w:pPr>
          </w:p>
        </w:tc>
        <w:tc>
          <w:tcPr>
            <w:tcW w:w="3543" w:type="dxa"/>
          </w:tcPr>
          <w:p w14:paraId="6583F06D">
            <w:pPr>
              <w:pStyle w:val="732"/>
              <w:spacing w:before="66" w:line="219" w:lineRule="auto"/>
              <w:ind w:left="109"/>
            </w:pPr>
            <w:r>
              <w:rPr>
                <w:spacing w:val="-2"/>
              </w:rPr>
              <w:t>HJ/T297</w:t>
            </w:r>
            <w:r>
              <w:rPr>
                <w:spacing w:val="-22"/>
              </w:rPr>
              <w:t xml:space="preserve"> </w:t>
            </w:r>
            <w:r>
              <w:rPr>
                <w:spacing w:val="-2"/>
              </w:rPr>
              <w:t>陶瓷砖</w:t>
            </w:r>
          </w:p>
        </w:tc>
      </w:tr>
      <w:tr w14:paraId="5BBCEA1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vMerge w:val="continue"/>
            <w:tcBorders>
              <w:top w:val="nil"/>
              <w:bottom w:val="nil"/>
            </w:tcBorders>
          </w:tcPr>
          <w:p w14:paraId="4146F194">
            <w:pPr>
              <w:rPr>
                <w:rFonts w:ascii="Arial"/>
              </w:rPr>
            </w:pPr>
          </w:p>
        </w:tc>
        <w:tc>
          <w:tcPr>
            <w:tcW w:w="1542" w:type="dxa"/>
            <w:vMerge w:val="continue"/>
            <w:tcBorders>
              <w:top w:val="nil"/>
              <w:bottom w:val="nil"/>
            </w:tcBorders>
          </w:tcPr>
          <w:p w14:paraId="647143E1">
            <w:pPr>
              <w:rPr>
                <w:rFonts w:ascii="Arial"/>
              </w:rPr>
            </w:pPr>
          </w:p>
        </w:tc>
        <w:tc>
          <w:tcPr>
            <w:tcW w:w="2672" w:type="dxa"/>
          </w:tcPr>
          <w:p w14:paraId="0308369E">
            <w:pPr>
              <w:pStyle w:val="732"/>
              <w:spacing w:before="66" w:line="221" w:lineRule="auto"/>
              <w:ind w:left="103"/>
            </w:pPr>
            <w:r>
              <w:rPr>
                <w:spacing w:val="-2"/>
              </w:rPr>
              <w:t>A10030705</w:t>
            </w:r>
            <w:r>
              <w:rPr>
                <w:spacing w:val="-17"/>
              </w:rPr>
              <w:t xml:space="preserve"> </w:t>
            </w:r>
            <w:r>
              <w:rPr>
                <w:spacing w:val="-2"/>
              </w:rPr>
              <w:t>陶质砖</w:t>
            </w:r>
          </w:p>
        </w:tc>
        <w:tc>
          <w:tcPr>
            <w:tcW w:w="2248" w:type="dxa"/>
          </w:tcPr>
          <w:p w14:paraId="4F63B913">
            <w:pPr>
              <w:rPr>
                <w:rFonts w:ascii="Arial"/>
              </w:rPr>
            </w:pPr>
          </w:p>
        </w:tc>
        <w:tc>
          <w:tcPr>
            <w:tcW w:w="3543" w:type="dxa"/>
          </w:tcPr>
          <w:p w14:paraId="375914D7">
            <w:pPr>
              <w:pStyle w:val="732"/>
              <w:spacing w:before="66" w:line="219" w:lineRule="auto"/>
              <w:ind w:left="109"/>
            </w:pPr>
            <w:r>
              <w:rPr>
                <w:spacing w:val="-2"/>
              </w:rPr>
              <w:t>HJ/T297</w:t>
            </w:r>
            <w:r>
              <w:rPr>
                <w:spacing w:val="-22"/>
              </w:rPr>
              <w:t xml:space="preserve"> </w:t>
            </w:r>
            <w:r>
              <w:rPr>
                <w:spacing w:val="-2"/>
              </w:rPr>
              <w:t>陶瓷砖</w:t>
            </w:r>
          </w:p>
        </w:tc>
      </w:tr>
      <w:tr w14:paraId="2B1338B0">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0B0DF28E">
            <w:pPr>
              <w:rPr>
                <w:rFonts w:ascii="Arial"/>
              </w:rPr>
            </w:pPr>
          </w:p>
        </w:tc>
        <w:tc>
          <w:tcPr>
            <w:tcW w:w="1542" w:type="dxa"/>
            <w:vMerge w:val="continue"/>
            <w:tcBorders>
              <w:top w:val="nil"/>
            </w:tcBorders>
          </w:tcPr>
          <w:p w14:paraId="68D42B36">
            <w:pPr>
              <w:rPr>
                <w:rFonts w:ascii="Arial"/>
              </w:rPr>
            </w:pPr>
          </w:p>
        </w:tc>
        <w:tc>
          <w:tcPr>
            <w:tcW w:w="2672" w:type="dxa"/>
          </w:tcPr>
          <w:p w14:paraId="0352CB23">
            <w:pPr>
              <w:pStyle w:val="732"/>
              <w:spacing w:before="66" w:line="221" w:lineRule="auto"/>
              <w:ind w:left="103"/>
            </w:pPr>
            <w:r>
              <w:t>A10030799 其他建筑陶瓷制品</w:t>
            </w:r>
          </w:p>
        </w:tc>
        <w:tc>
          <w:tcPr>
            <w:tcW w:w="2248" w:type="dxa"/>
          </w:tcPr>
          <w:p w14:paraId="3A6C3A5A">
            <w:pPr>
              <w:rPr>
                <w:rFonts w:ascii="Arial"/>
              </w:rPr>
            </w:pPr>
          </w:p>
        </w:tc>
        <w:tc>
          <w:tcPr>
            <w:tcW w:w="3543" w:type="dxa"/>
          </w:tcPr>
          <w:p w14:paraId="05931D1C">
            <w:pPr>
              <w:pStyle w:val="732"/>
              <w:spacing w:before="66" w:line="219" w:lineRule="auto"/>
              <w:ind w:left="109"/>
            </w:pPr>
            <w:r>
              <w:rPr>
                <w:spacing w:val="-2"/>
              </w:rPr>
              <w:t>HJ/T297</w:t>
            </w:r>
            <w:r>
              <w:rPr>
                <w:spacing w:val="-22"/>
              </w:rPr>
              <w:t xml:space="preserve"> </w:t>
            </w:r>
            <w:r>
              <w:rPr>
                <w:spacing w:val="-2"/>
              </w:rPr>
              <w:t>陶瓷砖</w:t>
            </w:r>
          </w:p>
        </w:tc>
      </w:tr>
      <w:tr w14:paraId="71BF630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1F3EC161">
            <w:pPr>
              <w:pStyle w:val="732"/>
              <w:spacing w:before="95" w:line="183" w:lineRule="auto"/>
              <w:ind w:left="118"/>
            </w:pPr>
            <w:r>
              <w:rPr>
                <w:spacing w:val="-5"/>
              </w:rPr>
              <w:t>39</w:t>
            </w:r>
          </w:p>
        </w:tc>
        <w:tc>
          <w:tcPr>
            <w:tcW w:w="1542" w:type="dxa"/>
            <w:vMerge w:val="restart"/>
            <w:tcBorders>
              <w:bottom w:val="nil"/>
            </w:tcBorders>
          </w:tcPr>
          <w:p w14:paraId="5AB6B20E">
            <w:pPr>
              <w:pStyle w:val="732"/>
              <w:spacing w:before="66" w:line="306" w:lineRule="auto"/>
              <w:ind w:left="109" w:right="108" w:hanging="7"/>
            </w:pPr>
            <w:r>
              <w:rPr>
                <w:spacing w:val="-1"/>
              </w:rPr>
              <w:t>A100309</w:t>
            </w:r>
            <w:r>
              <w:rPr>
                <w:spacing w:val="34"/>
                <w:w w:val="101"/>
              </w:rPr>
              <w:t xml:space="preserve"> </w:t>
            </w:r>
            <w:r>
              <w:rPr>
                <w:spacing w:val="-1"/>
              </w:rPr>
              <w:t>建筑</w:t>
            </w:r>
            <w:r>
              <w:rPr>
                <w:spacing w:val="-51"/>
              </w:rPr>
              <w:t xml:space="preserve"> </w:t>
            </w:r>
            <w:r>
              <w:rPr>
                <w:spacing w:val="-1"/>
              </w:rPr>
              <w:t>防</w:t>
            </w:r>
            <w:r>
              <w:t xml:space="preserve"> </w:t>
            </w:r>
            <w:r>
              <w:rPr>
                <w:spacing w:val="-2"/>
              </w:rPr>
              <w:t>水卷材及制品</w:t>
            </w:r>
          </w:p>
        </w:tc>
        <w:tc>
          <w:tcPr>
            <w:tcW w:w="2672" w:type="dxa"/>
          </w:tcPr>
          <w:p w14:paraId="7CDCBD17">
            <w:pPr>
              <w:pStyle w:val="732"/>
              <w:spacing w:before="66" w:line="283" w:lineRule="auto"/>
              <w:ind w:left="110" w:right="107" w:hanging="7"/>
            </w:pPr>
            <w:r>
              <w:rPr>
                <w:spacing w:val="-1"/>
              </w:rPr>
              <w:t>A10030901</w:t>
            </w:r>
            <w:r>
              <w:rPr>
                <w:spacing w:val="-47"/>
              </w:rPr>
              <w:t xml:space="preserve"> </w:t>
            </w:r>
            <w:r>
              <w:rPr>
                <w:spacing w:val="-1"/>
              </w:rPr>
              <w:t>沥青和改性沥青防水</w:t>
            </w:r>
            <w:r>
              <w:t xml:space="preserve"> </w:t>
            </w:r>
            <w:r>
              <w:rPr>
                <w:spacing w:val="-3"/>
              </w:rPr>
              <w:t>卷材</w:t>
            </w:r>
          </w:p>
        </w:tc>
        <w:tc>
          <w:tcPr>
            <w:tcW w:w="2248" w:type="dxa"/>
          </w:tcPr>
          <w:p w14:paraId="4DBA45B9">
            <w:pPr>
              <w:rPr>
                <w:rFonts w:ascii="Arial"/>
              </w:rPr>
            </w:pPr>
          </w:p>
        </w:tc>
        <w:tc>
          <w:tcPr>
            <w:tcW w:w="3543" w:type="dxa"/>
          </w:tcPr>
          <w:p w14:paraId="5492C8B3">
            <w:pPr>
              <w:pStyle w:val="732"/>
              <w:spacing w:before="66" w:line="219" w:lineRule="auto"/>
              <w:ind w:left="109"/>
            </w:pPr>
            <w:r>
              <w:rPr>
                <w:spacing w:val="-2"/>
              </w:rPr>
              <w:t>HJ455</w:t>
            </w:r>
            <w:r>
              <w:rPr>
                <w:spacing w:val="-25"/>
              </w:rPr>
              <w:t xml:space="preserve"> </w:t>
            </w:r>
            <w:r>
              <w:rPr>
                <w:spacing w:val="-2"/>
              </w:rPr>
              <w:t>防水卷材</w:t>
            </w:r>
          </w:p>
        </w:tc>
      </w:tr>
      <w:tr w14:paraId="5BF69A3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bottom w:val="nil"/>
            </w:tcBorders>
          </w:tcPr>
          <w:p w14:paraId="7830BF12">
            <w:pPr>
              <w:rPr>
                <w:rFonts w:ascii="Arial"/>
              </w:rPr>
            </w:pPr>
          </w:p>
        </w:tc>
        <w:tc>
          <w:tcPr>
            <w:tcW w:w="1542" w:type="dxa"/>
            <w:vMerge w:val="continue"/>
            <w:tcBorders>
              <w:top w:val="nil"/>
              <w:bottom w:val="nil"/>
            </w:tcBorders>
          </w:tcPr>
          <w:p w14:paraId="07C09F95">
            <w:pPr>
              <w:rPr>
                <w:rFonts w:ascii="Arial"/>
              </w:rPr>
            </w:pPr>
          </w:p>
        </w:tc>
        <w:tc>
          <w:tcPr>
            <w:tcW w:w="2672" w:type="dxa"/>
          </w:tcPr>
          <w:p w14:paraId="4F1593F9">
            <w:pPr>
              <w:pStyle w:val="732"/>
              <w:spacing w:before="67" w:line="219" w:lineRule="auto"/>
              <w:ind w:left="103"/>
            </w:pPr>
            <w:r>
              <w:rPr>
                <w:spacing w:val="-2"/>
              </w:rPr>
              <w:t>A10030903</w:t>
            </w:r>
            <w:r>
              <w:rPr>
                <w:spacing w:val="36"/>
              </w:rPr>
              <w:t xml:space="preserve"> </w:t>
            </w:r>
            <w:r>
              <w:rPr>
                <w:spacing w:val="-2"/>
              </w:rPr>
              <w:t>自粘防水卷材</w:t>
            </w:r>
          </w:p>
        </w:tc>
        <w:tc>
          <w:tcPr>
            <w:tcW w:w="2248" w:type="dxa"/>
          </w:tcPr>
          <w:p w14:paraId="5F14C89B">
            <w:pPr>
              <w:rPr>
                <w:rFonts w:ascii="Arial"/>
              </w:rPr>
            </w:pPr>
          </w:p>
        </w:tc>
        <w:tc>
          <w:tcPr>
            <w:tcW w:w="3543" w:type="dxa"/>
          </w:tcPr>
          <w:p w14:paraId="6A005B8B">
            <w:pPr>
              <w:pStyle w:val="732"/>
              <w:spacing w:before="66" w:line="219" w:lineRule="auto"/>
              <w:ind w:left="109"/>
            </w:pPr>
            <w:r>
              <w:rPr>
                <w:spacing w:val="-2"/>
              </w:rPr>
              <w:t>HJ455</w:t>
            </w:r>
            <w:r>
              <w:rPr>
                <w:spacing w:val="-25"/>
              </w:rPr>
              <w:t xml:space="preserve"> </w:t>
            </w:r>
            <w:r>
              <w:rPr>
                <w:spacing w:val="-2"/>
              </w:rPr>
              <w:t>防水卷材</w:t>
            </w:r>
          </w:p>
        </w:tc>
      </w:tr>
      <w:tr w14:paraId="340575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tcBorders>
          </w:tcPr>
          <w:p w14:paraId="5A4F2942">
            <w:pPr>
              <w:rPr>
                <w:rFonts w:ascii="Arial"/>
              </w:rPr>
            </w:pPr>
          </w:p>
        </w:tc>
        <w:tc>
          <w:tcPr>
            <w:tcW w:w="1542" w:type="dxa"/>
            <w:vMerge w:val="continue"/>
            <w:tcBorders>
              <w:top w:val="nil"/>
            </w:tcBorders>
          </w:tcPr>
          <w:p w14:paraId="50A87AF7">
            <w:pPr>
              <w:rPr>
                <w:rFonts w:ascii="Arial"/>
              </w:rPr>
            </w:pPr>
          </w:p>
        </w:tc>
        <w:tc>
          <w:tcPr>
            <w:tcW w:w="2672" w:type="dxa"/>
          </w:tcPr>
          <w:p w14:paraId="2BFF1D93">
            <w:pPr>
              <w:pStyle w:val="732"/>
              <w:spacing w:before="66" w:line="283" w:lineRule="auto"/>
              <w:ind w:left="108" w:right="102" w:hanging="5"/>
            </w:pPr>
            <w:r>
              <w:rPr>
                <w:spacing w:val="-2"/>
              </w:rPr>
              <w:t>A10030906</w:t>
            </w:r>
            <w:r>
              <w:rPr>
                <w:spacing w:val="-24"/>
              </w:rPr>
              <w:t xml:space="preserve"> </w:t>
            </w:r>
            <w:r>
              <w:rPr>
                <w:spacing w:val="-2"/>
              </w:rPr>
              <w:t>高分子防水卷（片）</w:t>
            </w:r>
            <w:r>
              <w:t xml:space="preserve"> 材</w:t>
            </w:r>
          </w:p>
        </w:tc>
        <w:tc>
          <w:tcPr>
            <w:tcW w:w="2248" w:type="dxa"/>
          </w:tcPr>
          <w:p w14:paraId="5166F46A">
            <w:pPr>
              <w:rPr>
                <w:rFonts w:ascii="Arial"/>
              </w:rPr>
            </w:pPr>
          </w:p>
        </w:tc>
        <w:tc>
          <w:tcPr>
            <w:tcW w:w="3543" w:type="dxa"/>
          </w:tcPr>
          <w:p w14:paraId="2B028B34">
            <w:pPr>
              <w:pStyle w:val="732"/>
              <w:spacing w:before="66" w:line="219" w:lineRule="auto"/>
              <w:ind w:left="109"/>
            </w:pPr>
            <w:r>
              <w:rPr>
                <w:spacing w:val="-2"/>
              </w:rPr>
              <w:t>HJ455</w:t>
            </w:r>
            <w:r>
              <w:rPr>
                <w:spacing w:val="-25"/>
              </w:rPr>
              <w:t xml:space="preserve"> </w:t>
            </w:r>
            <w:r>
              <w:rPr>
                <w:spacing w:val="-2"/>
              </w:rPr>
              <w:t>防水卷材</w:t>
            </w:r>
          </w:p>
        </w:tc>
      </w:tr>
      <w:tr w14:paraId="2B580DC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restart"/>
            <w:tcBorders>
              <w:bottom w:val="nil"/>
            </w:tcBorders>
          </w:tcPr>
          <w:p w14:paraId="237F2AF9">
            <w:pPr>
              <w:pStyle w:val="732"/>
              <w:spacing w:before="95" w:line="183" w:lineRule="auto"/>
              <w:ind w:left="114"/>
            </w:pPr>
            <w:r>
              <w:rPr>
                <w:spacing w:val="-3"/>
              </w:rPr>
              <w:t>40</w:t>
            </w:r>
          </w:p>
        </w:tc>
        <w:tc>
          <w:tcPr>
            <w:tcW w:w="1542" w:type="dxa"/>
            <w:vMerge w:val="restart"/>
            <w:tcBorders>
              <w:bottom w:val="nil"/>
            </w:tcBorders>
          </w:tcPr>
          <w:p w14:paraId="3AB54314">
            <w:pPr>
              <w:pStyle w:val="732"/>
              <w:spacing w:before="68" w:line="311" w:lineRule="auto"/>
              <w:ind w:left="106" w:right="106" w:hanging="4"/>
            </w:pPr>
            <w:r>
              <w:rPr>
                <w:spacing w:val="-8"/>
              </w:rPr>
              <w:t>A100310</w:t>
            </w:r>
            <w:r>
              <w:rPr>
                <w:spacing w:val="-25"/>
              </w:rPr>
              <w:t xml:space="preserve"> </w:t>
            </w:r>
            <w:r>
              <w:rPr>
                <w:spacing w:val="-8"/>
              </w:rPr>
              <w:t>隔热、隔</w:t>
            </w:r>
            <w:r>
              <w:t xml:space="preserve"> </w:t>
            </w:r>
            <w:r>
              <w:rPr>
                <w:spacing w:val="9"/>
              </w:rPr>
              <w:t>音人造矿物材料</w:t>
            </w:r>
            <w:r>
              <w:rPr>
                <w:spacing w:val="-2"/>
              </w:rPr>
              <w:t>及其制品</w:t>
            </w:r>
          </w:p>
        </w:tc>
        <w:tc>
          <w:tcPr>
            <w:tcW w:w="2672" w:type="dxa"/>
          </w:tcPr>
          <w:p w14:paraId="33572EC2">
            <w:pPr>
              <w:pStyle w:val="732"/>
              <w:spacing w:before="68" w:line="282" w:lineRule="auto"/>
              <w:ind w:left="108" w:right="107" w:hanging="5"/>
              <w:rPr>
                <w:lang w:eastAsia="zh-CN"/>
              </w:rPr>
            </w:pPr>
            <w:r>
              <w:rPr>
                <w:spacing w:val="6"/>
                <w:lang w:eastAsia="zh-CN"/>
              </w:rPr>
              <w:t>A10031001 矿物绝热和吸声材</w:t>
            </w:r>
            <w:r>
              <w:rPr>
                <w:spacing w:val="7"/>
                <w:lang w:eastAsia="zh-CN"/>
              </w:rPr>
              <w:t xml:space="preserve"> </w:t>
            </w:r>
            <w:r>
              <w:rPr>
                <w:lang w:eastAsia="zh-CN"/>
              </w:rPr>
              <w:t>料</w:t>
            </w:r>
          </w:p>
        </w:tc>
        <w:tc>
          <w:tcPr>
            <w:tcW w:w="2248" w:type="dxa"/>
          </w:tcPr>
          <w:p w14:paraId="5F43815D">
            <w:pPr>
              <w:rPr>
                <w:rFonts w:ascii="Arial"/>
              </w:rPr>
            </w:pPr>
          </w:p>
        </w:tc>
        <w:tc>
          <w:tcPr>
            <w:tcW w:w="3543" w:type="dxa"/>
          </w:tcPr>
          <w:p w14:paraId="71333A73">
            <w:pPr>
              <w:pStyle w:val="732"/>
              <w:spacing w:before="67" w:line="219" w:lineRule="auto"/>
              <w:ind w:left="109"/>
            </w:pPr>
            <w:r>
              <w:rPr>
                <w:spacing w:val="-1"/>
              </w:rPr>
              <w:t>HJ/T223</w:t>
            </w:r>
            <w:r>
              <w:rPr>
                <w:spacing w:val="-33"/>
              </w:rPr>
              <w:t xml:space="preserve"> </w:t>
            </w:r>
            <w:r>
              <w:rPr>
                <w:spacing w:val="-1"/>
              </w:rPr>
              <w:t>轻质墙体板材</w:t>
            </w:r>
          </w:p>
        </w:tc>
      </w:tr>
      <w:tr w14:paraId="528B0FB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8" w:hRule="atLeast"/>
          <w:jc w:val="center"/>
        </w:trPr>
        <w:tc>
          <w:tcPr>
            <w:tcW w:w="583" w:type="dxa"/>
            <w:vMerge w:val="continue"/>
            <w:tcBorders>
              <w:top w:val="nil"/>
            </w:tcBorders>
          </w:tcPr>
          <w:p w14:paraId="717323A6">
            <w:pPr>
              <w:rPr>
                <w:rFonts w:ascii="Arial"/>
              </w:rPr>
            </w:pPr>
          </w:p>
        </w:tc>
        <w:tc>
          <w:tcPr>
            <w:tcW w:w="1542" w:type="dxa"/>
            <w:vMerge w:val="continue"/>
            <w:tcBorders>
              <w:top w:val="nil"/>
            </w:tcBorders>
          </w:tcPr>
          <w:p w14:paraId="48FF749F">
            <w:pPr>
              <w:rPr>
                <w:rFonts w:ascii="Arial"/>
              </w:rPr>
            </w:pPr>
          </w:p>
        </w:tc>
        <w:tc>
          <w:tcPr>
            <w:tcW w:w="2672" w:type="dxa"/>
          </w:tcPr>
          <w:p w14:paraId="4D0954DC">
            <w:pPr>
              <w:pStyle w:val="732"/>
              <w:spacing w:before="68" w:line="219" w:lineRule="auto"/>
              <w:ind w:left="103"/>
            </w:pPr>
            <w:r>
              <w:rPr>
                <w:spacing w:val="-1"/>
              </w:rPr>
              <w:t>A10031002</w:t>
            </w:r>
            <w:r>
              <w:rPr>
                <w:spacing w:val="-30"/>
              </w:rPr>
              <w:t xml:space="preserve"> </w:t>
            </w:r>
            <w:r>
              <w:rPr>
                <w:spacing w:val="-1"/>
              </w:rPr>
              <w:t>矿物材料制品</w:t>
            </w:r>
          </w:p>
        </w:tc>
        <w:tc>
          <w:tcPr>
            <w:tcW w:w="2248" w:type="dxa"/>
          </w:tcPr>
          <w:p w14:paraId="71677647">
            <w:pPr>
              <w:rPr>
                <w:rFonts w:ascii="Arial"/>
              </w:rPr>
            </w:pPr>
          </w:p>
        </w:tc>
        <w:tc>
          <w:tcPr>
            <w:tcW w:w="3543" w:type="dxa"/>
          </w:tcPr>
          <w:p w14:paraId="281909AE">
            <w:pPr>
              <w:pStyle w:val="732"/>
              <w:spacing w:before="67" w:line="219" w:lineRule="auto"/>
              <w:ind w:left="109"/>
            </w:pPr>
            <w:r>
              <w:rPr>
                <w:spacing w:val="-1"/>
              </w:rPr>
              <w:t>HJ/T223</w:t>
            </w:r>
            <w:r>
              <w:rPr>
                <w:spacing w:val="-33"/>
              </w:rPr>
              <w:t xml:space="preserve"> </w:t>
            </w:r>
            <w:r>
              <w:rPr>
                <w:spacing w:val="-1"/>
              </w:rPr>
              <w:t>轻质墙体板材</w:t>
            </w:r>
          </w:p>
        </w:tc>
      </w:tr>
      <w:tr w14:paraId="330B8A4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2F0778F1">
            <w:pPr>
              <w:pStyle w:val="732"/>
              <w:spacing w:before="95" w:line="184" w:lineRule="auto"/>
              <w:ind w:left="114"/>
            </w:pPr>
            <w:r>
              <w:rPr>
                <w:spacing w:val="-3"/>
              </w:rPr>
              <w:t>41</w:t>
            </w:r>
          </w:p>
        </w:tc>
        <w:tc>
          <w:tcPr>
            <w:tcW w:w="1542" w:type="dxa"/>
          </w:tcPr>
          <w:p w14:paraId="6F6706FC">
            <w:pPr>
              <w:pStyle w:val="732"/>
              <w:spacing w:before="68" w:line="282" w:lineRule="auto"/>
              <w:ind w:left="109" w:right="108" w:hanging="7"/>
            </w:pPr>
            <w:r>
              <w:rPr>
                <w:spacing w:val="3"/>
              </w:rPr>
              <w:t>A100601</w:t>
            </w:r>
            <w:r>
              <w:rPr>
                <w:spacing w:val="34"/>
              </w:rPr>
              <w:t xml:space="preserve"> </w:t>
            </w:r>
            <w:r>
              <w:rPr>
                <w:spacing w:val="3"/>
              </w:rPr>
              <w:t>功能性</w:t>
            </w:r>
            <w:r>
              <w:t xml:space="preserve"> </w:t>
            </w:r>
            <w:r>
              <w:rPr>
                <w:spacing w:val="-2"/>
              </w:rPr>
              <w:t>建筑涂料</w:t>
            </w:r>
          </w:p>
        </w:tc>
        <w:tc>
          <w:tcPr>
            <w:tcW w:w="2672" w:type="dxa"/>
          </w:tcPr>
          <w:p w14:paraId="67A1DB0F">
            <w:pPr>
              <w:rPr>
                <w:rFonts w:ascii="Arial"/>
              </w:rPr>
            </w:pPr>
          </w:p>
        </w:tc>
        <w:tc>
          <w:tcPr>
            <w:tcW w:w="2248" w:type="dxa"/>
          </w:tcPr>
          <w:p w14:paraId="49AD1192">
            <w:pPr>
              <w:rPr>
                <w:rFonts w:ascii="Arial"/>
              </w:rPr>
            </w:pPr>
          </w:p>
        </w:tc>
        <w:tc>
          <w:tcPr>
            <w:tcW w:w="3543" w:type="dxa"/>
          </w:tcPr>
          <w:p w14:paraId="48966A9A">
            <w:pPr>
              <w:pStyle w:val="732"/>
              <w:spacing w:before="67" w:line="219" w:lineRule="auto"/>
              <w:ind w:left="109"/>
            </w:pPr>
            <w:r>
              <w:rPr>
                <w:spacing w:val="-1"/>
              </w:rPr>
              <w:t>HJ2537</w:t>
            </w:r>
            <w:r>
              <w:rPr>
                <w:spacing w:val="-34"/>
              </w:rPr>
              <w:t xml:space="preserve"> </w:t>
            </w:r>
            <w:r>
              <w:rPr>
                <w:spacing w:val="-1"/>
              </w:rPr>
              <w:t>水性涂料</w:t>
            </w:r>
          </w:p>
        </w:tc>
      </w:tr>
      <w:tr w14:paraId="1E5D5A6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35A5D4B6">
            <w:pPr>
              <w:pStyle w:val="732"/>
              <w:spacing w:before="97" w:line="183" w:lineRule="auto"/>
              <w:ind w:left="114"/>
            </w:pPr>
            <w:r>
              <w:rPr>
                <w:spacing w:val="-3"/>
              </w:rPr>
              <w:t>42</w:t>
            </w:r>
          </w:p>
        </w:tc>
        <w:tc>
          <w:tcPr>
            <w:tcW w:w="1542" w:type="dxa"/>
          </w:tcPr>
          <w:p w14:paraId="20EB74EB">
            <w:pPr>
              <w:pStyle w:val="732"/>
              <w:spacing w:before="69" w:line="284" w:lineRule="auto"/>
              <w:ind w:left="109" w:right="106" w:firstLine="84"/>
            </w:pPr>
            <w:r>
              <w:rPr>
                <w:spacing w:val="-1"/>
              </w:rPr>
              <w:t>A100399</w:t>
            </w:r>
            <w:r>
              <w:rPr>
                <w:spacing w:val="-15"/>
              </w:rPr>
              <w:t xml:space="preserve"> </w:t>
            </w:r>
            <w:r>
              <w:rPr>
                <w:spacing w:val="-1"/>
              </w:rPr>
              <w:t>其他非</w:t>
            </w:r>
            <w:r>
              <w:t xml:space="preserve"> </w:t>
            </w:r>
            <w:r>
              <w:rPr>
                <w:spacing w:val="-2"/>
              </w:rPr>
              <w:t>金属矿物制品</w:t>
            </w:r>
          </w:p>
        </w:tc>
        <w:tc>
          <w:tcPr>
            <w:tcW w:w="2672" w:type="dxa"/>
          </w:tcPr>
          <w:p w14:paraId="760120DA">
            <w:pPr>
              <w:pStyle w:val="732"/>
              <w:spacing w:before="68" w:line="219" w:lineRule="auto"/>
              <w:ind w:left="103"/>
            </w:pPr>
            <w:r>
              <w:rPr>
                <w:spacing w:val="-1"/>
              </w:rPr>
              <w:t>A10039901</w:t>
            </w:r>
            <w:r>
              <w:rPr>
                <w:spacing w:val="-45"/>
              </w:rPr>
              <w:t xml:space="preserve"> </w:t>
            </w:r>
            <w:r>
              <w:rPr>
                <w:spacing w:val="-1"/>
              </w:rPr>
              <w:t>其他非金属建筑材料</w:t>
            </w:r>
          </w:p>
        </w:tc>
        <w:tc>
          <w:tcPr>
            <w:tcW w:w="2248" w:type="dxa"/>
          </w:tcPr>
          <w:p w14:paraId="33CD2882">
            <w:pPr>
              <w:rPr>
                <w:rFonts w:ascii="Arial"/>
              </w:rPr>
            </w:pPr>
          </w:p>
        </w:tc>
        <w:tc>
          <w:tcPr>
            <w:tcW w:w="3543" w:type="dxa"/>
          </w:tcPr>
          <w:p w14:paraId="5E304C31">
            <w:pPr>
              <w:pStyle w:val="732"/>
              <w:spacing w:before="68" w:line="219" w:lineRule="auto"/>
              <w:ind w:left="109"/>
            </w:pPr>
            <w:r>
              <w:rPr>
                <w:spacing w:val="-2"/>
              </w:rPr>
              <w:t>HJ456</w:t>
            </w:r>
            <w:r>
              <w:rPr>
                <w:spacing w:val="-23"/>
              </w:rPr>
              <w:t xml:space="preserve"> </w:t>
            </w:r>
            <w:r>
              <w:rPr>
                <w:spacing w:val="-2"/>
              </w:rPr>
              <w:t>刚性防水材料</w:t>
            </w:r>
          </w:p>
        </w:tc>
      </w:tr>
      <w:tr w14:paraId="7E8209B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vMerge w:val="restart"/>
            <w:tcBorders>
              <w:bottom w:val="nil"/>
            </w:tcBorders>
          </w:tcPr>
          <w:p w14:paraId="4B2F2C34">
            <w:pPr>
              <w:pStyle w:val="732"/>
              <w:spacing w:before="96" w:line="183" w:lineRule="auto"/>
              <w:ind w:left="114"/>
            </w:pPr>
            <w:r>
              <w:rPr>
                <w:spacing w:val="-3"/>
              </w:rPr>
              <w:t>43</w:t>
            </w:r>
          </w:p>
        </w:tc>
        <w:tc>
          <w:tcPr>
            <w:tcW w:w="1542" w:type="dxa"/>
            <w:vMerge w:val="restart"/>
            <w:tcBorders>
              <w:bottom w:val="nil"/>
            </w:tcBorders>
          </w:tcPr>
          <w:p w14:paraId="64099B4D">
            <w:pPr>
              <w:pStyle w:val="732"/>
              <w:spacing w:before="68" w:line="307" w:lineRule="auto"/>
              <w:ind w:left="107" w:right="108" w:hanging="5"/>
            </w:pPr>
            <w:r>
              <w:rPr>
                <w:spacing w:val="3"/>
              </w:rPr>
              <w:t>A100602</w:t>
            </w:r>
            <w:r>
              <w:rPr>
                <w:spacing w:val="34"/>
              </w:rPr>
              <w:t xml:space="preserve"> </w:t>
            </w:r>
            <w:r>
              <w:rPr>
                <w:spacing w:val="3"/>
              </w:rPr>
              <w:t>墙面涂</w:t>
            </w:r>
            <w:r>
              <w:t xml:space="preserve"> 料</w:t>
            </w:r>
          </w:p>
        </w:tc>
        <w:tc>
          <w:tcPr>
            <w:tcW w:w="2672" w:type="dxa"/>
          </w:tcPr>
          <w:p w14:paraId="334CBED0">
            <w:pPr>
              <w:pStyle w:val="732"/>
              <w:spacing w:before="69" w:line="284" w:lineRule="auto"/>
              <w:ind w:left="108" w:right="107" w:hanging="5"/>
            </w:pPr>
            <w:r>
              <w:rPr>
                <w:spacing w:val="-1"/>
              </w:rPr>
              <w:t>A10060202</w:t>
            </w:r>
            <w:r>
              <w:rPr>
                <w:spacing w:val="-47"/>
              </w:rPr>
              <w:t xml:space="preserve"> </w:t>
            </w:r>
            <w:r>
              <w:rPr>
                <w:spacing w:val="-1"/>
              </w:rPr>
              <w:t>合成树脂乳液内墙涂</w:t>
            </w:r>
            <w:r>
              <w:t xml:space="preserve"> 料</w:t>
            </w:r>
          </w:p>
        </w:tc>
        <w:tc>
          <w:tcPr>
            <w:tcW w:w="2248" w:type="dxa"/>
          </w:tcPr>
          <w:p w14:paraId="5ECC47AC">
            <w:pPr>
              <w:rPr>
                <w:rFonts w:ascii="Arial"/>
              </w:rPr>
            </w:pPr>
          </w:p>
        </w:tc>
        <w:tc>
          <w:tcPr>
            <w:tcW w:w="3543" w:type="dxa"/>
          </w:tcPr>
          <w:p w14:paraId="5D292545">
            <w:pPr>
              <w:pStyle w:val="732"/>
              <w:spacing w:before="67" w:line="219" w:lineRule="auto"/>
              <w:ind w:left="109"/>
            </w:pPr>
            <w:r>
              <w:rPr>
                <w:spacing w:val="-1"/>
              </w:rPr>
              <w:t>HJ2537</w:t>
            </w:r>
            <w:r>
              <w:rPr>
                <w:spacing w:val="-34"/>
              </w:rPr>
              <w:t xml:space="preserve"> </w:t>
            </w:r>
            <w:r>
              <w:rPr>
                <w:spacing w:val="-1"/>
              </w:rPr>
              <w:t>水性涂料</w:t>
            </w:r>
          </w:p>
        </w:tc>
      </w:tr>
      <w:tr w14:paraId="661947A8">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vMerge w:val="continue"/>
            <w:tcBorders>
              <w:top w:val="nil"/>
              <w:bottom w:val="nil"/>
            </w:tcBorders>
          </w:tcPr>
          <w:p w14:paraId="44405624">
            <w:pPr>
              <w:rPr>
                <w:rFonts w:ascii="Arial"/>
              </w:rPr>
            </w:pPr>
          </w:p>
        </w:tc>
        <w:tc>
          <w:tcPr>
            <w:tcW w:w="1542" w:type="dxa"/>
            <w:vMerge w:val="continue"/>
            <w:tcBorders>
              <w:top w:val="nil"/>
              <w:bottom w:val="nil"/>
            </w:tcBorders>
          </w:tcPr>
          <w:p w14:paraId="1236D307">
            <w:pPr>
              <w:rPr>
                <w:rFonts w:ascii="Arial"/>
              </w:rPr>
            </w:pPr>
          </w:p>
        </w:tc>
        <w:tc>
          <w:tcPr>
            <w:tcW w:w="2672" w:type="dxa"/>
          </w:tcPr>
          <w:p w14:paraId="72556E09">
            <w:pPr>
              <w:pStyle w:val="732"/>
              <w:spacing w:before="64" w:line="284" w:lineRule="auto"/>
              <w:ind w:left="108" w:right="107" w:hanging="5"/>
            </w:pPr>
            <w:r>
              <w:rPr>
                <w:spacing w:val="-1"/>
              </w:rPr>
              <w:t>A10060203</w:t>
            </w:r>
            <w:r>
              <w:rPr>
                <w:spacing w:val="-47"/>
              </w:rPr>
              <w:t xml:space="preserve"> </w:t>
            </w:r>
            <w:r>
              <w:rPr>
                <w:spacing w:val="-1"/>
              </w:rPr>
              <w:t>合成树脂乳液外墙涂</w:t>
            </w:r>
            <w:r>
              <w:t xml:space="preserve"> 料</w:t>
            </w:r>
          </w:p>
        </w:tc>
        <w:tc>
          <w:tcPr>
            <w:tcW w:w="2248" w:type="dxa"/>
          </w:tcPr>
          <w:p w14:paraId="56CAD4F2">
            <w:pPr>
              <w:rPr>
                <w:rFonts w:ascii="Arial"/>
              </w:rPr>
            </w:pPr>
          </w:p>
        </w:tc>
        <w:tc>
          <w:tcPr>
            <w:tcW w:w="3543" w:type="dxa"/>
          </w:tcPr>
          <w:p w14:paraId="435D3379">
            <w:pPr>
              <w:pStyle w:val="732"/>
              <w:spacing w:before="63" w:line="219" w:lineRule="auto"/>
              <w:ind w:left="109"/>
            </w:pPr>
            <w:r>
              <w:rPr>
                <w:spacing w:val="-1"/>
              </w:rPr>
              <w:t>HJ2537</w:t>
            </w:r>
            <w:r>
              <w:rPr>
                <w:spacing w:val="-34"/>
              </w:rPr>
              <w:t xml:space="preserve"> </w:t>
            </w:r>
            <w:r>
              <w:rPr>
                <w:spacing w:val="-1"/>
              </w:rPr>
              <w:t>水性涂料</w:t>
            </w:r>
          </w:p>
        </w:tc>
      </w:tr>
      <w:tr w14:paraId="21565A7A">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7" w:hRule="atLeast"/>
          <w:jc w:val="center"/>
        </w:trPr>
        <w:tc>
          <w:tcPr>
            <w:tcW w:w="583" w:type="dxa"/>
            <w:vMerge w:val="continue"/>
            <w:tcBorders>
              <w:top w:val="nil"/>
            </w:tcBorders>
          </w:tcPr>
          <w:p w14:paraId="63E818F9">
            <w:pPr>
              <w:rPr>
                <w:rFonts w:ascii="Arial"/>
              </w:rPr>
            </w:pPr>
          </w:p>
        </w:tc>
        <w:tc>
          <w:tcPr>
            <w:tcW w:w="1542" w:type="dxa"/>
            <w:vMerge w:val="continue"/>
            <w:tcBorders>
              <w:top w:val="nil"/>
            </w:tcBorders>
          </w:tcPr>
          <w:p w14:paraId="273E7037">
            <w:pPr>
              <w:rPr>
                <w:rFonts w:ascii="Arial"/>
              </w:rPr>
            </w:pPr>
          </w:p>
        </w:tc>
        <w:tc>
          <w:tcPr>
            <w:tcW w:w="2672" w:type="dxa"/>
          </w:tcPr>
          <w:p w14:paraId="52DBB664">
            <w:pPr>
              <w:pStyle w:val="732"/>
              <w:spacing w:before="64" w:line="221" w:lineRule="auto"/>
              <w:ind w:left="103"/>
            </w:pPr>
            <w:r>
              <w:rPr>
                <w:spacing w:val="-1"/>
              </w:rPr>
              <w:t>A10060299</w:t>
            </w:r>
            <w:r>
              <w:rPr>
                <w:spacing w:val="-30"/>
              </w:rPr>
              <w:t xml:space="preserve"> </w:t>
            </w:r>
            <w:r>
              <w:rPr>
                <w:spacing w:val="-1"/>
              </w:rPr>
              <w:t>其他墙面涂料</w:t>
            </w:r>
          </w:p>
        </w:tc>
        <w:tc>
          <w:tcPr>
            <w:tcW w:w="2248" w:type="dxa"/>
          </w:tcPr>
          <w:p w14:paraId="5F4E2435">
            <w:pPr>
              <w:rPr>
                <w:rFonts w:ascii="Arial"/>
              </w:rPr>
            </w:pPr>
          </w:p>
        </w:tc>
        <w:tc>
          <w:tcPr>
            <w:tcW w:w="3543" w:type="dxa"/>
          </w:tcPr>
          <w:p w14:paraId="7F27855F">
            <w:pPr>
              <w:pStyle w:val="732"/>
              <w:spacing w:before="64" w:line="219" w:lineRule="auto"/>
              <w:ind w:left="109"/>
            </w:pPr>
            <w:r>
              <w:rPr>
                <w:spacing w:val="-1"/>
              </w:rPr>
              <w:t>HJ2537</w:t>
            </w:r>
            <w:r>
              <w:rPr>
                <w:spacing w:val="-34"/>
              </w:rPr>
              <w:t xml:space="preserve"> </w:t>
            </w:r>
            <w:r>
              <w:rPr>
                <w:spacing w:val="-1"/>
              </w:rPr>
              <w:t>水性涂料</w:t>
            </w:r>
          </w:p>
        </w:tc>
      </w:tr>
      <w:tr w14:paraId="3F57E70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77583D1F">
            <w:pPr>
              <w:pStyle w:val="732"/>
              <w:spacing w:before="93" w:line="183" w:lineRule="auto"/>
              <w:ind w:left="114"/>
            </w:pPr>
            <w:r>
              <w:rPr>
                <w:spacing w:val="-3"/>
              </w:rPr>
              <w:t>44</w:t>
            </w:r>
          </w:p>
        </w:tc>
        <w:tc>
          <w:tcPr>
            <w:tcW w:w="1542" w:type="dxa"/>
          </w:tcPr>
          <w:p w14:paraId="48BE40F1">
            <w:pPr>
              <w:pStyle w:val="732"/>
              <w:spacing w:before="66" w:line="283" w:lineRule="auto"/>
              <w:ind w:left="107" w:right="108" w:hanging="5"/>
            </w:pPr>
            <w:r>
              <w:rPr>
                <w:spacing w:val="2"/>
              </w:rPr>
              <w:t>A100604</w:t>
            </w:r>
            <w:r>
              <w:rPr>
                <w:spacing w:val="44"/>
              </w:rPr>
              <w:t xml:space="preserve"> </w:t>
            </w:r>
            <w:r>
              <w:rPr>
                <w:spacing w:val="2"/>
              </w:rPr>
              <w:t>防水涂</w:t>
            </w:r>
            <w:r>
              <w:t xml:space="preserve"> 料</w:t>
            </w:r>
          </w:p>
        </w:tc>
        <w:tc>
          <w:tcPr>
            <w:tcW w:w="2672" w:type="dxa"/>
          </w:tcPr>
          <w:p w14:paraId="14A536DE">
            <w:pPr>
              <w:pStyle w:val="732"/>
              <w:spacing w:before="65" w:line="220" w:lineRule="auto"/>
              <w:ind w:left="103"/>
            </w:pPr>
            <w:r>
              <w:rPr>
                <w:spacing w:val="-1"/>
              </w:rPr>
              <w:t>A10060499</w:t>
            </w:r>
            <w:r>
              <w:rPr>
                <w:spacing w:val="-30"/>
              </w:rPr>
              <w:t xml:space="preserve"> </w:t>
            </w:r>
            <w:r>
              <w:rPr>
                <w:spacing w:val="-1"/>
              </w:rPr>
              <w:t>其他防水涂料</w:t>
            </w:r>
          </w:p>
        </w:tc>
        <w:tc>
          <w:tcPr>
            <w:tcW w:w="2248" w:type="dxa"/>
          </w:tcPr>
          <w:p w14:paraId="61B16A30">
            <w:pPr>
              <w:rPr>
                <w:rFonts w:ascii="Arial"/>
              </w:rPr>
            </w:pPr>
          </w:p>
        </w:tc>
        <w:tc>
          <w:tcPr>
            <w:tcW w:w="3543" w:type="dxa"/>
          </w:tcPr>
          <w:p w14:paraId="6AF37F0D">
            <w:pPr>
              <w:pStyle w:val="732"/>
              <w:spacing w:before="65" w:line="219" w:lineRule="auto"/>
              <w:ind w:left="109"/>
            </w:pPr>
            <w:r>
              <w:rPr>
                <w:spacing w:val="-1"/>
              </w:rPr>
              <w:t>HJ2537</w:t>
            </w:r>
            <w:r>
              <w:rPr>
                <w:spacing w:val="-34"/>
              </w:rPr>
              <w:t xml:space="preserve"> </w:t>
            </w:r>
            <w:r>
              <w:rPr>
                <w:spacing w:val="-1"/>
              </w:rPr>
              <w:t>水性涂料</w:t>
            </w:r>
          </w:p>
        </w:tc>
      </w:tr>
      <w:tr w14:paraId="4AF74E95">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2221366F">
            <w:pPr>
              <w:pStyle w:val="732"/>
              <w:spacing w:before="94" w:line="183" w:lineRule="auto"/>
              <w:ind w:left="114"/>
            </w:pPr>
            <w:r>
              <w:rPr>
                <w:spacing w:val="-3"/>
              </w:rPr>
              <w:t>45</w:t>
            </w:r>
          </w:p>
        </w:tc>
        <w:tc>
          <w:tcPr>
            <w:tcW w:w="1542" w:type="dxa"/>
          </w:tcPr>
          <w:p w14:paraId="549E9439">
            <w:pPr>
              <w:pStyle w:val="732"/>
              <w:spacing w:before="66" w:line="283" w:lineRule="auto"/>
              <w:ind w:left="109" w:right="108" w:hanging="7"/>
            </w:pPr>
            <w:r>
              <w:rPr>
                <w:spacing w:val="3"/>
              </w:rPr>
              <w:t>A100699</w:t>
            </w:r>
            <w:r>
              <w:rPr>
                <w:spacing w:val="34"/>
              </w:rPr>
              <w:t xml:space="preserve"> </w:t>
            </w:r>
            <w:r>
              <w:rPr>
                <w:spacing w:val="3"/>
              </w:rPr>
              <w:t>其他建</w:t>
            </w:r>
            <w:r>
              <w:rPr>
                <w:spacing w:val="-2"/>
              </w:rPr>
              <w:t>筑涂料</w:t>
            </w:r>
          </w:p>
        </w:tc>
        <w:tc>
          <w:tcPr>
            <w:tcW w:w="2672" w:type="dxa"/>
          </w:tcPr>
          <w:p w14:paraId="6E2D98D7">
            <w:pPr>
              <w:rPr>
                <w:rFonts w:ascii="Arial"/>
              </w:rPr>
            </w:pPr>
          </w:p>
        </w:tc>
        <w:tc>
          <w:tcPr>
            <w:tcW w:w="2248" w:type="dxa"/>
          </w:tcPr>
          <w:p w14:paraId="3EDDC685">
            <w:pPr>
              <w:rPr>
                <w:rFonts w:ascii="Arial"/>
              </w:rPr>
            </w:pPr>
          </w:p>
        </w:tc>
        <w:tc>
          <w:tcPr>
            <w:tcW w:w="3543" w:type="dxa"/>
          </w:tcPr>
          <w:p w14:paraId="3FEBCB03">
            <w:pPr>
              <w:pStyle w:val="732"/>
              <w:spacing w:before="65" w:line="219" w:lineRule="auto"/>
              <w:ind w:left="109"/>
            </w:pPr>
            <w:r>
              <w:rPr>
                <w:spacing w:val="-1"/>
              </w:rPr>
              <w:t>HJ2537</w:t>
            </w:r>
            <w:r>
              <w:rPr>
                <w:spacing w:val="-34"/>
              </w:rPr>
              <w:t xml:space="preserve"> </w:t>
            </w:r>
            <w:r>
              <w:rPr>
                <w:spacing w:val="-1"/>
              </w:rPr>
              <w:t>水性涂料</w:t>
            </w:r>
          </w:p>
        </w:tc>
      </w:tr>
      <w:tr w14:paraId="65EAAD8D">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46" w:hRule="atLeast"/>
          <w:jc w:val="center"/>
        </w:trPr>
        <w:tc>
          <w:tcPr>
            <w:tcW w:w="583" w:type="dxa"/>
          </w:tcPr>
          <w:p w14:paraId="1F2DD6B2">
            <w:pPr>
              <w:pStyle w:val="732"/>
              <w:spacing w:before="95" w:line="183" w:lineRule="auto"/>
              <w:ind w:left="114"/>
            </w:pPr>
            <w:r>
              <w:rPr>
                <w:spacing w:val="-3"/>
              </w:rPr>
              <w:t>46</w:t>
            </w:r>
          </w:p>
        </w:tc>
        <w:tc>
          <w:tcPr>
            <w:tcW w:w="1542" w:type="dxa"/>
          </w:tcPr>
          <w:p w14:paraId="0F56665F">
            <w:pPr>
              <w:pStyle w:val="732"/>
              <w:spacing w:before="66" w:line="222" w:lineRule="auto"/>
              <w:ind w:left="102"/>
            </w:pPr>
            <w:r>
              <w:rPr>
                <w:spacing w:val="-8"/>
              </w:rPr>
              <w:t>A100701</w:t>
            </w:r>
            <w:r>
              <w:rPr>
                <w:spacing w:val="-12"/>
              </w:rPr>
              <w:t xml:space="preserve"> </w:t>
            </w:r>
            <w:r>
              <w:rPr>
                <w:spacing w:val="-8"/>
              </w:rPr>
              <w:t>门、门槛</w:t>
            </w:r>
          </w:p>
        </w:tc>
        <w:tc>
          <w:tcPr>
            <w:tcW w:w="2672" w:type="dxa"/>
          </w:tcPr>
          <w:p w14:paraId="0B3F6A40">
            <w:pPr>
              <w:rPr>
                <w:rFonts w:ascii="Arial"/>
              </w:rPr>
            </w:pPr>
          </w:p>
        </w:tc>
        <w:tc>
          <w:tcPr>
            <w:tcW w:w="2248" w:type="dxa"/>
          </w:tcPr>
          <w:p w14:paraId="468DF282">
            <w:pPr>
              <w:rPr>
                <w:rFonts w:ascii="Arial"/>
              </w:rPr>
            </w:pPr>
          </w:p>
        </w:tc>
        <w:tc>
          <w:tcPr>
            <w:tcW w:w="3543" w:type="dxa"/>
          </w:tcPr>
          <w:p w14:paraId="59316A1E">
            <w:pPr>
              <w:pStyle w:val="732"/>
              <w:spacing w:before="66" w:line="219" w:lineRule="auto"/>
              <w:ind w:left="109"/>
              <w:rPr>
                <w:lang w:eastAsia="zh-CN"/>
              </w:rPr>
            </w:pPr>
            <w:r>
              <w:rPr>
                <w:spacing w:val="-1"/>
                <w:lang w:eastAsia="zh-CN"/>
              </w:rPr>
              <w:t>HJ/T 237</w:t>
            </w:r>
            <w:r>
              <w:rPr>
                <w:spacing w:val="-32"/>
                <w:lang w:eastAsia="zh-CN"/>
              </w:rPr>
              <w:t xml:space="preserve"> </w:t>
            </w:r>
            <w:r>
              <w:rPr>
                <w:spacing w:val="-1"/>
                <w:lang w:eastAsia="zh-CN"/>
              </w:rPr>
              <w:t>塑料门窗/HJ459</w:t>
            </w:r>
            <w:r>
              <w:rPr>
                <w:spacing w:val="-37"/>
                <w:lang w:eastAsia="zh-CN"/>
              </w:rPr>
              <w:t xml:space="preserve"> </w:t>
            </w:r>
            <w:r>
              <w:rPr>
                <w:spacing w:val="-1"/>
                <w:lang w:eastAsia="zh-CN"/>
              </w:rPr>
              <w:t>木</w:t>
            </w:r>
            <w:r>
              <w:rPr>
                <w:spacing w:val="-2"/>
                <w:lang w:eastAsia="zh-CN"/>
              </w:rPr>
              <w:t>质门和钢质门</w:t>
            </w:r>
          </w:p>
        </w:tc>
      </w:tr>
      <w:tr w14:paraId="21D5CEF3">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405" w:hRule="atLeast"/>
          <w:jc w:val="center"/>
        </w:trPr>
        <w:tc>
          <w:tcPr>
            <w:tcW w:w="583" w:type="dxa"/>
          </w:tcPr>
          <w:p w14:paraId="4A21AA63">
            <w:pPr>
              <w:pStyle w:val="732"/>
              <w:spacing w:before="95" w:line="183" w:lineRule="auto"/>
              <w:ind w:left="114"/>
            </w:pPr>
            <w:r>
              <w:rPr>
                <w:spacing w:val="-3"/>
              </w:rPr>
              <w:t>47</w:t>
            </w:r>
          </w:p>
        </w:tc>
        <w:tc>
          <w:tcPr>
            <w:tcW w:w="1542" w:type="dxa"/>
          </w:tcPr>
          <w:p w14:paraId="04C20FF6">
            <w:pPr>
              <w:pStyle w:val="732"/>
              <w:spacing w:before="66" w:line="221" w:lineRule="auto"/>
              <w:ind w:left="102"/>
            </w:pPr>
            <w:r>
              <w:rPr>
                <w:spacing w:val="-1"/>
              </w:rPr>
              <w:t>A100702</w:t>
            </w:r>
            <w:r>
              <w:rPr>
                <w:spacing w:val="-24"/>
              </w:rPr>
              <w:t xml:space="preserve"> </w:t>
            </w:r>
            <w:r>
              <w:rPr>
                <w:spacing w:val="-1"/>
              </w:rPr>
              <w:t>窗</w:t>
            </w:r>
          </w:p>
        </w:tc>
        <w:tc>
          <w:tcPr>
            <w:tcW w:w="2672" w:type="dxa"/>
          </w:tcPr>
          <w:p w14:paraId="11288424">
            <w:pPr>
              <w:rPr>
                <w:rFonts w:ascii="Arial"/>
              </w:rPr>
            </w:pPr>
          </w:p>
        </w:tc>
        <w:tc>
          <w:tcPr>
            <w:tcW w:w="2248" w:type="dxa"/>
          </w:tcPr>
          <w:p w14:paraId="61619D33">
            <w:pPr>
              <w:rPr>
                <w:rFonts w:ascii="Arial"/>
              </w:rPr>
            </w:pPr>
          </w:p>
        </w:tc>
        <w:tc>
          <w:tcPr>
            <w:tcW w:w="3543" w:type="dxa"/>
          </w:tcPr>
          <w:p w14:paraId="48BB750A">
            <w:pPr>
              <w:pStyle w:val="732"/>
              <w:spacing w:before="66" w:line="219" w:lineRule="auto"/>
              <w:ind w:left="109"/>
            </w:pPr>
            <w:r>
              <w:rPr>
                <w:spacing w:val="-1"/>
              </w:rPr>
              <w:t>HJ/T237</w:t>
            </w:r>
            <w:r>
              <w:rPr>
                <w:spacing w:val="-33"/>
              </w:rPr>
              <w:t xml:space="preserve"> </w:t>
            </w:r>
            <w:r>
              <w:rPr>
                <w:spacing w:val="-1"/>
              </w:rPr>
              <w:t>塑料门窗</w:t>
            </w:r>
          </w:p>
        </w:tc>
      </w:tr>
      <w:tr w14:paraId="5B5B4CFC">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0" w:hRule="atLeast"/>
          <w:jc w:val="center"/>
        </w:trPr>
        <w:tc>
          <w:tcPr>
            <w:tcW w:w="583" w:type="dxa"/>
          </w:tcPr>
          <w:p w14:paraId="39A2EDC8">
            <w:pPr>
              <w:pStyle w:val="732"/>
              <w:spacing w:before="98" w:line="183" w:lineRule="auto"/>
              <w:ind w:left="114"/>
            </w:pPr>
            <w:r>
              <w:rPr>
                <w:spacing w:val="-3"/>
              </w:rPr>
              <w:t>48</w:t>
            </w:r>
          </w:p>
        </w:tc>
        <w:tc>
          <w:tcPr>
            <w:tcW w:w="1542" w:type="dxa"/>
          </w:tcPr>
          <w:p w14:paraId="2087BE6A">
            <w:pPr>
              <w:pStyle w:val="732"/>
              <w:spacing w:before="70" w:line="282" w:lineRule="auto"/>
              <w:ind w:left="109" w:right="106" w:hanging="7"/>
            </w:pPr>
            <w:r>
              <w:rPr>
                <w:spacing w:val="-8"/>
              </w:rPr>
              <w:t>A170108</w:t>
            </w:r>
            <w:r>
              <w:rPr>
                <w:spacing w:val="-25"/>
              </w:rPr>
              <w:t xml:space="preserve"> </w:t>
            </w:r>
            <w:r>
              <w:rPr>
                <w:spacing w:val="-8"/>
              </w:rPr>
              <w:t>涂料（建</w:t>
            </w:r>
            <w:r>
              <w:t xml:space="preserve"> </w:t>
            </w:r>
            <w:r>
              <w:rPr>
                <w:spacing w:val="-2"/>
              </w:rPr>
              <w:t>筑涂料除外）</w:t>
            </w:r>
          </w:p>
        </w:tc>
        <w:tc>
          <w:tcPr>
            <w:tcW w:w="2672" w:type="dxa"/>
          </w:tcPr>
          <w:p w14:paraId="55D6D00E">
            <w:pPr>
              <w:rPr>
                <w:rFonts w:ascii="Arial"/>
              </w:rPr>
            </w:pPr>
          </w:p>
        </w:tc>
        <w:tc>
          <w:tcPr>
            <w:tcW w:w="2248" w:type="dxa"/>
          </w:tcPr>
          <w:p w14:paraId="0EAEA294">
            <w:pPr>
              <w:rPr>
                <w:rFonts w:ascii="Arial"/>
              </w:rPr>
            </w:pPr>
          </w:p>
        </w:tc>
        <w:tc>
          <w:tcPr>
            <w:tcW w:w="3543" w:type="dxa"/>
          </w:tcPr>
          <w:p w14:paraId="1C9AA599">
            <w:pPr>
              <w:pStyle w:val="732"/>
              <w:spacing w:before="69" w:line="219" w:lineRule="auto"/>
              <w:ind w:left="109"/>
            </w:pPr>
            <w:r>
              <w:rPr>
                <w:spacing w:val="-1"/>
              </w:rPr>
              <w:t>HJ2537</w:t>
            </w:r>
            <w:r>
              <w:rPr>
                <w:spacing w:val="-34"/>
              </w:rPr>
              <w:t xml:space="preserve"> </w:t>
            </w:r>
            <w:r>
              <w:rPr>
                <w:spacing w:val="-1"/>
              </w:rPr>
              <w:t>水性涂料</w:t>
            </w:r>
          </w:p>
        </w:tc>
      </w:tr>
      <w:tr w14:paraId="58737556">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28" w:hRule="atLeast"/>
          <w:jc w:val="center"/>
        </w:trPr>
        <w:tc>
          <w:tcPr>
            <w:tcW w:w="583" w:type="dxa"/>
          </w:tcPr>
          <w:p w14:paraId="7F6E7BC2">
            <w:pPr>
              <w:pStyle w:val="732"/>
              <w:spacing w:before="96" w:line="183" w:lineRule="auto"/>
              <w:ind w:left="114"/>
            </w:pPr>
            <w:r>
              <w:rPr>
                <w:spacing w:val="-3"/>
              </w:rPr>
              <w:t>49</w:t>
            </w:r>
          </w:p>
        </w:tc>
        <w:tc>
          <w:tcPr>
            <w:tcW w:w="1542" w:type="dxa"/>
          </w:tcPr>
          <w:p w14:paraId="02E939F5">
            <w:pPr>
              <w:pStyle w:val="732"/>
              <w:spacing w:before="68" w:line="282" w:lineRule="auto"/>
              <w:ind w:left="109" w:right="108" w:hanging="7"/>
            </w:pPr>
            <w:r>
              <w:rPr>
                <w:spacing w:val="3"/>
              </w:rPr>
              <w:t>A170112</w:t>
            </w:r>
            <w:r>
              <w:rPr>
                <w:spacing w:val="34"/>
              </w:rPr>
              <w:t xml:space="preserve"> </w:t>
            </w:r>
            <w:r>
              <w:rPr>
                <w:spacing w:val="3"/>
              </w:rPr>
              <w:t>密封用</w:t>
            </w:r>
            <w:r>
              <w:t xml:space="preserve"> </w:t>
            </w:r>
            <w:r>
              <w:rPr>
                <w:spacing w:val="-2"/>
              </w:rPr>
              <w:t>填料及类似品</w:t>
            </w:r>
          </w:p>
        </w:tc>
        <w:tc>
          <w:tcPr>
            <w:tcW w:w="2672" w:type="dxa"/>
          </w:tcPr>
          <w:p w14:paraId="204FF3EA">
            <w:pPr>
              <w:rPr>
                <w:rFonts w:ascii="Arial"/>
              </w:rPr>
            </w:pPr>
          </w:p>
        </w:tc>
        <w:tc>
          <w:tcPr>
            <w:tcW w:w="2248" w:type="dxa"/>
          </w:tcPr>
          <w:p w14:paraId="5D283190">
            <w:pPr>
              <w:rPr>
                <w:rFonts w:ascii="Arial"/>
              </w:rPr>
            </w:pPr>
          </w:p>
        </w:tc>
        <w:tc>
          <w:tcPr>
            <w:tcW w:w="3543" w:type="dxa"/>
          </w:tcPr>
          <w:p w14:paraId="109D7AD7">
            <w:pPr>
              <w:pStyle w:val="732"/>
              <w:spacing w:before="67" w:line="219" w:lineRule="auto"/>
              <w:ind w:left="109"/>
            </w:pPr>
            <w:r>
              <w:rPr>
                <w:spacing w:val="-1"/>
              </w:rPr>
              <w:t>HJ2541</w:t>
            </w:r>
            <w:r>
              <w:rPr>
                <w:spacing w:val="-35"/>
              </w:rPr>
              <w:t xml:space="preserve"> </w:t>
            </w:r>
            <w:r>
              <w:rPr>
                <w:spacing w:val="-1"/>
              </w:rPr>
              <w:t>胶粘剂</w:t>
            </w:r>
          </w:p>
        </w:tc>
      </w:tr>
      <w:tr w14:paraId="73709F1E">
        <w:tblPrEx>
          <w:tblBorders>
            <w:top w:val="single" w:color="000000" w:sz="2" w:space="0"/>
            <w:left w:val="single" w:color="000000" w:sz="2" w:space="0"/>
            <w:bottom w:val="single" w:color="000000" w:sz="2" w:space="0"/>
            <w:right w:val="single" w:color="000000" w:sz="2" w:space="0"/>
            <w:insideH w:val="single" w:color="000000" w:sz="2" w:space="0"/>
            <w:insideV w:val="single" w:color="000000" w:sz="2" w:space="0"/>
          </w:tblBorders>
          <w:tblCellMar>
            <w:top w:w="0" w:type="dxa"/>
            <w:left w:w="0" w:type="dxa"/>
            <w:bottom w:w="0" w:type="dxa"/>
            <w:right w:w="0" w:type="dxa"/>
          </w:tblCellMar>
        </w:tblPrEx>
        <w:trPr>
          <w:trHeight w:val="633" w:hRule="atLeast"/>
          <w:jc w:val="center"/>
        </w:trPr>
        <w:tc>
          <w:tcPr>
            <w:tcW w:w="583" w:type="dxa"/>
          </w:tcPr>
          <w:p w14:paraId="1528847C">
            <w:pPr>
              <w:pStyle w:val="732"/>
              <w:spacing w:before="97" w:line="183" w:lineRule="auto"/>
              <w:ind w:left="118"/>
            </w:pPr>
            <w:r>
              <w:rPr>
                <w:spacing w:val="-5"/>
              </w:rPr>
              <w:t>50</w:t>
            </w:r>
          </w:p>
        </w:tc>
        <w:tc>
          <w:tcPr>
            <w:tcW w:w="1542" w:type="dxa"/>
          </w:tcPr>
          <w:p w14:paraId="01115A25">
            <w:pPr>
              <w:pStyle w:val="732"/>
              <w:spacing w:before="69" w:line="284" w:lineRule="auto"/>
              <w:ind w:left="122" w:right="108" w:hanging="20"/>
            </w:pPr>
            <w:r>
              <w:rPr>
                <w:spacing w:val="3"/>
              </w:rPr>
              <w:t>A180201</w:t>
            </w:r>
            <w:r>
              <w:rPr>
                <w:spacing w:val="34"/>
              </w:rPr>
              <w:t xml:space="preserve"> </w:t>
            </w:r>
            <w:r>
              <w:rPr>
                <w:spacing w:val="3"/>
              </w:rPr>
              <w:t>塑料制</w:t>
            </w:r>
            <w:r>
              <w:t xml:space="preserve"> 品</w:t>
            </w:r>
          </w:p>
        </w:tc>
        <w:tc>
          <w:tcPr>
            <w:tcW w:w="2672" w:type="dxa"/>
          </w:tcPr>
          <w:p w14:paraId="1A84510F">
            <w:pPr>
              <w:rPr>
                <w:rFonts w:ascii="Arial"/>
              </w:rPr>
            </w:pPr>
          </w:p>
        </w:tc>
        <w:tc>
          <w:tcPr>
            <w:tcW w:w="2248" w:type="dxa"/>
          </w:tcPr>
          <w:p w14:paraId="2188271C">
            <w:pPr>
              <w:rPr>
                <w:rFonts w:ascii="Arial"/>
              </w:rPr>
            </w:pPr>
          </w:p>
        </w:tc>
        <w:tc>
          <w:tcPr>
            <w:tcW w:w="3543" w:type="dxa"/>
          </w:tcPr>
          <w:p w14:paraId="4BAB0CCC">
            <w:pPr>
              <w:pStyle w:val="732"/>
              <w:spacing w:before="69" w:line="284" w:lineRule="auto"/>
              <w:ind w:left="113" w:right="104" w:hanging="4"/>
            </w:pPr>
            <w:r>
              <w:t>HJ/T226 建筑用塑料管材/HJ/</w:t>
            </w:r>
            <w:r>
              <w:rPr>
                <w:spacing w:val="-1"/>
              </w:rPr>
              <w:t>T231 再生塑</w:t>
            </w:r>
            <w:r>
              <w:t xml:space="preserve"> </w:t>
            </w:r>
            <w:r>
              <w:rPr>
                <w:spacing w:val="-2"/>
              </w:rPr>
              <w:t>料制品</w:t>
            </w:r>
          </w:p>
        </w:tc>
      </w:tr>
    </w:tbl>
    <w:p w14:paraId="7BD328C6">
      <w:pPr>
        <w:spacing w:line="91" w:lineRule="auto"/>
        <w:rPr>
          <w:rFonts w:ascii="Arial"/>
          <w:sz w:val="2"/>
        </w:rPr>
      </w:pPr>
    </w:p>
    <w:p w14:paraId="0018B9DF">
      <w:pPr>
        <w:adjustRightInd/>
        <w:spacing w:line="240" w:lineRule="auto"/>
        <w:ind w:firstLine="0" w:firstLineChars="0"/>
        <w:jc w:val="left"/>
        <w:textAlignment w:val="auto"/>
        <w:rPr>
          <w:rFonts w:hAnsi="宋体"/>
          <w:b/>
          <w:bCs/>
        </w:rPr>
      </w:pPr>
      <w:r>
        <w:rPr>
          <w:rFonts w:ascii="仿宋" w:hAnsi="仿宋" w:eastAsia="仿宋" w:cs="仿宋"/>
          <w:spacing w:val="-1"/>
          <w:sz w:val="24"/>
        </w:rPr>
        <w:t>注：环境标志产品认证应依据相关标准的最新版本</w:t>
      </w:r>
      <w:r>
        <w:rPr>
          <w:rFonts w:hint="eastAsia" w:ascii="仿宋" w:hAnsi="仿宋" w:eastAsia="仿宋" w:cs="仿宋"/>
          <w:spacing w:val="-1"/>
          <w:sz w:val="24"/>
        </w:rPr>
        <w:t>。</w:t>
      </w:r>
    </w:p>
    <w:p w14:paraId="5203C02C">
      <w:pPr>
        <w:spacing w:line="440" w:lineRule="exact"/>
        <w:rPr>
          <w:b/>
          <w:sz w:val="32"/>
          <w:szCs w:val="32"/>
        </w:rPr>
      </w:pPr>
      <w:r>
        <w:br w:type="page"/>
      </w:r>
    </w:p>
    <w:p w14:paraId="2172628E">
      <w:pPr>
        <w:tabs>
          <w:tab w:val="left" w:pos="3055"/>
        </w:tabs>
        <w:jc w:val="left"/>
        <w:rPr>
          <w:rFonts w:hint="eastAsia" w:hAnsi="宋体"/>
          <w:b/>
          <w:bCs/>
        </w:rPr>
        <w:sectPr>
          <w:pgSz w:w="11906" w:h="16838"/>
          <w:pgMar w:top="1440" w:right="566" w:bottom="1440" w:left="851" w:header="851" w:footer="992" w:gutter="0"/>
          <w:cols w:space="720" w:num="1"/>
          <w:docGrid w:linePitch="312" w:charSpace="0"/>
        </w:sectPr>
      </w:pPr>
    </w:p>
    <w:p w14:paraId="2C5EE9AD">
      <w:pPr>
        <w:rPr>
          <w:b/>
          <w:sz w:val="24"/>
        </w:rPr>
      </w:pPr>
    </w:p>
    <w:p w14:paraId="78192693">
      <w:pPr>
        <w:rPr>
          <w:b/>
          <w:sz w:val="24"/>
        </w:rPr>
      </w:pPr>
    </w:p>
    <w:p w14:paraId="5D5613DA">
      <w:pPr>
        <w:rPr>
          <w:b/>
          <w:sz w:val="24"/>
        </w:rPr>
      </w:pPr>
    </w:p>
    <w:p w14:paraId="56254924">
      <w:pPr>
        <w:rPr>
          <w:b/>
          <w:sz w:val="24"/>
        </w:rPr>
      </w:pPr>
    </w:p>
    <w:p w14:paraId="54E75D33">
      <w:pPr>
        <w:rPr>
          <w:b/>
          <w:sz w:val="24"/>
        </w:rPr>
      </w:pPr>
    </w:p>
    <w:p w14:paraId="4E40DE30">
      <w:pPr>
        <w:rPr>
          <w:b/>
          <w:sz w:val="24"/>
        </w:rPr>
      </w:pPr>
    </w:p>
    <w:p w14:paraId="30143F0A">
      <w:pPr>
        <w:rPr>
          <w:b/>
          <w:sz w:val="24"/>
        </w:rPr>
      </w:pPr>
    </w:p>
    <w:p w14:paraId="0F5D2763">
      <w:pPr>
        <w:rPr>
          <w:b/>
          <w:sz w:val="24"/>
        </w:rPr>
      </w:pPr>
    </w:p>
    <w:p w14:paraId="01B29D11">
      <w:pPr>
        <w:rPr>
          <w:b/>
          <w:sz w:val="24"/>
        </w:rPr>
      </w:pPr>
    </w:p>
    <w:p w14:paraId="635F5DAA">
      <w:pPr>
        <w:rPr>
          <w:b/>
          <w:sz w:val="24"/>
        </w:rPr>
      </w:pPr>
    </w:p>
    <w:p w14:paraId="128FE2ED">
      <w:pPr>
        <w:rPr>
          <w:b/>
          <w:sz w:val="24"/>
        </w:rPr>
      </w:pPr>
    </w:p>
    <w:p w14:paraId="5252A83A">
      <w:pPr>
        <w:rPr>
          <w:b/>
          <w:sz w:val="24"/>
        </w:rPr>
      </w:pPr>
    </w:p>
    <w:p w14:paraId="3EBD6CB2">
      <w:pPr>
        <w:rPr>
          <w:b/>
          <w:sz w:val="24"/>
        </w:rPr>
      </w:pPr>
    </w:p>
    <w:p w14:paraId="28FD4186">
      <w:pPr>
        <w:rPr>
          <w:b/>
          <w:sz w:val="24"/>
        </w:rPr>
      </w:pPr>
    </w:p>
    <w:p w14:paraId="68084E99">
      <w:pPr>
        <w:rPr>
          <w:b/>
          <w:sz w:val="24"/>
        </w:rPr>
      </w:pPr>
    </w:p>
    <w:p w14:paraId="1EBB6B86">
      <w:pPr>
        <w:rPr>
          <w:b/>
          <w:sz w:val="24"/>
        </w:rPr>
      </w:pPr>
    </w:p>
    <w:p w14:paraId="7D478378">
      <w:pPr>
        <w:rPr>
          <w:b/>
          <w:sz w:val="24"/>
        </w:rPr>
      </w:pPr>
    </w:p>
    <w:p w14:paraId="75B7E1E3">
      <w:pPr>
        <w:rPr>
          <w:b/>
          <w:sz w:val="24"/>
        </w:rPr>
      </w:pPr>
    </w:p>
    <w:p w14:paraId="3381128B">
      <w:pPr>
        <w:rPr>
          <w:b/>
          <w:sz w:val="24"/>
        </w:rPr>
      </w:pPr>
    </w:p>
    <w:p w14:paraId="12F15BBC">
      <w:pPr>
        <w:rPr>
          <w:b/>
          <w:sz w:val="24"/>
        </w:rPr>
      </w:pPr>
    </w:p>
    <w:p w14:paraId="15B99CFF">
      <w:pPr>
        <w:pStyle w:val="5"/>
        <w:jc w:val="center"/>
        <w:rPr>
          <w:rFonts w:ascii="仿宋_GB2312" w:eastAsia="仿宋_GB2312"/>
          <w:b w:val="0"/>
          <w:bCs w:val="0"/>
          <w:sz w:val="32"/>
          <w:szCs w:val="32"/>
        </w:rPr>
      </w:pPr>
      <w:bookmarkStart w:id="71" w:name="_Toc497578453"/>
      <w:bookmarkStart w:id="72" w:name="_Toc21458"/>
      <w:r>
        <w:rPr>
          <w:rFonts w:hint="eastAsia"/>
          <w:sz w:val="30"/>
          <w:szCs w:val="30"/>
        </w:rPr>
        <w:t>第五章 合同主要条款格式及广西壮族自治区政府采购项目合同验收书格式</w:t>
      </w:r>
      <w:bookmarkEnd w:id="71"/>
      <w:bookmarkEnd w:id="72"/>
    </w:p>
    <w:p w14:paraId="0CC8A075">
      <w:pPr>
        <w:snapToGrid w:val="0"/>
        <w:jc w:val="center"/>
        <w:rPr>
          <w:rFonts w:hint="eastAsia" w:ascii="仿宋_GB2312" w:hAnsi="华文中宋" w:eastAsia="仿宋_GB2312"/>
          <w:bCs/>
          <w:sz w:val="32"/>
          <w:szCs w:val="32"/>
        </w:rPr>
      </w:pPr>
    </w:p>
    <w:p w14:paraId="07C0565D">
      <w:pPr>
        <w:snapToGrid w:val="0"/>
        <w:jc w:val="center"/>
        <w:rPr>
          <w:rFonts w:hint="eastAsia" w:ascii="仿宋_GB2312" w:hAnsi="华文中宋" w:eastAsia="仿宋_GB2312"/>
          <w:bCs/>
          <w:sz w:val="32"/>
          <w:szCs w:val="32"/>
        </w:rPr>
      </w:pPr>
    </w:p>
    <w:p w14:paraId="78BDE78D">
      <w:pPr>
        <w:snapToGrid w:val="0"/>
        <w:jc w:val="center"/>
        <w:rPr>
          <w:rFonts w:hint="eastAsia" w:ascii="仿宋_GB2312" w:hAnsi="华文中宋" w:eastAsia="仿宋_GB2312"/>
          <w:bCs/>
          <w:sz w:val="32"/>
          <w:szCs w:val="32"/>
        </w:rPr>
      </w:pPr>
    </w:p>
    <w:p w14:paraId="28690E26">
      <w:pPr>
        <w:snapToGrid w:val="0"/>
        <w:jc w:val="center"/>
        <w:rPr>
          <w:rFonts w:hint="eastAsia" w:ascii="仿宋_GB2312" w:hAnsi="华文中宋" w:eastAsia="仿宋_GB2312"/>
          <w:bCs/>
          <w:sz w:val="32"/>
          <w:szCs w:val="32"/>
        </w:rPr>
      </w:pPr>
    </w:p>
    <w:p w14:paraId="6150A071">
      <w:pPr>
        <w:snapToGrid w:val="0"/>
        <w:jc w:val="center"/>
        <w:rPr>
          <w:rFonts w:hint="eastAsia" w:ascii="仿宋_GB2312" w:hAnsi="华文中宋" w:eastAsia="仿宋_GB2312"/>
          <w:bCs/>
          <w:sz w:val="32"/>
          <w:szCs w:val="32"/>
        </w:rPr>
      </w:pPr>
    </w:p>
    <w:p w14:paraId="6D280AAE">
      <w:pPr>
        <w:snapToGrid w:val="0"/>
        <w:jc w:val="center"/>
        <w:rPr>
          <w:rFonts w:hint="eastAsia" w:ascii="仿宋_GB2312" w:hAnsi="华文中宋" w:eastAsia="仿宋_GB2312"/>
          <w:bCs/>
          <w:sz w:val="32"/>
          <w:szCs w:val="32"/>
        </w:rPr>
      </w:pPr>
    </w:p>
    <w:p w14:paraId="342EAA2D">
      <w:pPr>
        <w:snapToGrid w:val="0"/>
        <w:jc w:val="center"/>
        <w:rPr>
          <w:rFonts w:hint="eastAsia" w:ascii="仿宋_GB2312" w:hAnsi="华文中宋" w:eastAsia="仿宋_GB2312"/>
          <w:bCs/>
          <w:sz w:val="32"/>
          <w:szCs w:val="32"/>
        </w:rPr>
      </w:pPr>
    </w:p>
    <w:p w14:paraId="7D4348A6">
      <w:pPr>
        <w:snapToGrid w:val="0"/>
        <w:rPr>
          <w:rFonts w:hint="eastAsia" w:ascii="仿宋_GB2312" w:hAnsi="华文中宋" w:eastAsia="仿宋_GB2312"/>
          <w:bCs/>
          <w:sz w:val="32"/>
          <w:szCs w:val="32"/>
        </w:rPr>
      </w:pPr>
    </w:p>
    <w:p w14:paraId="19471360">
      <w:pPr>
        <w:snapToGrid w:val="0"/>
        <w:rPr>
          <w:rFonts w:hint="eastAsia" w:ascii="仿宋_GB2312" w:hAnsi="华文中宋" w:eastAsia="仿宋_GB2312"/>
          <w:bCs/>
          <w:sz w:val="32"/>
          <w:szCs w:val="32"/>
        </w:rPr>
      </w:pPr>
    </w:p>
    <w:p w14:paraId="21CD68A8">
      <w:pPr>
        <w:snapToGrid w:val="0"/>
        <w:jc w:val="left"/>
        <w:rPr>
          <w:rFonts w:ascii="仿宋_GB2312" w:eastAsia="仿宋_GB2312"/>
          <w:b/>
          <w:color w:val="FF0000"/>
          <w:sz w:val="24"/>
        </w:rPr>
      </w:pPr>
      <w:r>
        <w:rPr>
          <w:rFonts w:hint="eastAsia" w:ascii="仿宋_GB2312" w:eastAsia="仿宋_GB2312"/>
          <w:b/>
          <w:sz w:val="24"/>
        </w:rPr>
        <w:br w:type="page"/>
      </w:r>
      <w:bookmarkStart w:id="73" w:name="_Hlk93681122"/>
    </w:p>
    <w:p w14:paraId="6034B05F">
      <w:pPr>
        <w:snapToGrid w:val="0"/>
        <w:ind w:firstLine="482" w:firstLineChars="200"/>
        <w:jc w:val="left"/>
        <w:rPr>
          <w:rFonts w:ascii="仿宋_GB2312" w:eastAsia="仿宋_GB2312"/>
          <w:b/>
          <w:sz w:val="24"/>
        </w:rPr>
      </w:pPr>
      <w:r>
        <w:rPr>
          <w:rFonts w:hint="eastAsia" w:ascii="仿宋_GB2312" w:eastAsia="仿宋_GB2312"/>
          <w:b/>
          <w:sz w:val="24"/>
        </w:rPr>
        <w:t>合同使用说明：本合同</w:t>
      </w:r>
      <w:r>
        <w:rPr>
          <w:rFonts w:ascii="仿宋_GB2312" w:eastAsia="仿宋_GB2312"/>
          <w:b/>
          <w:sz w:val="24"/>
        </w:rPr>
        <w:t>非中小企业</w:t>
      </w:r>
      <w:r>
        <w:rPr>
          <w:rFonts w:hint="eastAsia" w:ascii="仿宋_GB2312" w:eastAsia="仿宋_GB2312"/>
          <w:b/>
          <w:sz w:val="24"/>
        </w:rPr>
        <w:t>预留合同。</w:t>
      </w:r>
    </w:p>
    <w:p w14:paraId="605F2751">
      <w:pPr>
        <w:pStyle w:val="27"/>
        <w:spacing w:line="400" w:lineRule="exact"/>
        <w:jc w:val="left"/>
        <w:rPr>
          <w:b/>
          <w:sz w:val="32"/>
        </w:rPr>
      </w:pPr>
    </w:p>
    <w:p w14:paraId="3D744377">
      <w:pPr>
        <w:snapToGrid w:val="0"/>
        <w:jc w:val="center"/>
        <w:rPr>
          <w:rFonts w:hint="eastAsia" w:ascii="仿宋_GB2312" w:hAnsi="宋体" w:eastAsia="仿宋_GB2312"/>
          <w:b/>
          <w:bCs/>
          <w:sz w:val="44"/>
          <w:szCs w:val="44"/>
        </w:rPr>
      </w:pPr>
      <w:r>
        <w:rPr>
          <w:rFonts w:hint="eastAsia" w:ascii="仿宋_GB2312" w:hAnsi="宋体" w:eastAsia="仿宋_GB2312"/>
          <w:b/>
          <w:bCs/>
          <w:sz w:val="44"/>
          <w:szCs w:val="44"/>
        </w:rPr>
        <w:t>政府采购合同</w:t>
      </w:r>
    </w:p>
    <w:p w14:paraId="304CFB6E">
      <w:pPr>
        <w:snapToGrid w:val="0"/>
        <w:jc w:val="center"/>
        <w:rPr>
          <w:rFonts w:hint="eastAsia" w:ascii="仿宋_GB2312" w:hAnsi="宋体" w:eastAsia="仿宋_GB2312"/>
          <w:b/>
          <w:bCs/>
          <w:sz w:val="36"/>
          <w:szCs w:val="36"/>
        </w:rPr>
      </w:pPr>
      <w:r>
        <w:rPr>
          <w:rFonts w:hint="eastAsia" w:ascii="仿宋_GB2312" w:hAnsi="宋体" w:eastAsia="仿宋_GB2312"/>
          <w:b/>
          <w:bCs/>
          <w:sz w:val="36"/>
          <w:szCs w:val="36"/>
        </w:rPr>
        <w:t>（一般货物类）</w:t>
      </w:r>
    </w:p>
    <w:p w14:paraId="14568494">
      <w:pPr>
        <w:wordWrap w:val="0"/>
        <w:snapToGrid w:val="0"/>
        <w:jc w:val="right"/>
        <w:rPr>
          <w:rFonts w:hint="eastAsia" w:ascii="仿宋_GB2312" w:hAnsi="宋体" w:eastAsia="仿宋_GB2312"/>
          <w:bCs/>
          <w:sz w:val="24"/>
          <w:u w:val="single"/>
        </w:rPr>
      </w:pPr>
      <w:r>
        <w:rPr>
          <w:rFonts w:hint="eastAsia" w:ascii="仿宋_GB2312" w:hAnsi="宋体" w:eastAsia="仿宋_GB2312"/>
          <w:bCs/>
          <w:sz w:val="24"/>
        </w:rPr>
        <w:t xml:space="preserve">合同编号：            </w:t>
      </w:r>
    </w:p>
    <w:p w14:paraId="5628DE88">
      <w:pPr>
        <w:snapToGrid w:val="0"/>
        <w:rPr>
          <w:rFonts w:hint="eastAsia" w:ascii="仿宋_GB2312" w:hAnsi="宋体" w:eastAsia="仿宋_GB2312"/>
          <w:sz w:val="24"/>
        </w:rPr>
      </w:pPr>
    </w:p>
    <w:p w14:paraId="78EDED28">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采购单位（甲方）：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采购计划表编号：</w:t>
      </w:r>
      <w:r>
        <w:rPr>
          <w:rFonts w:hint="eastAsia" w:ascii="仿宋_GB2312" w:hAnsi="宋体" w:eastAsia="仿宋_GB2312"/>
          <w:sz w:val="24"/>
          <w:u w:val="single"/>
        </w:rPr>
        <w:t xml:space="preserve">  </w:t>
      </w:r>
      <w:r>
        <w:rPr>
          <w:rFonts w:ascii="仿宋_GB2312" w:hAnsi="宋体" w:eastAsia="仿宋_GB2312"/>
          <w:sz w:val="24"/>
          <w:u w:val="single"/>
        </w:rPr>
        <w:t xml:space="preserve">             </w:t>
      </w:r>
    </w:p>
    <w:p w14:paraId="5AB00AFF">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供 应 商（乙方）：</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z w:val="24"/>
        </w:rPr>
        <w:t>项目名称及编号</w:t>
      </w:r>
      <w:r>
        <w:rPr>
          <w:rFonts w:hint="eastAsia" w:ascii="仿宋_GB2312" w:hAnsi="宋体" w:eastAsia="仿宋_GB2312"/>
          <w:spacing w:val="-20"/>
          <w:sz w:val="24"/>
        </w:rPr>
        <w:t>：</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rPr>
        <w:t xml:space="preserve">     </w:t>
      </w:r>
    </w:p>
    <w:p w14:paraId="2EA2AF08">
      <w:pPr>
        <w:snapToGrid w:val="0"/>
        <w:spacing w:line="320" w:lineRule="exact"/>
        <w:ind w:right="-470" w:rightChars="-224"/>
        <w:rPr>
          <w:rFonts w:hint="eastAsia" w:ascii="仿宋_GB2312" w:hAnsi="宋体" w:eastAsia="仿宋_GB2312"/>
          <w:sz w:val="24"/>
          <w:u w:val="single"/>
        </w:rPr>
      </w:pPr>
      <w:r>
        <w:rPr>
          <w:rFonts w:hint="eastAsia" w:ascii="仿宋_GB2312" w:hAnsi="宋体" w:eastAsia="仿宋_GB2312"/>
          <w:sz w:val="24"/>
        </w:rPr>
        <w:t>签  订  地  点 ：</w:t>
      </w:r>
      <w:r>
        <w:rPr>
          <w:rFonts w:hint="eastAsia" w:ascii="仿宋_GB2312" w:hAnsi="宋体" w:eastAsia="仿宋_GB2312"/>
          <w:sz w:val="24"/>
          <w:u w:val="single"/>
        </w:rPr>
        <w:t xml:space="preserve">                      </w:t>
      </w:r>
      <w:r>
        <w:rPr>
          <w:rFonts w:ascii="仿宋_GB2312" w:hAnsi="宋体" w:eastAsia="仿宋_GB2312"/>
          <w:sz w:val="24"/>
          <w:u w:val="single"/>
        </w:rPr>
        <w:t xml:space="preserve">   </w:t>
      </w:r>
      <w:r>
        <w:rPr>
          <w:rFonts w:hint="eastAsia" w:ascii="仿宋_GB2312" w:hAnsi="宋体" w:eastAsia="仿宋_GB2312"/>
          <w:sz w:val="24"/>
          <w:u w:val="single"/>
        </w:rPr>
        <w:t xml:space="preserve">     </w:t>
      </w:r>
      <w:r>
        <w:rPr>
          <w:rFonts w:hint="eastAsia" w:ascii="仿宋_GB2312" w:hAnsi="宋体" w:eastAsia="仿宋_GB2312"/>
          <w:spacing w:val="38"/>
          <w:sz w:val="24"/>
        </w:rPr>
        <w:t>签订时间：</w:t>
      </w:r>
      <w:r>
        <w:rPr>
          <w:rFonts w:hint="eastAsia" w:ascii="仿宋_GB2312" w:hAnsi="宋体" w:eastAsia="仿宋_GB2312"/>
          <w:sz w:val="24"/>
          <w:u w:val="single"/>
        </w:rPr>
        <w:t xml:space="preserve">     年   月   日   </w:t>
      </w:r>
    </w:p>
    <w:p w14:paraId="322189F1">
      <w:pPr>
        <w:snapToGrid w:val="0"/>
        <w:spacing w:line="32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根据《中华人民共和国政府采购法》、《</w:t>
      </w:r>
      <w:r>
        <w:rPr>
          <w:rFonts w:hint="eastAsia" w:ascii="仿宋_GB2312" w:eastAsia="仿宋_GB2312"/>
          <w:sz w:val="24"/>
        </w:rPr>
        <w:t>中华人民共和国民法典</w:t>
      </w:r>
      <w:r>
        <w:rPr>
          <w:rFonts w:hint="eastAsia" w:ascii="仿宋_GB2312" w:hAnsi="宋体" w:eastAsia="仿宋_GB2312"/>
          <w:sz w:val="24"/>
        </w:rPr>
        <w:t>》等法律、法规规定，按照</w:t>
      </w:r>
      <w:r>
        <w:rPr>
          <w:rFonts w:hint="eastAsia" w:ascii="仿宋_GB2312" w:eastAsia="仿宋_GB2312"/>
          <w:sz w:val="24"/>
          <w:highlight w:val="none"/>
        </w:rPr>
        <w:t>招标文件规定条款和中标</w:t>
      </w:r>
      <w:r>
        <w:rPr>
          <w:rFonts w:hint="eastAsia" w:ascii="仿宋_GB2312" w:eastAsia="仿宋_GB2312"/>
          <w:sz w:val="24"/>
          <w:highlight w:val="none"/>
          <w:lang w:eastAsia="zh-CN"/>
        </w:rPr>
        <w:t>人</w:t>
      </w:r>
      <w:r>
        <w:rPr>
          <w:rFonts w:hint="eastAsia" w:ascii="仿宋_GB2312" w:eastAsia="仿宋_GB2312"/>
          <w:sz w:val="24"/>
          <w:highlight w:val="none"/>
          <w:lang w:val="en-US" w:eastAsia="zh-CN"/>
        </w:rPr>
        <w:t>投标文件和</w:t>
      </w:r>
      <w:r>
        <w:rPr>
          <w:rFonts w:hint="eastAsia" w:ascii="仿宋_GB2312" w:hAnsi="宋体" w:eastAsia="仿宋_GB2312"/>
          <w:sz w:val="24"/>
        </w:rPr>
        <w:t>承诺，甲乙双方签订本合同。</w:t>
      </w:r>
    </w:p>
    <w:p w14:paraId="4BB5B9B1">
      <w:pPr>
        <w:snapToGrid w:val="0"/>
        <w:spacing w:line="320" w:lineRule="exact"/>
        <w:ind w:right="-470" w:rightChars="-224" w:firstLine="482" w:firstLineChars="200"/>
        <w:rPr>
          <w:rFonts w:hint="eastAsia" w:ascii="仿宋_GB2312" w:hAnsi="宋体" w:eastAsia="仿宋_GB2312"/>
          <w:b/>
          <w:sz w:val="24"/>
        </w:rPr>
      </w:pPr>
      <w:r>
        <w:rPr>
          <w:rFonts w:hint="eastAsia" w:ascii="仿宋_GB2312" w:eastAsia="仿宋_GB2312"/>
          <w:b/>
          <w:sz w:val="24"/>
        </w:rPr>
        <w:t xml:space="preserve"> </w:t>
      </w:r>
      <w:r>
        <w:rPr>
          <w:rFonts w:hint="eastAsia" w:ascii="仿宋_GB2312" w:hAnsi="宋体" w:eastAsia="仿宋_GB2312"/>
          <w:b/>
          <w:sz w:val="24"/>
        </w:rPr>
        <w:t>第一条　合同标的</w:t>
      </w:r>
    </w:p>
    <w:p w14:paraId="15A19EA9">
      <w:pPr>
        <w:snapToGrid w:val="0"/>
        <w:spacing w:line="32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1.供货一览表</w:t>
      </w:r>
    </w:p>
    <w:tbl>
      <w:tblPr>
        <w:tblStyle w:val="48"/>
        <w:tblW w:w="981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36"/>
        <w:gridCol w:w="1207"/>
        <w:gridCol w:w="1134"/>
        <w:gridCol w:w="1037"/>
        <w:gridCol w:w="1161"/>
        <w:gridCol w:w="903"/>
        <w:gridCol w:w="892"/>
        <w:gridCol w:w="1422"/>
        <w:gridCol w:w="1418"/>
      </w:tblGrid>
      <w:tr w14:paraId="5853CA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820" w:hRule="atLeast"/>
        </w:trPr>
        <w:tc>
          <w:tcPr>
            <w:tcW w:w="636" w:type="dxa"/>
            <w:vAlign w:val="center"/>
          </w:tcPr>
          <w:p w14:paraId="74506753">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序号</w:t>
            </w:r>
          </w:p>
        </w:tc>
        <w:tc>
          <w:tcPr>
            <w:tcW w:w="1207" w:type="dxa"/>
            <w:vAlign w:val="center"/>
          </w:tcPr>
          <w:p w14:paraId="4B98C241">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产品名称</w:t>
            </w:r>
          </w:p>
        </w:tc>
        <w:tc>
          <w:tcPr>
            <w:tcW w:w="1134" w:type="dxa"/>
            <w:vAlign w:val="center"/>
          </w:tcPr>
          <w:p w14:paraId="3E610F0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商标品牌</w:t>
            </w:r>
          </w:p>
        </w:tc>
        <w:tc>
          <w:tcPr>
            <w:tcW w:w="1037" w:type="dxa"/>
            <w:vAlign w:val="center"/>
          </w:tcPr>
          <w:p w14:paraId="2C8B64F4">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规格型号</w:t>
            </w:r>
          </w:p>
        </w:tc>
        <w:tc>
          <w:tcPr>
            <w:tcW w:w="1161" w:type="dxa"/>
            <w:vAlign w:val="center"/>
          </w:tcPr>
          <w:p w14:paraId="7AACA873">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生产厂家</w:t>
            </w:r>
          </w:p>
        </w:tc>
        <w:tc>
          <w:tcPr>
            <w:tcW w:w="903" w:type="dxa"/>
            <w:vAlign w:val="center"/>
          </w:tcPr>
          <w:p w14:paraId="4CC72C60">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数量</w:t>
            </w:r>
          </w:p>
        </w:tc>
        <w:tc>
          <w:tcPr>
            <w:tcW w:w="892" w:type="dxa"/>
            <w:vAlign w:val="center"/>
          </w:tcPr>
          <w:p w14:paraId="0FFE4E99">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单位</w:t>
            </w:r>
          </w:p>
        </w:tc>
        <w:tc>
          <w:tcPr>
            <w:tcW w:w="1422" w:type="dxa"/>
            <w:vAlign w:val="center"/>
          </w:tcPr>
          <w:p w14:paraId="2A19F064">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单价（元）</w:t>
            </w:r>
          </w:p>
        </w:tc>
        <w:tc>
          <w:tcPr>
            <w:tcW w:w="1418" w:type="dxa"/>
            <w:vAlign w:val="center"/>
          </w:tcPr>
          <w:p w14:paraId="4027F7A2">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金额（元）</w:t>
            </w:r>
          </w:p>
        </w:tc>
      </w:tr>
      <w:tr w14:paraId="7B1585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2187E4D9">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1</w:t>
            </w:r>
          </w:p>
        </w:tc>
        <w:tc>
          <w:tcPr>
            <w:tcW w:w="1207" w:type="dxa"/>
            <w:vAlign w:val="center"/>
          </w:tcPr>
          <w:p w14:paraId="75632B1A">
            <w:pPr>
              <w:snapToGrid w:val="0"/>
              <w:spacing w:line="320" w:lineRule="exact"/>
              <w:jc w:val="center"/>
              <w:rPr>
                <w:rFonts w:hint="eastAsia" w:ascii="仿宋_GB2312" w:hAnsi="宋体" w:eastAsia="仿宋_GB2312"/>
                <w:sz w:val="24"/>
              </w:rPr>
            </w:pPr>
          </w:p>
        </w:tc>
        <w:tc>
          <w:tcPr>
            <w:tcW w:w="1134" w:type="dxa"/>
            <w:vAlign w:val="center"/>
          </w:tcPr>
          <w:p w14:paraId="78796F37">
            <w:pPr>
              <w:snapToGrid w:val="0"/>
              <w:spacing w:line="320" w:lineRule="exact"/>
              <w:jc w:val="center"/>
              <w:rPr>
                <w:rFonts w:hint="eastAsia" w:ascii="仿宋_GB2312" w:hAnsi="宋体" w:eastAsia="仿宋_GB2312"/>
                <w:sz w:val="24"/>
              </w:rPr>
            </w:pPr>
          </w:p>
        </w:tc>
        <w:tc>
          <w:tcPr>
            <w:tcW w:w="1037" w:type="dxa"/>
            <w:vAlign w:val="center"/>
          </w:tcPr>
          <w:p w14:paraId="65AC8B09">
            <w:pPr>
              <w:snapToGrid w:val="0"/>
              <w:spacing w:line="320" w:lineRule="exact"/>
              <w:jc w:val="center"/>
              <w:rPr>
                <w:rFonts w:hint="eastAsia" w:ascii="仿宋_GB2312" w:hAnsi="宋体" w:eastAsia="仿宋_GB2312"/>
                <w:sz w:val="24"/>
              </w:rPr>
            </w:pPr>
          </w:p>
        </w:tc>
        <w:tc>
          <w:tcPr>
            <w:tcW w:w="1161" w:type="dxa"/>
            <w:vAlign w:val="center"/>
          </w:tcPr>
          <w:p w14:paraId="275ED46D">
            <w:pPr>
              <w:snapToGrid w:val="0"/>
              <w:spacing w:line="320" w:lineRule="exact"/>
              <w:jc w:val="center"/>
              <w:rPr>
                <w:rFonts w:hint="eastAsia" w:ascii="仿宋_GB2312" w:hAnsi="宋体" w:eastAsia="仿宋_GB2312"/>
                <w:sz w:val="24"/>
              </w:rPr>
            </w:pPr>
          </w:p>
        </w:tc>
        <w:tc>
          <w:tcPr>
            <w:tcW w:w="903" w:type="dxa"/>
            <w:vAlign w:val="center"/>
          </w:tcPr>
          <w:p w14:paraId="7C08329C">
            <w:pPr>
              <w:snapToGrid w:val="0"/>
              <w:spacing w:line="320" w:lineRule="exact"/>
              <w:jc w:val="center"/>
              <w:rPr>
                <w:rFonts w:hint="eastAsia" w:ascii="仿宋_GB2312" w:hAnsi="宋体" w:eastAsia="仿宋_GB2312"/>
                <w:sz w:val="24"/>
              </w:rPr>
            </w:pPr>
          </w:p>
        </w:tc>
        <w:tc>
          <w:tcPr>
            <w:tcW w:w="892" w:type="dxa"/>
            <w:vAlign w:val="center"/>
          </w:tcPr>
          <w:p w14:paraId="618A82C8">
            <w:pPr>
              <w:snapToGrid w:val="0"/>
              <w:spacing w:line="320" w:lineRule="exact"/>
              <w:jc w:val="center"/>
              <w:rPr>
                <w:rFonts w:hint="eastAsia" w:ascii="仿宋_GB2312" w:hAnsi="宋体" w:eastAsia="仿宋_GB2312"/>
                <w:sz w:val="24"/>
              </w:rPr>
            </w:pPr>
          </w:p>
        </w:tc>
        <w:tc>
          <w:tcPr>
            <w:tcW w:w="1422" w:type="dxa"/>
            <w:vAlign w:val="center"/>
          </w:tcPr>
          <w:p w14:paraId="19C81317">
            <w:pPr>
              <w:snapToGrid w:val="0"/>
              <w:spacing w:line="320" w:lineRule="exact"/>
              <w:jc w:val="center"/>
              <w:rPr>
                <w:rFonts w:hint="eastAsia" w:ascii="仿宋_GB2312" w:hAnsi="宋体" w:eastAsia="仿宋_GB2312"/>
                <w:sz w:val="24"/>
              </w:rPr>
            </w:pPr>
          </w:p>
        </w:tc>
        <w:tc>
          <w:tcPr>
            <w:tcW w:w="1418" w:type="dxa"/>
            <w:vAlign w:val="center"/>
          </w:tcPr>
          <w:p w14:paraId="2B912A6E">
            <w:pPr>
              <w:snapToGrid w:val="0"/>
              <w:spacing w:line="320" w:lineRule="exact"/>
              <w:jc w:val="center"/>
              <w:rPr>
                <w:rFonts w:hint="eastAsia" w:ascii="仿宋_GB2312" w:hAnsi="宋体" w:eastAsia="仿宋_GB2312"/>
                <w:sz w:val="24"/>
              </w:rPr>
            </w:pPr>
          </w:p>
        </w:tc>
      </w:tr>
      <w:tr w14:paraId="129165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3C143E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2</w:t>
            </w:r>
          </w:p>
        </w:tc>
        <w:tc>
          <w:tcPr>
            <w:tcW w:w="1207" w:type="dxa"/>
            <w:vAlign w:val="center"/>
          </w:tcPr>
          <w:p w14:paraId="2857A3DB">
            <w:pPr>
              <w:snapToGrid w:val="0"/>
              <w:spacing w:line="320" w:lineRule="exact"/>
              <w:jc w:val="center"/>
              <w:rPr>
                <w:rFonts w:hint="eastAsia" w:ascii="仿宋_GB2312" w:hAnsi="宋体" w:eastAsia="仿宋_GB2312"/>
                <w:sz w:val="24"/>
              </w:rPr>
            </w:pPr>
          </w:p>
        </w:tc>
        <w:tc>
          <w:tcPr>
            <w:tcW w:w="1134" w:type="dxa"/>
            <w:vAlign w:val="center"/>
          </w:tcPr>
          <w:p w14:paraId="4535CA58">
            <w:pPr>
              <w:snapToGrid w:val="0"/>
              <w:spacing w:line="320" w:lineRule="exact"/>
              <w:jc w:val="center"/>
              <w:rPr>
                <w:rFonts w:hint="eastAsia" w:ascii="仿宋_GB2312" w:hAnsi="宋体" w:eastAsia="仿宋_GB2312"/>
                <w:sz w:val="24"/>
              </w:rPr>
            </w:pPr>
          </w:p>
        </w:tc>
        <w:tc>
          <w:tcPr>
            <w:tcW w:w="1037" w:type="dxa"/>
            <w:vAlign w:val="center"/>
          </w:tcPr>
          <w:p w14:paraId="3BA07E3E">
            <w:pPr>
              <w:snapToGrid w:val="0"/>
              <w:spacing w:line="320" w:lineRule="exact"/>
              <w:jc w:val="center"/>
              <w:rPr>
                <w:rFonts w:hint="eastAsia" w:ascii="仿宋_GB2312" w:hAnsi="宋体" w:eastAsia="仿宋_GB2312"/>
                <w:sz w:val="24"/>
              </w:rPr>
            </w:pPr>
          </w:p>
        </w:tc>
        <w:tc>
          <w:tcPr>
            <w:tcW w:w="1161" w:type="dxa"/>
            <w:vAlign w:val="center"/>
          </w:tcPr>
          <w:p w14:paraId="1717D60F">
            <w:pPr>
              <w:snapToGrid w:val="0"/>
              <w:spacing w:line="320" w:lineRule="exact"/>
              <w:jc w:val="center"/>
              <w:rPr>
                <w:rFonts w:hint="eastAsia" w:ascii="仿宋_GB2312" w:hAnsi="宋体" w:eastAsia="仿宋_GB2312"/>
                <w:sz w:val="24"/>
              </w:rPr>
            </w:pPr>
          </w:p>
        </w:tc>
        <w:tc>
          <w:tcPr>
            <w:tcW w:w="903" w:type="dxa"/>
            <w:vAlign w:val="center"/>
          </w:tcPr>
          <w:p w14:paraId="087BC682">
            <w:pPr>
              <w:snapToGrid w:val="0"/>
              <w:spacing w:line="320" w:lineRule="exact"/>
              <w:jc w:val="center"/>
              <w:rPr>
                <w:rFonts w:hint="eastAsia" w:ascii="仿宋_GB2312" w:hAnsi="宋体" w:eastAsia="仿宋_GB2312"/>
                <w:sz w:val="24"/>
              </w:rPr>
            </w:pPr>
          </w:p>
        </w:tc>
        <w:tc>
          <w:tcPr>
            <w:tcW w:w="892" w:type="dxa"/>
            <w:vAlign w:val="center"/>
          </w:tcPr>
          <w:p w14:paraId="0F7B2087">
            <w:pPr>
              <w:snapToGrid w:val="0"/>
              <w:spacing w:line="320" w:lineRule="exact"/>
              <w:jc w:val="center"/>
              <w:rPr>
                <w:rFonts w:hint="eastAsia" w:ascii="仿宋_GB2312" w:hAnsi="宋体" w:eastAsia="仿宋_GB2312"/>
                <w:sz w:val="24"/>
              </w:rPr>
            </w:pPr>
          </w:p>
        </w:tc>
        <w:tc>
          <w:tcPr>
            <w:tcW w:w="1422" w:type="dxa"/>
            <w:vAlign w:val="center"/>
          </w:tcPr>
          <w:p w14:paraId="019B9079">
            <w:pPr>
              <w:snapToGrid w:val="0"/>
              <w:spacing w:line="320" w:lineRule="exact"/>
              <w:jc w:val="center"/>
              <w:rPr>
                <w:rFonts w:hint="eastAsia" w:ascii="仿宋_GB2312" w:hAnsi="宋体" w:eastAsia="仿宋_GB2312"/>
                <w:sz w:val="24"/>
              </w:rPr>
            </w:pPr>
          </w:p>
        </w:tc>
        <w:tc>
          <w:tcPr>
            <w:tcW w:w="1418" w:type="dxa"/>
            <w:vAlign w:val="center"/>
          </w:tcPr>
          <w:p w14:paraId="480212A0">
            <w:pPr>
              <w:snapToGrid w:val="0"/>
              <w:spacing w:line="320" w:lineRule="exact"/>
              <w:jc w:val="center"/>
              <w:rPr>
                <w:rFonts w:hint="eastAsia" w:ascii="仿宋_GB2312" w:hAnsi="宋体" w:eastAsia="仿宋_GB2312"/>
                <w:sz w:val="24"/>
              </w:rPr>
            </w:pPr>
          </w:p>
        </w:tc>
      </w:tr>
      <w:tr w14:paraId="3E0CC3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6EEE1CEE">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w:t>
            </w:r>
          </w:p>
        </w:tc>
        <w:tc>
          <w:tcPr>
            <w:tcW w:w="1207" w:type="dxa"/>
            <w:vAlign w:val="center"/>
          </w:tcPr>
          <w:p w14:paraId="3FD8D816">
            <w:pPr>
              <w:snapToGrid w:val="0"/>
              <w:spacing w:line="320" w:lineRule="exact"/>
              <w:jc w:val="center"/>
              <w:rPr>
                <w:rFonts w:hint="eastAsia" w:ascii="仿宋_GB2312" w:hAnsi="宋体" w:eastAsia="仿宋_GB2312"/>
                <w:sz w:val="24"/>
              </w:rPr>
            </w:pPr>
          </w:p>
        </w:tc>
        <w:tc>
          <w:tcPr>
            <w:tcW w:w="1134" w:type="dxa"/>
            <w:vAlign w:val="center"/>
          </w:tcPr>
          <w:p w14:paraId="7CE6A71E">
            <w:pPr>
              <w:snapToGrid w:val="0"/>
              <w:spacing w:line="320" w:lineRule="exact"/>
              <w:jc w:val="center"/>
              <w:rPr>
                <w:rFonts w:hint="eastAsia" w:ascii="仿宋_GB2312" w:hAnsi="宋体" w:eastAsia="仿宋_GB2312"/>
                <w:sz w:val="24"/>
              </w:rPr>
            </w:pPr>
          </w:p>
        </w:tc>
        <w:tc>
          <w:tcPr>
            <w:tcW w:w="1037" w:type="dxa"/>
            <w:vAlign w:val="center"/>
          </w:tcPr>
          <w:p w14:paraId="37A63604">
            <w:pPr>
              <w:snapToGrid w:val="0"/>
              <w:spacing w:line="320" w:lineRule="exact"/>
              <w:jc w:val="center"/>
              <w:rPr>
                <w:rFonts w:hint="eastAsia" w:ascii="仿宋_GB2312" w:hAnsi="宋体" w:eastAsia="仿宋_GB2312"/>
                <w:sz w:val="24"/>
              </w:rPr>
            </w:pPr>
          </w:p>
        </w:tc>
        <w:tc>
          <w:tcPr>
            <w:tcW w:w="1161" w:type="dxa"/>
            <w:vAlign w:val="center"/>
          </w:tcPr>
          <w:p w14:paraId="7E7304B3">
            <w:pPr>
              <w:snapToGrid w:val="0"/>
              <w:spacing w:line="320" w:lineRule="exact"/>
              <w:jc w:val="center"/>
              <w:rPr>
                <w:rFonts w:hint="eastAsia" w:ascii="仿宋_GB2312" w:hAnsi="宋体" w:eastAsia="仿宋_GB2312"/>
                <w:sz w:val="24"/>
              </w:rPr>
            </w:pPr>
          </w:p>
        </w:tc>
        <w:tc>
          <w:tcPr>
            <w:tcW w:w="903" w:type="dxa"/>
            <w:vAlign w:val="center"/>
          </w:tcPr>
          <w:p w14:paraId="1D8851A6">
            <w:pPr>
              <w:snapToGrid w:val="0"/>
              <w:spacing w:line="320" w:lineRule="exact"/>
              <w:jc w:val="center"/>
              <w:rPr>
                <w:rFonts w:hint="eastAsia" w:ascii="仿宋_GB2312" w:hAnsi="宋体" w:eastAsia="仿宋_GB2312"/>
                <w:sz w:val="24"/>
              </w:rPr>
            </w:pPr>
          </w:p>
        </w:tc>
        <w:tc>
          <w:tcPr>
            <w:tcW w:w="892" w:type="dxa"/>
            <w:vAlign w:val="center"/>
          </w:tcPr>
          <w:p w14:paraId="11B10248">
            <w:pPr>
              <w:snapToGrid w:val="0"/>
              <w:spacing w:line="320" w:lineRule="exact"/>
              <w:jc w:val="center"/>
              <w:rPr>
                <w:rFonts w:hint="eastAsia" w:ascii="仿宋_GB2312" w:hAnsi="宋体" w:eastAsia="仿宋_GB2312"/>
                <w:sz w:val="24"/>
              </w:rPr>
            </w:pPr>
          </w:p>
        </w:tc>
        <w:tc>
          <w:tcPr>
            <w:tcW w:w="1422" w:type="dxa"/>
            <w:vAlign w:val="center"/>
          </w:tcPr>
          <w:p w14:paraId="4EB147BE">
            <w:pPr>
              <w:snapToGrid w:val="0"/>
              <w:spacing w:line="320" w:lineRule="exact"/>
              <w:jc w:val="center"/>
              <w:rPr>
                <w:rFonts w:hint="eastAsia" w:ascii="仿宋_GB2312" w:hAnsi="宋体" w:eastAsia="仿宋_GB2312"/>
                <w:sz w:val="24"/>
              </w:rPr>
            </w:pPr>
          </w:p>
        </w:tc>
        <w:tc>
          <w:tcPr>
            <w:tcW w:w="1418" w:type="dxa"/>
            <w:vAlign w:val="center"/>
          </w:tcPr>
          <w:p w14:paraId="021A17B9">
            <w:pPr>
              <w:snapToGrid w:val="0"/>
              <w:spacing w:line="320" w:lineRule="exact"/>
              <w:jc w:val="center"/>
              <w:rPr>
                <w:rFonts w:hint="eastAsia" w:ascii="仿宋_GB2312" w:hAnsi="宋体" w:eastAsia="仿宋_GB2312"/>
                <w:sz w:val="24"/>
              </w:rPr>
            </w:pPr>
          </w:p>
        </w:tc>
      </w:tr>
      <w:tr w14:paraId="72F851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636" w:type="dxa"/>
            <w:vAlign w:val="center"/>
          </w:tcPr>
          <w:p w14:paraId="0AB73D5D">
            <w:pPr>
              <w:snapToGrid w:val="0"/>
              <w:spacing w:line="320" w:lineRule="exact"/>
              <w:jc w:val="center"/>
              <w:rPr>
                <w:rFonts w:hint="eastAsia" w:ascii="仿宋_GB2312" w:hAnsi="宋体" w:eastAsia="仿宋_GB2312"/>
                <w:sz w:val="24"/>
              </w:rPr>
            </w:pPr>
            <w:r>
              <w:rPr>
                <w:rFonts w:hint="eastAsia" w:ascii="仿宋_GB2312" w:hAnsi="宋体" w:eastAsia="仿宋_GB2312"/>
                <w:sz w:val="24"/>
              </w:rPr>
              <w:t>N</w:t>
            </w:r>
          </w:p>
        </w:tc>
        <w:tc>
          <w:tcPr>
            <w:tcW w:w="1207" w:type="dxa"/>
            <w:vAlign w:val="center"/>
          </w:tcPr>
          <w:p w14:paraId="32B9DF4B">
            <w:pPr>
              <w:snapToGrid w:val="0"/>
              <w:spacing w:line="320" w:lineRule="exact"/>
              <w:jc w:val="center"/>
              <w:rPr>
                <w:rFonts w:hint="eastAsia" w:ascii="仿宋_GB2312" w:hAnsi="宋体" w:eastAsia="仿宋_GB2312"/>
                <w:sz w:val="24"/>
              </w:rPr>
            </w:pPr>
          </w:p>
        </w:tc>
        <w:tc>
          <w:tcPr>
            <w:tcW w:w="1134" w:type="dxa"/>
            <w:vAlign w:val="center"/>
          </w:tcPr>
          <w:p w14:paraId="1FB8172A">
            <w:pPr>
              <w:snapToGrid w:val="0"/>
              <w:spacing w:line="320" w:lineRule="exact"/>
              <w:jc w:val="center"/>
              <w:rPr>
                <w:rFonts w:hint="eastAsia" w:ascii="仿宋_GB2312" w:hAnsi="宋体" w:eastAsia="仿宋_GB2312"/>
                <w:sz w:val="24"/>
              </w:rPr>
            </w:pPr>
          </w:p>
        </w:tc>
        <w:tc>
          <w:tcPr>
            <w:tcW w:w="1037" w:type="dxa"/>
            <w:vAlign w:val="center"/>
          </w:tcPr>
          <w:p w14:paraId="745D74B4">
            <w:pPr>
              <w:snapToGrid w:val="0"/>
              <w:spacing w:line="320" w:lineRule="exact"/>
              <w:jc w:val="center"/>
              <w:rPr>
                <w:rFonts w:hint="eastAsia" w:ascii="仿宋_GB2312" w:hAnsi="宋体" w:eastAsia="仿宋_GB2312"/>
                <w:sz w:val="24"/>
              </w:rPr>
            </w:pPr>
          </w:p>
        </w:tc>
        <w:tc>
          <w:tcPr>
            <w:tcW w:w="1161" w:type="dxa"/>
            <w:vAlign w:val="center"/>
          </w:tcPr>
          <w:p w14:paraId="40532469">
            <w:pPr>
              <w:snapToGrid w:val="0"/>
              <w:spacing w:line="320" w:lineRule="exact"/>
              <w:jc w:val="center"/>
              <w:rPr>
                <w:rFonts w:hint="eastAsia" w:ascii="仿宋_GB2312" w:hAnsi="宋体" w:eastAsia="仿宋_GB2312"/>
                <w:sz w:val="24"/>
              </w:rPr>
            </w:pPr>
          </w:p>
        </w:tc>
        <w:tc>
          <w:tcPr>
            <w:tcW w:w="903" w:type="dxa"/>
            <w:vAlign w:val="center"/>
          </w:tcPr>
          <w:p w14:paraId="50A8B645">
            <w:pPr>
              <w:snapToGrid w:val="0"/>
              <w:spacing w:line="320" w:lineRule="exact"/>
              <w:jc w:val="center"/>
              <w:rPr>
                <w:rFonts w:hint="eastAsia" w:ascii="仿宋_GB2312" w:hAnsi="宋体" w:eastAsia="仿宋_GB2312"/>
                <w:sz w:val="24"/>
              </w:rPr>
            </w:pPr>
          </w:p>
        </w:tc>
        <w:tc>
          <w:tcPr>
            <w:tcW w:w="892" w:type="dxa"/>
            <w:vAlign w:val="center"/>
          </w:tcPr>
          <w:p w14:paraId="73656502">
            <w:pPr>
              <w:snapToGrid w:val="0"/>
              <w:spacing w:line="320" w:lineRule="exact"/>
              <w:jc w:val="center"/>
              <w:rPr>
                <w:rFonts w:hint="eastAsia" w:ascii="仿宋_GB2312" w:hAnsi="宋体" w:eastAsia="仿宋_GB2312"/>
                <w:sz w:val="24"/>
              </w:rPr>
            </w:pPr>
          </w:p>
        </w:tc>
        <w:tc>
          <w:tcPr>
            <w:tcW w:w="1422" w:type="dxa"/>
            <w:vAlign w:val="center"/>
          </w:tcPr>
          <w:p w14:paraId="13E0E5CE">
            <w:pPr>
              <w:snapToGrid w:val="0"/>
              <w:spacing w:line="320" w:lineRule="exact"/>
              <w:jc w:val="center"/>
              <w:rPr>
                <w:rFonts w:hint="eastAsia" w:ascii="仿宋_GB2312" w:hAnsi="宋体" w:eastAsia="仿宋_GB2312"/>
                <w:sz w:val="24"/>
              </w:rPr>
            </w:pPr>
          </w:p>
        </w:tc>
        <w:tc>
          <w:tcPr>
            <w:tcW w:w="1418" w:type="dxa"/>
            <w:vAlign w:val="center"/>
          </w:tcPr>
          <w:p w14:paraId="35DCCEDA">
            <w:pPr>
              <w:snapToGrid w:val="0"/>
              <w:spacing w:line="320" w:lineRule="exact"/>
              <w:jc w:val="center"/>
              <w:rPr>
                <w:rFonts w:hint="eastAsia" w:ascii="仿宋_GB2312" w:hAnsi="宋体" w:eastAsia="仿宋_GB2312"/>
                <w:sz w:val="24"/>
              </w:rPr>
            </w:pPr>
          </w:p>
        </w:tc>
      </w:tr>
      <w:tr w14:paraId="12EBCB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465" w:hRule="atLeast"/>
        </w:trPr>
        <w:tc>
          <w:tcPr>
            <w:tcW w:w="9810" w:type="dxa"/>
            <w:gridSpan w:val="9"/>
            <w:vAlign w:val="center"/>
          </w:tcPr>
          <w:p w14:paraId="3B67A9D9">
            <w:pPr>
              <w:snapToGrid w:val="0"/>
              <w:spacing w:line="320" w:lineRule="exact"/>
              <w:rPr>
                <w:rFonts w:hint="eastAsia" w:ascii="仿宋_GB2312" w:hAnsi="宋体" w:eastAsia="仿宋_GB2312"/>
                <w:sz w:val="24"/>
              </w:rPr>
            </w:pPr>
            <w:r>
              <w:rPr>
                <w:rFonts w:hint="eastAsia" w:ascii="仿宋_GB2312" w:hAnsi="宋体" w:eastAsia="仿宋_GB2312"/>
                <w:sz w:val="24"/>
              </w:rPr>
              <w:t>人民币合计金额（大写） ：                         （小写）：¥</w:t>
            </w:r>
            <w:r>
              <w:rPr>
                <w:rFonts w:hint="eastAsia" w:ascii="仿宋_GB2312" w:hAnsi="宋体" w:eastAsia="仿宋_GB2312"/>
                <w:sz w:val="24"/>
                <w:u w:val="single"/>
              </w:rPr>
              <w:t xml:space="preserve">               </w:t>
            </w:r>
          </w:p>
        </w:tc>
      </w:tr>
    </w:tbl>
    <w:p w14:paraId="7AE961B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合同合计金额包括货物价款，标准附件、备品备件、专用工具、包装、运输、装卸、保险、税金、办理免税手续相关费用、货到就位以及安装、调试、培训、保修等一切税金和费用。如招投标文件对其另有规定的，从其规定。</w:t>
      </w:r>
    </w:p>
    <w:p w14:paraId="66562F8C">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第二条　质量保证</w:t>
      </w:r>
    </w:p>
    <w:p w14:paraId="136B032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1.乙方所提供的货物型号、技术规格、技术参数等质量必须与招投标文件和承诺相一致。乙方提供的节能和环保产品必须是列入政府采购清单的产品。</w:t>
      </w:r>
    </w:p>
    <w:p w14:paraId="0B63A05F">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2.乙方所提供的货物必须是全新、未使用的原装产品，且在正常安装、使用和保养条件下，其使用寿命期内各项指标均达到质量要求。</w:t>
      </w:r>
    </w:p>
    <w:p w14:paraId="080C0367">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第三条　权利保证</w:t>
      </w:r>
    </w:p>
    <w:p w14:paraId="4FEB444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1.乙方应保证所提供货物在使用时不会侵犯任何第三方的专利权、商标权、工业设计权或其他权利。</w:t>
      </w:r>
    </w:p>
    <w:p w14:paraId="0FA865E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2.乙方应按招标文件规定的时间向甲方提供使用货物的有关技术资料。</w:t>
      </w:r>
    </w:p>
    <w:p w14:paraId="4A59917A">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没有甲方事先书面同意，乙方不得将由甲方提供的有关合同或任何合同条文、规格、计划、图纸、样品或资料提供给与履行本合同无关的任何其他人。即使向履行本合同有关的人员提供，也应注意保密并限于履行合同的必需范围。</w:t>
      </w:r>
    </w:p>
    <w:p w14:paraId="692ED14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4.乙方保证所交付的货物的所有权完全属于乙方且无任何抵押、查封等产权瑕疵。</w:t>
      </w:r>
    </w:p>
    <w:p w14:paraId="441EA5F2">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第四条　包装和运输</w:t>
      </w:r>
    </w:p>
    <w:p w14:paraId="66D10E0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1.乙方提供的货物均应按招投标文件要求的包装材料、包装标准、包装方式进行包装，每一包装单元内应附详细的装箱单和质量合格证。</w:t>
      </w:r>
    </w:p>
    <w:p w14:paraId="7D131513">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2.货物的运输方式：</w:t>
      </w:r>
      <w:r>
        <w:rPr>
          <w:rFonts w:hint="eastAsia" w:ascii="仿宋_GB2312" w:hAnsi="宋体" w:eastAsia="仿宋_GB2312"/>
          <w:sz w:val="24"/>
          <w:u w:val="single"/>
        </w:rPr>
        <w:t xml:space="preserve">                            </w:t>
      </w:r>
      <w:r>
        <w:rPr>
          <w:rFonts w:hint="eastAsia" w:ascii="仿宋_GB2312" w:hAnsi="宋体" w:eastAsia="仿宋_GB2312"/>
          <w:sz w:val="24"/>
        </w:rPr>
        <w:t>。</w:t>
      </w:r>
    </w:p>
    <w:p w14:paraId="601C7C80">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3.乙方负责货物运输，货物运输合理损耗及计算方法：</w:t>
      </w:r>
      <w:r>
        <w:rPr>
          <w:rFonts w:hint="eastAsia" w:ascii="仿宋_GB2312" w:hAnsi="宋体" w:eastAsia="仿宋_GB2312"/>
          <w:sz w:val="24"/>
          <w:u w:val="single"/>
        </w:rPr>
        <w:t xml:space="preserve">                                   </w:t>
      </w:r>
      <w:r>
        <w:rPr>
          <w:rFonts w:hint="eastAsia" w:ascii="仿宋_GB2312" w:hAnsi="宋体" w:eastAsia="仿宋_GB2312"/>
          <w:sz w:val="24"/>
        </w:rPr>
        <w:t>。</w:t>
      </w:r>
    </w:p>
    <w:p w14:paraId="3FE12B6B">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第五条　交付和验收</w:t>
      </w:r>
    </w:p>
    <w:p w14:paraId="3C4B7772">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1.交货时间：</w:t>
      </w:r>
      <w:r>
        <w:rPr>
          <w:rFonts w:hint="eastAsia" w:ascii="仿宋_GB2312" w:hAnsi="宋体" w:eastAsia="仿宋_GB2312"/>
          <w:sz w:val="24"/>
          <w:u w:val="single"/>
        </w:rPr>
        <w:t xml:space="preserve">                                  </w:t>
      </w:r>
      <w:r>
        <w:rPr>
          <w:rFonts w:hint="eastAsia" w:ascii="仿宋_GB2312" w:hAnsi="宋体" w:eastAsia="仿宋_GB2312"/>
          <w:sz w:val="24"/>
        </w:rPr>
        <w:t>、地点：</w:t>
      </w:r>
      <w:r>
        <w:rPr>
          <w:rFonts w:hint="eastAsia" w:ascii="仿宋_GB2312" w:hAnsi="宋体" w:eastAsia="仿宋_GB2312"/>
          <w:sz w:val="24"/>
          <w:u w:val="single"/>
        </w:rPr>
        <w:t xml:space="preserve">                             </w:t>
      </w:r>
      <w:r>
        <w:rPr>
          <w:rFonts w:hint="eastAsia" w:ascii="仿宋_GB2312" w:hAnsi="宋体" w:eastAsia="仿宋_GB2312"/>
          <w:sz w:val="24"/>
        </w:rPr>
        <w:t>。</w:t>
      </w:r>
    </w:p>
    <w:p w14:paraId="36322682">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2.乙方提供不符合招投标文件和本合同规定的货物，甲方有权拒绝接受。</w:t>
      </w:r>
    </w:p>
    <w:p w14:paraId="3CFC17C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3.乙方应将所提供货物的装箱清单、用户手册、原厂保修卡、随机资料、工具和备品、备件等交付给甲方，如有缺失应及时补齐，否则视为逾期交货。</w:t>
      </w:r>
    </w:p>
    <w:p w14:paraId="2E28086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4.甲方应当在到货（安装、调试完）后七个工作日内进行验收，逾期不验收的，乙方可视同验收合格。验收合格后由甲乙双方签署货物验收单并加盖采购单位公章，甲乙双方各执一份。</w:t>
      </w:r>
    </w:p>
    <w:p w14:paraId="50D62CBB">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采购人委托政府采购代理机构组织的验收项目，其验收时间以该项目验收方案确定的验收时间为准，验收结果以该项目验收报告结论为准。在验收过程中发现乙方有违约问题，可暂缓资金结算，待违约问题解决后，方可办理资金结算事宜。</w:t>
      </w:r>
    </w:p>
    <w:p w14:paraId="437EE451">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6.甲方对验收有异议的，在验收后五个工作日内以书面形式向乙方提出，乙方应自收到甲方书面异议后</w:t>
      </w:r>
      <w:r>
        <w:rPr>
          <w:rFonts w:hint="eastAsia" w:ascii="仿宋_GB2312" w:hAnsi="仿宋" w:eastAsia="仿宋_GB2312"/>
          <w:sz w:val="24"/>
          <w:u w:val="single"/>
        </w:rPr>
        <w:t>五</w:t>
      </w:r>
      <w:r>
        <w:rPr>
          <w:rFonts w:hint="eastAsia" w:ascii="仿宋_GB2312" w:hAnsi="宋体" w:eastAsia="仿宋_GB2312"/>
          <w:sz w:val="24"/>
        </w:rPr>
        <w:t>日内及时予以解决。</w:t>
      </w:r>
    </w:p>
    <w:p w14:paraId="7609BDDB">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第六条　安装和培训</w:t>
      </w:r>
    </w:p>
    <w:p w14:paraId="6EC570DE">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1.甲方应提供必要安装条件（如场地、电源、水源等）。</w:t>
      </w:r>
    </w:p>
    <w:p w14:paraId="2787EDA9">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2.乙方负责甲方有关人员的培训。培训时间、地点：</w:t>
      </w:r>
      <w:r>
        <w:rPr>
          <w:rFonts w:hint="eastAsia" w:ascii="仿宋_GB2312" w:hAnsi="宋体" w:eastAsia="仿宋_GB2312"/>
          <w:sz w:val="24"/>
          <w:u w:val="single"/>
        </w:rPr>
        <w:t>与甲方商议</w:t>
      </w:r>
      <w:r>
        <w:rPr>
          <w:rFonts w:hint="eastAsia" w:ascii="仿宋_GB2312" w:hAnsi="宋体" w:eastAsia="仿宋_GB2312"/>
          <w:sz w:val="24"/>
        </w:rPr>
        <w:t>。</w:t>
      </w:r>
    </w:p>
    <w:p w14:paraId="24B52D5C">
      <w:pPr>
        <w:snapToGrid w:val="0"/>
        <w:spacing w:line="360" w:lineRule="exact"/>
        <w:ind w:right="-330" w:rightChars="-157" w:firstLine="482" w:firstLineChars="200"/>
        <w:rPr>
          <w:rFonts w:hint="eastAsia" w:ascii="仿宋_GB2312" w:hAnsi="宋体" w:eastAsia="仿宋_GB2312"/>
          <w:b/>
          <w:sz w:val="24"/>
        </w:rPr>
      </w:pPr>
      <w:r>
        <w:rPr>
          <w:rFonts w:hint="eastAsia" w:ascii="仿宋_GB2312" w:hAnsi="宋体" w:eastAsia="仿宋_GB2312"/>
          <w:b/>
          <w:sz w:val="24"/>
        </w:rPr>
        <w:t>第七条  售后服务</w:t>
      </w:r>
    </w:p>
    <w:p w14:paraId="5599E86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1.乙方应按照国家有关法律法规和“三包”规定以及招投标文件和本合同所附的《服务承诺》，为甲方提供售后服务。</w:t>
      </w:r>
    </w:p>
    <w:p w14:paraId="0C75AA49">
      <w:pPr>
        <w:snapToGrid w:val="0"/>
        <w:spacing w:line="360" w:lineRule="exact"/>
        <w:ind w:right="-330" w:rightChars="-157" w:firstLine="480" w:firstLineChars="200"/>
        <w:rPr>
          <w:rFonts w:hint="eastAsia" w:ascii="仿宋_GB2312" w:hAnsi="宋体" w:eastAsia="仿宋_GB2312"/>
          <w:sz w:val="24"/>
          <w:u w:val="single"/>
        </w:rPr>
      </w:pPr>
      <w:r>
        <w:rPr>
          <w:rFonts w:hint="eastAsia" w:ascii="仿宋_GB2312" w:hAnsi="宋体" w:eastAsia="仿宋_GB2312"/>
          <w:sz w:val="24"/>
        </w:rPr>
        <w:t>2.货物保修期：</w:t>
      </w:r>
      <w:r>
        <w:rPr>
          <w:rFonts w:hint="eastAsia" w:ascii="仿宋_GB2312" w:hAnsi="宋体" w:eastAsia="仿宋_GB2312"/>
          <w:sz w:val="24"/>
          <w:u w:val="single"/>
        </w:rPr>
        <w:t>详见投标文件及合同附件。</w:t>
      </w:r>
    </w:p>
    <w:p w14:paraId="19127775">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3.乙方提供的服务承诺和售后服务及保修期责任等其它具体约定事项。（见合同附件）</w:t>
      </w:r>
    </w:p>
    <w:p w14:paraId="747D7B2C">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4.售后服务、保修时间从项目整体验收合格之日起计算。</w:t>
      </w:r>
    </w:p>
    <w:p w14:paraId="0CEB459E">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第八条　付款方式</w:t>
      </w:r>
    </w:p>
    <w:p w14:paraId="38DA70F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1.当采购数量与实际使用数量不一致时，乙方应根据实际使用量供货，合同的最终结算金额按实际使用量乘以成交单价进行计算。</w:t>
      </w:r>
    </w:p>
    <w:p w14:paraId="2F2CF19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2.资金性质：财政性资金。</w:t>
      </w:r>
    </w:p>
    <w:p w14:paraId="6A3D5F0F">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3.付款方式：财政性资金按财政国库集中支付规定程序办理。货物验收合格正常使用后    工作日支付合同总金额的</w:t>
      </w:r>
      <w:r>
        <w:rPr>
          <w:rFonts w:hint="eastAsia" w:ascii="仿宋_GB2312" w:hAnsi="宋体" w:eastAsia="仿宋_GB2312"/>
          <w:sz w:val="24"/>
          <w:u w:val="single"/>
        </w:rPr>
        <w:t xml:space="preserve">        </w:t>
      </w:r>
      <w:r>
        <w:rPr>
          <w:rFonts w:hint="eastAsia" w:ascii="仿宋_GB2312" w:hAnsi="宋体" w:eastAsia="仿宋_GB2312"/>
          <w:sz w:val="24"/>
        </w:rPr>
        <w:t>%，余下的</w:t>
      </w:r>
      <w:r>
        <w:rPr>
          <w:rFonts w:hint="eastAsia" w:ascii="仿宋_GB2312" w:hAnsi="宋体" w:eastAsia="仿宋_GB2312"/>
          <w:sz w:val="24"/>
          <w:u w:val="single"/>
        </w:rPr>
        <w:t xml:space="preserve">        </w:t>
      </w:r>
      <w:r>
        <w:rPr>
          <w:rFonts w:hint="eastAsia" w:ascii="仿宋_GB2312" w:hAnsi="宋体" w:eastAsia="仿宋_GB2312"/>
          <w:sz w:val="24"/>
        </w:rPr>
        <w:t>%在质量保证期过后五个工作日内一次性付清。</w:t>
      </w:r>
    </w:p>
    <w:p w14:paraId="4F74B28B">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第九条  税费</w:t>
      </w:r>
    </w:p>
    <w:p w14:paraId="4AF24E25">
      <w:pPr>
        <w:snapToGrid w:val="0"/>
        <w:spacing w:line="276" w:lineRule="auto"/>
        <w:ind w:firstLine="480" w:firstLineChars="200"/>
        <w:rPr>
          <w:rFonts w:hint="eastAsia" w:ascii="仿宋_GB2312" w:hAnsi="宋体" w:eastAsia="仿宋_GB2312"/>
          <w:sz w:val="24"/>
        </w:rPr>
      </w:pPr>
      <w:r>
        <w:rPr>
          <w:rFonts w:hint="eastAsia" w:ascii="仿宋_GB2312" w:hAnsi="宋体" w:eastAsia="仿宋_GB2312"/>
          <w:sz w:val="24"/>
        </w:rPr>
        <w:t>本合同执行中相关的一切税费均由乙方负担。</w:t>
      </w:r>
    </w:p>
    <w:p w14:paraId="4CACBE80">
      <w:pPr>
        <w:snapToGrid w:val="0"/>
        <w:spacing w:line="276" w:lineRule="auto"/>
        <w:ind w:firstLine="482" w:firstLineChars="200"/>
        <w:rPr>
          <w:rFonts w:hint="eastAsia" w:ascii="仿宋_GB2312" w:hAnsi="宋体" w:eastAsia="仿宋_GB2312"/>
          <w:b/>
          <w:sz w:val="24"/>
        </w:rPr>
      </w:pPr>
      <w:r>
        <w:rPr>
          <w:rFonts w:hint="eastAsia" w:ascii="仿宋_GB2312" w:hAnsi="宋体" w:eastAsia="仿宋_GB2312"/>
          <w:b/>
          <w:sz w:val="24"/>
        </w:rPr>
        <w:t>第十条  质量保证及售后服务</w:t>
      </w:r>
    </w:p>
    <w:p w14:paraId="1A152545">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1.乙方应按招标文件规定的货物性能、技术要求、质量标准向甲方提供未经使用的全新产品。不符合要求的，根据实际情况，经双方协商，可按以下办法处理：</w:t>
      </w:r>
    </w:p>
    <w:p w14:paraId="384389B4">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⑴更换：由乙方承担所发生的全部费用。</w:t>
      </w:r>
    </w:p>
    <w:p w14:paraId="12069CBA">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⑵贬值处理：由甲乙双方合议定价。</w:t>
      </w:r>
    </w:p>
    <w:p w14:paraId="22B75959">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⑶退货处理：乙方应退还甲方支付的合同款，同时应承担该货物的直接费用（运输、保险、检验、货款利息及银行手续费等）。</w:t>
      </w:r>
    </w:p>
    <w:p w14:paraId="6EEB73A3">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2.如在使用过程中发生质量问题，乙方在接到甲方通知后在</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小时内到达甲方现场。</w:t>
      </w:r>
    </w:p>
    <w:p w14:paraId="59C018EB">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3.在质保期内，乙方应对货物出现的质量及安全问题负责处理解决并承担一切费用。</w:t>
      </w:r>
    </w:p>
    <w:p w14:paraId="3988CE02">
      <w:pPr>
        <w:snapToGrid w:val="0"/>
        <w:spacing w:line="276" w:lineRule="auto"/>
        <w:ind w:right="-470" w:rightChars="-224" w:firstLine="480" w:firstLineChars="200"/>
        <w:rPr>
          <w:rFonts w:hint="eastAsia" w:ascii="仿宋_GB2312" w:hAnsi="宋体" w:eastAsia="仿宋_GB2312" w:cs="Courier New"/>
          <w:sz w:val="24"/>
        </w:rPr>
      </w:pPr>
      <w:r>
        <w:rPr>
          <w:rFonts w:hint="eastAsia" w:ascii="仿宋_GB2312" w:hAnsi="宋体" w:eastAsia="仿宋_GB2312" w:cs="Courier New"/>
          <w:sz w:val="24"/>
        </w:rPr>
        <w:t>4.上述的货物免费保修期为</w:t>
      </w:r>
      <w:r>
        <w:rPr>
          <w:rFonts w:hint="eastAsia" w:ascii="仿宋_GB2312" w:hAnsi="宋体" w:eastAsia="仿宋_GB2312" w:cs="Courier New"/>
          <w:sz w:val="24"/>
          <w:u w:val="single"/>
        </w:rPr>
        <w:t xml:space="preserve">     </w:t>
      </w:r>
      <w:r>
        <w:rPr>
          <w:rFonts w:hint="eastAsia" w:ascii="仿宋_GB2312" w:hAnsi="宋体" w:eastAsia="仿宋_GB2312" w:cs="Courier New"/>
          <w:sz w:val="24"/>
        </w:rPr>
        <w:t>年，因人为因素出现的故障不在免费保修范围内。超过保修期的机器设备，终生维修，维修时只收部件成本费。</w:t>
      </w:r>
    </w:p>
    <w:p w14:paraId="5053E603">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第十一条  调试和验收</w:t>
      </w:r>
    </w:p>
    <w:p w14:paraId="3DABDF46">
      <w:pPr>
        <w:snapToGrid w:val="0"/>
        <w:spacing w:line="360" w:lineRule="exact"/>
        <w:ind w:right="-611" w:rightChars="-291" w:firstLine="480" w:firstLineChars="200"/>
        <w:jc w:val="left"/>
        <w:rPr>
          <w:rFonts w:hint="eastAsia" w:ascii="仿宋_GB2312" w:hAnsi="宋体" w:eastAsia="仿宋_GB2312"/>
          <w:sz w:val="24"/>
        </w:rPr>
      </w:pPr>
      <w:r>
        <w:rPr>
          <w:rFonts w:hint="eastAsia" w:ascii="仿宋_GB2312" w:hAnsi="宋体" w:eastAsia="仿宋_GB2312"/>
          <w:sz w:val="24"/>
        </w:rPr>
        <w:t>1.甲方对乙方提交的货物依据招标文件上的技术规格要求和国家有关质量标准进行现场初步验收，外观、说明书符合招标文件技术要求的，给予签收，初步验收不合格的不予签收。货到后，甲方应当在到货（安装、调试完）后七个工作日内进行验收。</w:t>
      </w:r>
    </w:p>
    <w:p w14:paraId="05A166A3">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2.乙方交货前应对产品作出全面检查和对验收文件进行整理，并列出清单，作为甲方收货验收和使用的技术条件依据，检验的结果应随货物交甲方。</w:t>
      </w:r>
    </w:p>
    <w:p w14:paraId="1BEB2567">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3.甲方对乙方提供的货物在使用前进行调试时，乙方需负责安装并培训甲方的使用操作人员，并协助甲方一起调试，直到符合技术要求，甲方才做最终验收。</w:t>
      </w:r>
    </w:p>
    <w:p w14:paraId="27069E03">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4.对技术复杂的货物，甲方应请国家认可的专业检测机构参与初步验收及最终验收，并由其出具质量检测报告。</w:t>
      </w:r>
    </w:p>
    <w:p w14:paraId="43E89868">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5.验收时乙方必须在现场，验收完毕后作出验收结果报告；验收费用由乙方负责。</w:t>
      </w:r>
    </w:p>
    <w:p w14:paraId="4D2B93EA">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第十二条  货物包装、发运及运输</w:t>
      </w:r>
    </w:p>
    <w:p w14:paraId="1BD65273">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1.乙方应在货物发运前对其进行满足运输距离、防潮、防震、防锈和防破损装卸等要求包装，以保证货物安全运达甲方指定地点。</w:t>
      </w:r>
    </w:p>
    <w:p w14:paraId="0825C279">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2.使用说明书、质量检验证明书、随配附件和工具以及清单一并附于货物内。</w:t>
      </w:r>
    </w:p>
    <w:p w14:paraId="2BA25461">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3.乙方在货物发运手续办理完毕后二十四小时内或货到甲方四十八小时前通知甲方，以准备接货。</w:t>
      </w:r>
    </w:p>
    <w:p w14:paraId="0D8BDE77">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4.货物在交付甲方前发生的风险均由乙方负责。</w:t>
      </w:r>
    </w:p>
    <w:p w14:paraId="49E22ACF">
      <w:pPr>
        <w:snapToGrid w:val="0"/>
        <w:spacing w:line="360" w:lineRule="exact"/>
        <w:ind w:right="-611" w:rightChars="-291" w:firstLine="480" w:firstLineChars="200"/>
        <w:rPr>
          <w:rFonts w:hint="eastAsia" w:ascii="仿宋_GB2312" w:hAnsi="宋体" w:eastAsia="仿宋_GB2312"/>
          <w:sz w:val="24"/>
        </w:rPr>
      </w:pPr>
      <w:r>
        <w:rPr>
          <w:rFonts w:hint="eastAsia" w:ascii="仿宋_GB2312" w:hAnsi="宋体" w:eastAsia="仿宋_GB2312"/>
          <w:sz w:val="24"/>
        </w:rPr>
        <w:t>5.货物在规定的交付期限内由乙方送达甲方指定的地点视为交付，乙方同时需通知甲方货物已送达。</w:t>
      </w:r>
    </w:p>
    <w:p w14:paraId="04912E28">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第十三条 违约责任</w:t>
      </w:r>
    </w:p>
    <w:p w14:paraId="50A457AC">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 xml:space="preserve">1.乙方所提供的货物规格、技术标准、材料等质量不合格的，应及时更换，更换不及时的按逾期交货处罚；因质量问题甲方不同意接收的或特殊情况甲方同意接收的，乙方应向甲方支付违约货款额 5%违约金并赔偿甲方经济损失。                                       </w:t>
      </w:r>
    </w:p>
    <w:p w14:paraId="4BC44297">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2.乙方提供的货物如侵犯了第三方合法权益而引发的任何纠纷或诉讼，均由乙方负责交涉并承担全部责任。</w:t>
      </w:r>
    </w:p>
    <w:p w14:paraId="433B844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3.因包装、运输引起的货物损坏，按质量不合格处理。</w:t>
      </w:r>
    </w:p>
    <w:p w14:paraId="5D4E876F">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4.甲方无故延期接收货物、乙方逾期交货的，每天向对方偿付违约货款额3‰违约金，但违约金累计不得超过违约货款额</w:t>
      </w:r>
      <w:r>
        <w:rPr>
          <w:rFonts w:hint="eastAsia" w:ascii="仿宋_GB2312" w:hAnsi="宋体" w:eastAsia="仿宋_GB2312"/>
          <w:sz w:val="24"/>
          <w:u w:val="single"/>
        </w:rPr>
        <w:t>5%</w:t>
      </w:r>
      <w:r>
        <w:rPr>
          <w:rFonts w:hint="eastAsia" w:ascii="仿宋_GB2312" w:hAnsi="宋体" w:eastAsia="仿宋_GB2312"/>
          <w:sz w:val="24"/>
        </w:rPr>
        <w:t xml:space="preserve">，超过 </w:t>
      </w:r>
      <w:r>
        <w:rPr>
          <w:rFonts w:hint="eastAsia" w:ascii="仿宋_GB2312" w:hAnsi="宋体" w:eastAsia="仿宋_GB2312"/>
          <w:sz w:val="24"/>
          <w:u w:val="single"/>
        </w:rPr>
        <w:t xml:space="preserve">   </w:t>
      </w:r>
      <w:r>
        <w:rPr>
          <w:rFonts w:hint="eastAsia" w:ascii="仿宋_GB2312" w:hAnsi="宋体" w:eastAsia="仿宋_GB2312"/>
          <w:sz w:val="24"/>
        </w:rPr>
        <w:t>天对方有权解除合同，违约方承担因此给对方造成的经济损失；甲方延期付货款的，每天向乙方偿付延期货款额3‰滞纳金，但滞纳金累计不得超过延期货款额</w:t>
      </w:r>
      <w:r>
        <w:rPr>
          <w:rFonts w:hint="eastAsia" w:ascii="仿宋_GB2312" w:hAnsi="宋体" w:eastAsia="仿宋_GB2312"/>
          <w:sz w:val="24"/>
          <w:u w:val="single"/>
        </w:rPr>
        <w:t>5%</w:t>
      </w:r>
      <w:r>
        <w:rPr>
          <w:rFonts w:hint="eastAsia" w:ascii="仿宋_GB2312" w:hAnsi="宋体" w:eastAsia="仿宋_GB2312"/>
          <w:sz w:val="24"/>
        </w:rPr>
        <w:t>。</w:t>
      </w:r>
    </w:p>
    <w:p w14:paraId="28AE9FE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5.乙方未按本合同和投标文件中规定的服务承诺提供售后服务的，乙方应按本合同合计金额5%向甲方支付违约金。</w:t>
      </w:r>
    </w:p>
    <w:p w14:paraId="4E38BD4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6.乙方提供的货物在质量保证期内，因设计、工艺或材料的缺陷和其它质量原因造成的问题，由乙方负责，费用从未付款项中扣除，不足另补。</w:t>
      </w:r>
    </w:p>
    <w:p w14:paraId="71C12EC4">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7.其它违约行为按违约货款额5%收取违约金并赔偿经济损失。</w:t>
      </w:r>
    </w:p>
    <w:p w14:paraId="1B2C1256">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第十四条 不可抗力事件处理</w:t>
      </w:r>
    </w:p>
    <w:p w14:paraId="04C82DE9">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1.在合同有效期内，任何一方因不可抗力事件导致不能履行合同，则合同履行期可延长，其延长期与不可抗力影响期相同。</w:t>
      </w:r>
    </w:p>
    <w:p w14:paraId="0E95EDC2">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2.不可抗力事件发生后，应立即通知对方，并寄送有关权威机构出具的证明。</w:t>
      </w:r>
    </w:p>
    <w:p w14:paraId="28CEE21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3.不可抗力事件延续一百二十天以上，双方应通过友好协商，确定是否继续履行合同。</w:t>
      </w:r>
    </w:p>
    <w:p w14:paraId="23C4C2E2">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第十五条  合同争议解决</w:t>
      </w:r>
    </w:p>
    <w:p w14:paraId="4E751DDC">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1.因货物质量问题发生争议的，应邀请国家认可的质量检测机构对货物质量进行鉴定。货物符合标准的，鉴定费由甲方承担；货物不符合标准的，鉴定费由乙方承担。</w:t>
      </w:r>
    </w:p>
    <w:p w14:paraId="7E075EE1">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2.因履行本合同引起的或与本合同有关的争议，甲乙双方应首先通过友好协商解决，如果协商不能解决，可向甲方所在地的人民法院提起诉讼。</w:t>
      </w:r>
    </w:p>
    <w:p w14:paraId="7BCFD565">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3.诉讼期间，本合同继续履行。</w:t>
      </w:r>
    </w:p>
    <w:p w14:paraId="6F3A870A">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第十六条  合同生效及其它</w:t>
      </w:r>
    </w:p>
    <w:p w14:paraId="335B7482">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1.合同经双方法定代表人或授权代表签字并加盖单位公章后生效。</w:t>
      </w:r>
    </w:p>
    <w:p w14:paraId="23EA295A">
      <w:pPr>
        <w:snapToGrid w:val="0"/>
        <w:spacing w:line="360" w:lineRule="exact"/>
        <w:ind w:right="-470" w:rightChars="-224" w:firstLine="480" w:firstLineChars="200"/>
        <w:rPr>
          <w:rFonts w:hint="eastAsia" w:ascii="仿宋_GB2312" w:hAnsi="宋体" w:eastAsia="仿宋_GB2312"/>
          <w:sz w:val="24"/>
        </w:rPr>
      </w:pPr>
      <w:r>
        <w:rPr>
          <w:rFonts w:hint="eastAsia" w:ascii="仿宋_GB2312" w:hAnsi="宋体" w:eastAsia="仿宋_GB2312"/>
          <w:sz w:val="24"/>
        </w:rPr>
        <w:t>2.本合同未尽事宜，遵照《</w:t>
      </w:r>
      <w:r>
        <w:rPr>
          <w:rFonts w:hint="eastAsia" w:ascii="仿宋_GB2312" w:eastAsia="仿宋_GB2312"/>
          <w:sz w:val="24"/>
        </w:rPr>
        <w:t>中华人民共和国民法典</w:t>
      </w:r>
      <w:r>
        <w:rPr>
          <w:rFonts w:hint="eastAsia" w:ascii="仿宋_GB2312" w:hAnsi="宋体" w:eastAsia="仿宋_GB2312"/>
          <w:sz w:val="24"/>
        </w:rPr>
        <w:t>》有关条文执行。</w:t>
      </w:r>
    </w:p>
    <w:p w14:paraId="69412F3E">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第十七条　合同的变更、终止与转让</w:t>
      </w:r>
    </w:p>
    <w:p w14:paraId="04BE5DA8">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1.除《中华人民共和国政府采购法》第五十条规定的情形外，本合同一经签订，甲乙双方不得擅自变更、中止或终止。</w:t>
      </w:r>
    </w:p>
    <w:p w14:paraId="161B9A60">
      <w:pPr>
        <w:snapToGrid w:val="0"/>
        <w:spacing w:line="360" w:lineRule="exact"/>
        <w:ind w:right="-330" w:rightChars="-157" w:firstLine="480" w:firstLineChars="200"/>
        <w:rPr>
          <w:rFonts w:hint="eastAsia" w:ascii="仿宋_GB2312" w:hAnsi="宋体" w:eastAsia="仿宋_GB2312"/>
          <w:sz w:val="24"/>
        </w:rPr>
      </w:pPr>
      <w:r>
        <w:rPr>
          <w:rFonts w:hint="eastAsia" w:ascii="仿宋_GB2312" w:hAnsi="宋体" w:eastAsia="仿宋_GB2312"/>
          <w:sz w:val="24"/>
        </w:rPr>
        <w:t>2.乙方不得擅自转让（无进口资格的供应商委托进口货物除外）其应履行的合同义务。</w:t>
      </w:r>
    </w:p>
    <w:p w14:paraId="3BFE0C06">
      <w:pPr>
        <w:snapToGrid w:val="0"/>
        <w:spacing w:line="360" w:lineRule="exact"/>
        <w:ind w:firstLine="482" w:firstLineChars="200"/>
        <w:rPr>
          <w:rFonts w:hint="eastAsia" w:ascii="仿宋_GB2312" w:hAnsi="宋体" w:eastAsia="仿宋_GB2312"/>
          <w:b/>
          <w:sz w:val="24"/>
        </w:rPr>
      </w:pPr>
      <w:r>
        <w:rPr>
          <w:rFonts w:hint="eastAsia" w:ascii="仿宋_GB2312" w:hAnsi="宋体" w:eastAsia="仿宋_GB2312"/>
          <w:b/>
          <w:sz w:val="24"/>
        </w:rPr>
        <w:t>第十八条　签订本合同依据</w:t>
      </w:r>
    </w:p>
    <w:p w14:paraId="1C201008">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1.政府采购招标文件；</w:t>
      </w:r>
    </w:p>
    <w:p w14:paraId="1513D22F">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2.乙方提供的采购投标（或应答）文件；</w:t>
      </w:r>
    </w:p>
    <w:p w14:paraId="34730F4B">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3.投标承诺书；</w:t>
      </w:r>
    </w:p>
    <w:p w14:paraId="3D1E8F41">
      <w:pPr>
        <w:snapToGrid w:val="0"/>
        <w:spacing w:line="360" w:lineRule="exact"/>
        <w:ind w:firstLine="480" w:firstLineChars="200"/>
        <w:rPr>
          <w:rFonts w:hint="eastAsia" w:ascii="仿宋_GB2312" w:hAnsi="宋体" w:eastAsia="仿宋_GB2312"/>
          <w:sz w:val="24"/>
        </w:rPr>
      </w:pPr>
      <w:r>
        <w:rPr>
          <w:rFonts w:hint="eastAsia" w:ascii="仿宋_GB2312" w:hAnsi="宋体" w:eastAsia="仿宋_GB2312"/>
          <w:sz w:val="24"/>
        </w:rPr>
        <w:t>4.中标或成交通知书。</w:t>
      </w:r>
    </w:p>
    <w:p w14:paraId="586A96BD">
      <w:pPr>
        <w:snapToGrid w:val="0"/>
        <w:spacing w:line="360" w:lineRule="exact"/>
        <w:ind w:right="-754" w:rightChars="-359" w:firstLine="482" w:firstLineChars="200"/>
        <w:rPr>
          <w:rFonts w:hint="eastAsia" w:ascii="仿宋_GB2312" w:hAnsi="宋体" w:eastAsia="仿宋_GB2312"/>
          <w:sz w:val="24"/>
        </w:rPr>
      </w:pPr>
      <w:r>
        <w:rPr>
          <w:rFonts w:hint="eastAsia" w:ascii="仿宋_GB2312" w:hAnsi="宋体" w:eastAsia="仿宋_GB2312"/>
          <w:b/>
          <w:sz w:val="24"/>
        </w:rPr>
        <w:t>第十九条</w:t>
      </w:r>
      <w:r>
        <w:rPr>
          <w:rFonts w:hint="eastAsia" w:ascii="楷体_GB2312" w:hAnsi="宋体" w:eastAsia="楷体_GB2312"/>
          <w:b/>
          <w:szCs w:val="21"/>
        </w:rPr>
        <w:t>　</w:t>
      </w:r>
      <w:r>
        <w:rPr>
          <w:rFonts w:hint="eastAsia" w:ascii="仿宋_GB2312" w:hAnsi="宋体" w:eastAsia="仿宋_GB2312"/>
          <w:sz w:val="24"/>
        </w:rPr>
        <w:t>本合同一式</w:t>
      </w:r>
      <w:r>
        <w:rPr>
          <w:rFonts w:hint="eastAsia" w:ascii="仿宋_GB2312" w:hAnsi="宋体" w:eastAsia="仿宋_GB2312"/>
          <w:sz w:val="24"/>
          <w:u w:val="single"/>
        </w:rPr>
        <w:t xml:space="preserve">  </w:t>
      </w:r>
      <w:r>
        <w:rPr>
          <w:rFonts w:hint="eastAsia" w:ascii="仿宋_GB2312" w:hAnsi="宋体" w:eastAsia="仿宋_GB2312"/>
          <w:sz w:val="24"/>
        </w:rPr>
        <w:t>份，具有同等法律效力，采购代理机构</w:t>
      </w:r>
      <w:r>
        <w:rPr>
          <w:rFonts w:hint="eastAsia" w:ascii="仿宋_GB2312" w:hAnsi="宋体" w:eastAsia="仿宋_GB2312"/>
          <w:sz w:val="24"/>
          <w:u w:val="single"/>
        </w:rPr>
        <w:t xml:space="preserve">  </w:t>
      </w:r>
      <w:r>
        <w:rPr>
          <w:rFonts w:hint="eastAsia" w:ascii="仿宋_GB2312" w:hAnsi="宋体" w:eastAsia="仿宋_GB2312"/>
          <w:sz w:val="24"/>
        </w:rPr>
        <w:t>份，甲方</w:t>
      </w:r>
      <w:r>
        <w:rPr>
          <w:rFonts w:hint="eastAsia" w:ascii="仿宋_GB2312" w:hAnsi="宋体" w:eastAsia="仿宋_GB2312"/>
          <w:sz w:val="24"/>
          <w:u w:val="single"/>
        </w:rPr>
        <w:t xml:space="preserve">  </w:t>
      </w:r>
      <w:r>
        <w:rPr>
          <w:rFonts w:hint="eastAsia" w:ascii="仿宋_GB2312" w:hAnsi="宋体" w:eastAsia="仿宋_GB2312"/>
          <w:sz w:val="24"/>
        </w:rPr>
        <w:t>份，乙方</w:t>
      </w:r>
      <w:r>
        <w:rPr>
          <w:rFonts w:hint="eastAsia" w:ascii="仿宋_GB2312" w:hAnsi="宋体" w:eastAsia="仿宋_GB2312"/>
          <w:sz w:val="24"/>
          <w:u w:val="single"/>
        </w:rPr>
        <w:t xml:space="preserve">   </w:t>
      </w:r>
      <w:r>
        <w:rPr>
          <w:rFonts w:hint="eastAsia" w:ascii="仿宋_GB2312" w:hAnsi="宋体" w:eastAsia="仿宋_GB2312"/>
          <w:sz w:val="24"/>
        </w:rPr>
        <w:t>份（可根据需要另增加）。</w:t>
      </w:r>
    </w:p>
    <w:tbl>
      <w:tblPr>
        <w:tblStyle w:val="48"/>
        <w:tblW w:w="924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552"/>
        <w:gridCol w:w="4690"/>
      </w:tblGrid>
      <w:tr w14:paraId="4DB886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078" w:hRule="atLeast"/>
        </w:trPr>
        <w:tc>
          <w:tcPr>
            <w:tcW w:w="4552" w:type="dxa"/>
            <w:vAlign w:val="center"/>
          </w:tcPr>
          <w:p w14:paraId="0C25C09B">
            <w:pPr>
              <w:snapToGrid w:val="0"/>
              <w:spacing w:line="320" w:lineRule="exact"/>
              <w:rPr>
                <w:rFonts w:ascii="仿宋_GB2312" w:eastAsia="仿宋_GB2312"/>
                <w:sz w:val="24"/>
              </w:rPr>
            </w:pPr>
            <w:r>
              <w:rPr>
                <w:rFonts w:hint="eastAsia" w:ascii="仿宋_GB2312" w:eastAsia="仿宋_GB2312"/>
                <w:sz w:val="24"/>
              </w:rPr>
              <w:t xml:space="preserve">甲方（章）           </w:t>
            </w:r>
          </w:p>
          <w:p w14:paraId="1F5ABC06">
            <w:pPr>
              <w:snapToGrid w:val="0"/>
              <w:spacing w:line="320" w:lineRule="exact"/>
              <w:ind w:firstLine="480" w:firstLineChars="200"/>
              <w:rPr>
                <w:rFonts w:ascii="仿宋_GB2312" w:eastAsia="仿宋_GB2312"/>
                <w:sz w:val="24"/>
              </w:rPr>
            </w:pPr>
          </w:p>
          <w:p w14:paraId="76EBF11E">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c>
          <w:tcPr>
            <w:tcW w:w="4690" w:type="dxa"/>
            <w:vAlign w:val="center"/>
          </w:tcPr>
          <w:p w14:paraId="548DFBEA">
            <w:pPr>
              <w:snapToGrid w:val="0"/>
              <w:spacing w:line="320" w:lineRule="exact"/>
              <w:rPr>
                <w:rFonts w:ascii="仿宋_GB2312" w:eastAsia="仿宋_GB2312"/>
                <w:sz w:val="24"/>
              </w:rPr>
            </w:pPr>
            <w:r>
              <w:rPr>
                <w:rFonts w:hint="eastAsia" w:ascii="仿宋_GB2312" w:eastAsia="仿宋_GB2312"/>
                <w:sz w:val="24"/>
              </w:rPr>
              <w:t xml:space="preserve">乙方（章）              </w:t>
            </w:r>
          </w:p>
          <w:p w14:paraId="66062F20">
            <w:pPr>
              <w:snapToGrid w:val="0"/>
              <w:spacing w:line="320" w:lineRule="exact"/>
              <w:ind w:firstLine="480" w:firstLineChars="200"/>
              <w:rPr>
                <w:rFonts w:ascii="仿宋_GB2312" w:eastAsia="仿宋_GB2312"/>
                <w:sz w:val="24"/>
              </w:rPr>
            </w:pPr>
          </w:p>
          <w:p w14:paraId="164AC6C7">
            <w:pPr>
              <w:snapToGrid w:val="0"/>
              <w:spacing w:line="320" w:lineRule="exact"/>
              <w:ind w:firstLine="480" w:firstLineChars="200"/>
              <w:jc w:val="right"/>
              <w:rPr>
                <w:rFonts w:ascii="仿宋_GB2312" w:eastAsia="仿宋_GB2312"/>
                <w:sz w:val="24"/>
              </w:rPr>
            </w:pPr>
            <w:r>
              <w:rPr>
                <w:rFonts w:hint="eastAsia" w:ascii="仿宋_GB2312" w:eastAsia="仿宋_GB2312"/>
                <w:sz w:val="24"/>
              </w:rPr>
              <w:t xml:space="preserve"> 年   月   日</w:t>
            </w:r>
          </w:p>
        </w:tc>
      </w:tr>
      <w:tr w14:paraId="47ED7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12" w:hRule="atLeast"/>
        </w:trPr>
        <w:tc>
          <w:tcPr>
            <w:tcW w:w="4552" w:type="dxa"/>
            <w:vAlign w:val="center"/>
          </w:tcPr>
          <w:p w14:paraId="3B013E6D">
            <w:pPr>
              <w:snapToGrid w:val="0"/>
              <w:spacing w:line="320" w:lineRule="exact"/>
              <w:rPr>
                <w:rFonts w:ascii="仿宋_GB2312" w:eastAsia="仿宋_GB2312"/>
                <w:sz w:val="24"/>
              </w:rPr>
            </w:pPr>
            <w:r>
              <w:rPr>
                <w:rFonts w:hint="eastAsia" w:ascii="仿宋_GB2312" w:eastAsia="仿宋_GB2312"/>
                <w:sz w:val="24"/>
              </w:rPr>
              <w:t>单位地址：</w:t>
            </w:r>
          </w:p>
        </w:tc>
        <w:tc>
          <w:tcPr>
            <w:tcW w:w="4690" w:type="dxa"/>
            <w:vAlign w:val="center"/>
          </w:tcPr>
          <w:p w14:paraId="39C4A4A7">
            <w:pPr>
              <w:snapToGrid w:val="0"/>
              <w:spacing w:line="320" w:lineRule="exact"/>
              <w:rPr>
                <w:rFonts w:ascii="仿宋_GB2312" w:eastAsia="仿宋_GB2312"/>
                <w:sz w:val="24"/>
              </w:rPr>
            </w:pPr>
            <w:r>
              <w:rPr>
                <w:rFonts w:hint="eastAsia" w:ascii="仿宋_GB2312" w:eastAsia="仿宋_GB2312"/>
                <w:sz w:val="24"/>
              </w:rPr>
              <w:t>单位地址：</w:t>
            </w:r>
          </w:p>
        </w:tc>
      </w:tr>
      <w:tr w14:paraId="08300C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718" w:hRule="atLeast"/>
        </w:trPr>
        <w:tc>
          <w:tcPr>
            <w:tcW w:w="4552" w:type="dxa"/>
            <w:vAlign w:val="center"/>
          </w:tcPr>
          <w:p w14:paraId="7C2E0A4D">
            <w:pPr>
              <w:snapToGrid w:val="0"/>
              <w:spacing w:line="320" w:lineRule="exact"/>
              <w:rPr>
                <w:rFonts w:ascii="仿宋_GB2312" w:eastAsia="仿宋_GB2312"/>
                <w:sz w:val="24"/>
              </w:rPr>
            </w:pPr>
            <w:r>
              <w:rPr>
                <w:rFonts w:hint="eastAsia" w:ascii="仿宋_GB2312" w:eastAsia="仿宋_GB2312"/>
                <w:sz w:val="24"/>
              </w:rPr>
              <w:t>法定代表人：</w:t>
            </w:r>
          </w:p>
        </w:tc>
        <w:tc>
          <w:tcPr>
            <w:tcW w:w="4690" w:type="dxa"/>
            <w:vAlign w:val="center"/>
          </w:tcPr>
          <w:p w14:paraId="0D4E195F">
            <w:pPr>
              <w:snapToGrid w:val="0"/>
              <w:spacing w:line="320" w:lineRule="exact"/>
              <w:rPr>
                <w:rFonts w:ascii="仿宋_GB2312" w:eastAsia="仿宋_GB2312"/>
                <w:sz w:val="24"/>
              </w:rPr>
            </w:pPr>
            <w:r>
              <w:rPr>
                <w:rFonts w:hint="eastAsia" w:ascii="仿宋_GB2312" w:eastAsia="仿宋_GB2312"/>
                <w:sz w:val="24"/>
              </w:rPr>
              <w:t>法定代表人：</w:t>
            </w:r>
          </w:p>
        </w:tc>
      </w:tr>
      <w:tr w14:paraId="45595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54" w:hRule="atLeast"/>
        </w:trPr>
        <w:tc>
          <w:tcPr>
            <w:tcW w:w="4552" w:type="dxa"/>
            <w:vAlign w:val="center"/>
          </w:tcPr>
          <w:p w14:paraId="365BA2A6">
            <w:pPr>
              <w:snapToGrid w:val="0"/>
              <w:spacing w:line="320" w:lineRule="exact"/>
              <w:rPr>
                <w:rFonts w:ascii="仿宋_GB2312" w:eastAsia="仿宋_GB2312"/>
                <w:sz w:val="24"/>
              </w:rPr>
            </w:pPr>
            <w:r>
              <w:rPr>
                <w:rFonts w:hint="eastAsia" w:ascii="仿宋_GB2312" w:eastAsia="仿宋_GB2312"/>
                <w:sz w:val="24"/>
              </w:rPr>
              <w:t>委托代理人：</w:t>
            </w:r>
          </w:p>
        </w:tc>
        <w:tc>
          <w:tcPr>
            <w:tcW w:w="4690" w:type="dxa"/>
            <w:vAlign w:val="center"/>
          </w:tcPr>
          <w:p w14:paraId="747B9D95">
            <w:pPr>
              <w:snapToGrid w:val="0"/>
              <w:spacing w:line="320" w:lineRule="exact"/>
              <w:rPr>
                <w:rFonts w:ascii="仿宋_GB2312" w:eastAsia="仿宋_GB2312"/>
                <w:sz w:val="24"/>
              </w:rPr>
            </w:pPr>
            <w:r>
              <w:rPr>
                <w:rFonts w:hint="eastAsia" w:ascii="仿宋_GB2312" w:eastAsia="仿宋_GB2312"/>
                <w:sz w:val="24"/>
              </w:rPr>
              <w:t>委托代理人：</w:t>
            </w:r>
          </w:p>
        </w:tc>
      </w:tr>
      <w:tr w14:paraId="441D24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04" w:hRule="atLeast"/>
        </w:trPr>
        <w:tc>
          <w:tcPr>
            <w:tcW w:w="4552" w:type="dxa"/>
            <w:vAlign w:val="center"/>
          </w:tcPr>
          <w:p w14:paraId="0E7E4D27">
            <w:pPr>
              <w:snapToGrid w:val="0"/>
              <w:spacing w:line="320" w:lineRule="exact"/>
              <w:rPr>
                <w:rFonts w:ascii="仿宋_GB2312" w:eastAsia="仿宋_GB2312"/>
                <w:sz w:val="24"/>
              </w:rPr>
            </w:pPr>
            <w:r>
              <w:rPr>
                <w:rFonts w:hint="eastAsia" w:ascii="仿宋_GB2312" w:eastAsia="仿宋_GB2312"/>
                <w:sz w:val="24"/>
              </w:rPr>
              <w:t>电    话：</w:t>
            </w:r>
          </w:p>
        </w:tc>
        <w:tc>
          <w:tcPr>
            <w:tcW w:w="4690" w:type="dxa"/>
            <w:vAlign w:val="center"/>
          </w:tcPr>
          <w:p w14:paraId="1E6281E0">
            <w:pPr>
              <w:snapToGrid w:val="0"/>
              <w:spacing w:line="320" w:lineRule="exact"/>
              <w:rPr>
                <w:rFonts w:ascii="仿宋_GB2312" w:eastAsia="仿宋_GB2312"/>
                <w:sz w:val="24"/>
              </w:rPr>
            </w:pPr>
            <w:r>
              <w:rPr>
                <w:rFonts w:hint="eastAsia" w:ascii="仿宋_GB2312" w:eastAsia="仿宋_GB2312"/>
                <w:sz w:val="24"/>
              </w:rPr>
              <w:t>电    话：</w:t>
            </w:r>
          </w:p>
        </w:tc>
      </w:tr>
      <w:tr w14:paraId="7C01DBC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96" w:hRule="atLeast"/>
        </w:trPr>
        <w:tc>
          <w:tcPr>
            <w:tcW w:w="4552" w:type="dxa"/>
            <w:vAlign w:val="center"/>
          </w:tcPr>
          <w:p w14:paraId="2D0A3579">
            <w:pPr>
              <w:snapToGrid w:val="0"/>
              <w:spacing w:line="320" w:lineRule="exact"/>
              <w:rPr>
                <w:rFonts w:ascii="仿宋_GB2312" w:eastAsia="仿宋_GB2312"/>
                <w:sz w:val="24"/>
              </w:rPr>
            </w:pPr>
            <w:r>
              <w:rPr>
                <w:rFonts w:hint="eastAsia" w:ascii="仿宋_GB2312" w:eastAsia="仿宋_GB2312"/>
                <w:sz w:val="24"/>
              </w:rPr>
              <w:t>电子邮箱：</w:t>
            </w:r>
          </w:p>
        </w:tc>
        <w:tc>
          <w:tcPr>
            <w:tcW w:w="4690" w:type="dxa"/>
            <w:vAlign w:val="center"/>
          </w:tcPr>
          <w:p w14:paraId="7BB22351">
            <w:pPr>
              <w:snapToGrid w:val="0"/>
              <w:spacing w:line="320" w:lineRule="exact"/>
              <w:rPr>
                <w:rFonts w:ascii="仿宋_GB2312" w:eastAsia="仿宋_GB2312"/>
                <w:sz w:val="24"/>
              </w:rPr>
            </w:pPr>
            <w:r>
              <w:rPr>
                <w:rFonts w:hint="eastAsia" w:ascii="仿宋_GB2312" w:eastAsia="仿宋_GB2312"/>
                <w:sz w:val="24"/>
              </w:rPr>
              <w:t>电子邮箱：</w:t>
            </w:r>
          </w:p>
        </w:tc>
      </w:tr>
      <w:tr w14:paraId="01BFAF8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30" w:hRule="atLeast"/>
        </w:trPr>
        <w:tc>
          <w:tcPr>
            <w:tcW w:w="4552" w:type="dxa"/>
            <w:vAlign w:val="center"/>
          </w:tcPr>
          <w:p w14:paraId="6E58425E">
            <w:pPr>
              <w:snapToGrid w:val="0"/>
              <w:spacing w:line="320" w:lineRule="exact"/>
              <w:rPr>
                <w:rFonts w:ascii="仿宋_GB2312" w:eastAsia="仿宋_GB2312"/>
                <w:sz w:val="24"/>
              </w:rPr>
            </w:pPr>
            <w:r>
              <w:rPr>
                <w:rFonts w:hint="eastAsia" w:ascii="仿宋_GB2312" w:eastAsia="仿宋_GB2312"/>
                <w:sz w:val="24"/>
              </w:rPr>
              <w:t>开户银行：</w:t>
            </w:r>
          </w:p>
        </w:tc>
        <w:tc>
          <w:tcPr>
            <w:tcW w:w="4690" w:type="dxa"/>
            <w:vAlign w:val="center"/>
          </w:tcPr>
          <w:p w14:paraId="4AF70676">
            <w:pPr>
              <w:snapToGrid w:val="0"/>
              <w:spacing w:line="320" w:lineRule="exact"/>
              <w:rPr>
                <w:rFonts w:ascii="仿宋_GB2312" w:eastAsia="仿宋_GB2312"/>
                <w:sz w:val="24"/>
              </w:rPr>
            </w:pPr>
            <w:r>
              <w:rPr>
                <w:rFonts w:hint="eastAsia" w:ascii="仿宋_GB2312" w:eastAsia="仿宋_GB2312"/>
                <w:sz w:val="24"/>
              </w:rPr>
              <w:t>开户银行：</w:t>
            </w:r>
          </w:p>
        </w:tc>
      </w:tr>
      <w:tr w14:paraId="7C3A38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25" w:hRule="atLeast"/>
        </w:trPr>
        <w:tc>
          <w:tcPr>
            <w:tcW w:w="4552" w:type="dxa"/>
            <w:vAlign w:val="center"/>
          </w:tcPr>
          <w:p w14:paraId="31BD1BD8">
            <w:pPr>
              <w:snapToGrid w:val="0"/>
              <w:spacing w:line="320" w:lineRule="exact"/>
              <w:rPr>
                <w:rFonts w:ascii="仿宋_GB2312" w:eastAsia="仿宋_GB2312"/>
                <w:sz w:val="24"/>
              </w:rPr>
            </w:pPr>
            <w:r>
              <w:rPr>
                <w:rFonts w:hint="eastAsia" w:ascii="仿宋_GB2312" w:eastAsia="仿宋_GB2312"/>
                <w:sz w:val="24"/>
              </w:rPr>
              <w:t>账    号：</w:t>
            </w:r>
          </w:p>
        </w:tc>
        <w:tc>
          <w:tcPr>
            <w:tcW w:w="4690" w:type="dxa"/>
            <w:vAlign w:val="center"/>
          </w:tcPr>
          <w:p w14:paraId="3EE1EC7C">
            <w:pPr>
              <w:snapToGrid w:val="0"/>
              <w:spacing w:line="320" w:lineRule="exact"/>
              <w:rPr>
                <w:rFonts w:ascii="仿宋_GB2312" w:eastAsia="仿宋_GB2312"/>
                <w:sz w:val="24"/>
              </w:rPr>
            </w:pPr>
            <w:r>
              <w:rPr>
                <w:rFonts w:hint="eastAsia" w:ascii="仿宋_GB2312" w:eastAsia="仿宋_GB2312"/>
                <w:sz w:val="24"/>
              </w:rPr>
              <w:t>账    号：</w:t>
            </w:r>
          </w:p>
        </w:tc>
      </w:tr>
      <w:tr w14:paraId="10C9CF1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663" w:hRule="atLeast"/>
        </w:trPr>
        <w:tc>
          <w:tcPr>
            <w:tcW w:w="4552" w:type="dxa"/>
            <w:vAlign w:val="center"/>
          </w:tcPr>
          <w:p w14:paraId="609D0057">
            <w:pPr>
              <w:snapToGrid w:val="0"/>
              <w:spacing w:line="320" w:lineRule="exact"/>
              <w:rPr>
                <w:rFonts w:ascii="仿宋_GB2312" w:eastAsia="仿宋_GB2312"/>
                <w:sz w:val="24"/>
              </w:rPr>
            </w:pPr>
            <w:r>
              <w:rPr>
                <w:rFonts w:hint="eastAsia" w:ascii="仿宋_GB2312" w:eastAsia="仿宋_GB2312"/>
                <w:sz w:val="24"/>
              </w:rPr>
              <w:t>邮政编码：</w:t>
            </w:r>
          </w:p>
        </w:tc>
        <w:tc>
          <w:tcPr>
            <w:tcW w:w="4690" w:type="dxa"/>
            <w:vAlign w:val="center"/>
          </w:tcPr>
          <w:p w14:paraId="0222EC24">
            <w:pPr>
              <w:snapToGrid w:val="0"/>
              <w:spacing w:line="320" w:lineRule="exact"/>
              <w:rPr>
                <w:rFonts w:ascii="仿宋_GB2312" w:eastAsia="仿宋_GB2312"/>
                <w:sz w:val="24"/>
              </w:rPr>
            </w:pPr>
            <w:r>
              <w:rPr>
                <w:rFonts w:hint="eastAsia" w:ascii="仿宋_GB2312" w:eastAsia="仿宋_GB2312"/>
                <w:sz w:val="24"/>
              </w:rPr>
              <w:t>邮政编码：</w:t>
            </w:r>
          </w:p>
        </w:tc>
      </w:tr>
      <w:tr w14:paraId="43E6EBD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1567" w:hRule="atLeast"/>
        </w:trPr>
        <w:tc>
          <w:tcPr>
            <w:tcW w:w="9242" w:type="dxa"/>
            <w:gridSpan w:val="2"/>
          </w:tcPr>
          <w:p w14:paraId="291A46B4">
            <w:pPr>
              <w:snapToGrid w:val="0"/>
              <w:spacing w:line="320" w:lineRule="exact"/>
              <w:rPr>
                <w:rFonts w:ascii="仿宋_GB2312" w:eastAsia="仿宋_GB2312"/>
                <w:sz w:val="24"/>
              </w:rPr>
            </w:pPr>
            <w:r>
              <w:rPr>
                <w:rFonts w:hint="eastAsia" w:ascii="仿宋_GB2312" w:eastAsia="仿宋_GB2312"/>
                <w:sz w:val="24"/>
              </w:rPr>
              <w:t>经办人：</w:t>
            </w:r>
          </w:p>
          <w:p w14:paraId="70172B59">
            <w:pPr>
              <w:snapToGrid w:val="0"/>
              <w:spacing w:line="320" w:lineRule="exact"/>
              <w:ind w:firstLine="480" w:firstLineChars="200"/>
              <w:jc w:val="right"/>
              <w:rPr>
                <w:rFonts w:ascii="仿宋_GB2312" w:eastAsia="仿宋_GB2312"/>
                <w:sz w:val="24"/>
              </w:rPr>
            </w:pPr>
            <w:r>
              <w:rPr>
                <w:rFonts w:hint="eastAsia" w:ascii="仿宋_GB2312" w:eastAsia="仿宋_GB2312"/>
                <w:sz w:val="24"/>
              </w:rPr>
              <w:t>年    月    日</w:t>
            </w:r>
          </w:p>
        </w:tc>
      </w:tr>
    </w:tbl>
    <w:p w14:paraId="0CF38B47">
      <w:pPr>
        <w:spacing w:line="360" w:lineRule="exact"/>
        <w:ind w:left="420" w:leftChars="200" w:firstLine="360" w:firstLineChars="150"/>
        <w:jc w:val="left"/>
        <w:rPr>
          <w:rFonts w:ascii="仿宋_GB2312" w:eastAsia="仿宋_GB2312"/>
          <w:sz w:val="24"/>
        </w:rPr>
      </w:pPr>
    </w:p>
    <w:p w14:paraId="7632DE48">
      <w:pPr>
        <w:snapToGrid w:val="0"/>
        <w:jc w:val="center"/>
        <w:rPr>
          <w:rFonts w:ascii="仿宋_GB2312" w:eastAsia="仿宋_GB2312"/>
          <w:b/>
          <w:sz w:val="28"/>
          <w:szCs w:val="28"/>
        </w:rPr>
      </w:pPr>
      <w:r>
        <w:rPr>
          <w:rFonts w:hint="eastAsia" w:ascii="仿宋_GB2312" w:eastAsia="仿宋_GB2312"/>
          <w:b/>
          <w:sz w:val="28"/>
          <w:szCs w:val="28"/>
        </w:rPr>
        <w:t>合 同 附 件</w:t>
      </w:r>
    </w:p>
    <w:p w14:paraId="188678E7">
      <w:pPr>
        <w:snapToGrid w:val="0"/>
        <w:ind w:firstLine="240" w:firstLineChars="100"/>
        <w:rPr>
          <w:rFonts w:ascii="仿宋_GB2312" w:eastAsia="仿宋_GB2312"/>
          <w:b/>
          <w:sz w:val="24"/>
        </w:rPr>
      </w:pPr>
      <w:r>
        <w:rPr>
          <w:rFonts w:hint="eastAsia" w:ascii="仿宋_GB2312" w:eastAsia="仿宋_GB2312"/>
          <w:sz w:val="24"/>
        </w:rPr>
        <w:t>一般货物类</w:t>
      </w:r>
    </w:p>
    <w:tbl>
      <w:tblPr>
        <w:tblStyle w:val="48"/>
        <w:tblW w:w="9072" w:type="dxa"/>
        <w:tblInd w:w="108" w:type="dxa"/>
        <w:tblLayout w:type="fixed"/>
        <w:tblCellMar>
          <w:top w:w="0" w:type="dxa"/>
          <w:left w:w="108" w:type="dxa"/>
          <w:bottom w:w="0" w:type="dxa"/>
          <w:right w:w="108" w:type="dxa"/>
        </w:tblCellMar>
      </w:tblPr>
      <w:tblGrid>
        <w:gridCol w:w="4678"/>
        <w:gridCol w:w="4394"/>
      </w:tblGrid>
      <w:tr w14:paraId="2AAB6E68">
        <w:tblPrEx>
          <w:tblCellMar>
            <w:top w:w="0" w:type="dxa"/>
            <w:left w:w="108" w:type="dxa"/>
            <w:bottom w:w="0" w:type="dxa"/>
            <w:right w:w="108" w:type="dxa"/>
          </w:tblCellMar>
        </w:tblPrEx>
        <w:trPr>
          <w:trHeight w:val="2072" w:hRule="atLeast"/>
        </w:trPr>
        <w:tc>
          <w:tcPr>
            <w:tcW w:w="9072" w:type="dxa"/>
            <w:gridSpan w:val="2"/>
            <w:tcBorders>
              <w:top w:val="single" w:color="auto" w:sz="4" w:space="0"/>
              <w:left w:val="single" w:color="auto" w:sz="4" w:space="0"/>
              <w:bottom w:val="nil"/>
              <w:right w:val="single" w:color="auto" w:sz="4" w:space="0"/>
            </w:tcBorders>
          </w:tcPr>
          <w:p w14:paraId="79D8FC6C">
            <w:pPr>
              <w:snapToGrid w:val="0"/>
              <w:rPr>
                <w:rFonts w:ascii="仿宋_GB2312" w:eastAsia="仿宋_GB2312"/>
                <w:sz w:val="24"/>
              </w:rPr>
            </w:pPr>
            <w:r>
              <w:rPr>
                <w:rFonts w:hint="eastAsia" w:ascii="仿宋_GB2312" w:eastAsia="仿宋_GB2312"/>
                <w:sz w:val="24"/>
              </w:rPr>
              <w:t>1</w:t>
            </w:r>
            <w:r>
              <w:rPr>
                <w:rFonts w:hint="eastAsia" w:ascii="仿宋_GB2312" w:hAnsi="宋体" w:eastAsia="仿宋_GB2312"/>
                <w:sz w:val="24"/>
              </w:rPr>
              <w:t>.</w:t>
            </w:r>
            <w:r>
              <w:rPr>
                <w:rFonts w:hint="eastAsia" w:ascii="仿宋_GB2312" w:eastAsia="仿宋_GB2312"/>
                <w:sz w:val="24"/>
              </w:rPr>
              <w:t>供应商承诺具体事项：</w:t>
            </w:r>
          </w:p>
          <w:p w14:paraId="1458B884">
            <w:pPr>
              <w:snapToGrid w:val="0"/>
              <w:spacing w:line="276" w:lineRule="auto"/>
              <w:rPr>
                <w:rFonts w:ascii="仿宋_GB2312" w:eastAsia="仿宋_GB2312"/>
                <w:sz w:val="24"/>
              </w:rPr>
            </w:pPr>
            <w:r>
              <w:rPr>
                <w:rFonts w:hint="eastAsia" w:ascii="仿宋_GB2312" w:eastAsia="仿宋_GB2312"/>
                <w:sz w:val="24"/>
              </w:rPr>
              <w:t xml:space="preserve">    </w:t>
            </w:r>
          </w:p>
        </w:tc>
      </w:tr>
      <w:tr w14:paraId="13AE95BF">
        <w:tblPrEx>
          <w:tblCellMar>
            <w:top w:w="0" w:type="dxa"/>
            <w:left w:w="108" w:type="dxa"/>
            <w:bottom w:w="0" w:type="dxa"/>
            <w:right w:w="108" w:type="dxa"/>
          </w:tblCellMar>
        </w:tblPrEx>
        <w:trPr>
          <w:trHeight w:val="2133" w:hRule="atLeast"/>
        </w:trPr>
        <w:tc>
          <w:tcPr>
            <w:tcW w:w="9072" w:type="dxa"/>
            <w:gridSpan w:val="2"/>
            <w:tcBorders>
              <w:top w:val="single" w:color="auto" w:sz="4" w:space="0"/>
              <w:left w:val="single" w:color="auto" w:sz="4" w:space="0"/>
              <w:bottom w:val="nil"/>
              <w:right w:val="single" w:color="auto" w:sz="4" w:space="0"/>
            </w:tcBorders>
          </w:tcPr>
          <w:p w14:paraId="0DB74614">
            <w:pPr>
              <w:snapToGrid w:val="0"/>
              <w:rPr>
                <w:rFonts w:ascii="仿宋_GB2312" w:eastAsia="仿宋_GB2312"/>
                <w:sz w:val="24"/>
              </w:rPr>
            </w:pPr>
            <w:r>
              <w:rPr>
                <w:rFonts w:hint="eastAsia" w:ascii="仿宋_GB2312" w:eastAsia="仿宋_GB2312"/>
                <w:sz w:val="24"/>
              </w:rPr>
              <w:t>2</w:t>
            </w:r>
            <w:r>
              <w:rPr>
                <w:rFonts w:hint="eastAsia" w:ascii="仿宋_GB2312" w:hAnsi="宋体" w:eastAsia="仿宋_GB2312"/>
                <w:sz w:val="24"/>
              </w:rPr>
              <w:t>.</w:t>
            </w:r>
            <w:r>
              <w:rPr>
                <w:rFonts w:hint="eastAsia" w:ascii="仿宋_GB2312" w:eastAsia="仿宋_GB2312"/>
                <w:sz w:val="24"/>
              </w:rPr>
              <w:t>售后服务具体事项：</w:t>
            </w:r>
          </w:p>
          <w:p w14:paraId="4B082CE1">
            <w:pPr>
              <w:snapToGrid w:val="0"/>
              <w:spacing w:line="276" w:lineRule="auto"/>
              <w:rPr>
                <w:rFonts w:ascii="仿宋_GB2312" w:eastAsia="仿宋_GB2312"/>
                <w:sz w:val="24"/>
              </w:rPr>
            </w:pPr>
            <w:r>
              <w:rPr>
                <w:rFonts w:hint="eastAsia" w:ascii="仿宋_GB2312" w:eastAsia="仿宋_GB2312"/>
                <w:sz w:val="24"/>
              </w:rPr>
              <w:t xml:space="preserve">    </w:t>
            </w:r>
          </w:p>
        </w:tc>
      </w:tr>
      <w:tr w14:paraId="1FABC598">
        <w:tblPrEx>
          <w:tblCellMar>
            <w:top w:w="0" w:type="dxa"/>
            <w:left w:w="108" w:type="dxa"/>
            <w:bottom w:w="0" w:type="dxa"/>
            <w:right w:w="108" w:type="dxa"/>
          </w:tblCellMar>
        </w:tblPrEx>
        <w:trPr>
          <w:trHeight w:val="1820" w:hRule="atLeast"/>
        </w:trPr>
        <w:tc>
          <w:tcPr>
            <w:tcW w:w="9072" w:type="dxa"/>
            <w:gridSpan w:val="2"/>
            <w:tcBorders>
              <w:top w:val="single" w:color="auto" w:sz="4" w:space="0"/>
              <w:left w:val="single" w:color="auto" w:sz="4" w:space="0"/>
              <w:bottom w:val="nil"/>
              <w:right w:val="single" w:color="auto" w:sz="4" w:space="0"/>
            </w:tcBorders>
          </w:tcPr>
          <w:p w14:paraId="2BB38A58">
            <w:pPr>
              <w:snapToGrid w:val="0"/>
              <w:rPr>
                <w:rFonts w:ascii="仿宋_GB2312" w:eastAsia="仿宋_GB2312"/>
                <w:sz w:val="24"/>
              </w:rPr>
            </w:pPr>
            <w:r>
              <w:rPr>
                <w:rFonts w:hint="eastAsia" w:ascii="仿宋_GB2312" w:eastAsia="仿宋_GB2312"/>
                <w:sz w:val="24"/>
              </w:rPr>
              <w:t>3</w:t>
            </w:r>
            <w:r>
              <w:rPr>
                <w:rFonts w:hint="eastAsia" w:ascii="仿宋_GB2312" w:hAnsi="宋体" w:eastAsia="仿宋_GB2312"/>
                <w:sz w:val="24"/>
              </w:rPr>
              <w:t>.</w:t>
            </w:r>
            <w:r>
              <w:rPr>
                <w:rFonts w:hint="eastAsia" w:ascii="仿宋_GB2312" w:eastAsia="仿宋_GB2312"/>
                <w:sz w:val="24"/>
              </w:rPr>
              <w:t>保修期责任：</w:t>
            </w:r>
          </w:p>
          <w:p w14:paraId="21CF1029">
            <w:pPr>
              <w:snapToGrid w:val="0"/>
              <w:spacing w:line="276" w:lineRule="auto"/>
              <w:rPr>
                <w:rFonts w:ascii="仿宋_GB2312" w:eastAsia="仿宋_GB2312"/>
                <w:sz w:val="24"/>
              </w:rPr>
            </w:pPr>
            <w:r>
              <w:rPr>
                <w:rFonts w:hint="eastAsia" w:ascii="仿宋_GB2312" w:eastAsia="仿宋_GB2312"/>
                <w:sz w:val="24"/>
              </w:rPr>
              <w:t xml:space="preserve">    </w:t>
            </w:r>
          </w:p>
        </w:tc>
      </w:tr>
      <w:tr w14:paraId="50A0EC89">
        <w:tblPrEx>
          <w:tblCellMar>
            <w:top w:w="0" w:type="dxa"/>
            <w:left w:w="108" w:type="dxa"/>
            <w:bottom w:w="0" w:type="dxa"/>
            <w:right w:w="108" w:type="dxa"/>
          </w:tblCellMar>
        </w:tblPrEx>
        <w:trPr>
          <w:trHeight w:val="2702" w:hRule="atLeast"/>
        </w:trPr>
        <w:tc>
          <w:tcPr>
            <w:tcW w:w="9072" w:type="dxa"/>
            <w:gridSpan w:val="2"/>
            <w:tcBorders>
              <w:top w:val="single" w:color="auto" w:sz="4" w:space="0"/>
              <w:left w:val="single" w:color="auto" w:sz="4" w:space="0"/>
              <w:bottom w:val="nil"/>
              <w:right w:val="single" w:color="auto" w:sz="4" w:space="0"/>
            </w:tcBorders>
          </w:tcPr>
          <w:p w14:paraId="1BC823C0">
            <w:pPr>
              <w:snapToGrid w:val="0"/>
              <w:rPr>
                <w:rFonts w:ascii="仿宋_GB2312" w:eastAsia="仿宋_GB2312"/>
                <w:sz w:val="24"/>
              </w:rPr>
            </w:pPr>
            <w:r>
              <w:rPr>
                <w:rFonts w:hint="eastAsia" w:ascii="仿宋_GB2312" w:eastAsia="仿宋_GB2312"/>
                <w:sz w:val="24"/>
              </w:rPr>
              <w:t>4</w:t>
            </w:r>
            <w:r>
              <w:rPr>
                <w:rFonts w:hint="eastAsia" w:ascii="仿宋_GB2312" w:hAnsi="宋体" w:eastAsia="仿宋_GB2312"/>
                <w:sz w:val="24"/>
              </w:rPr>
              <w:t>.</w:t>
            </w:r>
            <w:r>
              <w:rPr>
                <w:rFonts w:hint="eastAsia" w:ascii="仿宋_GB2312" w:eastAsia="仿宋_GB2312"/>
                <w:sz w:val="24"/>
              </w:rPr>
              <w:t>其他具体事项：</w:t>
            </w:r>
          </w:p>
          <w:p w14:paraId="681033D2">
            <w:pPr>
              <w:snapToGrid w:val="0"/>
              <w:rPr>
                <w:rFonts w:ascii="仿宋_GB2312" w:eastAsia="仿宋_GB2312"/>
                <w:sz w:val="24"/>
              </w:rPr>
            </w:pPr>
          </w:p>
        </w:tc>
      </w:tr>
      <w:tr w14:paraId="5A1F6FB7">
        <w:tblPrEx>
          <w:tblCellMar>
            <w:top w:w="0" w:type="dxa"/>
            <w:left w:w="108" w:type="dxa"/>
            <w:bottom w:w="0" w:type="dxa"/>
            <w:right w:w="108" w:type="dxa"/>
          </w:tblCellMar>
        </w:tblPrEx>
        <w:trPr>
          <w:trHeight w:val="2577" w:hRule="atLeast"/>
        </w:trPr>
        <w:tc>
          <w:tcPr>
            <w:tcW w:w="4678" w:type="dxa"/>
            <w:tcBorders>
              <w:top w:val="single" w:color="auto" w:sz="4" w:space="0"/>
              <w:left w:val="single" w:color="auto" w:sz="4" w:space="0"/>
              <w:bottom w:val="single" w:color="auto" w:sz="4" w:space="0"/>
              <w:right w:val="single" w:color="auto" w:sz="4" w:space="0"/>
            </w:tcBorders>
            <w:vAlign w:val="center"/>
          </w:tcPr>
          <w:p w14:paraId="489F172A">
            <w:pPr>
              <w:snapToGrid w:val="0"/>
              <w:spacing w:line="276" w:lineRule="auto"/>
              <w:rPr>
                <w:rFonts w:ascii="仿宋_GB2312" w:eastAsia="仿宋_GB2312"/>
                <w:sz w:val="24"/>
              </w:rPr>
            </w:pPr>
            <w:r>
              <w:rPr>
                <w:rFonts w:hint="eastAsia" w:ascii="仿宋_GB2312" w:eastAsia="仿宋_GB2312"/>
                <w:sz w:val="24"/>
              </w:rPr>
              <w:t>甲方（章）</w:t>
            </w:r>
          </w:p>
          <w:p w14:paraId="1A488678">
            <w:pPr>
              <w:snapToGrid w:val="0"/>
              <w:spacing w:line="276" w:lineRule="auto"/>
              <w:ind w:firstLine="480" w:firstLineChars="200"/>
              <w:rPr>
                <w:rFonts w:ascii="仿宋_GB2312" w:eastAsia="仿宋_GB2312"/>
                <w:sz w:val="24"/>
              </w:rPr>
            </w:pPr>
          </w:p>
          <w:p w14:paraId="6B5B65C2">
            <w:pPr>
              <w:snapToGrid w:val="0"/>
              <w:spacing w:line="276" w:lineRule="auto"/>
              <w:ind w:firstLine="480" w:firstLineChars="200"/>
              <w:rPr>
                <w:rFonts w:ascii="仿宋_GB2312" w:eastAsia="仿宋_GB2312"/>
                <w:sz w:val="24"/>
              </w:rPr>
            </w:pPr>
          </w:p>
          <w:p w14:paraId="2C5BBE36">
            <w:pPr>
              <w:snapToGrid w:val="0"/>
              <w:spacing w:line="276" w:lineRule="auto"/>
              <w:ind w:firstLine="480" w:firstLineChars="200"/>
              <w:rPr>
                <w:rFonts w:ascii="仿宋_GB2312" w:eastAsia="仿宋_GB2312"/>
                <w:sz w:val="24"/>
              </w:rPr>
            </w:pPr>
          </w:p>
          <w:p w14:paraId="569CE579">
            <w:pPr>
              <w:snapToGrid w:val="0"/>
              <w:spacing w:line="276" w:lineRule="auto"/>
              <w:ind w:firstLine="480" w:firstLineChars="200"/>
              <w:rPr>
                <w:rFonts w:ascii="仿宋_GB2312" w:eastAsia="仿宋_GB2312"/>
                <w:sz w:val="24"/>
              </w:rPr>
            </w:pPr>
          </w:p>
          <w:p w14:paraId="5C1C3436">
            <w:pPr>
              <w:snapToGrid w:val="0"/>
              <w:spacing w:line="276" w:lineRule="auto"/>
              <w:ind w:firstLine="480" w:firstLineChars="200"/>
              <w:rPr>
                <w:rFonts w:ascii="仿宋_GB2312" w:eastAsia="仿宋_GB2312"/>
                <w:sz w:val="24"/>
              </w:rPr>
            </w:pPr>
          </w:p>
          <w:p w14:paraId="410BF2FA">
            <w:pPr>
              <w:snapToGrid w:val="0"/>
              <w:spacing w:line="276" w:lineRule="auto"/>
              <w:ind w:firstLine="480" w:firstLineChars="200"/>
              <w:rPr>
                <w:rFonts w:ascii="仿宋_GB2312" w:eastAsia="仿宋_GB2312"/>
                <w:sz w:val="24"/>
              </w:rPr>
            </w:pPr>
          </w:p>
          <w:p w14:paraId="0275483A">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 </w:t>
            </w:r>
          </w:p>
        </w:tc>
        <w:tc>
          <w:tcPr>
            <w:tcW w:w="4394" w:type="dxa"/>
            <w:tcBorders>
              <w:top w:val="single" w:color="auto" w:sz="4" w:space="0"/>
              <w:left w:val="single" w:color="auto" w:sz="4" w:space="0"/>
              <w:bottom w:val="single" w:color="auto" w:sz="4" w:space="0"/>
              <w:right w:val="single" w:color="auto" w:sz="4" w:space="0"/>
            </w:tcBorders>
            <w:vAlign w:val="center"/>
          </w:tcPr>
          <w:p w14:paraId="68607FA8">
            <w:pPr>
              <w:snapToGrid w:val="0"/>
              <w:spacing w:line="276" w:lineRule="auto"/>
              <w:rPr>
                <w:rFonts w:ascii="仿宋_GB2312" w:eastAsia="仿宋_GB2312"/>
                <w:sz w:val="24"/>
              </w:rPr>
            </w:pPr>
            <w:r>
              <w:rPr>
                <w:rFonts w:hint="eastAsia" w:ascii="仿宋_GB2312" w:eastAsia="仿宋_GB2312"/>
                <w:sz w:val="24"/>
              </w:rPr>
              <w:t>乙方（章）</w:t>
            </w:r>
          </w:p>
          <w:p w14:paraId="590E3EC7">
            <w:pPr>
              <w:snapToGrid w:val="0"/>
              <w:spacing w:line="276" w:lineRule="auto"/>
              <w:ind w:firstLine="480" w:firstLineChars="200"/>
              <w:rPr>
                <w:rFonts w:ascii="仿宋_GB2312" w:eastAsia="仿宋_GB2312"/>
                <w:sz w:val="24"/>
              </w:rPr>
            </w:pPr>
          </w:p>
          <w:p w14:paraId="128B349C">
            <w:pPr>
              <w:snapToGrid w:val="0"/>
              <w:spacing w:line="276" w:lineRule="auto"/>
              <w:ind w:firstLine="480" w:firstLineChars="200"/>
              <w:rPr>
                <w:rFonts w:ascii="仿宋_GB2312" w:eastAsia="仿宋_GB2312"/>
                <w:sz w:val="24"/>
              </w:rPr>
            </w:pPr>
          </w:p>
          <w:p w14:paraId="016DEFC3">
            <w:pPr>
              <w:snapToGrid w:val="0"/>
              <w:spacing w:line="276" w:lineRule="auto"/>
              <w:ind w:firstLine="480" w:firstLineChars="200"/>
              <w:rPr>
                <w:rFonts w:ascii="仿宋_GB2312" w:eastAsia="仿宋_GB2312"/>
                <w:sz w:val="24"/>
              </w:rPr>
            </w:pPr>
          </w:p>
          <w:p w14:paraId="7193A9F5">
            <w:pPr>
              <w:snapToGrid w:val="0"/>
              <w:spacing w:line="276" w:lineRule="auto"/>
              <w:ind w:firstLine="480" w:firstLineChars="200"/>
              <w:rPr>
                <w:rFonts w:ascii="仿宋_GB2312" w:eastAsia="仿宋_GB2312"/>
                <w:sz w:val="24"/>
              </w:rPr>
            </w:pPr>
          </w:p>
          <w:p w14:paraId="48EC1CF5">
            <w:pPr>
              <w:snapToGrid w:val="0"/>
              <w:spacing w:line="276" w:lineRule="auto"/>
              <w:ind w:firstLine="480" w:firstLineChars="200"/>
              <w:rPr>
                <w:rFonts w:ascii="仿宋_GB2312" w:eastAsia="仿宋_GB2312"/>
                <w:sz w:val="24"/>
              </w:rPr>
            </w:pPr>
          </w:p>
          <w:p w14:paraId="251FB940">
            <w:pPr>
              <w:snapToGrid w:val="0"/>
              <w:spacing w:line="276" w:lineRule="auto"/>
              <w:ind w:firstLine="480" w:firstLineChars="200"/>
              <w:rPr>
                <w:rFonts w:ascii="仿宋_GB2312" w:eastAsia="仿宋_GB2312"/>
                <w:sz w:val="24"/>
              </w:rPr>
            </w:pPr>
          </w:p>
          <w:p w14:paraId="4D128259">
            <w:pPr>
              <w:snapToGrid w:val="0"/>
              <w:spacing w:line="276" w:lineRule="auto"/>
              <w:ind w:firstLine="480" w:firstLineChars="200"/>
              <w:rPr>
                <w:rFonts w:ascii="仿宋_GB2312" w:eastAsia="仿宋_GB2312"/>
                <w:sz w:val="24"/>
              </w:rPr>
            </w:pPr>
            <w:r>
              <w:rPr>
                <w:rFonts w:hint="eastAsia" w:ascii="仿宋_GB2312" w:eastAsia="仿宋_GB2312"/>
                <w:sz w:val="24"/>
              </w:rPr>
              <w:t xml:space="preserve">                年   月   日</w:t>
            </w:r>
          </w:p>
        </w:tc>
      </w:tr>
    </w:tbl>
    <w:p w14:paraId="7C5A6930">
      <w:pPr>
        <w:snapToGrid w:val="0"/>
        <w:ind w:firstLine="480" w:firstLineChars="200"/>
        <w:rPr>
          <w:rFonts w:ascii="仿宋_GB2312" w:eastAsia="仿宋_GB2312"/>
          <w:color w:val="FF0000"/>
          <w:sz w:val="24"/>
        </w:rPr>
        <w:sectPr>
          <w:pgSz w:w="11906" w:h="16838"/>
          <w:pgMar w:top="1440" w:right="1440" w:bottom="1440" w:left="1440" w:header="851" w:footer="992" w:gutter="0"/>
          <w:cols w:space="720" w:num="1"/>
          <w:docGrid w:linePitch="312" w:charSpace="0"/>
        </w:sectPr>
      </w:pPr>
      <w:r>
        <w:rPr>
          <w:rFonts w:hint="eastAsia" w:ascii="仿宋_GB2312" w:eastAsia="仿宋_GB2312"/>
          <w:sz w:val="24"/>
        </w:rPr>
        <w:t>注：售后服务事项填不下时可另加附页</w:t>
      </w:r>
    </w:p>
    <w:p w14:paraId="0A74AE69">
      <w:pPr>
        <w:spacing w:before="120" w:beforeLines="50" w:after="480" w:afterLines="200" w:line="340" w:lineRule="exact"/>
        <w:jc w:val="center"/>
        <w:rPr>
          <w:b/>
          <w:kern w:val="0"/>
          <w:sz w:val="32"/>
          <w:szCs w:val="32"/>
        </w:rPr>
      </w:pPr>
      <w:r>
        <w:rPr>
          <w:rFonts w:hint="eastAsia"/>
          <w:b/>
          <w:bCs/>
          <w:kern w:val="0"/>
          <w:sz w:val="32"/>
          <w:szCs w:val="32"/>
        </w:rPr>
        <w:t>广西壮族自治区政府采购项目</w:t>
      </w:r>
      <w:r>
        <w:rPr>
          <w:rFonts w:hint="eastAsia"/>
          <w:b/>
          <w:kern w:val="0"/>
          <w:sz w:val="32"/>
          <w:szCs w:val="32"/>
        </w:rPr>
        <w:t>合同验收书（格式）</w:t>
      </w:r>
    </w:p>
    <w:p w14:paraId="3953A193">
      <w:pPr>
        <w:spacing w:line="340" w:lineRule="exact"/>
        <w:ind w:firstLine="420" w:firstLineChars="200"/>
        <w:rPr>
          <w:rFonts w:ascii="仿宋_GB2312" w:eastAsia="仿宋_GB2312"/>
          <w:kern w:val="0"/>
          <w:szCs w:val="21"/>
        </w:rPr>
      </w:pPr>
      <w:r>
        <w:rPr>
          <w:rFonts w:hint="eastAsia" w:ascii="仿宋_GB2312" w:eastAsia="仿宋_GB2312"/>
          <w:kern w:val="0"/>
          <w:szCs w:val="21"/>
        </w:rPr>
        <w:t>根据政府采购项目（采购合同编号：</w:t>
      </w:r>
      <w:r>
        <w:rPr>
          <w:rFonts w:hint="eastAsia" w:ascii="仿宋_GB2312" w:eastAsia="仿宋_GB2312"/>
          <w:kern w:val="0"/>
          <w:szCs w:val="21"/>
        </w:rPr>
        <w:softHyphen/>
      </w:r>
      <w:r>
        <w:rPr>
          <w:rFonts w:hint="eastAsia" w:eastAsia="仿宋_GB2312"/>
          <w:kern w:val="0"/>
          <w:szCs w:val="21"/>
        </w:rPr>
        <w:t>   </w:t>
      </w:r>
      <w:r>
        <w:rPr>
          <w:rFonts w:hint="eastAsia" w:ascii="仿宋_GB2312" w:eastAsia="仿宋_GB2312"/>
          <w:kern w:val="0"/>
          <w:szCs w:val="21"/>
        </w:rPr>
        <w:t>）的约定，我单位对</w:t>
      </w:r>
      <w:r>
        <w:rPr>
          <w:rFonts w:hint="eastAsia" w:ascii="仿宋_GB2312" w:eastAsia="仿宋_GB2312"/>
          <w:kern w:val="0"/>
          <w:szCs w:val="21"/>
          <w:u w:val="single"/>
        </w:rPr>
        <w:t>（ 项目名称 ）</w:t>
      </w:r>
      <w:r>
        <w:rPr>
          <w:rFonts w:hint="eastAsia" w:ascii="仿宋_GB2312" w:eastAsia="仿宋_GB2312"/>
          <w:kern w:val="0"/>
          <w:szCs w:val="21"/>
        </w:rPr>
        <w:t>政府采购项目中标供应商</w:t>
      </w:r>
      <w:r>
        <w:rPr>
          <w:rFonts w:hint="eastAsia" w:ascii="仿宋_GB2312" w:eastAsia="仿宋_GB2312"/>
          <w:kern w:val="0"/>
          <w:szCs w:val="21"/>
          <w:u w:val="single"/>
        </w:rPr>
        <w:t>（ 公司名称 ）</w:t>
      </w:r>
      <w:r>
        <w:rPr>
          <w:rFonts w:hint="eastAsia" w:ascii="仿宋_GB2312" w:eastAsia="仿宋_GB2312"/>
          <w:kern w:val="0"/>
          <w:szCs w:val="21"/>
        </w:rPr>
        <w:t>提供的货物进行了验收，验收情况如下：</w:t>
      </w:r>
    </w:p>
    <w:tbl>
      <w:tblPr>
        <w:tblStyle w:val="48"/>
        <w:tblW w:w="9628"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26"/>
        <w:gridCol w:w="1984"/>
        <w:gridCol w:w="426"/>
        <w:gridCol w:w="2551"/>
        <w:gridCol w:w="98"/>
        <w:gridCol w:w="1556"/>
        <w:gridCol w:w="1487"/>
      </w:tblGrid>
      <w:tr w14:paraId="1227C4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3510" w:type="dxa"/>
            <w:gridSpan w:val="2"/>
            <w:tcBorders>
              <w:top w:val="single" w:color="auto" w:sz="4" w:space="0"/>
              <w:left w:val="single" w:color="auto" w:sz="4" w:space="0"/>
              <w:bottom w:val="single" w:color="auto" w:sz="4" w:space="0"/>
              <w:right w:val="single" w:color="auto" w:sz="4" w:space="0"/>
            </w:tcBorders>
          </w:tcPr>
          <w:p w14:paraId="586A5D6A">
            <w:pPr>
              <w:spacing w:line="340" w:lineRule="exact"/>
              <w:jc w:val="center"/>
              <w:rPr>
                <w:rFonts w:ascii="仿宋_GB2312" w:eastAsia="仿宋_GB2312"/>
                <w:b/>
                <w:szCs w:val="21"/>
              </w:rPr>
            </w:pPr>
            <w:r>
              <w:rPr>
                <w:rFonts w:hint="eastAsia" w:ascii="仿宋_GB2312" w:eastAsia="仿宋_GB2312"/>
                <w:kern w:val="0"/>
                <w:szCs w:val="21"/>
              </w:rPr>
              <w:t>验收方式：</w:t>
            </w:r>
          </w:p>
        </w:tc>
        <w:tc>
          <w:tcPr>
            <w:tcW w:w="6118" w:type="dxa"/>
            <w:gridSpan w:val="5"/>
            <w:tcBorders>
              <w:top w:val="single" w:color="auto" w:sz="4" w:space="0"/>
              <w:left w:val="single" w:color="auto" w:sz="4" w:space="0"/>
              <w:bottom w:val="single" w:color="auto" w:sz="4" w:space="0"/>
              <w:right w:val="single" w:color="auto" w:sz="4" w:space="0"/>
            </w:tcBorders>
          </w:tcPr>
          <w:p w14:paraId="038EA39F">
            <w:pPr>
              <w:spacing w:line="340" w:lineRule="exact"/>
              <w:jc w:val="center"/>
              <w:rPr>
                <w:rFonts w:ascii="仿宋_GB2312" w:eastAsia="仿宋_GB2312"/>
                <w:b/>
                <w:szCs w:val="21"/>
              </w:rPr>
            </w:pPr>
            <w:r>
              <w:rPr>
                <w:rFonts w:hint="eastAsia" w:ascii="仿宋_GB2312" w:eastAsia="仿宋_GB2312"/>
                <w:kern w:val="0"/>
                <w:szCs w:val="21"/>
              </w:rPr>
              <w:t>□自行验收</w:t>
            </w:r>
            <w:r>
              <w:rPr>
                <w:rFonts w:eastAsia="仿宋_GB2312"/>
                <w:kern w:val="0"/>
                <w:szCs w:val="21"/>
              </w:rPr>
              <w:t>    </w:t>
            </w:r>
            <w:r>
              <w:rPr>
                <w:rFonts w:hint="eastAsia" w:ascii="仿宋_GB2312" w:eastAsia="仿宋_GB2312"/>
                <w:kern w:val="0"/>
                <w:szCs w:val="21"/>
              </w:rPr>
              <w:t>□委托验收</w:t>
            </w:r>
          </w:p>
        </w:tc>
      </w:tr>
      <w:tr w14:paraId="020479A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1AB41095">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序号</w:t>
            </w:r>
          </w:p>
        </w:tc>
        <w:tc>
          <w:tcPr>
            <w:tcW w:w="1984" w:type="dxa"/>
            <w:tcBorders>
              <w:top w:val="single" w:color="auto" w:sz="4" w:space="0"/>
              <w:left w:val="single" w:color="auto" w:sz="4" w:space="0"/>
              <w:bottom w:val="single" w:color="auto" w:sz="4" w:space="0"/>
              <w:right w:val="single" w:color="auto" w:sz="4" w:space="0"/>
            </w:tcBorders>
            <w:vAlign w:val="center"/>
          </w:tcPr>
          <w:p w14:paraId="08ECF042">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名</w:t>
            </w:r>
            <w:r>
              <w:rPr>
                <w:rFonts w:eastAsia="仿宋_GB2312"/>
                <w:kern w:val="0"/>
                <w:szCs w:val="21"/>
              </w:rPr>
              <w:t> </w:t>
            </w:r>
            <w:r>
              <w:rPr>
                <w:rFonts w:hint="eastAsia" w:ascii="仿宋_GB2312" w:eastAsia="仿宋_GB2312"/>
                <w:kern w:val="0"/>
                <w:szCs w:val="21"/>
              </w:rPr>
              <w:t>称</w:t>
            </w: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04C9DC70">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货物型号规格、标准及配置等</w:t>
            </w:r>
          </w:p>
        </w:tc>
        <w:tc>
          <w:tcPr>
            <w:tcW w:w="1556" w:type="dxa"/>
            <w:tcBorders>
              <w:top w:val="single" w:color="auto" w:sz="4" w:space="0"/>
              <w:left w:val="single" w:color="auto" w:sz="4" w:space="0"/>
              <w:bottom w:val="single" w:color="auto" w:sz="4" w:space="0"/>
              <w:right w:val="single" w:color="auto" w:sz="4" w:space="0"/>
            </w:tcBorders>
            <w:vAlign w:val="center"/>
          </w:tcPr>
          <w:p w14:paraId="4F1A5A9A">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数量</w:t>
            </w:r>
          </w:p>
        </w:tc>
        <w:tc>
          <w:tcPr>
            <w:tcW w:w="1487" w:type="dxa"/>
            <w:tcBorders>
              <w:top w:val="single" w:color="auto" w:sz="4" w:space="0"/>
              <w:left w:val="single" w:color="auto" w:sz="4" w:space="0"/>
              <w:bottom w:val="single" w:color="auto" w:sz="4" w:space="0"/>
              <w:right w:val="single" w:color="auto" w:sz="4" w:space="0"/>
            </w:tcBorders>
            <w:vAlign w:val="center"/>
          </w:tcPr>
          <w:p w14:paraId="41129C57">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金</w:t>
            </w:r>
            <w:r>
              <w:rPr>
                <w:rFonts w:eastAsia="仿宋_GB2312"/>
                <w:kern w:val="0"/>
                <w:szCs w:val="21"/>
              </w:rPr>
              <w:t> </w:t>
            </w:r>
            <w:r>
              <w:rPr>
                <w:rFonts w:hint="eastAsia" w:ascii="仿宋_GB2312" w:eastAsia="仿宋_GB2312"/>
                <w:kern w:val="0"/>
                <w:szCs w:val="21"/>
              </w:rPr>
              <w:t>额</w:t>
            </w:r>
          </w:p>
        </w:tc>
      </w:tr>
      <w:tr w14:paraId="60DD8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00BB5FB9">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2F53F934">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438C04D2">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6DA1B72D">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6FFD3B6C">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26E68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2D372CE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38C3384B">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345377ED">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012CA168">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2838D23F">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738A28C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tcBorders>
              <w:top w:val="single" w:color="auto" w:sz="4" w:space="0"/>
              <w:left w:val="single" w:color="auto" w:sz="4" w:space="0"/>
              <w:bottom w:val="single" w:color="auto" w:sz="4" w:space="0"/>
              <w:right w:val="single" w:color="auto" w:sz="4" w:space="0"/>
            </w:tcBorders>
            <w:vAlign w:val="center"/>
          </w:tcPr>
          <w:p w14:paraId="76072AB3">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984" w:type="dxa"/>
            <w:tcBorders>
              <w:top w:val="single" w:color="auto" w:sz="4" w:space="0"/>
              <w:left w:val="single" w:color="auto" w:sz="4" w:space="0"/>
              <w:bottom w:val="single" w:color="auto" w:sz="4" w:space="0"/>
              <w:right w:val="single" w:color="auto" w:sz="4" w:space="0"/>
            </w:tcBorders>
            <w:vAlign w:val="center"/>
          </w:tcPr>
          <w:p w14:paraId="0BFE077C">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3075" w:type="dxa"/>
            <w:gridSpan w:val="3"/>
            <w:tcBorders>
              <w:top w:val="single" w:color="auto" w:sz="4" w:space="0"/>
              <w:left w:val="single" w:color="auto" w:sz="4" w:space="0"/>
              <w:bottom w:val="single" w:color="auto" w:sz="4" w:space="0"/>
              <w:right w:val="single" w:color="auto" w:sz="4" w:space="0"/>
            </w:tcBorders>
            <w:vAlign w:val="center"/>
          </w:tcPr>
          <w:p w14:paraId="2B71D1E0">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1556" w:type="dxa"/>
            <w:tcBorders>
              <w:top w:val="single" w:color="auto" w:sz="4" w:space="0"/>
              <w:left w:val="single" w:color="auto" w:sz="4" w:space="0"/>
              <w:bottom w:val="single" w:color="auto" w:sz="4" w:space="0"/>
              <w:right w:val="single" w:color="auto" w:sz="4" w:space="0"/>
            </w:tcBorders>
            <w:vAlign w:val="center"/>
          </w:tcPr>
          <w:p w14:paraId="488D5032">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704A757D">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45130F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6585" w:type="dxa"/>
            <w:gridSpan w:val="5"/>
            <w:tcBorders>
              <w:top w:val="single" w:color="auto" w:sz="4" w:space="0"/>
              <w:left w:val="single" w:color="auto" w:sz="4" w:space="0"/>
              <w:bottom w:val="single" w:color="auto" w:sz="4" w:space="0"/>
              <w:right w:val="single" w:color="auto" w:sz="4" w:space="0"/>
            </w:tcBorders>
            <w:vAlign w:val="center"/>
          </w:tcPr>
          <w:p w14:paraId="164A6722">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w:t>
            </w:r>
            <w:r>
              <w:rPr>
                <w:rFonts w:eastAsia="仿宋_GB2312"/>
                <w:kern w:val="0"/>
                <w:szCs w:val="21"/>
              </w:rPr>
              <w:t>  </w:t>
            </w:r>
            <w:r>
              <w:rPr>
                <w:rFonts w:hint="eastAsia" w:ascii="仿宋_GB2312" w:eastAsia="仿宋_GB2312"/>
                <w:kern w:val="0"/>
                <w:szCs w:val="21"/>
              </w:rPr>
              <w:t>计</w:t>
            </w:r>
          </w:p>
        </w:tc>
        <w:tc>
          <w:tcPr>
            <w:tcW w:w="1556" w:type="dxa"/>
            <w:tcBorders>
              <w:top w:val="single" w:color="auto" w:sz="4" w:space="0"/>
              <w:left w:val="single" w:color="auto" w:sz="4" w:space="0"/>
              <w:bottom w:val="single" w:color="auto" w:sz="4" w:space="0"/>
              <w:right w:val="single" w:color="auto" w:sz="4" w:space="0"/>
            </w:tcBorders>
            <w:vAlign w:val="center"/>
          </w:tcPr>
          <w:p w14:paraId="3F632FEF">
            <w:pPr>
              <w:widowControl/>
              <w:snapToGrid w:val="0"/>
              <w:spacing w:before="100" w:beforeAutospacing="1" w:after="100" w:afterAutospacing="1" w:line="320" w:lineRule="atLeast"/>
              <w:jc w:val="center"/>
              <w:rPr>
                <w:rFonts w:ascii="仿宋_GB2312" w:eastAsia="仿宋_GB2312"/>
                <w:kern w:val="0"/>
                <w:szCs w:val="21"/>
              </w:rPr>
            </w:pPr>
          </w:p>
        </w:tc>
        <w:tc>
          <w:tcPr>
            <w:tcW w:w="1487" w:type="dxa"/>
            <w:tcBorders>
              <w:top w:val="single" w:color="auto" w:sz="4" w:space="0"/>
              <w:left w:val="single" w:color="auto" w:sz="4" w:space="0"/>
              <w:bottom w:val="single" w:color="auto" w:sz="4" w:space="0"/>
              <w:right w:val="single" w:color="auto" w:sz="4" w:space="0"/>
            </w:tcBorders>
            <w:vAlign w:val="center"/>
          </w:tcPr>
          <w:p w14:paraId="5B32C096">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0E15F7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07421B17">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合计大写金额：</w:t>
            </w:r>
            <w:r>
              <w:rPr>
                <w:rFonts w:eastAsia="仿宋_GB2312"/>
                <w:kern w:val="0"/>
                <w:szCs w:val="21"/>
              </w:rPr>
              <w:t> </w:t>
            </w:r>
            <w:r>
              <w:rPr>
                <w:rFonts w:hint="eastAsia" w:ascii="仿宋_GB2312" w:eastAsia="仿宋_GB2312"/>
                <w:kern w:val="0"/>
                <w:szCs w:val="21"/>
              </w:rPr>
              <w:t xml:space="preserve"> </w:t>
            </w:r>
          </w:p>
        </w:tc>
      </w:tr>
      <w:tr w14:paraId="4382E8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3" w:hRule="atLeast"/>
        </w:trPr>
        <w:tc>
          <w:tcPr>
            <w:tcW w:w="1526" w:type="dxa"/>
            <w:tcBorders>
              <w:top w:val="single" w:color="auto" w:sz="4" w:space="0"/>
              <w:left w:val="single" w:color="auto" w:sz="4" w:space="0"/>
              <w:bottom w:val="single" w:color="auto" w:sz="4" w:space="0"/>
              <w:right w:val="single" w:color="auto" w:sz="4" w:space="0"/>
            </w:tcBorders>
            <w:vAlign w:val="center"/>
          </w:tcPr>
          <w:p w14:paraId="7BD15BE0">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实际供货日期</w:t>
            </w: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29BE94BE">
            <w:pPr>
              <w:widowControl/>
              <w:snapToGrid w:val="0"/>
              <w:spacing w:before="100" w:beforeAutospacing="1" w:after="100" w:afterAutospacing="1" w:line="320" w:lineRule="atLeast"/>
              <w:ind w:firstLine="2"/>
              <w:jc w:val="center"/>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0F5CF3F3">
            <w:pPr>
              <w:widowControl/>
              <w:snapToGrid w:val="0"/>
              <w:spacing w:before="100" w:beforeAutospacing="1" w:after="100" w:afterAutospacing="1" w:line="320" w:lineRule="atLeast"/>
              <w:ind w:firstLine="2"/>
              <w:jc w:val="center"/>
              <w:rPr>
                <w:rFonts w:ascii="仿宋_GB2312" w:eastAsia="仿宋_GB2312"/>
                <w:kern w:val="0"/>
                <w:szCs w:val="21"/>
              </w:rPr>
            </w:pPr>
            <w:r>
              <w:rPr>
                <w:rFonts w:hint="eastAsia" w:ascii="仿宋_GB2312" w:eastAsia="仿宋_GB2312"/>
                <w:kern w:val="0"/>
                <w:szCs w:val="21"/>
              </w:rPr>
              <w:t>合同交货验收日期</w:t>
            </w: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7C076A38">
            <w:pPr>
              <w:widowControl/>
              <w:snapToGrid w:val="0"/>
              <w:spacing w:before="100" w:beforeAutospacing="1" w:after="100" w:afterAutospacing="1" w:line="320" w:lineRule="atLeast"/>
              <w:ind w:firstLine="2"/>
              <w:jc w:val="center"/>
              <w:rPr>
                <w:rFonts w:ascii="仿宋_GB2312" w:eastAsia="仿宋_GB2312"/>
                <w:kern w:val="0"/>
                <w:szCs w:val="21"/>
              </w:rPr>
            </w:pPr>
          </w:p>
        </w:tc>
      </w:tr>
      <w:tr w14:paraId="0E395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09" w:hRule="atLeast"/>
        </w:trPr>
        <w:tc>
          <w:tcPr>
            <w:tcW w:w="1526" w:type="dxa"/>
            <w:tcBorders>
              <w:top w:val="single" w:color="auto" w:sz="4" w:space="0"/>
              <w:left w:val="single" w:color="auto" w:sz="4" w:space="0"/>
              <w:bottom w:val="single" w:color="auto" w:sz="4" w:space="0"/>
              <w:right w:val="single" w:color="auto" w:sz="4" w:space="0"/>
            </w:tcBorders>
            <w:vAlign w:val="center"/>
          </w:tcPr>
          <w:p w14:paraId="10185781">
            <w:pPr>
              <w:widowControl/>
              <w:snapToGrid w:val="0"/>
              <w:spacing w:before="100" w:beforeAutospacing="1" w:after="100" w:afterAutospacing="1" w:line="320" w:lineRule="atLeast"/>
              <w:ind w:firstLine="2"/>
              <w:jc w:val="left"/>
              <w:rPr>
                <w:rFonts w:ascii="仿宋_GB2312" w:eastAsia="仿宋_GB2312"/>
                <w:kern w:val="0"/>
                <w:szCs w:val="21"/>
              </w:rPr>
            </w:pPr>
          </w:p>
        </w:tc>
        <w:tc>
          <w:tcPr>
            <w:tcW w:w="2410" w:type="dxa"/>
            <w:gridSpan w:val="2"/>
            <w:tcBorders>
              <w:top w:val="single" w:color="auto" w:sz="4" w:space="0"/>
              <w:left w:val="single" w:color="auto" w:sz="4" w:space="0"/>
              <w:bottom w:val="single" w:color="auto" w:sz="4" w:space="0"/>
              <w:right w:val="single" w:color="auto" w:sz="4" w:space="0"/>
            </w:tcBorders>
            <w:vAlign w:val="center"/>
          </w:tcPr>
          <w:p w14:paraId="10E1BA0C">
            <w:pPr>
              <w:widowControl/>
              <w:snapToGrid w:val="0"/>
              <w:spacing w:before="100" w:beforeAutospacing="1" w:after="100" w:afterAutospacing="1" w:line="320" w:lineRule="atLeast"/>
              <w:ind w:firstLine="2"/>
              <w:jc w:val="left"/>
              <w:rPr>
                <w:rFonts w:ascii="仿宋_GB2312" w:eastAsia="仿宋_GB2312"/>
                <w:kern w:val="0"/>
                <w:szCs w:val="21"/>
              </w:rPr>
            </w:pPr>
          </w:p>
        </w:tc>
        <w:tc>
          <w:tcPr>
            <w:tcW w:w="2551" w:type="dxa"/>
            <w:tcBorders>
              <w:top w:val="single" w:color="auto" w:sz="4" w:space="0"/>
              <w:left w:val="single" w:color="auto" w:sz="4" w:space="0"/>
              <w:bottom w:val="single" w:color="auto" w:sz="4" w:space="0"/>
              <w:right w:val="single" w:color="auto" w:sz="4" w:space="0"/>
            </w:tcBorders>
            <w:vAlign w:val="center"/>
          </w:tcPr>
          <w:p w14:paraId="3EAB0B18">
            <w:pPr>
              <w:widowControl/>
              <w:snapToGrid w:val="0"/>
              <w:spacing w:before="100" w:beforeAutospacing="1" w:after="100" w:afterAutospacing="1" w:line="320" w:lineRule="atLeast"/>
              <w:ind w:firstLine="2"/>
              <w:jc w:val="left"/>
              <w:rPr>
                <w:rFonts w:ascii="仿宋_GB2312" w:eastAsia="仿宋_GB2312"/>
                <w:kern w:val="0"/>
                <w:szCs w:val="21"/>
              </w:rPr>
            </w:pPr>
          </w:p>
        </w:tc>
        <w:tc>
          <w:tcPr>
            <w:tcW w:w="3141" w:type="dxa"/>
            <w:gridSpan w:val="3"/>
            <w:tcBorders>
              <w:top w:val="single" w:color="auto" w:sz="4" w:space="0"/>
              <w:left w:val="single" w:color="auto" w:sz="4" w:space="0"/>
              <w:bottom w:val="single" w:color="auto" w:sz="4" w:space="0"/>
              <w:right w:val="single" w:color="auto" w:sz="4" w:space="0"/>
            </w:tcBorders>
            <w:vAlign w:val="center"/>
          </w:tcPr>
          <w:p w14:paraId="42D55C0E">
            <w:pPr>
              <w:widowControl/>
              <w:snapToGrid w:val="0"/>
              <w:spacing w:before="100" w:beforeAutospacing="1" w:after="100" w:afterAutospacing="1" w:line="320" w:lineRule="atLeast"/>
              <w:ind w:firstLine="2"/>
              <w:jc w:val="left"/>
              <w:rPr>
                <w:rFonts w:ascii="仿宋_GB2312" w:eastAsia="仿宋_GB2312"/>
                <w:kern w:val="0"/>
                <w:szCs w:val="21"/>
              </w:rPr>
            </w:pPr>
          </w:p>
        </w:tc>
      </w:tr>
      <w:tr w14:paraId="04551A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4" w:hRule="atLeast"/>
        </w:trPr>
        <w:tc>
          <w:tcPr>
            <w:tcW w:w="1526" w:type="dxa"/>
            <w:tcBorders>
              <w:top w:val="single" w:color="auto" w:sz="4" w:space="0"/>
              <w:left w:val="single" w:color="auto" w:sz="4" w:space="0"/>
              <w:bottom w:val="single" w:color="auto" w:sz="4" w:space="0"/>
              <w:right w:val="single" w:color="auto" w:sz="4" w:space="0"/>
            </w:tcBorders>
            <w:vAlign w:val="center"/>
          </w:tcPr>
          <w:p w14:paraId="48019288">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验收具体内容</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7F5F4132">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hAnsi="宋体" w:eastAsia="仿宋_GB2312" w:cs="宋体"/>
                <w:kern w:val="0"/>
                <w:szCs w:val="21"/>
              </w:rPr>
              <w:t>（应按采购合同、采购文件、投标文件及验收方案等进行验收；并核对中标供应商在安装调试等方面是否违反合同约定或服务规范要求、提供的质量保证证明材料是否齐全、应有的配件及附件是否达到合同约定等。可附件)</w:t>
            </w:r>
          </w:p>
        </w:tc>
      </w:tr>
      <w:tr w14:paraId="09A9376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1127" w:hRule="atLeast"/>
        </w:trPr>
        <w:tc>
          <w:tcPr>
            <w:tcW w:w="1526" w:type="dxa"/>
            <w:vMerge w:val="restart"/>
            <w:tcBorders>
              <w:top w:val="single" w:color="auto" w:sz="4" w:space="0"/>
              <w:left w:val="single" w:color="auto" w:sz="4" w:space="0"/>
              <w:bottom w:val="single" w:color="auto" w:sz="4" w:space="0"/>
              <w:right w:val="single" w:color="auto" w:sz="4" w:space="0"/>
            </w:tcBorders>
            <w:vAlign w:val="center"/>
          </w:tcPr>
          <w:p w14:paraId="4FE8183E">
            <w:pPr>
              <w:widowControl/>
              <w:snapToGrid w:val="0"/>
              <w:spacing w:before="100" w:beforeAutospacing="1" w:after="100" w:afterAutospacing="1" w:line="320" w:lineRule="atLeast"/>
              <w:ind w:firstLine="2"/>
              <w:jc w:val="left"/>
              <w:rPr>
                <w:rFonts w:ascii="仿宋_GB2312" w:eastAsia="仿宋_GB2312"/>
                <w:kern w:val="0"/>
                <w:szCs w:val="21"/>
              </w:rPr>
            </w:pPr>
            <w:r>
              <w:rPr>
                <w:rFonts w:hint="eastAsia" w:ascii="仿宋_GB2312" w:eastAsia="仿宋_GB2312"/>
                <w:kern w:val="0"/>
                <w:szCs w:val="21"/>
              </w:rPr>
              <w:t>验收小组意见</w:t>
            </w: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15F6E2E2">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验收结论性意见：</w:t>
            </w:r>
          </w:p>
          <w:p w14:paraId="3B6AC235">
            <w:pPr>
              <w:widowControl/>
              <w:snapToGrid w:val="0"/>
              <w:spacing w:before="100" w:beforeAutospacing="1" w:after="100" w:afterAutospacing="1" w:line="320" w:lineRule="atLeast"/>
              <w:jc w:val="left"/>
              <w:rPr>
                <w:rFonts w:ascii="仿宋_GB2312" w:eastAsia="仿宋_GB2312"/>
                <w:kern w:val="0"/>
                <w:szCs w:val="21"/>
              </w:rPr>
            </w:pPr>
          </w:p>
        </w:tc>
      </w:tr>
      <w:tr w14:paraId="50586A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1526" w:type="dxa"/>
            <w:vMerge w:val="continue"/>
            <w:tcBorders>
              <w:top w:val="single" w:color="auto" w:sz="4" w:space="0"/>
              <w:left w:val="single" w:color="auto" w:sz="4" w:space="0"/>
              <w:bottom w:val="single" w:color="auto" w:sz="4" w:space="0"/>
              <w:right w:val="single" w:color="auto" w:sz="4" w:space="0"/>
            </w:tcBorders>
            <w:vAlign w:val="center"/>
          </w:tcPr>
          <w:p w14:paraId="3BBE730F">
            <w:pPr>
              <w:widowControl/>
              <w:jc w:val="left"/>
              <w:rPr>
                <w:rFonts w:ascii="仿宋_GB2312" w:eastAsia="仿宋_GB2312"/>
                <w:kern w:val="0"/>
                <w:szCs w:val="21"/>
              </w:rPr>
            </w:pPr>
          </w:p>
        </w:tc>
        <w:tc>
          <w:tcPr>
            <w:tcW w:w="8102" w:type="dxa"/>
            <w:gridSpan w:val="6"/>
            <w:tcBorders>
              <w:top w:val="single" w:color="auto" w:sz="4" w:space="0"/>
              <w:left w:val="single" w:color="auto" w:sz="4" w:space="0"/>
              <w:bottom w:val="single" w:color="auto" w:sz="4" w:space="0"/>
              <w:right w:val="single" w:color="auto" w:sz="4" w:space="0"/>
            </w:tcBorders>
            <w:vAlign w:val="center"/>
          </w:tcPr>
          <w:p w14:paraId="1450D2BB">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有异议的意见和说明理由：</w:t>
            </w:r>
          </w:p>
          <w:p w14:paraId="7BB0FFF6">
            <w:pPr>
              <w:widowControl/>
              <w:snapToGrid w:val="0"/>
              <w:spacing w:before="100" w:beforeAutospacing="1" w:after="100" w:afterAutospacing="1" w:line="320" w:lineRule="atLeast"/>
              <w:jc w:val="center"/>
              <w:rPr>
                <w:rFonts w:ascii="仿宋_GB2312" w:eastAsia="仿宋_GB2312"/>
                <w:kern w:val="0"/>
                <w:szCs w:val="21"/>
              </w:rPr>
            </w:pPr>
            <w:r>
              <w:rPr>
                <w:rFonts w:hint="eastAsia" w:ascii="仿宋_GB2312" w:eastAsia="仿宋_GB2312"/>
                <w:kern w:val="0"/>
                <w:szCs w:val="21"/>
              </w:rPr>
              <w:t xml:space="preserve">            签字：</w:t>
            </w:r>
          </w:p>
        </w:tc>
      </w:tr>
      <w:tr w14:paraId="2F20EB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57" w:hRule="atLeast"/>
        </w:trPr>
        <w:tc>
          <w:tcPr>
            <w:tcW w:w="9628" w:type="dxa"/>
            <w:gridSpan w:val="7"/>
            <w:tcBorders>
              <w:top w:val="single" w:color="auto" w:sz="4" w:space="0"/>
              <w:left w:val="single" w:color="auto" w:sz="4" w:space="0"/>
              <w:bottom w:val="single" w:color="auto" w:sz="4" w:space="0"/>
              <w:right w:val="single" w:color="auto" w:sz="4" w:space="0"/>
            </w:tcBorders>
            <w:vAlign w:val="center"/>
          </w:tcPr>
          <w:p w14:paraId="6B04B858">
            <w:pPr>
              <w:widowControl/>
              <w:snapToGrid w:val="0"/>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验收小组成员签字：</w:t>
            </w:r>
          </w:p>
        </w:tc>
      </w:tr>
      <w:tr w14:paraId="4340FA2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1CF0A399">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监督人员或其他相关人员签字：</w:t>
            </w:r>
          </w:p>
          <w:p w14:paraId="56C0F341">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或受邀机构的意见（盖章）：</w:t>
            </w:r>
          </w:p>
        </w:tc>
      </w:tr>
      <w:tr w14:paraId="62241EE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c>
          <w:tcPr>
            <w:tcW w:w="9628" w:type="dxa"/>
            <w:gridSpan w:val="7"/>
            <w:tcBorders>
              <w:top w:val="single" w:color="auto" w:sz="4" w:space="0"/>
              <w:left w:val="single" w:color="auto" w:sz="4" w:space="0"/>
              <w:bottom w:val="single" w:color="auto" w:sz="4" w:space="0"/>
              <w:right w:val="single" w:color="auto" w:sz="4" w:space="0"/>
            </w:tcBorders>
            <w:vAlign w:val="center"/>
          </w:tcPr>
          <w:p w14:paraId="2ECA69F7">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中标供应商负责人签字或者盖章：               </w:t>
            </w:r>
            <w:r>
              <w:rPr>
                <w:rFonts w:eastAsia="仿宋_GB2312"/>
                <w:kern w:val="0"/>
                <w:szCs w:val="21"/>
              </w:rPr>
              <w:t> </w:t>
            </w:r>
            <w:r>
              <w:rPr>
                <w:rFonts w:hint="eastAsia" w:ascii="仿宋_GB2312" w:eastAsia="仿宋_GB2312"/>
                <w:kern w:val="0"/>
                <w:szCs w:val="21"/>
              </w:rPr>
              <w:t>采购人或受托机构的意见（盖章）：</w:t>
            </w:r>
          </w:p>
          <w:p w14:paraId="264FE580">
            <w:pPr>
              <w:widowControl/>
              <w:spacing w:before="100" w:beforeAutospacing="1" w:after="100" w:afterAutospacing="1" w:line="320" w:lineRule="atLeast"/>
              <w:jc w:val="left"/>
              <w:rPr>
                <w:rFonts w:ascii="仿宋_GB2312" w:eastAsia="仿宋_GB2312"/>
                <w:kern w:val="0"/>
                <w:szCs w:val="21"/>
              </w:rPr>
            </w:pPr>
            <w:r>
              <w:rPr>
                <w:rFonts w:hint="eastAsia" w:ascii="仿宋_GB2312" w:eastAsia="仿宋_GB2312"/>
                <w:kern w:val="0"/>
                <w:szCs w:val="21"/>
              </w:rPr>
              <w:t xml:space="preserve">联系电话： </w:t>
            </w:r>
            <w:r>
              <w:rPr>
                <w:rFonts w:eastAsia="仿宋_GB2312"/>
                <w:kern w:val="0"/>
                <w:szCs w:val="21"/>
              </w:rPr>
              <w:t>  </w:t>
            </w:r>
            <w:r>
              <w:rPr>
                <w:rFonts w:hint="eastAsia" w:ascii="仿宋_GB2312" w:eastAsia="仿宋_GB2312"/>
                <w:kern w:val="0"/>
                <w:szCs w:val="21"/>
              </w:rPr>
              <w:t xml:space="preserve">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                     联系电话： </w:t>
            </w:r>
            <w:r>
              <w:rPr>
                <w:rFonts w:eastAsia="仿宋_GB2312"/>
                <w:kern w:val="0"/>
                <w:szCs w:val="21"/>
              </w:rPr>
              <w:t>       </w:t>
            </w:r>
            <w:r>
              <w:rPr>
                <w:rFonts w:hint="eastAsia" w:ascii="仿宋_GB2312" w:eastAsia="仿宋_GB2312"/>
                <w:kern w:val="0"/>
                <w:szCs w:val="21"/>
              </w:rPr>
              <w:t xml:space="preserve"> 年</w:t>
            </w:r>
            <w:r>
              <w:rPr>
                <w:rFonts w:eastAsia="仿宋_GB2312"/>
                <w:kern w:val="0"/>
                <w:szCs w:val="21"/>
              </w:rPr>
              <w:t>  </w:t>
            </w:r>
            <w:r>
              <w:rPr>
                <w:rFonts w:hint="eastAsia" w:ascii="仿宋_GB2312" w:eastAsia="仿宋_GB2312"/>
                <w:kern w:val="0"/>
                <w:szCs w:val="21"/>
              </w:rPr>
              <w:t xml:space="preserve"> 月</w:t>
            </w:r>
            <w:r>
              <w:rPr>
                <w:rFonts w:eastAsia="仿宋_GB2312"/>
                <w:kern w:val="0"/>
                <w:szCs w:val="21"/>
              </w:rPr>
              <w:t>  </w:t>
            </w:r>
            <w:r>
              <w:rPr>
                <w:rFonts w:hint="eastAsia" w:ascii="仿宋_GB2312" w:eastAsia="仿宋_GB2312"/>
                <w:kern w:val="0"/>
                <w:szCs w:val="21"/>
              </w:rPr>
              <w:t xml:space="preserve"> 日</w:t>
            </w:r>
          </w:p>
        </w:tc>
      </w:tr>
    </w:tbl>
    <w:p w14:paraId="1EC1DDEF">
      <w:pPr>
        <w:spacing w:line="276" w:lineRule="auto"/>
        <w:jc w:val="left"/>
        <w:rPr>
          <w:rFonts w:hint="eastAsia" w:ascii="仿宋_GB2312" w:hAnsi="华文中宋" w:eastAsia="仿宋_GB2312"/>
          <w:bCs/>
          <w:szCs w:val="21"/>
        </w:rPr>
      </w:pPr>
    </w:p>
    <w:p w14:paraId="0E6BC9C8">
      <w:pPr>
        <w:spacing w:line="276" w:lineRule="auto"/>
        <w:jc w:val="left"/>
        <w:rPr>
          <w:rFonts w:hint="eastAsia" w:ascii="仿宋_GB2312" w:hAnsi="华文中宋" w:eastAsia="仿宋_GB2312"/>
          <w:b/>
          <w:bCs/>
          <w:szCs w:val="21"/>
        </w:rPr>
      </w:pPr>
      <w:r>
        <w:rPr>
          <w:rFonts w:hint="eastAsia" w:ascii="仿宋_GB2312" w:hAnsi="华文中宋" w:eastAsia="仿宋_GB2312"/>
          <w:b/>
          <w:bCs/>
          <w:szCs w:val="21"/>
        </w:rPr>
        <w:t>备注：本验收书一式三份（采购人一份、中标人一份、采购代理机构一份）</w:t>
      </w:r>
    </w:p>
    <w:bookmarkEnd w:id="73"/>
    <w:p w14:paraId="0E3676DC">
      <w:pPr>
        <w:snapToGrid w:val="0"/>
        <w:jc w:val="left"/>
        <w:rPr>
          <w:rFonts w:hint="eastAsia" w:ascii="仿宋_GB2312" w:hAnsi="华文中宋" w:eastAsia="仿宋_GB2312"/>
          <w:b/>
          <w:szCs w:val="21"/>
        </w:rPr>
      </w:pPr>
    </w:p>
    <w:p w14:paraId="68E66C27">
      <w:pPr>
        <w:spacing w:line="276" w:lineRule="auto"/>
        <w:jc w:val="center"/>
        <w:rPr>
          <w:rFonts w:hint="eastAsia" w:ascii="仿宋_GB2312" w:hAnsi="华文中宋" w:eastAsia="仿宋_GB2312"/>
          <w:bCs/>
          <w:sz w:val="32"/>
          <w:szCs w:val="32"/>
        </w:rPr>
      </w:pPr>
    </w:p>
    <w:p w14:paraId="6AD01318">
      <w:pPr>
        <w:spacing w:line="276" w:lineRule="auto"/>
        <w:jc w:val="center"/>
        <w:rPr>
          <w:rFonts w:hint="eastAsia" w:ascii="仿宋_GB2312" w:hAnsi="华文中宋" w:eastAsia="仿宋_GB2312"/>
          <w:bCs/>
          <w:sz w:val="32"/>
          <w:szCs w:val="32"/>
        </w:rPr>
      </w:pPr>
    </w:p>
    <w:p w14:paraId="1E67423C">
      <w:pPr>
        <w:spacing w:line="276" w:lineRule="auto"/>
        <w:jc w:val="center"/>
        <w:rPr>
          <w:rFonts w:hint="eastAsia" w:ascii="仿宋_GB2312" w:hAnsi="华文中宋" w:eastAsia="仿宋_GB2312"/>
          <w:bCs/>
          <w:sz w:val="32"/>
          <w:szCs w:val="32"/>
        </w:rPr>
      </w:pPr>
    </w:p>
    <w:p w14:paraId="03140DB8">
      <w:pPr>
        <w:spacing w:line="276" w:lineRule="auto"/>
        <w:jc w:val="center"/>
        <w:rPr>
          <w:rFonts w:hint="eastAsia" w:ascii="仿宋_GB2312" w:hAnsi="华文中宋" w:eastAsia="仿宋_GB2312"/>
          <w:bCs/>
          <w:sz w:val="32"/>
          <w:szCs w:val="32"/>
        </w:rPr>
      </w:pPr>
    </w:p>
    <w:p w14:paraId="63864B89">
      <w:pPr>
        <w:spacing w:line="276" w:lineRule="auto"/>
        <w:jc w:val="center"/>
        <w:rPr>
          <w:rFonts w:hint="eastAsia" w:ascii="仿宋_GB2312" w:hAnsi="华文中宋" w:eastAsia="仿宋_GB2312"/>
          <w:bCs/>
          <w:sz w:val="32"/>
          <w:szCs w:val="32"/>
        </w:rPr>
      </w:pPr>
    </w:p>
    <w:sectPr>
      <w:footerReference r:id="rId7" w:type="default"/>
      <w:pgSz w:w="11906" w:h="16838"/>
      <w:pgMar w:top="1440" w:right="1440" w:bottom="1440" w:left="1440" w:header="851" w:footer="992" w:gutter="0"/>
      <w:cols w:space="720" w:num="1"/>
      <w:docGrid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86"/>
    <w:family w:val="auto"/>
    <w:pitch w:val="default"/>
    <w:sig w:usb0="E0002AFF" w:usb1="C0007841" w:usb2="00000009" w:usb3="00000000" w:csb0="400001FF" w:csb1="FFFF0000"/>
  </w:font>
  <w:font w:name="宋体">
    <w:panose1 w:val="02010600030101010101"/>
    <w:charset w:val="50"/>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AFF" w:usb1="C0007843" w:usb2="00000009" w:usb3="00000000" w:csb0="400001FF" w:csb1="FFFF0000"/>
    <w:embedRegular r:id="rId1" w:fontKey="{1FD4A637-88DB-4705-84D6-F2A76E6B7FDC}"/>
  </w:font>
  <w:font w:name="黑体">
    <w:panose1 w:val="02010609060101010101"/>
    <w:charset w:val="86"/>
    <w:family w:val="auto"/>
    <w:pitch w:val="default"/>
    <w:sig w:usb0="800002BF" w:usb1="38CF7CFA" w:usb2="00000016" w:usb3="00000000" w:csb0="00040001" w:csb1="00000000"/>
    <w:embedRegular r:id="rId2" w:fontKey="{E45F57EE-43B2-48D9-8E2E-6338E121DB86}"/>
  </w:font>
  <w:font w:name="Courier New">
    <w:panose1 w:val="02070309020205020404"/>
    <w:charset w:val="01"/>
    <w:family w:val="modern"/>
    <w:pitch w:val="default"/>
    <w:sig w:usb0="E0002AFF" w:usb1="C0007843" w:usb2="00000009" w:usb3="00000000" w:csb0="400001FF" w:csb1="FFFF0000"/>
    <w:embedRegular r:id="rId3" w:fontKey="{7DAFF842-69B7-4F03-ACDD-C3A10D40E90F}"/>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00002FF" w:usb1="4000ACFF" w:usb2="00000001" w:usb3="00000000" w:csb0="2000019F" w:csb1="00000000"/>
    <w:embedRegular r:id="rId4" w:fontKey="{E34127AF-C1F3-494B-A621-CBB4178A716E}"/>
  </w:font>
  <w:font w:name="隶书">
    <w:panose1 w:val="02010509060101010101"/>
    <w:charset w:val="86"/>
    <w:family w:val="modern"/>
    <w:pitch w:val="default"/>
    <w:sig w:usb0="00000001" w:usb1="080E0000" w:usb2="00000000" w:usb3="00000000" w:csb0="00040000" w:csb1="00000000"/>
  </w:font>
  <w:font w:name="Tahoma">
    <w:panose1 w:val="020B0604030504040204"/>
    <w:charset w:val="00"/>
    <w:family w:val="swiss"/>
    <w:pitch w:val="default"/>
    <w:sig w:usb0="E1002EFF" w:usb1="C000605B" w:usb2="00000029" w:usb3="00000000" w:csb0="200101FF" w:csb1="20280000"/>
  </w:font>
  <w:font w:name="新宋体">
    <w:panose1 w:val="02010609030101010101"/>
    <w:charset w:val="86"/>
    <w:family w:val="modern"/>
    <w:pitch w:val="default"/>
    <w:sig w:usb0="00000003" w:usb1="288F0000" w:usb2="00000006" w:usb3="00000000" w:csb0="00040001" w:csb1="00000000"/>
  </w:font>
  <w:font w:name="Verdana">
    <w:panose1 w:val="020B0604030504040204"/>
    <w:charset w:val="00"/>
    <w:family w:val="swiss"/>
    <w:pitch w:val="default"/>
    <w:sig w:usb0="A10006FF" w:usb1="4000205B" w:usb2="00000010" w:usb3="00000000" w:csb0="2000019F" w:csb1="00000000"/>
  </w:font>
  <w:font w:name="华文细黑">
    <w:panose1 w:val="02010600040101010101"/>
    <w:charset w:val="86"/>
    <w:family w:val="auto"/>
    <w:pitch w:val="default"/>
    <w:sig w:usb0="00000287" w:usb1="080F0000" w:usb2="00000000" w:usb3="00000000" w:csb0="0004009F" w:csb1="DFD70000"/>
  </w:font>
  <w:font w:name="仿宋_GB2312">
    <w:panose1 w:val="02010609030101010101"/>
    <w:charset w:val="86"/>
    <w:family w:val="modern"/>
    <w:pitch w:val="default"/>
    <w:sig w:usb0="00000001" w:usb1="080E0000" w:usb2="00000000" w:usb3="00000000" w:csb0="00040000" w:csb1="00000000"/>
    <w:embedRegular r:id="rId5" w:fontKey="{E1EF4D71-7BFE-4FDB-BFB8-3A18EA829735}"/>
  </w:font>
  <w:font w:name="方正大黑简体2.">
    <w:altName w:val="黑体"/>
    <w:panose1 w:val="00000000000000000000"/>
    <w:charset w:val="86"/>
    <w:family w:val="swiss"/>
    <w:pitch w:val="default"/>
    <w:sig w:usb0="00000000" w:usb1="00000000" w:usb2="00000010" w:usb3="00000000" w:csb0="00040000" w:csb1="00000000"/>
  </w:font>
  <w:font w:name="Arial Unicode MS">
    <w:panose1 w:val="020B0604020202020204"/>
    <w:charset w:val="86"/>
    <w:family w:val="swiss"/>
    <w:pitch w:val="default"/>
    <w:sig w:usb0="FFFFFFFF" w:usb1="E9FFFFFF" w:usb2="0000003F" w:usb3="00000000" w:csb0="603F01FF" w:csb1="FFFF0000"/>
  </w:font>
  <w:font w:name="楷体_GB2312">
    <w:altName w:val="楷体"/>
    <w:panose1 w:val="00000000000000000000"/>
    <w:charset w:val="86"/>
    <w:family w:val="modern"/>
    <w:pitch w:val="default"/>
    <w:sig w:usb0="00000000" w:usb1="00000000" w:usb2="00000000" w:usb3="00000000" w:csb0="00040000" w:csb1="00000000"/>
    <w:embedRegular r:id="rId6" w:fontKey="{6EF07170-855E-4065-B764-923AE956076F}"/>
  </w:font>
  <w:font w:name="楷体">
    <w:panose1 w:val="02010609060101010101"/>
    <w:charset w:val="86"/>
    <w:family w:val="modern"/>
    <w:pitch w:val="default"/>
    <w:sig w:usb0="800002BF" w:usb1="38CF7CFA" w:usb2="00000016" w:usb3="00000000" w:csb0="00040001" w:csb1="00000000"/>
    <w:embedRegular r:id="rId7" w:fontKey="{A1F660E0-198F-4807-8C72-99D0CD5BE4C5}"/>
  </w:font>
  <w:font w:name="等线 Light">
    <w:altName w:val="宋体"/>
    <w:panose1 w:val="02010600030101010101"/>
    <w:charset w:val="86"/>
    <w:family w:val="auto"/>
    <w:pitch w:val="default"/>
    <w:sig w:usb0="00000000" w:usb1="00000000" w:usb2="00000016" w:usb3="00000000" w:csb0="0004000F" w:csb1="00000000"/>
  </w:font>
  <w:font w:name="等线">
    <w:panose1 w:val="02010600030101010101"/>
    <w:charset w:val="86"/>
    <w:family w:val="auto"/>
    <w:pitch w:val="default"/>
    <w:sig w:usb0="A00002BF" w:usb1="38CF7CFA" w:usb2="00000016" w:usb3="00000000" w:csb0="0004000F" w:csb1="00000000"/>
    <w:embedRegular r:id="rId8" w:fontKey="{3AC1C030-4806-48EA-9677-B06256D3084E}"/>
  </w:font>
  <w:font w:name="华文新魏">
    <w:panose1 w:val="02010800040101010101"/>
    <w:charset w:val="86"/>
    <w:family w:val="auto"/>
    <w:pitch w:val="default"/>
    <w:sig w:usb0="00000001" w:usb1="080F0000" w:usb2="00000000" w:usb3="00000000" w:csb0="00040000" w:csb1="00000000"/>
    <w:embedRegular r:id="rId9" w:fontKey="{5EB65431-29A3-45ED-B34A-F3C7DE99B927}"/>
  </w:font>
  <w:font w:name="华文中宋">
    <w:panose1 w:val="02010600040101010101"/>
    <w:charset w:val="86"/>
    <w:family w:val="auto"/>
    <w:pitch w:val="default"/>
    <w:sig w:usb0="00000287" w:usb1="080F0000" w:usb2="00000000" w:usb3="00000000" w:csb0="0004009F" w:csb1="DFD70000"/>
    <w:embedRegular r:id="rId10" w:fontKey="{84F5B2D4-D6F2-466C-9E9F-5B4482CA2BB6}"/>
  </w:font>
  <w:font w:name="仿宋">
    <w:panose1 w:val="02010609060101010101"/>
    <w:charset w:val="86"/>
    <w:family w:val="modern"/>
    <w:pitch w:val="default"/>
    <w:sig w:usb0="800002BF" w:usb1="38CF7CFA" w:usb2="00000016" w:usb3="00000000" w:csb0="00040001" w:csb1="00000000"/>
    <w:embedRegular r:id="rId11" w:fontKey="{DFEF46E7-3602-4F08-9C69-8F67B1DB440B}"/>
  </w:font>
  <w:font w:name="方正仿宋_GB2312">
    <w:altName w:val="仿宋"/>
    <w:panose1 w:val="02000000000000000000"/>
    <w:charset w:val="86"/>
    <w:family w:val="auto"/>
    <w:pitch w:val="default"/>
    <w:sig w:usb0="00000000" w:usb1="00000000" w:usb2="00000012" w:usb3="00000000" w:csb0="00040001" w:csb1="00000000"/>
    <w:embedRegular r:id="rId12" w:fontKey="{7345C91F-599E-4C9F-9A34-264299FFF92F}"/>
  </w:font>
  <w:font w:name="微软雅黑">
    <w:panose1 w:val="020B0503020204020204"/>
    <w:charset w:val="86"/>
    <w:family w:val="auto"/>
    <w:pitch w:val="default"/>
    <w:sig w:usb0="80000287" w:usb1="280F3C52" w:usb2="00000016" w:usb3="00000000" w:csb0="0004001F" w:csb1="00000000"/>
    <w:embedRegular r:id="rId13" w:fontKey="{7E66E500-8D93-46C0-9BF8-B6DFC4A47948}"/>
  </w:font>
  <w:font w:name="等线">
    <w:panose1 w:val="02010600030101010101"/>
    <w:charset w:val="86"/>
    <w:family w:val="auto"/>
    <w:pitch w:val="default"/>
    <w:sig w:usb0="A00002BF" w:usb1="38CF7CFA" w:usb2="00000016" w:usb3="00000000" w:csb0="0004000F" w:csb1="00000000"/>
    <w:embedRegular r:id="rId14" w:fontKey="{DC0872C8-AF2A-47AC-8DBA-9CF367C1A116}"/>
  </w:font>
  <w:font w:name="WPSEMBED1">
    <w:panose1 w:val="02010600030101010101"/>
    <w:charset w:val="86"/>
    <w:family w:val="auto"/>
    <w:pitch w:val="default"/>
    <w:sig w:usb0="A00002BF" w:usb1="38CF7CFA" w:usb2="00000016" w:usb3="00000000" w:csb0="0004000F" w:csb1="00000000"/>
  </w:font>
  <w:font w:name="Gulim">
    <w:panose1 w:val="020B0600000101010101"/>
    <w:charset w:val="81"/>
    <w:family w:val="auto"/>
    <w:pitch w:val="default"/>
    <w:sig w:usb0="B00002AF" w:usb1="69D77CFB" w:usb2="00000030" w:usb3="00000000" w:csb0="4008009F" w:csb1="DFD70000"/>
  </w:font>
  <w:font w:name="等线 Light">
    <w:altName w:val="Segoe Print"/>
    <w:panose1 w:val="00000000000000000000"/>
    <w:charset w:val="00"/>
    <w:family w:val="auto"/>
    <w:pitch w:val="default"/>
    <w:sig w:usb0="00000000" w:usb1="00000000" w:usb2="00000000" w:usb3="00000000" w:csb0="00000000" w:csb1="00000000"/>
  </w:font>
  <w:font w:name="Segoe Print">
    <w:panose1 w:val="02000600000000000000"/>
    <w:charset w:val="00"/>
    <w:family w:val="auto"/>
    <w:pitch w:val="default"/>
    <w:sig w:usb0="0000028F" w:usb1="00000000" w:usb2="00000000" w:usb3="00000000" w:csb0="2000009F" w:csb1="4701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7EEBB0F">
    <w:pPr>
      <w:pStyle w:val="32"/>
      <w:tabs>
        <w:tab w:val="left" w:pos="6787"/>
        <w:tab w:val="center" w:pos="6979"/>
      </w:tabs>
      <w:jc w:val="center"/>
    </w:pPr>
  </w:p>
  <w:p w14:paraId="68C09498"/>
  <w:p w14:paraId="25C6E4DB"/>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929592D">
    <w:pPr>
      <w:pStyle w:val="32"/>
      <w:tabs>
        <w:tab w:val="left" w:pos="6787"/>
        <w:tab w:val="center" w:pos="6979"/>
      </w:tabs>
      <w:jc w:val="center"/>
    </w:pPr>
  </w:p>
  <w:p w14:paraId="2DC73446"/>
  <w:p w14:paraId="7BE2659F"/>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9AAB596">
    <w:pPr>
      <w:pStyle w:val="32"/>
      <w:tabs>
        <w:tab w:val="left" w:pos="6787"/>
        <w:tab w:val="center" w:pos="6979"/>
      </w:tabs>
      <w:jc w:val="center"/>
    </w:pPr>
    <w:r>
      <w:rPr>
        <w:rFonts w:hint="eastAsia"/>
      </w:rPr>
      <w:fldChar w:fldCharType="begin"/>
    </w:r>
    <w:r>
      <w:rPr>
        <w:rFonts w:hint="eastAsia"/>
      </w:rPr>
      <w:instrText xml:space="preserve"> PAGE  \* MERGEFORMAT </w:instrText>
    </w:r>
    <w:r>
      <w:rPr>
        <w:rFonts w:hint="eastAsia"/>
      </w:rPr>
      <w:fldChar w:fldCharType="separate"/>
    </w:r>
    <w:r>
      <w:t>13</w:t>
    </w:r>
    <w:r>
      <w:rPr>
        <w:rFonts w:hint="eastAsia"/>
      </w:rPr>
      <w:fldChar w:fldCharType="end"/>
    </w:r>
  </w:p>
  <w:p w14:paraId="67BE7116"/>
  <w:p w14:paraId="3BF4D360"/>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217E3A85">
    <w:pPr>
      <w:pStyle w:val="32"/>
      <w:jc w:val="center"/>
    </w:pPr>
    <w:r>
      <w:rPr>
        <w:rFonts w:hint="eastAsia"/>
      </w:rPr>
      <w:fldChar w:fldCharType="begin"/>
    </w:r>
    <w:r>
      <w:rPr>
        <w:rFonts w:hint="eastAsia"/>
      </w:rPr>
      <w:instrText xml:space="preserve"> PAGE  \* MERGEFORMAT </w:instrText>
    </w:r>
    <w:r>
      <w:rPr>
        <w:rFonts w:hint="eastAsia"/>
      </w:rPr>
      <w:fldChar w:fldCharType="separate"/>
    </w:r>
    <w:r>
      <w:t>47</w:t>
    </w:r>
    <w:r>
      <w:rPr>
        <w:rFonts w:hint="eastAsia"/>
      </w:rPr>
      <w:fldChar w:fldCharType="end"/>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11DC364">
    <w:pPr>
      <w:pStyle w:val="33"/>
      <w:jc w:val="right"/>
      <w:rPr>
        <w:b/>
        <w:color w:val="000000"/>
      </w:rPr>
    </w:pPr>
    <w:r>
      <w:rPr>
        <w:b/>
      </w:rPr>
      <w:t>中小学增补及常规电教设备采购</w:t>
    </w:r>
    <w:r>
      <w:rPr>
        <w:rFonts w:hint="eastAsia"/>
        <w:b/>
      </w:rPr>
      <w:t>（</w:t>
    </w:r>
    <w:r>
      <w:rPr>
        <w:b/>
      </w:rPr>
      <w:t>LZZC2025-G1-990813-LZSZ</w:t>
    </w:r>
    <w:r>
      <w:rPr>
        <w:rFonts w:hint="eastAsia"/>
        <w:b/>
      </w:rPr>
      <w:t xml:space="preserve">）   </w:t>
    </w:r>
    <w:r>
      <w:rPr>
        <w:rFonts w:hint="eastAsia"/>
        <w:b/>
        <w:i/>
      </w:rPr>
      <w:t xml:space="preserve">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980E76F2"/>
    <w:multiLevelType w:val="singleLevel"/>
    <w:tmpl w:val="980E76F2"/>
    <w:lvl w:ilvl="0" w:tentative="0">
      <w:start w:val="1"/>
      <w:numFmt w:val="decimal"/>
      <w:lvlText w:val="%1."/>
      <w:lvlJc w:val="left"/>
      <w:pPr>
        <w:tabs>
          <w:tab w:val="left" w:pos="312"/>
        </w:tabs>
      </w:pPr>
    </w:lvl>
  </w:abstractNum>
  <w:abstractNum w:abstractNumId="1">
    <w:nsid w:val="B11E04EC"/>
    <w:multiLevelType w:val="singleLevel"/>
    <w:tmpl w:val="B11E04EC"/>
    <w:lvl w:ilvl="0" w:tentative="0">
      <w:start w:val="1"/>
      <w:numFmt w:val="decimal"/>
      <w:lvlText w:val="%1."/>
      <w:lvlJc w:val="left"/>
      <w:pPr>
        <w:tabs>
          <w:tab w:val="left" w:pos="312"/>
        </w:tabs>
      </w:pPr>
    </w:lvl>
  </w:abstractNum>
  <w:abstractNum w:abstractNumId="2">
    <w:nsid w:val="B668EE9E"/>
    <w:multiLevelType w:val="singleLevel"/>
    <w:tmpl w:val="B668EE9E"/>
    <w:lvl w:ilvl="0" w:tentative="0">
      <w:start w:val="1"/>
      <w:numFmt w:val="decimal"/>
      <w:lvlText w:val="%1."/>
      <w:lvlJc w:val="left"/>
      <w:pPr>
        <w:tabs>
          <w:tab w:val="left" w:pos="312"/>
        </w:tabs>
      </w:pPr>
    </w:lvl>
  </w:abstractNum>
  <w:abstractNum w:abstractNumId="3">
    <w:nsid w:val="B8B0CCEE"/>
    <w:multiLevelType w:val="singleLevel"/>
    <w:tmpl w:val="B8B0CCEE"/>
    <w:lvl w:ilvl="0" w:tentative="0">
      <w:start w:val="1"/>
      <w:numFmt w:val="decimal"/>
      <w:lvlText w:val="%1."/>
      <w:lvlJc w:val="left"/>
      <w:pPr>
        <w:tabs>
          <w:tab w:val="left" w:pos="312"/>
        </w:tabs>
      </w:pPr>
    </w:lvl>
  </w:abstractNum>
  <w:abstractNum w:abstractNumId="4">
    <w:nsid w:val="D4F9CB13"/>
    <w:multiLevelType w:val="singleLevel"/>
    <w:tmpl w:val="D4F9CB13"/>
    <w:lvl w:ilvl="0" w:tentative="0">
      <w:start w:val="1"/>
      <w:numFmt w:val="decimal"/>
      <w:lvlText w:val="%1."/>
      <w:lvlJc w:val="left"/>
      <w:pPr>
        <w:tabs>
          <w:tab w:val="left" w:pos="312"/>
        </w:tabs>
      </w:pPr>
    </w:lvl>
  </w:abstractNum>
  <w:abstractNum w:abstractNumId="5">
    <w:nsid w:val="E8763744"/>
    <w:multiLevelType w:val="singleLevel"/>
    <w:tmpl w:val="E8763744"/>
    <w:lvl w:ilvl="0" w:tentative="0">
      <w:start w:val="1"/>
      <w:numFmt w:val="decimal"/>
      <w:lvlText w:val="%1."/>
      <w:lvlJc w:val="left"/>
      <w:pPr>
        <w:tabs>
          <w:tab w:val="left" w:pos="312"/>
        </w:tabs>
      </w:pPr>
    </w:lvl>
  </w:abstractNum>
  <w:abstractNum w:abstractNumId="6">
    <w:nsid w:val="08FD0A51"/>
    <w:multiLevelType w:val="multilevel"/>
    <w:tmpl w:val="08FD0A51"/>
    <w:lvl w:ilvl="0" w:tentative="0">
      <w:start w:val="1"/>
      <w:numFmt w:val="decimal"/>
      <w:suff w:val="nothing"/>
      <w:lvlText w:val="（%1）"/>
      <w:lvlJc w:val="left"/>
      <w:pPr>
        <w:ind w:left="0" w:firstLine="430"/>
      </w:pPr>
      <w:rPr>
        <w:rFonts w:hint="eastAsia"/>
      </w:rPr>
    </w:lvl>
    <w:lvl w:ilvl="1" w:tentative="0">
      <w:start w:val="1"/>
      <w:numFmt w:val="lowerLetter"/>
      <w:lvlText w:val="%2)"/>
      <w:lvlJc w:val="left"/>
      <w:pPr>
        <w:tabs>
          <w:tab w:val="left" w:pos="1470"/>
        </w:tabs>
        <w:ind w:left="1470" w:hanging="420"/>
      </w:pPr>
      <w:rPr>
        <w:rFonts w:hint="eastAsia"/>
      </w:rPr>
    </w:lvl>
    <w:lvl w:ilvl="2" w:tentative="0">
      <w:start w:val="1"/>
      <w:numFmt w:val="lowerRoman"/>
      <w:lvlText w:val="%3."/>
      <w:lvlJc w:val="right"/>
      <w:pPr>
        <w:tabs>
          <w:tab w:val="left" w:pos="1890"/>
        </w:tabs>
        <w:ind w:left="1890" w:hanging="420"/>
      </w:pPr>
      <w:rPr>
        <w:rFonts w:hint="eastAsia"/>
      </w:rPr>
    </w:lvl>
    <w:lvl w:ilvl="3" w:tentative="0">
      <w:start w:val="1"/>
      <w:numFmt w:val="decimal"/>
      <w:lvlText w:val="%4."/>
      <w:lvlJc w:val="left"/>
      <w:pPr>
        <w:tabs>
          <w:tab w:val="left" w:pos="2310"/>
        </w:tabs>
        <w:ind w:left="2310" w:hanging="420"/>
      </w:pPr>
      <w:rPr>
        <w:rFonts w:hint="eastAsia"/>
      </w:rPr>
    </w:lvl>
    <w:lvl w:ilvl="4" w:tentative="0">
      <w:start w:val="1"/>
      <w:numFmt w:val="lowerLetter"/>
      <w:lvlText w:val="%5)"/>
      <w:lvlJc w:val="left"/>
      <w:pPr>
        <w:tabs>
          <w:tab w:val="left" w:pos="2730"/>
        </w:tabs>
        <w:ind w:left="2730" w:hanging="420"/>
      </w:pPr>
      <w:rPr>
        <w:rFonts w:hint="eastAsia"/>
      </w:rPr>
    </w:lvl>
    <w:lvl w:ilvl="5" w:tentative="0">
      <w:start w:val="1"/>
      <w:numFmt w:val="lowerRoman"/>
      <w:lvlText w:val="%6."/>
      <w:lvlJc w:val="right"/>
      <w:pPr>
        <w:tabs>
          <w:tab w:val="left" w:pos="3150"/>
        </w:tabs>
        <w:ind w:left="3150" w:hanging="420"/>
      </w:pPr>
      <w:rPr>
        <w:rFonts w:hint="eastAsia"/>
      </w:rPr>
    </w:lvl>
    <w:lvl w:ilvl="6" w:tentative="0">
      <w:start w:val="1"/>
      <w:numFmt w:val="decimal"/>
      <w:lvlText w:val="%7."/>
      <w:lvlJc w:val="left"/>
      <w:pPr>
        <w:tabs>
          <w:tab w:val="left" w:pos="3570"/>
        </w:tabs>
        <w:ind w:left="3570" w:hanging="420"/>
      </w:pPr>
      <w:rPr>
        <w:rFonts w:hint="eastAsia"/>
      </w:rPr>
    </w:lvl>
    <w:lvl w:ilvl="7" w:tentative="0">
      <w:start w:val="1"/>
      <w:numFmt w:val="lowerLetter"/>
      <w:lvlText w:val="%8)"/>
      <w:lvlJc w:val="left"/>
      <w:pPr>
        <w:tabs>
          <w:tab w:val="left" w:pos="3990"/>
        </w:tabs>
        <w:ind w:left="3990" w:hanging="420"/>
      </w:pPr>
      <w:rPr>
        <w:rFonts w:hint="eastAsia"/>
      </w:rPr>
    </w:lvl>
    <w:lvl w:ilvl="8" w:tentative="0">
      <w:start w:val="1"/>
      <w:numFmt w:val="lowerRoman"/>
      <w:lvlText w:val="%9."/>
      <w:lvlJc w:val="right"/>
      <w:pPr>
        <w:tabs>
          <w:tab w:val="left" w:pos="4410"/>
        </w:tabs>
        <w:ind w:left="4410" w:hanging="420"/>
      </w:pPr>
      <w:rPr>
        <w:rFonts w:hint="eastAsia"/>
      </w:rPr>
    </w:lvl>
  </w:abstractNum>
  <w:abstractNum w:abstractNumId="7">
    <w:nsid w:val="09256FDA"/>
    <w:multiLevelType w:val="multilevel"/>
    <w:tmpl w:val="09256FDA"/>
    <w:lvl w:ilvl="0" w:tentative="0">
      <w:start w:val="1"/>
      <w:numFmt w:val="chineseCountingThousand"/>
      <w:pStyle w:val="100"/>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pStyle w:val="9"/>
      <w:lvlText w:val="%5)"/>
      <w:lvlJc w:val="left"/>
      <w:pPr>
        <w:ind w:left="2580" w:hanging="420"/>
      </w:pPr>
    </w:lvl>
    <w:lvl w:ilvl="5" w:tentative="0">
      <w:start w:val="1"/>
      <w:numFmt w:val="lowerRoman"/>
      <w:pStyle w:val="11"/>
      <w:lvlText w:val="%6."/>
      <w:lvlJc w:val="right"/>
      <w:pPr>
        <w:ind w:left="3000" w:hanging="420"/>
      </w:pPr>
    </w:lvl>
    <w:lvl w:ilvl="6" w:tentative="0">
      <w:start w:val="1"/>
      <w:numFmt w:val="decimal"/>
      <w:pStyle w:val="12"/>
      <w:lvlText w:val="%7."/>
      <w:lvlJc w:val="left"/>
      <w:pPr>
        <w:ind w:left="3420" w:hanging="420"/>
      </w:pPr>
    </w:lvl>
    <w:lvl w:ilvl="7" w:tentative="0">
      <w:start w:val="1"/>
      <w:numFmt w:val="lowerLetter"/>
      <w:pStyle w:val="13"/>
      <w:lvlText w:val="%8)"/>
      <w:lvlJc w:val="left"/>
      <w:pPr>
        <w:ind w:left="3840" w:hanging="420"/>
      </w:pPr>
    </w:lvl>
    <w:lvl w:ilvl="8" w:tentative="0">
      <w:start w:val="1"/>
      <w:numFmt w:val="lowerRoman"/>
      <w:pStyle w:val="14"/>
      <w:lvlText w:val="%9."/>
      <w:lvlJc w:val="right"/>
      <w:pPr>
        <w:ind w:left="4260" w:hanging="420"/>
      </w:pPr>
    </w:lvl>
  </w:abstractNum>
  <w:abstractNum w:abstractNumId="8">
    <w:nsid w:val="17F68A39"/>
    <w:multiLevelType w:val="singleLevel"/>
    <w:tmpl w:val="17F68A39"/>
    <w:lvl w:ilvl="0" w:tentative="0">
      <w:start w:val="1"/>
      <w:numFmt w:val="decimal"/>
      <w:lvlText w:val="%1."/>
      <w:lvlJc w:val="left"/>
      <w:pPr>
        <w:tabs>
          <w:tab w:val="left" w:pos="312"/>
        </w:tabs>
      </w:pPr>
    </w:lvl>
  </w:abstractNum>
  <w:abstractNum w:abstractNumId="9">
    <w:nsid w:val="20658ECC"/>
    <w:multiLevelType w:val="singleLevel"/>
    <w:tmpl w:val="20658ECC"/>
    <w:lvl w:ilvl="0" w:tentative="0">
      <w:start w:val="1"/>
      <w:numFmt w:val="decimal"/>
      <w:lvlText w:val="%1."/>
      <w:lvlJc w:val="left"/>
      <w:pPr>
        <w:tabs>
          <w:tab w:val="left" w:pos="312"/>
        </w:tabs>
      </w:pPr>
    </w:lvl>
  </w:abstractNum>
  <w:abstractNum w:abstractNumId="10">
    <w:nsid w:val="324507D2"/>
    <w:multiLevelType w:val="singleLevel"/>
    <w:tmpl w:val="324507D2"/>
    <w:lvl w:ilvl="0" w:tentative="0">
      <w:start w:val="1"/>
      <w:numFmt w:val="decimal"/>
      <w:lvlText w:val="%1."/>
      <w:lvlJc w:val="left"/>
      <w:pPr>
        <w:tabs>
          <w:tab w:val="left" w:pos="312"/>
        </w:tabs>
      </w:pPr>
    </w:lvl>
  </w:abstractNum>
  <w:abstractNum w:abstractNumId="11">
    <w:nsid w:val="33E1BE3C"/>
    <w:multiLevelType w:val="singleLevel"/>
    <w:tmpl w:val="33E1BE3C"/>
    <w:lvl w:ilvl="0" w:tentative="0">
      <w:start w:val="1"/>
      <w:numFmt w:val="decimal"/>
      <w:lvlText w:val="%1."/>
      <w:lvlJc w:val="left"/>
      <w:pPr>
        <w:tabs>
          <w:tab w:val="left" w:pos="312"/>
        </w:tabs>
      </w:pPr>
    </w:lvl>
  </w:abstractNum>
  <w:abstractNum w:abstractNumId="12">
    <w:nsid w:val="6FA432BB"/>
    <w:multiLevelType w:val="singleLevel"/>
    <w:tmpl w:val="6FA432BB"/>
    <w:lvl w:ilvl="0" w:tentative="0">
      <w:start w:val="1"/>
      <w:numFmt w:val="decimal"/>
      <w:lvlText w:val="%1."/>
      <w:lvlJc w:val="left"/>
      <w:pPr>
        <w:tabs>
          <w:tab w:val="left" w:pos="312"/>
        </w:tabs>
      </w:pPr>
    </w:lvl>
  </w:abstractNum>
  <w:num w:numId="1">
    <w:abstractNumId w:val="7"/>
  </w:num>
  <w:num w:numId="2">
    <w:abstractNumId w:val="0"/>
  </w:num>
  <w:num w:numId="3">
    <w:abstractNumId w:val="5"/>
  </w:num>
  <w:num w:numId="4">
    <w:abstractNumId w:val="9"/>
  </w:num>
  <w:num w:numId="5">
    <w:abstractNumId w:val="3"/>
  </w:num>
  <w:num w:numId="6">
    <w:abstractNumId w:val="11"/>
  </w:num>
  <w:num w:numId="7">
    <w:abstractNumId w:val="2"/>
  </w:num>
  <w:num w:numId="8">
    <w:abstractNumId w:val="8"/>
  </w:num>
  <w:num w:numId="9">
    <w:abstractNumId w:val="10"/>
  </w:num>
  <w:num w:numId="10">
    <w:abstractNumId w:val="1"/>
  </w:num>
  <w:num w:numId="11">
    <w:abstractNumId w:val="12"/>
  </w:num>
  <w:num w:numId="12">
    <w:abstractNumId w:val="4"/>
  </w:num>
  <w:num w:numId="13">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nforcement="0"/>
  <w:defaultTabStop w:val="420"/>
  <w:drawingGridHorizontalSpacing w:val="105"/>
  <w:drawingGridVerticalSpacing w:val="156"/>
  <w:displayHorizontalDrawingGridEvery w:val="1"/>
  <w:displayVerticalDrawingGridEvery w:val="1"/>
  <w:noPunctuationKerning w:val="1"/>
  <w:characterSpacingControl w:val="compressPunctuation"/>
  <w:doNotValidateAgainstSchema/>
  <w:doNotDemarcateInvalidXml/>
  <w:compat>
    <w:spaceForUL/>
    <w:balanceSingleByteDoubleByteWidth/>
    <w:doNotLeaveBackslashAlone/>
    <w:ulTrailSpace/>
    <w:doNotExpandShiftReturn/>
    <w:adjustLineHeightInTable/>
    <w:doNotWrapTextWithPunct/>
    <w:doNotUseEastAsianBreakRules/>
    <w:useFELayout/>
    <w:doNotUseIndentAsNumberingTabStop/>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ZmUzNTMyMGVkNWM5ZjJkZmYyZWM2NTFjMDUyYjVjMWUifQ=="/>
  </w:docVars>
  <w:rsids>
    <w:rsidRoot w:val="00172A27"/>
    <w:rsid w:val="00000098"/>
    <w:rsid w:val="00000235"/>
    <w:rsid w:val="00000BE6"/>
    <w:rsid w:val="00000F70"/>
    <w:rsid w:val="00001419"/>
    <w:rsid w:val="00001E3D"/>
    <w:rsid w:val="0000234F"/>
    <w:rsid w:val="00002B91"/>
    <w:rsid w:val="000031DB"/>
    <w:rsid w:val="0000367B"/>
    <w:rsid w:val="000043C7"/>
    <w:rsid w:val="00004F6D"/>
    <w:rsid w:val="00006D60"/>
    <w:rsid w:val="00007042"/>
    <w:rsid w:val="000070F9"/>
    <w:rsid w:val="00007A45"/>
    <w:rsid w:val="00007B12"/>
    <w:rsid w:val="00007FF7"/>
    <w:rsid w:val="0001002C"/>
    <w:rsid w:val="00010AB6"/>
    <w:rsid w:val="00011112"/>
    <w:rsid w:val="00011DB7"/>
    <w:rsid w:val="000120AA"/>
    <w:rsid w:val="000124DA"/>
    <w:rsid w:val="00012763"/>
    <w:rsid w:val="00014960"/>
    <w:rsid w:val="000157B1"/>
    <w:rsid w:val="00015FB9"/>
    <w:rsid w:val="00016048"/>
    <w:rsid w:val="00016E1D"/>
    <w:rsid w:val="00016E4A"/>
    <w:rsid w:val="00017814"/>
    <w:rsid w:val="00017B02"/>
    <w:rsid w:val="00017C23"/>
    <w:rsid w:val="000210A2"/>
    <w:rsid w:val="000219E7"/>
    <w:rsid w:val="00021D18"/>
    <w:rsid w:val="00022A08"/>
    <w:rsid w:val="0002382C"/>
    <w:rsid w:val="000239AF"/>
    <w:rsid w:val="00023AD3"/>
    <w:rsid w:val="00024119"/>
    <w:rsid w:val="0002412E"/>
    <w:rsid w:val="0002485B"/>
    <w:rsid w:val="00024AEC"/>
    <w:rsid w:val="000252EF"/>
    <w:rsid w:val="0002533B"/>
    <w:rsid w:val="000257AA"/>
    <w:rsid w:val="00026874"/>
    <w:rsid w:val="000269D2"/>
    <w:rsid w:val="00026A4B"/>
    <w:rsid w:val="00026E44"/>
    <w:rsid w:val="0002705C"/>
    <w:rsid w:val="0002739D"/>
    <w:rsid w:val="000275A8"/>
    <w:rsid w:val="00030068"/>
    <w:rsid w:val="000303E1"/>
    <w:rsid w:val="00031417"/>
    <w:rsid w:val="000317C1"/>
    <w:rsid w:val="00031C8D"/>
    <w:rsid w:val="00031F18"/>
    <w:rsid w:val="0003256E"/>
    <w:rsid w:val="00033587"/>
    <w:rsid w:val="00033A5E"/>
    <w:rsid w:val="000345B3"/>
    <w:rsid w:val="0003560F"/>
    <w:rsid w:val="00035DE8"/>
    <w:rsid w:val="00036947"/>
    <w:rsid w:val="00036DAE"/>
    <w:rsid w:val="00036F4B"/>
    <w:rsid w:val="000374B1"/>
    <w:rsid w:val="00037959"/>
    <w:rsid w:val="00040330"/>
    <w:rsid w:val="0004035E"/>
    <w:rsid w:val="00041165"/>
    <w:rsid w:val="000413E7"/>
    <w:rsid w:val="0004189A"/>
    <w:rsid w:val="00041B52"/>
    <w:rsid w:val="000420F5"/>
    <w:rsid w:val="000424E0"/>
    <w:rsid w:val="00043441"/>
    <w:rsid w:val="00043DAB"/>
    <w:rsid w:val="000442D2"/>
    <w:rsid w:val="000448D9"/>
    <w:rsid w:val="00045374"/>
    <w:rsid w:val="00045718"/>
    <w:rsid w:val="00045B7B"/>
    <w:rsid w:val="00045D55"/>
    <w:rsid w:val="00045D9F"/>
    <w:rsid w:val="00045ED7"/>
    <w:rsid w:val="000466B9"/>
    <w:rsid w:val="00046CD4"/>
    <w:rsid w:val="00046F87"/>
    <w:rsid w:val="00047D7E"/>
    <w:rsid w:val="000514DD"/>
    <w:rsid w:val="00051A31"/>
    <w:rsid w:val="000525BC"/>
    <w:rsid w:val="0005300B"/>
    <w:rsid w:val="0005314B"/>
    <w:rsid w:val="000532B5"/>
    <w:rsid w:val="00053BE0"/>
    <w:rsid w:val="00053ECC"/>
    <w:rsid w:val="000542B6"/>
    <w:rsid w:val="0005446C"/>
    <w:rsid w:val="00054E25"/>
    <w:rsid w:val="000557F4"/>
    <w:rsid w:val="0005591B"/>
    <w:rsid w:val="00056A5C"/>
    <w:rsid w:val="00056AC9"/>
    <w:rsid w:val="00057806"/>
    <w:rsid w:val="00057D70"/>
    <w:rsid w:val="00057E18"/>
    <w:rsid w:val="00057E4E"/>
    <w:rsid w:val="000606E0"/>
    <w:rsid w:val="000614CE"/>
    <w:rsid w:val="00061AB0"/>
    <w:rsid w:val="00061CC0"/>
    <w:rsid w:val="00062121"/>
    <w:rsid w:val="000623FE"/>
    <w:rsid w:val="00062573"/>
    <w:rsid w:val="00062808"/>
    <w:rsid w:val="000630CD"/>
    <w:rsid w:val="00063149"/>
    <w:rsid w:val="00063816"/>
    <w:rsid w:val="0006471C"/>
    <w:rsid w:val="00066221"/>
    <w:rsid w:val="0006731E"/>
    <w:rsid w:val="00070B46"/>
    <w:rsid w:val="00071A83"/>
    <w:rsid w:val="00072BCC"/>
    <w:rsid w:val="00073315"/>
    <w:rsid w:val="000733DE"/>
    <w:rsid w:val="00074052"/>
    <w:rsid w:val="00074393"/>
    <w:rsid w:val="00075F03"/>
    <w:rsid w:val="0007640E"/>
    <w:rsid w:val="000805E3"/>
    <w:rsid w:val="00080A21"/>
    <w:rsid w:val="00080C67"/>
    <w:rsid w:val="00080EB2"/>
    <w:rsid w:val="00080F5E"/>
    <w:rsid w:val="00083B58"/>
    <w:rsid w:val="000847DA"/>
    <w:rsid w:val="0008491C"/>
    <w:rsid w:val="00084BE6"/>
    <w:rsid w:val="00084CBA"/>
    <w:rsid w:val="00085CB2"/>
    <w:rsid w:val="00086CCF"/>
    <w:rsid w:val="00087839"/>
    <w:rsid w:val="00090591"/>
    <w:rsid w:val="000915D8"/>
    <w:rsid w:val="0009163A"/>
    <w:rsid w:val="00091A5B"/>
    <w:rsid w:val="00092194"/>
    <w:rsid w:val="00093209"/>
    <w:rsid w:val="00093BF6"/>
    <w:rsid w:val="00093F42"/>
    <w:rsid w:val="00094599"/>
    <w:rsid w:val="000947E3"/>
    <w:rsid w:val="00095545"/>
    <w:rsid w:val="00095686"/>
    <w:rsid w:val="0009631E"/>
    <w:rsid w:val="00096585"/>
    <w:rsid w:val="0009699D"/>
    <w:rsid w:val="000969C2"/>
    <w:rsid w:val="00096E5F"/>
    <w:rsid w:val="00097575"/>
    <w:rsid w:val="00097FF1"/>
    <w:rsid w:val="000A0086"/>
    <w:rsid w:val="000A05BD"/>
    <w:rsid w:val="000A0C46"/>
    <w:rsid w:val="000A1982"/>
    <w:rsid w:val="000A2813"/>
    <w:rsid w:val="000A2980"/>
    <w:rsid w:val="000A3B7B"/>
    <w:rsid w:val="000A3D56"/>
    <w:rsid w:val="000A4485"/>
    <w:rsid w:val="000A4A59"/>
    <w:rsid w:val="000A4CF3"/>
    <w:rsid w:val="000A4D42"/>
    <w:rsid w:val="000A5208"/>
    <w:rsid w:val="000A5BAA"/>
    <w:rsid w:val="000A5CA2"/>
    <w:rsid w:val="000A649C"/>
    <w:rsid w:val="000A65CD"/>
    <w:rsid w:val="000A71DC"/>
    <w:rsid w:val="000A74C1"/>
    <w:rsid w:val="000A757D"/>
    <w:rsid w:val="000A77C2"/>
    <w:rsid w:val="000B0168"/>
    <w:rsid w:val="000B0C44"/>
    <w:rsid w:val="000B1306"/>
    <w:rsid w:val="000B32EE"/>
    <w:rsid w:val="000B360E"/>
    <w:rsid w:val="000B3B37"/>
    <w:rsid w:val="000B3B9E"/>
    <w:rsid w:val="000B3C9E"/>
    <w:rsid w:val="000B3F01"/>
    <w:rsid w:val="000B4453"/>
    <w:rsid w:val="000B4A85"/>
    <w:rsid w:val="000B5598"/>
    <w:rsid w:val="000B5644"/>
    <w:rsid w:val="000B5B1A"/>
    <w:rsid w:val="000B5B38"/>
    <w:rsid w:val="000B5D37"/>
    <w:rsid w:val="000B6530"/>
    <w:rsid w:val="000B6BF8"/>
    <w:rsid w:val="000C0059"/>
    <w:rsid w:val="000C0454"/>
    <w:rsid w:val="000C09EA"/>
    <w:rsid w:val="000C0E8A"/>
    <w:rsid w:val="000C1070"/>
    <w:rsid w:val="000C12B4"/>
    <w:rsid w:val="000C1CA4"/>
    <w:rsid w:val="000C2FE2"/>
    <w:rsid w:val="000C363F"/>
    <w:rsid w:val="000C53F9"/>
    <w:rsid w:val="000C5F9A"/>
    <w:rsid w:val="000C65E7"/>
    <w:rsid w:val="000C679A"/>
    <w:rsid w:val="000D0DBD"/>
    <w:rsid w:val="000D19B9"/>
    <w:rsid w:val="000D1B36"/>
    <w:rsid w:val="000D24E6"/>
    <w:rsid w:val="000D266C"/>
    <w:rsid w:val="000D27B9"/>
    <w:rsid w:val="000D2ED8"/>
    <w:rsid w:val="000D4981"/>
    <w:rsid w:val="000D4D01"/>
    <w:rsid w:val="000D589B"/>
    <w:rsid w:val="000D5E63"/>
    <w:rsid w:val="000D6747"/>
    <w:rsid w:val="000D6DAD"/>
    <w:rsid w:val="000D75FD"/>
    <w:rsid w:val="000D78A2"/>
    <w:rsid w:val="000D78E1"/>
    <w:rsid w:val="000D7E20"/>
    <w:rsid w:val="000E0700"/>
    <w:rsid w:val="000E179D"/>
    <w:rsid w:val="000E2962"/>
    <w:rsid w:val="000E2C47"/>
    <w:rsid w:val="000E2DED"/>
    <w:rsid w:val="000E31BF"/>
    <w:rsid w:val="000E321F"/>
    <w:rsid w:val="000E37F4"/>
    <w:rsid w:val="000E383E"/>
    <w:rsid w:val="000E3948"/>
    <w:rsid w:val="000E41F0"/>
    <w:rsid w:val="000E4595"/>
    <w:rsid w:val="000E45B8"/>
    <w:rsid w:val="000E478A"/>
    <w:rsid w:val="000E4E7E"/>
    <w:rsid w:val="000E54B2"/>
    <w:rsid w:val="000E55C0"/>
    <w:rsid w:val="000E6995"/>
    <w:rsid w:val="000F0043"/>
    <w:rsid w:val="000F1028"/>
    <w:rsid w:val="000F32BC"/>
    <w:rsid w:val="000F397F"/>
    <w:rsid w:val="000F3B93"/>
    <w:rsid w:val="000F40BA"/>
    <w:rsid w:val="000F43EB"/>
    <w:rsid w:val="000F4885"/>
    <w:rsid w:val="000F53BD"/>
    <w:rsid w:val="000F5D4C"/>
    <w:rsid w:val="000F6A30"/>
    <w:rsid w:val="000F7931"/>
    <w:rsid w:val="000F7C55"/>
    <w:rsid w:val="00100233"/>
    <w:rsid w:val="00100C36"/>
    <w:rsid w:val="00101727"/>
    <w:rsid w:val="00101B32"/>
    <w:rsid w:val="0010269D"/>
    <w:rsid w:val="00102711"/>
    <w:rsid w:val="00102B75"/>
    <w:rsid w:val="0010348F"/>
    <w:rsid w:val="001034A6"/>
    <w:rsid w:val="0010388D"/>
    <w:rsid w:val="00103D5A"/>
    <w:rsid w:val="00104C63"/>
    <w:rsid w:val="0010686F"/>
    <w:rsid w:val="0010717F"/>
    <w:rsid w:val="00107881"/>
    <w:rsid w:val="001106E1"/>
    <w:rsid w:val="0011175F"/>
    <w:rsid w:val="00111A85"/>
    <w:rsid w:val="00112086"/>
    <w:rsid w:val="0011312C"/>
    <w:rsid w:val="001139F7"/>
    <w:rsid w:val="00114253"/>
    <w:rsid w:val="00114844"/>
    <w:rsid w:val="00114E59"/>
    <w:rsid w:val="0011544C"/>
    <w:rsid w:val="00115C23"/>
    <w:rsid w:val="00115EA5"/>
    <w:rsid w:val="00116042"/>
    <w:rsid w:val="001161C6"/>
    <w:rsid w:val="00116772"/>
    <w:rsid w:val="00116AC0"/>
    <w:rsid w:val="00117558"/>
    <w:rsid w:val="0011780D"/>
    <w:rsid w:val="00117BB9"/>
    <w:rsid w:val="0012009A"/>
    <w:rsid w:val="001204FE"/>
    <w:rsid w:val="0012087C"/>
    <w:rsid w:val="00120B9F"/>
    <w:rsid w:val="00120E6A"/>
    <w:rsid w:val="0012216B"/>
    <w:rsid w:val="001223E2"/>
    <w:rsid w:val="0012259A"/>
    <w:rsid w:val="00123378"/>
    <w:rsid w:val="0012444B"/>
    <w:rsid w:val="00125976"/>
    <w:rsid w:val="00126A2C"/>
    <w:rsid w:val="00131D50"/>
    <w:rsid w:val="00131E0E"/>
    <w:rsid w:val="00132238"/>
    <w:rsid w:val="00133A8C"/>
    <w:rsid w:val="00133E96"/>
    <w:rsid w:val="00134C03"/>
    <w:rsid w:val="001353A6"/>
    <w:rsid w:val="001361A9"/>
    <w:rsid w:val="00136235"/>
    <w:rsid w:val="00136A54"/>
    <w:rsid w:val="00136AE6"/>
    <w:rsid w:val="00140691"/>
    <w:rsid w:val="00140BE5"/>
    <w:rsid w:val="0014127E"/>
    <w:rsid w:val="001421C2"/>
    <w:rsid w:val="001423AB"/>
    <w:rsid w:val="00143203"/>
    <w:rsid w:val="0014380F"/>
    <w:rsid w:val="00143C68"/>
    <w:rsid w:val="00143D98"/>
    <w:rsid w:val="00143E53"/>
    <w:rsid w:val="00145440"/>
    <w:rsid w:val="00145754"/>
    <w:rsid w:val="00145F94"/>
    <w:rsid w:val="00145FFF"/>
    <w:rsid w:val="0014656A"/>
    <w:rsid w:val="00146586"/>
    <w:rsid w:val="00147305"/>
    <w:rsid w:val="00147975"/>
    <w:rsid w:val="0015026F"/>
    <w:rsid w:val="00150892"/>
    <w:rsid w:val="0015124C"/>
    <w:rsid w:val="00151300"/>
    <w:rsid w:val="00151D0E"/>
    <w:rsid w:val="00152305"/>
    <w:rsid w:val="001525EC"/>
    <w:rsid w:val="001531A9"/>
    <w:rsid w:val="00153202"/>
    <w:rsid w:val="00153516"/>
    <w:rsid w:val="00153C46"/>
    <w:rsid w:val="001543A4"/>
    <w:rsid w:val="00155647"/>
    <w:rsid w:val="00155704"/>
    <w:rsid w:val="00155CB2"/>
    <w:rsid w:val="001568F0"/>
    <w:rsid w:val="00156C77"/>
    <w:rsid w:val="00157122"/>
    <w:rsid w:val="001571BF"/>
    <w:rsid w:val="001572C3"/>
    <w:rsid w:val="00157365"/>
    <w:rsid w:val="00157C3C"/>
    <w:rsid w:val="00160102"/>
    <w:rsid w:val="001601B3"/>
    <w:rsid w:val="00160649"/>
    <w:rsid w:val="0016070E"/>
    <w:rsid w:val="0016124F"/>
    <w:rsid w:val="00161436"/>
    <w:rsid w:val="001617A1"/>
    <w:rsid w:val="00161BB0"/>
    <w:rsid w:val="0016213C"/>
    <w:rsid w:val="00162310"/>
    <w:rsid w:val="001633E2"/>
    <w:rsid w:val="001642FC"/>
    <w:rsid w:val="00164ACB"/>
    <w:rsid w:val="00164B24"/>
    <w:rsid w:val="00164B39"/>
    <w:rsid w:val="00164C55"/>
    <w:rsid w:val="00164F73"/>
    <w:rsid w:val="00165209"/>
    <w:rsid w:val="00165437"/>
    <w:rsid w:val="0016570A"/>
    <w:rsid w:val="00165A0E"/>
    <w:rsid w:val="0016645A"/>
    <w:rsid w:val="00167185"/>
    <w:rsid w:val="00167E04"/>
    <w:rsid w:val="00167EB1"/>
    <w:rsid w:val="0017048B"/>
    <w:rsid w:val="00170FE6"/>
    <w:rsid w:val="001716C5"/>
    <w:rsid w:val="0017196C"/>
    <w:rsid w:val="00171C8D"/>
    <w:rsid w:val="00171F94"/>
    <w:rsid w:val="001720B1"/>
    <w:rsid w:val="00172A27"/>
    <w:rsid w:val="00173927"/>
    <w:rsid w:val="00173BC2"/>
    <w:rsid w:val="00174215"/>
    <w:rsid w:val="00174827"/>
    <w:rsid w:val="0017492B"/>
    <w:rsid w:val="00175156"/>
    <w:rsid w:val="00175800"/>
    <w:rsid w:val="001762C2"/>
    <w:rsid w:val="0017656B"/>
    <w:rsid w:val="00176F1C"/>
    <w:rsid w:val="0017768B"/>
    <w:rsid w:val="00180483"/>
    <w:rsid w:val="00180DC0"/>
    <w:rsid w:val="001816F7"/>
    <w:rsid w:val="00181C17"/>
    <w:rsid w:val="00182090"/>
    <w:rsid w:val="00182986"/>
    <w:rsid w:val="00182C2B"/>
    <w:rsid w:val="001834E5"/>
    <w:rsid w:val="00183B9A"/>
    <w:rsid w:val="00183E42"/>
    <w:rsid w:val="00183EFC"/>
    <w:rsid w:val="00184962"/>
    <w:rsid w:val="00186E9E"/>
    <w:rsid w:val="00187998"/>
    <w:rsid w:val="00187C13"/>
    <w:rsid w:val="00187D3D"/>
    <w:rsid w:val="00191153"/>
    <w:rsid w:val="00191B8A"/>
    <w:rsid w:val="00192F2B"/>
    <w:rsid w:val="0019303A"/>
    <w:rsid w:val="00193238"/>
    <w:rsid w:val="0019436B"/>
    <w:rsid w:val="001946B0"/>
    <w:rsid w:val="00194D99"/>
    <w:rsid w:val="00195327"/>
    <w:rsid w:val="00195BB9"/>
    <w:rsid w:val="00195F1C"/>
    <w:rsid w:val="00196050"/>
    <w:rsid w:val="00196479"/>
    <w:rsid w:val="00196F4A"/>
    <w:rsid w:val="001975C8"/>
    <w:rsid w:val="001978B8"/>
    <w:rsid w:val="001A00C0"/>
    <w:rsid w:val="001A0933"/>
    <w:rsid w:val="001A16D8"/>
    <w:rsid w:val="001A1907"/>
    <w:rsid w:val="001A1A8D"/>
    <w:rsid w:val="001A2AC9"/>
    <w:rsid w:val="001A3177"/>
    <w:rsid w:val="001A385A"/>
    <w:rsid w:val="001A3F47"/>
    <w:rsid w:val="001A4709"/>
    <w:rsid w:val="001A5246"/>
    <w:rsid w:val="001A54C0"/>
    <w:rsid w:val="001A55F5"/>
    <w:rsid w:val="001A565F"/>
    <w:rsid w:val="001A5EA4"/>
    <w:rsid w:val="001A6204"/>
    <w:rsid w:val="001A67DD"/>
    <w:rsid w:val="001A6E38"/>
    <w:rsid w:val="001A721C"/>
    <w:rsid w:val="001A73A5"/>
    <w:rsid w:val="001B0078"/>
    <w:rsid w:val="001B08C2"/>
    <w:rsid w:val="001B0A0D"/>
    <w:rsid w:val="001B12F0"/>
    <w:rsid w:val="001B135E"/>
    <w:rsid w:val="001B1E8E"/>
    <w:rsid w:val="001B2988"/>
    <w:rsid w:val="001B2B8F"/>
    <w:rsid w:val="001B5498"/>
    <w:rsid w:val="001B73EF"/>
    <w:rsid w:val="001B7435"/>
    <w:rsid w:val="001B754B"/>
    <w:rsid w:val="001B7A9A"/>
    <w:rsid w:val="001C126D"/>
    <w:rsid w:val="001C20C2"/>
    <w:rsid w:val="001C2180"/>
    <w:rsid w:val="001C28DD"/>
    <w:rsid w:val="001C2D8A"/>
    <w:rsid w:val="001C30A8"/>
    <w:rsid w:val="001C3889"/>
    <w:rsid w:val="001C39E2"/>
    <w:rsid w:val="001C45A6"/>
    <w:rsid w:val="001C4A21"/>
    <w:rsid w:val="001C4FCF"/>
    <w:rsid w:val="001C5B7F"/>
    <w:rsid w:val="001C5E29"/>
    <w:rsid w:val="001C66F0"/>
    <w:rsid w:val="001C793A"/>
    <w:rsid w:val="001D00FF"/>
    <w:rsid w:val="001D07EE"/>
    <w:rsid w:val="001D1126"/>
    <w:rsid w:val="001D1635"/>
    <w:rsid w:val="001D1B5F"/>
    <w:rsid w:val="001D257B"/>
    <w:rsid w:val="001D280A"/>
    <w:rsid w:val="001D2EA7"/>
    <w:rsid w:val="001D33CB"/>
    <w:rsid w:val="001D3E7E"/>
    <w:rsid w:val="001D4ED3"/>
    <w:rsid w:val="001D6104"/>
    <w:rsid w:val="001D7F37"/>
    <w:rsid w:val="001E0888"/>
    <w:rsid w:val="001E08AC"/>
    <w:rsid w:val="001E2E15"/>
    <w:rsid w:val="001E3547"/>
    <w:rsid w:val="001E4177"/>
    <w:rsid w:val="001E41D3"/>
    <w:rsid w:val="001E424E"/>
    <w:rsid w:val="001E4491"/>
    <w:rsid w:val="001E46AC"/>
    <w:rsid w:val="001E59AD"/>
    <w:rsid w:val="001E70E4"/>
    <w:rsid w:val="001E764E"/>
    <w:rsid w:val="001F0973"/>
    <w:rsid w:val="001F0B25"/>
    <w:rsid w:val="001F18BC"/>
    <w:rsid w:val="001F22E9"/>
    <w:rsid w:val="001F2518"/>
    <w:rsid w:val="001F25C4"/>
    <w:rsid w:val="001F2B35"/>
    <w:rsid w:val="001F3AC3"/>
    <w:rsid w:val="001F3F32"/>
    <w:rsid w:val="001F4C8B"/>
    <w:rsid w:val="001F502E"/>
    <w:rsid w:val="001F5596"/>
    <w:rsid w:val="001F56B5"/>
    <w:rsid w:val="001F5AA5"/>
    <w:rsid w:val="001F5D09"/>
    <w:rsid w:val="001F611B"/>
    <w:rsid w:val="001F6DD6"/>
    <w:rsid w:val="001F777F"/>
    <w:rsid w:val="0020068B"/>
    <w:rsid w:val="00201E57"/>
    <w:rsid w:val="00203125"/>
    <w:rsid w:val="002034CD"/>
    <w:rsid w:val="0020361C"/>
    <w:rsid w:val="00203B3F"/>
    <w:rsid w:val="00204053"/>
    <w:rsid w:val="0020446D"/>
    <w:rsid w:val="00204F89"/>
    <w:rsid w:val="002050AB"/>
    <w:rsid w:val="0020543A"/>
    <w:rsid w:val="002056BA"/>
    <w:rsid w:val="00206512"/>
    <w:rsid w:val="002072CF"/>
    <w:rsid w:val="002075C3"/>
    <w:rsid w:val="00207A15"/>
    <w:rsid w:val="00210778"/>
    <w:rsid w:val="002111E3"/>
    <w:rsid w:val="002113D1"/>
    <w:rsid w:val="002123FA"/>
    <w:rsid w:val="00212C1C"/>
    <w:rsid w:val="00213F98"/>
    <w:rsid w:val="002140BD"/>
    <w:rsid w:val="00214416"/>
    <w:rsid w:val="0021554B"/>
    <w:rsid w:val="00215FF9"/>
    <w:rsid w:val="002161A1"/>
    <w:rsid w:val="00216F6F"/>
    <w:rsid w:val="00217658"/>
    <w:rsid w:val="0022104E"/>
    <w:rsid w:val="00221498"/>
    <w:rsid w:val="00221529"/>
    <w:rsid w:val="00221D6D"/>
    <w:rsid w:val="00222671"/>
    <w:rsid w:val="002234B9"/>
    <w:rsid w:val="00223947"/>
    <w:rsid w:val="00223CC6"/>
    <w:rsid w:val="00223DF4"/>
    <w:rsid w:val="002246F4"/>
    <w:rsid w:val="0022555F"/>
    <w:rsid w:val="002255EB"/>
    <w:rsid w:val="00225E4E"/>
    <w:rsid w:val="0022650F"/>
    <w:rsid w:val="00226800"/>
    <w:rsid w:val="0023284D"/>
    <w:rsid w:val="00232D72"/>
    <w:rsid w:val="0023383D"/>
    <w:rsid w:val="00233DB3"/>
    <w:rsid w:val="00233F41"/>
    <w:rsid w:val="00233F99"/>
    <w:rsid w:val="002341AB"/>
    <w:rsid w:val="00234F6F"/>
    <w:rsid w:val="00236BE8"/>
    <w:rsid w:val="00236DD0"/>
    <w:rsid w:val="00236E28"/>
    <w:rsid w:val="00237627"/>
    <w:rsid w:val="0023779B"/>
    <w:rsid w:val="00240A82"/>
    <w:rsid w:val="00240AFA"/>
    <w:rsid w:val="00240E70"/>
    <w:rsid w:val="0024301B"/>
    <w:rsid w:val="002436C0"/>
    <w:rsid w:val="00244697"/>
    <w:rsid w:val="00244A63"/>
    <w:rsid w:val="0024527E"/>
    <w:rsid w:val="0024550D"/>
    <w:rsid w:val="00245AFC"/>
    <w:rsid w:val="00245E5C"/>
    <w:rsid w:val="00245FB5"/>
    <w:rsid w:val="00246548"/>
    <w:rsid w:val="00246D33"/>
    <w:rsid w:val="00247100"/>
    <w:rsid w:val="00247A2E"/>
    <w:rsid w:val="00247C61"/>
    <w:rsid w:val="00247DF3"/>
    <w:rsid w:val="0025069C"/>
    <w:rsid w:val="00250889"/>
    <w:rsid w:val="00251BD0"/>
    <w:rsid w:val="00252C91"/>
    <w:rsid w:val="00252F53"/>
    <w:rsid w:val="00253110"/>
    <w:rsid w:val="00254E9E"/>
    <w:rsid w:val="002575BB"/>
    <w:rsid w:val="00257967"/>
    <w:rsid w:val="00257FB5"/>
    <w:rsid w:val="00260A57"/>
    <w:rsid w:val="002611C7"/>
    <w:rsid w:val="00261536"/>
    <w:rsid w:val="002617AA"/>
    <w:rsid w:val="002621B7"/>
    <w:rsid w:val="00262474"/>
    <w:rsid w:val="0026287B"/>
    <w:rsid w:val="002638A0"/>
    <w:rsid w:val="0026494F"/>
    <w:rsid w:val="0026552A"/>
    <w:rsid w:val="00265F0B"/>
    <w:rsid w:val="002662E2"/>
    <w:rsid w:val="002702BB"/>
    <w:rsid w:val="00270A0D"/>
    <w:rsid w:val="00270B92"/>
    <w:rsid w:val="00271866"/>
    <w:rsid w:val="002730C4"/>
    <w:rsid w:val="00273525"/>
    <w:rsid w:val="002743CA"/>
    <w:rsid w:val="0027468C"/>
    <w:rsid w:val="002746F5"/>
    <w:rsid w:val="00274BB8"/>
    <w:rsid w:val="002752FA"/>
    <w:rsid w:val="002758C9"/>
    <w:rsid w:val="002759E7"/>
    <w:rsid w:val="002763BA"/>
    <w:rsid w:val="002765AC"/>
    <w:rsid w:val="0027678C"/>
    <w:rsid w:val="002767FA"/>
    <w:rsid w:val="00276BFB"/>
    <w:rsid w:val="002771A4"/>
    <w:rsid w:val="002774C6"/>
    <w:rsid w:val="00277D29"/>
    <w:rsid w:val="00281682"/>
    <w:rsid w:val="00281FD2"/>
    <w:rsid w:val="002825D0"/>
    <w:rsid w:val="00282812"/>
    <w:rsid w:val="00282913"/>
    <w:rsid w:val="00283D06"/>
    <w:rsid w:val="00284152"/>
    <w:rsid w:val="002855CF"/>
    <w:rsid w:val="00285661"/>
    <w:rsid w:val="00285AA7"/>
    <w:rsid w:val="00286A92"/>
    <w:rsid w:val="002877F4"/>
    <w:rsid w:val="00287C65"/>
    <w:rsid w:val="002918DC"/>
    <w:rsid w:val="00291996"/>
    <w:rsid w:val="00291D56"/>
    <w:rsid w:val="00291D83"/>
    <w:rsid w:val="00292030"/>
    <w:rsid w:val="002921DD"/>
    <w:rsid w:val="00292512"/>
    <w:rsid w:val="002928A1"/>
    <w:rsid w:val="0029297B"/>
    <w:rsid w:val="00292A18"/>
    <w:rsid w:val="00292DBA"/>
    <w:rsid w:val="0029364C"/>
    <w:rsid w:val="00293655"/>
    <w:rsid w:val="00293841"/>
    <w:rsid w:val="002943B6"/>
    <w:rsid w:val="002956ED"/>
    <w:rsid w:val="00295D3C"/>
    <w:rsid w:val="00295E73"/>
    <w:rsid w:val="0029600D"/>
    <w:rsid w:val="002962B2"/>
    <w:rsid w:val="00296464"/>
    <w:rsid w:val="00297224"/>
    <w:rsid w:val="002976D1"/>
    <w:rsid w:val="00297F5F"/>
    <w:rsid w:val="002A0AF6"/>
    <w:rsid w:val="002A15B5"/>
    <w:rsid w:val="002A1C3D"/>
    <w:rsid w:val="002A3246"/>
    <w:rsid w:val="002A37F6"/>
    <w:rsid w:val="002A3B3F"/>
    <w:rsid w:val="002A3DEA"/>
    <w:rsid w:val="002A45BD"/>
    <w:rsid w:val="002A4F1D"/>
    <w:rsid w:val="002A5CB2"/>
    <w:rsid w:val="002A6021"/>
    <w:rsid w:val="002A6BAC"/>
    <w:rsid w:val="002A7E3E"/>
    <w:rsid w:val="002B04FA"/>
    <w:rsid w:val="002B1420"/>
    <w:rsid w:val="002B171E"/>
    <w:rsid w:val="002B2986"/>
    <w:rsid w:val="002B2C59"/>
    <w:rsid w:val="002B2F84"/>
    <w:rsid w:val="002B4296"/>
    <w:rsid w:val="002B4306"/>
    <w:rsid w:val="002B463E"/>
    <w:rsid w:val="002B464A"/>
    <w:rsid w:val="002B4721"/>
    <w:rsid w:val="002B4DDD"/>
    <w:rsid w:val="002B50A0"/>
    <w:rsid w:val="002B5C96"/>
    <w:rsid w:val="002B5E09"/>
    <w:rsid w:val="002B6A63"/>
    <w:rsid w:val="002B786D"/>
    <w:rsid w:val="002B7CFF"/>
    <w:rsid w:val="002C0572"/>
    <w:rsid w:val="002C1485"/>
    <w:rsid w:val="002C1AFF"/>
    <w:rsid w:val="002C1F9F"/>
    <w:rsid w:val="002C269C"/>
    <w:rsid w:val="002C28DE"/>
    <w:rsid w:val="002C34AA"/>
    <w:rsid w:val="002C3562"/>
    <w:rsid w:val="002C4488"/>
    <w:rsid w:val="002C493F"/>
    <w:rsid w:val="002C51D1"/>
    <w:rsid w:val="002C5495"/>
    <w:rsid w:val="002C6097"/>
    <w:rsid w:val="002C6158"/>
    <w:rsid w:val="002C6BA9"/>
    <w:rsid w:val="002C7665"/>
    <w:rsid w:val="002C7F86"/>
    <w:rsid w:val="002D0B49"/>
    <w:rsid w:val="002D0FDA"/>
    <w:rsid w:val="002D1825"/>
    <w:rsid w:val="002D1C41"/>
    <w:rsid w:val="002D1F2F"/>
    <w:rsid w:val="002D32FB"/>
    <w:rsid w:val="002D3368"/>
    <w:rsid w:val="002D3671"/>
    <w:rsid w:val="002D3EB1"/>
    <w:rsid w:val="002D407F"/>
    <w:rsid w:val="002D41B5"/>
    <w:rsid w:val="002D4484"/>
    <w:rsid w:val="002D654B"/>
    <w:rsid w:val="002D670D"/>
    <w:rsid w:val="002E010F"/>
    <w:rsid w:val="002E03B2"/>
    <w:rsid w:val="002E051E"/>
    <w:rsid w:val="002E11E5"/>
    <w:rsid w:val="002E156A"/>
    <w:rsid w:val="002E158C"/>
    <w:rsid w:val="002E18A0"/>
    <w:rsid w:val="002E1B50"/>
    <w:rsid w:val="002E2C23"/>
    <w:rsid w:val="002E3044"/>
    <w:rsid w:val="002E352C"/>
    <w:rsid w:val="002E3FCE"/>
    <w:rsid w:val="002E5478"/>
    <w:rsid w:val="002E5DB2"/>
    <w:rsid w:val="002E6620"/>
    <w:rsid w:val="002E69C7"/>
    <w:rsid w:val="002E6AA9"/>
    <w:rsid w:val="002E6AF0"/>
    <w:rsid w:val="002E7110"/>
    <w:rsid w:val="002E73C7"/>
    <w:rsid w:val="002E74DC"/>
    <w:rsid w:val="002E7A79"/>
    <w:rsid w:val="002E7F24"/>
    <w:rsid w:val="002F0193"/>
    <w:rsid w:val="002F0A2F"/>
    <w:rsid w:val="002F0EBA"/>
    <w:rsid w:val="002F1045"/>
    <w:rsid w:val="002F123E"/>
    <w:rsid w:val="002F15FC"/>
    <w:rsid w:val="002F1B94"/>
    <w:rsid w:val="002F2A27"/>
    <w:rsid w:val="002F2C1A"/>
    <w:rsid w:val="002F3454"/>
    <w:rsid w:val="002F48F1"/>
    <w:rsid w:val="002F525A"/>
    <w:rsid w:val="002F63F7"/>
    <w:rsid w:val="002F673E"/>
    <w:rsid w:val="002F6A83"/>
    <w:rsid w:val="002F6B17"/>
    <w:rsid w:val="002F6C21"/>
    <w:rsid w:val="002F784D"/>
    <w:rsid w:val="002F79BD"/>
    <w:rsid w:val="002F7AE1"/>
    <w:rsid w:val="00300AFD"/>
    <w:rsid w:val="00300DB7"/>
    <w:rsid w:val="0030136E"/>
    <w:rsid w:val="00301CB4"/>
    <w:rsid w:val="00302DFC"/>
    <w:rsid w:val="00303698"/>
    <w:rsid w:val="00303ADC"/>
    <w:rsid w:val="00304059"/>
    <w:rsid w:val="00304365"/>
    <w:rsid w:val="003048E6"/>
    <w:rsid w:val="00304BBD"/>
    <w:rsid w:val="003057E9"/>
    <w:rsid w:val="003060EE"/>
    <w:rsid w:val="00306620"/>
    <w:rsid w:val="0030793E"/>
    <w:rsid w:val="00307A8B"/>
    <w:rsid w:val="00307EA1"/>
    <w:rsid w:val="003117F4"/>
    <w:rsid w:val="00312163"/>
    <w:rsid w:val="003139BB"/>
    <w:rsid w:val="00313E9A"/>
    <w:rsid w:val="0031504C"/>
    <w:rsid w:val="00315844"/>
    <w:rsid w:val="00315F6E"/>
    <w:rsid w:val="0031611E"/>
    <w:rsid w:val="00316239"/>
    <w:rsid w:val="00316254"/>
    <w:rsid w:val="00316447"/>
    <w:rsid w:val="00317CAD"/>
    <w:rsid w:val="00320CF1"/>
    <w:rsid w:val="00320F73"/>
    <w:rsid w:val="00321191"/>
    <w:rsid w:val="00321801"/>
    <w:rsid w:val="003218C7"/>
    <w:rsid w:val="00321998"/>
    <w:rsid w:val="00321DED"/>
    <w:rsid w:val="003223D7"/>
    <w:rsid w:val="00323321"/>
    <w:rsid w:val="00323A38"/>
    <w:rsid w:val="003247E0"/>
    <w:rsid w:val="0032632F"/>
    <w:rsid w:val="0032639C"/>
    <w:rsid w:val="00326773"/>
    <w:rsid w:val="00326B01"/>
    <w:rsid w:val="00326F15"/>
    <w:rsid w:val="0032712C"/>
    <w:rsid w:val="003279A9"/>
    <w:rsid w:val="003302F6"/>
    <w:rsid w:val="003304BD"/>
    <w:rsid w:val="0033150C"/>
    <w:rsid w:val="00332572"/>
    <w:rsid w:val="0033258E"/>
    <w:rsid w:val="003333BA"/>
    <w:rsid w:val="0033380F"/>
    <w:rsid w:val="00333D73"/>
    <w:rsid w:val="00333E84"/>
    <w:rsid w:val="00333EE8"/>
    <w:rsid w:val="003341F3"/>
    <w:rsid w:val="00334986"/>
    <w:rsid w:val="003358B1"/>
    <w:rsid w:val="00335ECB"/>
    <w:rsid w:val="00336829"/>
    <w:rsid w:val="00336F8D"/>
    <w:rsid w:val="003371DE"/>
    <w:rsid w:val="00337571"/>
    <w:rsid w:val="003407A5"/>
    <w:rsid w:val="00340972"/>
    <w:rsid w:val="003409E6"/>
    <w:rsid w:val="00341503"/>
    <w:rsid w:val="003417A7"/>
    <w:rsid w:val="00342562"/>
    <w:rsid w:val="003426EC"/>
    <w:rsid w:val="00342EDC"/>
    <w:rsid w:val="0034355C"/>
    <w:rsid w:val="00343B56"/>
    <w:rsid w:val="00344356"/>
    <w:rsid w:val="00344E1D"/>
    <w:rsid w:val="00345FA2"/>
    <w:rsid w:val="003463BF"/>
    <w:rsid w:val="00346517"/>
    <w:rsid w:val="00346F75"/>
    <w:rsid w:val="00347049"/>
    <w:rsid w:val="0035036B"/>
    <w:rsid w:val="003509DD"/>
    <w:rsid w:val="00350FE4"/>
    <w:rsid w:val="003510D1"/>
    <w:rsid w:val="003516D9"/>
    <w:rsid w:val="00351CD1"/>
    <w:rsid w:val="003521C6"/>
    <w:rsid w:val="00352883"/>
    <w:rsid w:val="003529B9"/>
    <w:rsid w:val="00352A74"/>
    <w:rsid w:val="003530DD"/>
    <w:rsid w:val="0035340B"/>
    <w:rsid w:val="00353A39"/>
    <w:rsid w:val="00353C2C"/>
    <w:rsid w:val="00354F72"/>
    <w:rsid w:val="00355668"/>
    <w:rsid w:val="003559F7"/>
    <w:rsid w:val="00355B0A"/>
    <w:rsid w:val="00356D6E"/>
    <w:rsid w:val="0035760F"/>
    <w:rsid w:val="003578FC"/>
    <w:rsid w:val="00357A5C"/>
    <w:rsid w:val="00360F24"/>
    <w:rsid w:val="00362003"/>
    <w:rsid w:val="00362619"/>
    <w:rsid w:val="003629EA"/>
    <w:rsid w:val="00362A11"/>
    <w:rsid w:val="00363365"/>
    <w:rsid w:val="003654D9"/>
    <w:rsid w:val="00366044"/>
    <w:rsid w:val="00366B82"/>
    <w:rsid w:val="003707BD"/>
    <w:rsid w:val="0037262E"/>
    <w:rsid w:val="00373D22"/>
    <w:rsid w:val="00374B60"/>
    <w:rsid w:val="00376DC6"/>
    <w:rsid w:val="00377E67"/>
    <w:rsid w:val="00380066"/>
    <w:rsid w:val="00380744"/>
    <w:rsid w:val="00380E79"/>
    <w:rsid w:val="003810C1"/>
    <w:rsid w:val="00382074"/>
    <w:rsid w:val="0038216B"/>
    <w:rsid w:val="00382B18"/>
    <w:rsid w:val="003834EA"/>
    <w:rsid w:val="00383C28"/>
    <w:rsid w:val="00383F4C"/>
    <w:rsid w:val="00384D20"/>
    <w:rsid w:val="00384DD1"/>
    <w:rsid w:val="003879C8"/>
    <w:rsid w:val="003901F7"/>
    <w:rsid w:val="003902CF"/>
    <w:rsid w:val="00390B43"/>
    <w:rsid w:val="00390C7B"/>
    <w:rsid w:val="003930BA"/>
    <w:rsid w:val="003937F5"/>
    <w:rsid w:val="0039419A"/>
    <w:rsid w:val="00394206"/>
    <w:rsid w:val="003942B5"/>
    <w:rsid w:val="00394975"/>
    <w:rsid w:val="0039737E"/>
    <w:rsid w:val="003A0373"/>
    <w:rsid w:val="003A21B5"/>
    <w:rsid w:val="003A225A"/>
    <w:rsid w:val="003A2C1E"/>
    <w:rsid w:val="003A34E1"/>
    <w:rsid w:val="003A3892"/>
    <w:rsid w:val="003A3B0B"/>
    <w:rsid w:val="003A3B16"/>
    <w:rsid w:val="003A3B82"/>
    <w:rsid w:val="003A5007"/>
    <w:rsid w:val="003A50C9"/>
    <w:rsid w:val="003A52A2"/>
    <w:rsid w:val="003A564B"/>
    <w:rsid w:val="003A5D47"/>
    <w:rsid w:val="003A6B21"/>
    <w:rsid w:val="003A6FBC"/>
    <w:rsid w:val="003A7116"/>
    <w:rsid w:val="003B02C4"/>
    <w:rsid w:val="003B0497"/>
    <w:rsid w:val="003B0BD3"/>
    <w:rsid w:val="003B1B30"/>
    <w:rsid w:val="003B1CE5"/>
    <w:rsid w:val="003B25B3"/>
    <w:rsid w:val="003B304E"/>
    <w:rsid w:val="003B309A"/>
    <w:rsid w:val="003B3FDC"/>
    <w:rsid w:val="003B4132"/>
    <w:rsid w:val="003B459C"/>
    <w:rsid w:val="003B476F"/>
    <w:rsid w:val="003B4CEC"/>
    <w:rsid w:val="003B4E14"/>
    <w:rsid w:val="003B53FF"/>
    <w:rsid w:val="003B5631"/>
    <w:rsid w:val="003B6EC7"/>
    <w:rsid w:val="003C02BF"/>
    <w:rsid w:val="003C0EDC"/>
    <w:rsid w:val="003C175C"/>
    <w:rsid w:val="003C2105"/>
    <w:rsid w:val="003C2149"/>
    <w:rsid w:val="003C225E"/>
    <w:rsid w:val="003C2C23"/>
    <w:rsid w:val="003C3065"/>
    <w:rsid w:val="003C337C"/>
    <w:rsid w:val="003C37FB"/>
    <w:rsid w:val="003C4227"/>
    <w:rsid w:val="003C447F"/>
    <w:rsid w:val="003C5DFF"/>
    <w:rsid w:val="003C7001"/>
    <w:rsid w:val="003C7D07"/>
    <w:rsid w:val="003C7D98"/>
    <w:rsid w:val="003C7EA7"/>
    <w:rsid w:val="003D0C20"/>
    <w:rsid w:val="003D0D9B"/>
    <w:rsid w:val="003D179A"/>
    <w:rsid w:val="003D1935"/>
    <w:rsid w:val="003D3566"/>
    <w:rsid w:val="003D3B13"/>
    <w:rsid w:val="003D3D79"/>
    <w:rsid w:val="003D4381"/>
    <w:rsid w:val="003D4423"/>
    <w:rsid w:val="003D4A54"/>
    <w:rsid w:val="003D4ADC"/>
    <w:rsid w:val="003D4D59"/>
    <w:rsid w:val="003D4E77"/>
    <w:rsid w:val="003D4FDC"/>
    <w:rsid w:val="003E00AD"/>
    <w:rsid w:val="003E107B"/>
    <w:rsid w:val="003E10AB"/>
    <w:rsid w:val="003E1E27"/>
    <w:rsid w:val="003E248D"/>
    <w:rsid w:val="003E24F5"/>
    <w:rsid w:val="003E2AF3"/>
    <w:rsid w:val="003E3EA4"/>
    <w:rsid w:val="003E4B1F"/>
    <w:rsid w:val="003E4E9A"/>
    <w:rsid w:val="003E4FB4"/>
    <w:rsid w:val="003E5172"/>
    <w:rsid w:val="003E558E"/>
    <w:rsid w:val="003E5FB0"/>
    <w:rsid w:val="003E7092"/>
    <w:rsid w:val="003E7A0A"/>
    <w:rsid w:val="003E7C9F"/>
    <w:rsid w:val="003F0342"/>
    <w:rsid w:val="003F19F9"/>
    <w:rsid w:val="003F2075"/>
    <w:rsid w:val="003F253D"/>
    <w:rsid w:val="003F290B"/>
    <w:rsid w:val="003F2F8C"/>
    <w:rsid w:val="003F47D6"/>
    <w:rsid w:val="003F4C1A"/>
    <w:rsid w:val="003F5CCB"/>
    <w:rsid w:val="003F7E2A"/>
    <w:rsid w:val="00400211"/>
    <w:rsid w:val="00400F46"/>
    <w:rsid w:val="00402154"/>
    <w:rsid w:val="00403825"/>
    <w:rsid w:val="0040439F"/>
    <w:rsid w:val="004055CC"/>
    <w:rsid w:val="00405CEC"/>
    <w:rsid w:val="0040682B"/>
    <w:rsid w:val="00406958"/>
    <w:rsid w:val="00406FD0"/>
    <w:rsid w:val="004100E0"/>
    <w:rsid w:val="00410627"/>
    <w:rsid w:val="0041072A"/>
    <w:rsid w:val="00410A55"/>
    <w:rsid w:val="0041116D"/>
    <w:rsid w:val="004112D2"/>
    <w:rsid w:val="004112E7"/>
    <w:rsid w:val="00411430"/>
    <w:rsid w:val="00412073"/>
    <w:rsid w:val="00413275"/>
    <w:rsid w:val="00413F82"/>
    <w:rsid w:val="00414275"/>
    <w:rsid w:val="004142F0"/>
    <w:rsid w:val="0041431F"/>
    <w:rsid w:val="004143D9"/>
    <w:rsid w:val="004144DB"/>
    <w:rsid w:val="004145E7"/>
    <w:rsid w:val="00415091"/>
    <w:rsid w:val="00416173"/>
    <w:rsid w:val="00416259"/>
    <w:rsid w:val="00416531"/>
    <w:rsid w:val="00417FE6"/>
    <w:rsid w:val="0042086E"/>
    <w:rsid w:val="00420890"/>
    <w:rsid w:val="00420A26"/>
    <w:rsid w:val="004217B4"/>
    <w:rsid w:val="00421A9E"/>
    <w:rsid w:val="004225E5"/>
    <w:rsid w:val="00422864"/>
    <w:rsid w:val="00422B70"/>
    <w:rsid w:val="004235F0"/>
    <w:rsid w:val="00423E53"/>
    <w:rsid w:val="0042484B"/>
    <w:rsid w:val="00424B34"/>
    <w:rsid w:val="00424B40"/>
    <w:rsid w:val="004252D9"/>
    <w:rsid w:val="00425B9E"/>
    <w:rsid w:val="00426015"/>
    <w:rsid w:val="004263B4"/>
    <w:rsid w:val="004265A9"/>
    <w:rsid w:val="00427520"/>
    <w:rsid w:val="004276EF"/>
    <w:rsid w:val="0043053B"/>
    <w:rsid w:val="00430B7B"/>
    <w:rsid w:val="00430D11"/>
    <w:rsid w:val="00432B0A"/>
    <w:rsid w:val="00432D53"/>
    <w:rsid w:val="00433631"/>
    <w:rsid w:val="00433633"/>
    <w:rsid w:val="00434340"/>
    <w:rsid w:val="0043449E"/>
    <w:rsid w:val="00434DA0"/>
    <w:rsid w:val="00435E5E"/>
    <w:rsid w:val="0043619E"/>
    <w:rsid w:val="004361E1"/>
    <w:rsid w:val="00436911"/>
    <w:rsid w:val="00436C86"/>
    <w:rsid w:val="00436E5D"/>
    <w:rsid w:val="00436E85"/>
    <w:rsid w:val="0043701D"/>
    <w:rsid w:val="004404D3"/>
    <w:rsid w:val="00440A9E"/>
    <w:rsid w:val="00440ADC"/>
    <w:rsid w:val="004417FD"/>
    <w:rsid w:val="004419FF"/>
    <w:rsid w:val="00442FD1"/>
    <w:rsid w:val="00443126"/>
    <w:rsid w:val="00443969"/>
    <w:rsid w:val="0044398C"/>
    <w:rsid w:val="00444EA9"/>
    <w:rsid w:val="00445712"/>
    <w:rsid w:val="00445946"/>
    <w:rsid w:val="00445EB6"/>
    <w:rsid w:val="00446193"/>
    <w:rsid w:val="00446D6F"/>
    <w:rsid w:val="00447543"/>
    <w:rsid w:val="0044795B"/>
    <w:rsid w:val="004506F7"/>
    <w:rsid w:val="00450FFC"/>
    <w:rsid w:val="004514BA"/>
    <w:rsid w:val="00451C71"/>
    <w:rsid w:val="00451D18"/>
    <w:rsid w:val="004529AC"/>
    <w:rsid w:val="00452C7A"/>
    <w:rsid w:val="004541BE"/>
    <w:rsid w:val="00454438"/>
    <w:rsid w:val="004561B5"/>
    <w:rsid w:val="004566E8"/>
    <w:rsid w:val="00456DD4"/>
    <w:rsid w:val="004570C1"/>
    <w:rsid w:val="00457495"/>
    <w:rsid w:val="004574D2"/>
    <w:rsid w:val="00457893"/>
    <w:rsid w:val="00457B3C"/>
    <w:rsid w:val="00462797"/>
    <w:rsid w:val="00462BC4"/>
    <w:rsid w:val="00462CA7"/>
    <w:rsid w:val="004638AE"/>
    <w:rsid w:val="00463A20"/>
    <w:rsid w:val="004641B4"/>
    <w:rsid w:val="004643CB"/>
    <w:rsid w:val="0046614A"/>
    <w:rsid w:val="00467A61"/>
    <w:rsid w:val="00467A86"/>
    <w:rsid w:val="00467D33"/>
    <w:rsid w:val="00471176"/>
    <w:rsid w:val="004711FA"/>
    <w:rsid w:val="00471355"/>
    <w:rsid w:val="0047149E"/>
    <w:rsid w:val="0047173E"/>
    <w:rsid w:val="00471DE3"/>
    <w:rsid w:val="00471F6E"/>
    <w:rsid w:val="004728E1"/>
    <w:rsid w:val="004736EF"/>
    <w:rsid w:val="00473DCB"/>
    <w:rsid w:val="0047496D"/>
    <w:rsid w:val="0047599C"/>
    <w:rsid w:val="0047652D"/>
    <w:rsid w:val="00476741"/>
    <w:rsid w:val="00476991"/>
    <w:rsid w:val="00476FFE"/>
    <w:rsid w:val="00477947"/>
    <w:rsid w:val="00477A17"/>
    <w:rsid w:val="00477B82"/>
    <w:rsid w:val="004800F9"/>
    <w:rsid w:val="0048013E"/>
    <w:rsid w:val="004805D5"/>
    <w:rsid w:val="00481259"/>
    <w:rsid w:val="00481386"/>
    <w:rsid w:val="00481E82"/>
    <w:rsid w:val="00482241"/>
    <w:rsid w:val="00482FE1"/>
    <w:rsid w:val="0048303A"/>
    <w:rsid w:val="00483C2C"/>
    <w:rsid w:val="0048445D"/>
    <w:rsid w:val="00484A78"/>
    <w:rsid w:val="004852EA"/>
    <w:rsid w:val="00485381"/>
    <w:rsid w:val="00485ED2"/>
    <w:rsid w:val="00486140"/>
    <w:rsid w:val="004866BC"/>
    <w:rsid w:val="00486B36"/>
    <w:rsid w:val="00486D60"/>
    <w:rsid w:val="00486F9A"/>
    <w:rsid w:val="00490420"/>
    <w:rsid w:val="00491180"/>
    <w:rsid w:val="00491295"/>
    <w:rsid w:val="004912A6"/>
    <w:rsid w:val="00491881"/>
    <w:rsid w:val="0049224A"/>
    <w:rsid w:val="0049261A"/>
    <w:rsid w:val="00492823"/>
    <w:rsid w:val="00492E57"/>
    <w:rsid w:val="0049376C"/>
    <w:rsid w:val="00494EEA"/>
    <w:rsid w:val="00494F25"/>
    <w:rsid w:val="0049535A"/>
    <w:rsid w:val="00495DF9"/>
    <w:rsid w:val="00496A5E"/>
    <w:rsid w:val="004975F9"/>
    <w:rsid w:val="004A27CB"/>
    <w:rsid w:val="004A30CB"/>
    <w:rsid w:val="004A31F2"/>
    <w:rsid w:val="004A423A"/>
    <w:rsid w:val="004A4539"/>
    <w:rsid w:val="004A46C3"/>
    <w:rsid w:val="004A501E"/>
    <w:rsid w:val="004A5D26"/>
    <w:rsid w:val="004A6B76"/>
    <w:rsid w:val="004A72A3"/>
    <w:rsid w:val="004B14D7"/>
    <w:rsid w:val="004B2137"/>
    <w:rsid w:val="004B2C6C"/>
    <w:rsid w:val="004B4637"/>
    <w:rsid w:val="004B4AED"/>
    <w:rsid w:val="004B4F11"/>
    <w:rsid w:val="004B5A05"/>
    <w:rsid w:val="004B6157"/>
    <w:rsid w:val="004B61E8"/>
    <w:rsid w:val="004B6488"/>
    <w:rsid w:val="004B6E5C"/>
    <w:rsid w:val="004B708A"/>
    <w:rsid w:val="004B7659"/>
    <w:rsid w:val="004B7907"/>
    <w:rsid w:val="004B7D52"/>
    <w:rsid w:val="004B7EB0"/>
    <w:rsid w:val="004C00FA"/>
    <w:rsid w:val="004C0518"/>
    <w:rsid w:val="004C0F0C"/>
    <w:rsid w:val="004C1AD3"/>
    <w:rsid w:val="004C1C8D"/>
    <w:rsid w:val="004C2E6F"/>
    <w:rsid w:val="004C33FD"/>
    <w:rsid w:val="004C3697"/>
    <w:rsid w:val="004C3976"/>
    <w:rsid w:val="004C3AA3"/>
    <w:rsid w:val="004C4065"/>
    <w:rsid w:val="004C51F6"/>
    <w:rsid w:val="004C624C"/>
    <w:rsid w:val="004C7803"/>
    <w:rsid w:val="004C785E"/>
    <w:rsid w:val="004C797F"/>
    <w:rsid w:val="004D0CF4"/>
    <w:rsid w:val="004D166C"/>
    <w:rsid w:val="004D1843"/>
    <w:rsid w:val="004D1D65"/>
    <w:rsid w:val="004D1F00"/>
    <w:rsid w:val="004D1F1A"/>
    <w:rsid w:val="004D2864"/>
    <w:rsid w:val="004D2A94"/>
    <w:rsid w:val="004D33C3"/>
    <w:rsid w:val="004D3A5F"/>
    <w:rsid w:val="004D489D"/>
    <w:rsid w:val="004D4938"/>
    <w:rsid w:val="004D547B"/>
    <w:rsid w:val="004E003E"/>
    <w:rsid w:val="004E067F"/>
    <w:rsid w:val="004E1098"/>
    <w:rsid w:val="004E10FF"/>
    <w:rsid w:val="004E16BF"/>
    <w:rsid w:val="004E1BA7"/>
    <w:rsid w:val="004E1F19"/>
    <w:rsid w:val="004E2131"/>
    <w:rsid w:val="004E2187"/>
    <w:rsid w:val="004E28FD"/>
    <w:rsid w:val="004E2EF9"/>
    <w:rsid w:val="004E30F8"/>
    <w:rsid w:val="004E30FB"/>
    <w:rsid w:val="004E3139"/>
    <w:rsid w:val="004E3FDB"/>
    <w:rsid w:val="004E4016"/>
    <w:rsid w:val="004E4A11"/>
    <w:rsid w:val="004E5073"/>
    <w:rsid w:val="004E514C"/>
    <w:rsid w:val="004E5363"/>
    <w:rsid w:val="004E5568"/>
    <w:rsid w:val="004E5997"/>
    <w:rsid w:val="004E5D2B"/>
    <w:rsid w:val="004E5D9F"/>
    <w:rsid w:val="004E5EEC"/>
    <w:rsid w:val="004E6645"/>
    <w:rsid w:val="004E7195"/>
    <w:rsid w:val="004E753C"/>
    <w:rsid w:val="004F0624"/>
    <w:rsid w:val="004F0786"/>
    <w:rsid w:val="004F134E"/>
    <w:rsid w:val="004F2376"/>
    <w:rsid w:val="004F322F"/>
    <w:rsid w:val="004F3418"/>
    <w:rsid w:val="004F37AE"/>
    <w:rsid w:val="004F3839"/>
    <w:rsid w:val="004F4108"/>
    <w:rsid w:val="004F4414"/>
    <w:rsid w:val="004F4840"/>
    <w:rsid w:val="004F5161"/>
    <w:rsid w:val="004F518B"/>
    <w:rsid w:val="004F5251"/>
    <w:rsid w:val="004F592C"/>
    <w:rsid w:val="004F5E28"/>
    <w:rsid w:val="004F5FD9"/>
    <w:rsid w:val="004F612D"/>
    <w:rsid w:val="004F6C1D"/>
    <w:rsid w:val="004F6D33"/>
    <w:rsid w:val="004F6E42"/>
    <w:rsid w:val="004F7447"/>
    <w:rsid w:val="004F76F6"/>
    <w:rsid w:val="004F79D7"/>
    <w:rsid w:val="00500475"/>
    <w:rsid w:val="005004A5"/>
    <w:rsid w:val="005010F5"/>
    <w:rsid w:val="00501AC6"/>
    <w:rsid w:val="00501D18"/>
    <w:rsid w:val="00501DEC"/>
    <w:rsid w:val="00501E56"/>
    <w:rsid w:val="00501EA7"/>
    <w:rsid w:val="00502832"/>
    <w:rsid w:val="00502B36"/>
    <w:rsid w:val="00502FE7"/>
    <w:rsid w:val="00503752"/>
    <w:rsid w:val="00504BC4"/>
    <w:rsid w:val="0050529C"/>
    <w:rsid w:val="005054C4"/>
    <w:rsid w:val="00505E36"/>
    <w:rsid w:val="005066BE"/>
    <w:rsid w:val="00506A57"/>
    <w:rsid w:val="00507404"/>
    <w:rsid w:val="00512490"/>
    <w:rsid w:val="005124B7"/>
    <w:rsid w:val="00513355"/>
    <w:rsid w:val="00513BDB"/>
    <w:rsid w:val="0051528D"/>
    <w:rsid w:val="005156A6"/>
    <w:rsid w:val="005159C3"/>
    <w:rsid w:val="00515E33"/>
    <w:rsid w:val="00516224"/>
    <w:rsid w:val="00516282"/>
    <w:rsid w:val="00516E83"/>
    <w:rsid w:val="0051727A"/>
    <w:rsid w:val="00517D0E"/>
    <w:rsid w:val="00520A6F"/>
    <w:rsid w:val="00521416"/>
    <w:rsid w:val="005234A3"/>
    <w:rsid w:val="005237B9"/>
    <w:rsid w:val="00524684"/>
    <w:rsid w:val="00524C7B"/>
    <w:rsid w:val="005269CC"/>
    <w:rsid w:val="00527FBE"/>
    <w:rsid w:val="00530BE0"/>
    <w:rsid w:val="0053132E"/>
    <w:rsid w:val="00531F15"/>
    <w:rsid w:val="0053289B"/>
    <w:rsid w:val="00532FB3"/>
    <w:rsid w:val="005336C2"/>
    <w:rsid w:val="00533922"/>
    <w:rsid w:val="00533B2C"/>
    <w:rsid w:val="00533B37"/>
    <w:rsid w:val="0053425C"/>
    <w:rsid w:val="00534B93"/>
    <w:rsid w:val="005354AF"/>
    <w:rsid w:val="0053590F"/>
    <w:rsid w:val="005368B4"/>
    <w:rsid w:val="00536D93"/>
    <w:rsid w:val="00537721"/>
    <w:rsid w:val="00540AC4"/>
    <w:rsid w:val="005414B9"/>
    <w:rsid w:val="00541613"/>
    <w:rsid w:val="00541C96"/>
    <w:rsid w:val="0054231D"/>
    <w:rsid w:val="0054235F"/>
    <w:rsid w:val="00542ED6"/>
    <w:rsid w:val="00543C4A"/>
    <w:rsid w:val="005453C4"/>
    <w:rsid w:val="00545B71"/>
    <w:rsid w:val="00546081"/>
    <w:rsid w:val="0054668E"/>
    <w:rsid w:val="00547EB1"/>
    <w:rsid w:val="00550BBE"/>
    <w:rsid w:val="0055135B"/>
    <w:rsid w:val="00551C60"/>
    <w:rsid w:val="00552338"/>
    <w:rsid w:val="00552AFF"/>
    <w:rsid w:val="00553711"/>
    <w:rsid w:val="00553A8F"/>
    <w:rsid w:val="00553AD3"/>
    <w:rsid w:val="00553C94"/>
    <w:rsid w:val="00553E70"/>
    <w:rsid w:val="00554B5A"/>
    <w:rsid w:val="00554E06"/>
    <w:rsid w:val="00555747"/>
    <w:rsid w:val="0055593A"/>
    <w:rsid w:val="005559AA"/>
    <w:rsid w:val="00555F47"/>
    <w:rsid w:val="005561B1"/>
    <w:rsid w:val="005567B6"/>
    <w:rsid w:val="00556AE0"/>
    <w:rsid w:val="00556FB7"/>
    <w:rsid w:val="005573DA"/>
    <w:rsid w:val="00557A93"/>
    <w:rsid w:val="00560067"/>
    <w:rsid w:val="00560593"/>
    <w:rsid w:val="00560F1A"/>
    <w:rsid w:val="00564EA5"/>
    <w:rsid w:val="0056589C"/>
    <w:rsid w:val="005669BD"/>
    <w:rsid w:val="005675CA"/>
    <w:rsid w:val="00567886"/>
    <w:rsid w:val="00567B95"/>
    <w:rsid w:val="00567EAB"/>
    <w:rsid w:val="00567F11"/>
    <w:rsid w:val="005702D2"/>
    <w:rsid w:val="00570581"/>
    <w:rsid w:val="0057071B"/>
    <w:rsid w:val="005709DA"/>
    <w:rsid w:val="0057134B"/>
    <w:rsid w:val="00571CD3"/>
    <w:rsid w:val="005730BB"/>
    <w:rsid w:val="005748E8"/>
    <w:rsid w:val="00574D0D"/>
    <w:rsid w:val="0057529A"/>
    <w:rsid w:val="00575D51"/>
    <w:rsid w:val="005769FC"/>
    <w:rsid w:val="00576B69"/>
    <w:rsid w:val="00576DC7"/>
    <w:rsid w:val="0057713D"/>
    <w:rsid w:val="00577436"/>
    <w:rsid w:val="00577538"/>
    <w:rsid w:val="00580B68"/>
    <w:rsid w:val="0058133E"/>
    <w:rsid w:val="005818F7"/>
    <w:rsid w:val="00581972"/>
    <w:rsid w:val="0058198F"/>
    <w:rsid w:val="00581CE7"/>
    <w:rsid w:val="00581F67"/>
    <w:rsid w:val="00583E3F"/>
    <w:rsid w:val="00584E0C"/>
    <w:rsid w:val="0058522C"/>
    <w:rsid w:val="0058577A"/>
    <w:rsid w:val="005865B5"/>
    <w:rsid w:val="00586818"/>
    <w:rsid w:val="00586C82"/>
    <w:rsid w:val="00586CF4"/>
    <w:rsid w:val="0058758B"/>
    <w:rsid w:val="00587D39"/>
    <w:rsid w:val="00590078"/>
    <w:rsid w:val="00590595"/>
    <w:rsid w:val="00590766"/>
    <w:rsid w:val="00590F89"/>
    <w:rsid w:val="0059220D"/>
    <w:rsid w:val="005922A2"/>
    <w:rsid w:val="005938B3"/>
    <w:rsid w:val="00593A4B"/>
    <w:rsid w:val="00593D7E"/>
    <w:rsid w:val="0059430A"/>
    <w:rsid w:val="00594503"/>
    <w:rsid w:val="005945C4"/>
    <w:rsid w:val="00594680"/>
    <w:rsid w:val="00595102"/>
    <w:rsid w:val="005952B2"/>
    <w:rsid w:val="00595FEB"/>
    <w:rsid w:val="005960ED"/>
    <w:rsid w:val="00596857"/>
    <w:rsid w:val="00596BEA"/>
    <w:rsid w:val="00596C5A"/>
    <w:rsid w:val="00597892"/>
    <w:rsid w:val="005A066E"/>
    <w:rsid w:val="005A0726"/>
    <w:rsid w:val="005A1CD3"/>
    <w:rsid w:val="005A2123"/>
    <w:rsid w:val="005A2A9F"/>
    <w:rsid w:val="005A36E8"/>
    <w:rsid w:val="005A42A9"/>
    <w:rsid w:val="005A46A4"/>
    <w:rsid w:val="005A499F"/>
    <w:rsid w:val="005A5775"/>
    <w:rsid w:val="005A58C2"/>
    <w:rsid w:val="005A58E7"/>
    <w:rsid w:val="005A6146"/>
    <w:rsid w:val="005A7297"/>
    <w:rsid w:val="005B042B"/>
    <w:rsid w:val="005B0D86"/>
    <w:rsid w:val="005B13A4"/>
    <w:rsid w:val="005B1492"/>
    <w:rsid w:val="005B1C3D"/>
    <w:rsid w:val="005B29B2"/>
    <w:rsid w:val="005B34A2"/>
    <w:rsid w:val="005B35CC"/>
    <w:rsid w:val="005B36AA"/>
    <w:rsid w:val="005B4019"/>
    <w:rsid w:val="005B634D"/>
    <w:rsid w:val="005B6A02"/>
    <w:rsid w:val="005B6A11"/>
    <w:rsid w:val="005B6F02"/>
    <w:rsid w:val="005B7651"/>
    <w:rsid w:val="005B7703"/>
    <w:rsid w:val="005B78E3"/>
    <w:rsid w:val="005B7B70"/>
    <w:rsid w:val="005B7F08"/>
    <w:rsid w:val="005B7F4B"/>
    <w:rsid w:val="005C0B74"/>
    <w:rsid w:val="005C122B"/>
    <w:rsid w:val="005C2B3A"/>
    <w:rsid w:val="005C2BFA"/>
    <w:rsid w:val="005C55A9"/>
    <w:rsid w:val="005C5D14"/>
    <w:rsid w:val="005C6587"/>
    <w:rsid w:val="005C7C43"/>
    <w:rsid w:val="005D04AA"/>
    <w:rsid w:val="005D0ADC"/>
    <w:rsid w:val="005D0C07"/>
    <w:rsid w:val="005D11DB"/>
    <w:rsid w:val="005D156E"/>
    <w:rsid w:val="005D1E89"/>
    <w:rsid w:val="005D2586"/>
    <w:rsid w:val="005D3826"/>
    <w:rsid w:val="005D3AC6"/>
    <w:rsid w:val="005D3B26"/>
    <w:rsid w:val="005D3B3A"/>
    <w:rsid w:val="005D488A"/>
    <w:rsid w:val="005D5566"/>
    <w:rsid w:val="005D670B"/>
    <w:rsid w:val="005D6884"/>
    <w:rsid w:val="005D7B57"/>
    <w:rsid w:val="005D7E7F"/>
    <w:rsid w:val="005E11AB"/>
    <w:rsid w:val="005E1E32"/>
    <w:rsid w:val="005E2090"/>
    <w:rsid w:val="005E2679"/>
    <w:rsid w:val="005E2D86"/>
    <w:rsid w:val="005E4429"/>
    <w:rsid w:val="005E49D1"/>
    <w:rsid w:val="005E4AA7"/>
    <w:rsid w:val="005E5292"/>
    <w:rsid w:val="005E54B7"/>
    <w:rsid w:val="005E6232"/>
    <w:rsid w:val="005E69CF"/>
    <w:rsid w:val="005E7163"/>
    <w:rsid w:val="005E7598"/>
    <w:rsid w:val="005E7C1B"/>
    <w:rsid w:val="005F20DE"/>
    <w:rsid w:val="005F2B6C"/>
    <w:rsid w:val="005F382E"/>
    <w:rsid w:val="005F4115"/>
    <w:rsid w:val="005F46AA"/>
    <w:rsid w:val="005F4A00"/>
    <w:rsid w:val="005F507B"/>
    <w:rsid w:val="005F55D4"/>
    <w:rsid w:val="005F5618"/>
    <w:rsid w:val="005F5B5E"/>
    <w:rsid w:val="005F71A8"/>
    <w:rsid w:val="005F73F6"/>
    <w:rsid w:val="0060033B"/>
    <w:rsid w:val="00600485"/>
    <w:rsid w:val="006016F3"/>
    <w:rsid w:val="006018A7"/>
    <w:rsid w:val="00602042"/>
    <w:rsid w:val="00602050"/>
    <w:rsid w:val="0060225F"/>
    <w:rsid w:val="00602580"/>
    <w:rsid w:val="006028F8"/>
    <w:rsid w:val="00602A24"/>
    <w:rsid w:val="0060347B"/>
    <w:rsid w:val="0060385D"/>
    <w:rsid w:val="00603C56"/>
    <w:rsid w:val="00603F32"/>
    <w:rsid w:val="0060411C"/>
    <w:rsid w:val="006042EF"/>
    <w:rsid w:val="006044A1"/>
    <w:rsid w:val="00605885"/>
    <w:rsid w:val="00606503"/>
    <w:rsid w:val="00606682"/>
    <w:rsid w:val="00607EFC"/>
    <w:rsid w:val="00610400"/>
    <w:rsid w:val="00610EC4"/>
    <w:rsid w:val="00611216"/>
    <w:rsid w:val="00611235"/>
    <w:rsid w:val="006116A9"/>
    <w:rsid w:val="00611ABD"/>
    <w:rsid w:val="00611BAC"/>
    <w:rsid w:val="00611BBE"/>
    <w:rsid w:val="0061241B"/>
    <w:rsid w:val="00613075"/>
    <w:rsid w:val="00613B41"/>
    <w:rsid w:val="00613E9A"/>
    <w:rsid w:val="00613F7B"/>
    <w:rsid w:val="00614651"/>
    <w:rsid w:val="00615474"/>
    <w:rsid w:val="006155A1"/>
    <w:rsid w:val="00615C71"/>
    <w:rsid w:val="00615F24"/>
    <w:rsid w:val="006160FB"/>
    <w:rsid w:val="0061622D"/>
    <w:rsid w:val="00616C0C"/>
    <w:rsid w:val="00616C0F"/>
    <w:rsid w:val="00616F7E"/>
    <w:rsid w:val="00617FDE"/>
    <w:rsid w:val="0062005F"/>
    <w:rsid w:val="00620AD8"/>
    <w:rsid w:val="00620C8F"/>
    <w:rsid w:val="00620E48"/>
    <w:rsid w:val="00621282"/>
    <w:rsid w:val="00621822"/>
    <w:rsid w:val="00622341"/>
    <w:rsid w:val="0062267B"/>
    <w:rsid w:val="00622E44"/>
    <w:rsid w:val="00623728"/>
    <w:rsid w:val="00623896"/>
    <w:rsid w:val="006242AD"/>
    <w:rsid w:val="006246D3"/>
    <w:rsid w:val="00624AA0"/>
    <w:rsid w:val="0062654E"/>
    <w:rsid w:val="00626F4B"/>
    <w:rsid w:val="00627632"/>
    <w:rsid w:val="0063014C"/>
    <w:rsid w:val="00631AB3"/>
    <w:rsid w:val="00631F47"/>
    <w:rsid w:val="006337D8"/>
    <w:rsid w:val="006351E1"/>
    <w:rsid w:val="0063642A"/>
    <w:rsid w:val="00636E98"/>
    <w:rsid w:val="00636F88"/>
    <w:rsid w:val="006371AF"/>
    <w:rsid w:val="00637FAD"/>
    <w:rsid w:val="00640C0C"/>
    <w:rsid w:val="006428A6"/>
    <w:rsid w:val="0064310B"/>
    <w:rsid w:val="00643F9C"/>
    <w:rsid w:val="006442A2"/>
    <w:rsid w:val="00645689"/>
    <w:rsid w:val="0064611C"/>
    <w:rsid w:val="00646459"/>
    <w:rsid w:val="00646CC8"/>
    <w:rsid w:val="00646D32"/>
    <w:rsid w:val="00647AAF"/>
    <w:rsid w:val="00647BAE"/>
    <w:rsid w:val="00647D60"/>
    <w:rsid w:val="006500D3"/>
    <w:rsid w:val="00652715"/>
    <w:rsid w:val="006528A8"/>
    <w:rsid w:val="0065292D"/>
    <w:rsid w:val="00654583"/>
    <w:rsid w:val="00654A3B"/>
    <w:rsid w:val="00655053"/>
    <w:rsid w:val="006550DB"/>
    <w:rsid w:val="00656319"/>
    <w:rsid w:val="00656323"/>
    <w:rsid w:val="006563EF"/>
    <w:rsid w:val="006565E1"/>
    <w:rsid w:val="00656E6F"/>
    <w:rsid w:val="00657364"/>
    <w:rsid w:val="00657D37"/>
    <w:rsid w:val="00661C30"/>
    <w:rsid w:val="00661E30"/>
    <w:rsid w:val="00661F03"/>
    <w:rsid w:val="006625D6"/>
    <w:rsid w:val="00662B6C"/>
    <w:rsid w:val="00662C71"/>
    <w:rsid w:val="006637F7"/>
    <w:rsid w:val="00663A61"/>
    <w:rsid w:val="00663D31"/>
    <w:rsid w:val="0066443D"/>
    <w:rsid w:val="006644E7"/>
    <w:rsid w:val="0066536D"/>
    <w:rsid w:val="00665B35"/>
    <w:rsid w:val="00666F2A"/>
    <w:rsid w:val="0066754C"/>
    <w:rsid w:val="00667614"/>
    <w:rsid w:val="006707C7"/>
    <w:rsid w:val="00670CE1"/>
    <w:rsid w:val="00670F03"/>
    <w:rsid w:val="0067172D"/>
    <w:rsid w:val="0067177D"/>
    <w:rsid w:val="00671DD0"/>
    <w:rsid w:val="00672937"/>
    <w:rsid w:val="00673C5E"/>
    <w:rsid w:val="00674107"/>
    <w:rsid w:val="006747D9"/>
    <w:rsid w:val="00674970"/>
    <w:rsid w:val="00674C1F"/>
    <w:rsid w:val="00675C18"/>
    <w:rsid w:val="006765C0"/>
    <w:rsid w:val="006769DF"/>
    <w:rsid w:val="006777EE"/>
    <w:rsid w:val="0068034D"/>
    <w:rsid w:val="00680782"/>
    <w:rsid w:val="00680AEA"/>
    <w:rsid w:val="006820D0"/>
    <w:rsid w:val="006828C5"/>
    <w:rsid w:val="0068330D"/>
    <w:rsid w:val="006847A2"/>
    <w:rsid w:val="00684B17"/>
    <w:rsid w:val="00684C14"/>
    <w:rsid w:val="00684D1E"/>
    <w:rsid w:val="0068566E"/>
    <w:rsid w:val="00685753"/>
    <w:rsid w:val="00685852"/>
    <w:rsid w:val="006858BF"/>
    <w:rsid w:val="00685E71"/>
    <w:rsid w:val="0069118D"/>
    <w:rsid w:val="006915F6"/>
    <w:rsid w:val="006915FA"/>
    <w:rsid w:val="00691BFC"/>
    <w:rsid w:val="00691C3F"/>
    <w:rsid w:val="00691DEE"/>
    <w:rsid w:val="00691DF9"/>
    <w:rsid w:val="00692C84"/>
    <w:rsid w:val="006932A2"/>
    <w:rsid w:val="00693DCD"/>
    <w:rsid w:val="00694276"/>
    <w:rsid w:val="00694BD1"/>
    <w:rsid w:val="006954F9"/>
    <w:rsid w:val="00695960"/>
    <w:rsid w:val="00695BC7"/>
    <w:rsid w:val="00695C8F"/>
    <w:rsid w:val="00696ED1"/>
    <w:rsid w:val="00697327"/>
    <w:rsid w:val="006977A2"/>
    <w:rsid w:val="006A0446"/>
    <w:rsid w:val="006A0520"/>
    <w:rsid w:val="006A0AC2"/>
    <w:rsid w:val="006A181E"/>
    <w:rsid w:val="006A1F4E"/>
    <w:rsid w:val="006A22A4"/>
    <w:rsid w:val="006A2C98"/>
    <w:rsid w:val="006A2F1D"/>
    <w:rsid w:val="006A37C9"/>
    <w:rsid w:val="006A4065"/>
    <w:rsid w:val="006A4237"/>
    <w:rsid w:val="006A6263"/>
    <w:rsid w:val="006A76C9"/>
    <w:rsid w:val="006B018F"/>
    <w:rsid w:val="006B1151"/>
    <w:rsid w:val="006B19D5"/>
    <w:rsid w:val="006B23E2"/>
    <w:rsid w:val="006B2921"/>
    <w:rsid w:val="006B29C9"/>
    <w:rsid w:val="006B3BE9"/>
    <w:rsid w:val="006B3E92"/>
    <w:rsid w:val="006B47BD"/>
    <w:rsid w:val="006B4C22"/>
    <w:rsid w:val="006B547C"/>
    <w:rsid w:val="006B5C01"/>
    <w:rsid w:val="006B64ED"/>
    <w:rsid w:val="006B6CAB"/>
    <w:rsid w:val="006B6E84"/>
    <w:rsid w:val="006B7023"/>
    <w:rsid w:val="006B77C2"/>
    <w:rsid w:val="006C01A7"/>
    <w:rsid w:val="006C0276"/>
    <w:rsid w:val="006C043B"/>
    <w:rsid w:val="006C0CB1"/>
    <w:rsid w:val="006C0E0A"/>
    <w:rsid w:val="006C12E8"/>
    <w:rsid w:val="006C167D"/>
    <w:rsid w:val="006C1E7D"/>
    <w:rsid w:val="006C20B0"/>
    <w:rsid w:val="006C2712"/>
    <w:rsid w:val="006C29E8"/>
    <w:rsid w:val="006C2A91"/>
    <w:rsid w:val="006C2E65"/>
    <w:rsid w:val="006C31A7"/>
    <w:rsid w:val="006C4063"/>
    <w:rsid w:val="006C42C6"/>
    <w:rsid w:val="006C483A"/>
    <w:rsid w:val="006C54A6"/>
    <w:rsid w:val="006C550F"/>
    <w:rsid w:val="006C6191"/>
    <w:rsid w:val="006C6C91"/>
    <w:rsid w:val="006C71AF"/>
    <w:rsid w:val="006C7C19"/>
    <w:rsid w:val="006D003F"/>
    <w:rsid w:val="006D07DD"/>
    <w:rsid w:val="006D0970"/>
    <w:rsid w:val="006D13B7"/>
    <w:rsid w:val="006D15E4"/>
    <w:rsid w:val="006D16E9"/>
    <w:rsid w:val="006D1E6E"/>
    <w:rsid w:val="006D24AC"/>
    <w:rsid w:val="006D3E35"/>
    <w:rsid w:val="006D5B34"/>
    <w:rsid w:val="006D5E0A"/>
    <w:rsid w:val="006D6530"/>
    <w:rsid w:val="006D6FB3"/>
    <w:rsid w:val="006D7CEB"/>
    <w:rsid w:val="006D7D96"/>
    <w:rsid w:val="006D7EC8"/>
    <w:rsid w:val="006E0669"/>
    <w:rsid w:val="006E0E16"/>
    <w:rsid w:val="006E1C39"/>
    <w:rsid w:val="006E1CF0"/>
    <w:rsid w:val="006E1CF7"/>
    <w:rsid w:val="006E2464"/>
    <w:rsid w:val="006E3798"/>
    <w:rsid w:val="006E47BE"/>
    <w:rsid w:val="006E55F4"/>
    <w:rsid w:val="006E5DE7"/>
    <w:rsid w:val="006E718B"/>
    <w:rsid w:val="006E7441"/>
    <w:rsid w:val="006E7672"/>
    <w:rsid w:val="006E7E95"/>
    <w:rsid w:val="006F073B"/>
    <w:rsid w:val="006F083D"/>
    <w:rsid w:val="006F0E50"/>
    <w:rsid w:val="006F1502"/>
    <w:rsid w:val="006F19E4"/>
    <w:rsid w:val="006F24C6"/>
    <w:rsid w:val="006F2B76"/>
    <w:rsid w:val="006F2F24"/>
    <w:rsid w:val="006F3CD5"/>
    <w:rsid w:val="006F48C8"/>
    <w:rsid w:val="006F5904"/>
    <w:rsid w:val="006F6851"/>
    <w:rsid w:val="006F6E71"/>
    <w:rsid w:val="006F798A"/>
    <w:rsid w:val="006F7F62"/>
    <w:rsid w:val="006F7FF7"/>
    <w:rsid w:val="007025B7"/>
    <w:rsid w:val="00702D1B"/>
    <w:rsid w:val="0070331E"/>
    <w:rsid w:val="00703981"/>
    <w:rsid w:val="00704F3A"/>
    <w:rsid w:val="00705ED7"/>
    <w:rsid w:val="00706013"/>
    <w:rsid w:val="007069D2"/>
    <w:rsid w:val="00706BEB"/>
    <w:rsid w:val="00710CA3"/>
    <w:rsid w:val="007111F3"/>
    <w:rsid w:val="00711D64"/>
    <w:rsid w:val="00711F51"/>
    <w:rsid w:val="007126F4"/>
    <w:rsid w:val="00712C91"/>
    <w:rsid w:val="00712ECE"/>
    <w:rsid w:val="007133FC"/>
    <w:rsid w:val="00714D44"/>
    <w:rsid w:val="00714DAA"/>
    <w:rsid w:val="00714E5E"/>
    <w:rsid w:val="00715268"/>
    <w:rsid w:val="00715302"/>
    <w:rsid w:val="00715C29"/>
    <w:rsid w:val="0071641B"/>
    <w:rsid w:val="007168E0"/>
    <w:rsid w:val="00716B6D"/>
    <w:rsid w:val="00716F01"/>
    <w:rsid w:val="0071732C"/>
    <w:rsid w:val="00717A0D"/>
    <w:rsid w:val="0072059A"/>
    <w:rsid w:val="0072083A"/>
    <w:rsid w:val="00721039"/>
    <w:rsid w:val="00721519"/>
    <w:rsid w:val="00721FF3"/>
    <w:rsid w:val="00722336"/>
    <w:rsid w:val="00722798"/>
    <w:rsid w:val="00722C6D"/>
    <w:rsid w:val="00723898"/>
    <w:rsid w:val="00723E32"/>
    <w:rsid w:val="00723F5D"/>
    <w:rsid w:val="0072427D"/>
    <w:rsid w:val="0072534A"/>
    <w:rsid w:val="00725802"/>
    <w:rsid w:val="00725AD7"/>
    <w:rsid w:val="00726337"/>
    <w:rsid w:val="007264D6"/>
    <w:rsid w:val="0072699D"/>
    <w:rsid w:val="00726CEB"/>
    <w:rsid w:val="00727D40"/>
    <w:rsid w:val="007302A9"/>
    <w:rsid w:val="007302F1"/>
    <w:rsid w:val="00730C28"/>
    <w:rsid w:val="0073151F"/>
    <w:rsid w:val="00731886"/>
    <w:rsid w:val="00731B42"/>
    <w:rsid w:val="00731DF1"/>
    <w:rsid w:val="007329F5"/>
    <w:rsid w:val="0073372C"/>
    <w:rsid w:val="00733CE9"/>
    <w:rsid w:val="00733EF9"/>
    <w:rsid w:val="007346CB"/>
    <w:rsid w:val="007362E9"/>
    <w:rsid w:val="00737277"/>
    <w:rsid w:val="007377D1"/>
    <w:rsid w:val="00740246"/>
    <w:rsid w:val="00740528"/>
    <w:rsid w:val="0074098B"/>
    <w:rsid w:val="00743178"/>
    <w:rsid w:val="00743837"/>
    <w:rsid w:val="007439E9"/>
    <w:rsid w:val="00743C0E"/>
    <w:rsid w:val="00744508"/>
    <w:rsid w:val="0074556C"/>
    <w:rsid w:val="007456C7"/>
    <w:rsid w:val="00745A71"/>
    <w:rsid w:val="007460B4"/>
    <w:rsid w:val="00746A4A"/>
    <w:rsid w:val="00746E25"/>
    <w:rsid w:val="00747227"/>
    <w:rsid w:val="0074746C"/>
    <w:rsid w:val="00750098"/>
    <w:rsid w:val="00750D28"/>
    <w:rsid w:val="007510DC"/>
    <w:rsid w:val="007518D2"/>
    <w:rsid w:val="00751FA4"/>
    <w:rsid w:val="0075255B"/>
    <w:rsid w:val="007533C6"/>
    <w:rsid w:val="00753E5F"/>
    <w:rsid w:val="00753FEC"/>
    <w:rsid w:val="007569F2"/>
    <w:rsid w:val="007570EC"/>
    <w:rsid w:val="007573DF"/>
    <w:rsid w:val="00760696"/>
    <w:rsid w:val="0076103F"/>
    <w:rsid w:val="0076110F"/>
    <w:rsid w:val="00761693"/>
    <w:rsid w:val="00762312"/>
    <w:rsid w:val="007627DE"/>
    <w:rsid w:val="007629F5"/>
    <w:rsid w:val="00762AF8"/>
    <w:rsid w:val="00762D79"/>
    <w:rsid w:val="00762EE5"/>
    <w:rsid w:val="00762F97"/>
    <w:rsid w:val="00763148"/>
    <w:rsid w:val="0076397D"/>
    <w:rsid w:val="00763ABA"/>
    <w:rsid w:val="00763C07"/>
    <w:rsid w:val="00766040"/>
    <w:rsid w:val="007664B3"/>
    <w:rsid w:val="00766792"/>
    <w:rsid w:val="00766F9A"/>
    <w:rsid w:val="00767759"/>
    <w:rsid w:val="00767DEB"/>
    <w:rsid w:val="00770151"/>
    <w:rsid w:val="00770159"/>
    <w:rsid w:val="007703D4"/>
    <w:rsid w:val="00770C0C"/>
    <w:rsid w:val="00770CD5"/>
    <w:rsid w:val="00771397"/>
    <w:rsid w:val="00771DEA"/>
    <w:rsid w:val="00771E21"/>
    <w:rsid w:val="00772036"/>
    <w:rsid w:val="00772B59"/>
    <w:rsid w:val="00772BD4"/>
    <w:rsid w:val="00772C3B"/>
    <w:rsid w:val="00772C47"/>
    <w:rsid w:val="00772F90"/>
    <w:rsid w:val="00773A6C"/>
    <w:rsid w:val="00773BC8"/>
    <w:rsid w:val="00774AB6"/>
    <w:rsid w:val="007754AF"/>
    <w:rsid w:val="00775586"/>
    <w:rsid w:val="0077576F"/>
    <w:rsid w:val="00775D9B"/>
    <w:rsid w:val="00777BEF"/>
    <w:rsid w:val="0078133E"/>
    <w:rsid w:val="00781D8E"/>
    <w:rsid w:val="00782494"/>
    <w:rsid w:val="007825D7"/>
    <w:rsid w:val="00782F16"/>
    <w:rsid w:val="007830C8"/>
    <w:rsid w:val="00784836"/>
    <w:rsid w:val="00784DC0"/>
    <w:rsid w:val="00785292"/>
    <w:rsid w:val="0078584E"/>
    <w:rsid w:val="007866D6"/>
    <w:rsid w:val="00786ACA"/>
    <w:rsid w:val="007870CC"/>
    <w:rsid w:val="00791752"/>
    <w:rsid w:val="00791BC1"/>
    <w:rsid w:val="00791C9A"/>
    <w:rsid w:val="0079250A"/>
    <w:rsid w:val="007928DB"/>
    <w:rsid w:val="007937AF"/>
    <w:rsid w:val="00794FAB"/>
    <w:rsid w:val="00795080"/>
    <w:rsid w:val="007955F0"/>
    <w:rsid w:val="00796BB9"/>
    <w:rsid w:val="00796D9C"/>
    <w:rsid w:val="00797782"/>
    <w:rsid w:val="00797A43"/>
    <w:rsid w:val="00797B61"/>
    <w:rsid w:val="00797BC5"/>
    <w:rsid w:val="007A040D"/>
    <w:rsid w:val="007A0A0D"/>
    <w:rsid w:val="007A0E18"/>
    <w:rsid w:val="007A0E77"/>
    <w:rsid w:val="007A247F"/>
    <w:rsid w:val="007A4264"/>
    <w:rsid w:val="007A49D0"/>
    <w:rsid w:val="007A4D12"/>
    <w:rsid w:val="007A5D06"/>
    <w:rsid w:val="007A6304"/>
    <w:rsid w:val="007A68A8"/>
    <w:rsid w:val="007B0041"/>
    <w:rsid w:val="007B073F"/>
    <w:rsid w:val="007B0D9B"/>
    <w:rsid w:val="007B1C22"/>
    <w:rsid w:val="007B2593"/>
    <w:rsid w:val="007B397E"/>
    <w:rsid w:val="007B4B93"/>
    <w:rsid w:val="007B51BC"/>
    <w:rsid w:val="007B60E5"/>
    <w:rsid w:val="007B6410"/>
    <w:rsid w:val="007B6553"/>
    <w:rsid w:val="007B7285"/>
    <w:rsid w:val="007B7DE5"/>
    <w:rsid w:val="007B7ECD"/>
    <w:rsid w:val="007C0953"/>
    <w:rsid w:val="007C0BE7"/>
    <w:rsid w:val="007C0EA6"/>
    <w:rsid w:val="007C1077"/>
    <w:rsid w:val="007C1A0C"/>
    <w:rsid w:val="007C1BBF"/>
    <w:rsid w:val="007C28E3"/>
    <w:rsid w:val="007C294D"/>
    <w:rsid w:val="007C37D4"/>
    <w:rsid w:val="007C401C"/>
    <w:rsid w:val="007C43A0"/>
    <w:rsid w:val="007C5A84"/>
    <w:rsid w:val="007C62E5"/>
    <w:rsid w:val="007C6402"/>
    <w:rsid w:val="007C64E5"/>
    <w:rsid w:val="007C6C62"/>
    <w:rsid w:val="007C7147"/>
    <w:rsid w:val="007C74EB"/>
    <w:rsid w:val="007C7766"/>
    <w:rsid w:val="007C7F65"/>
    <w:rsid w:val="007D00B3"/>
    <w:rsid w:val="007D0FBC"/>
    <w:rsid w:val="007D2808"/>
    <w:rsid w:val="007D4481"/>
    <w:rsid w:val="007D49B9"/>
    <w:rsid w:val="007D4C48"/>
    <w:rsid w:val="007D515D"/>
    <w:rsid w:val="007D61DD"/>
    <w:rsid w:val="007D7219"/>
    <w:rsid w:val="007D77F4"/>
    <w:rsid w:val="007D7896"/>
    <w:rsid w:val="007D7B02"/>
    <w:rsid w:val="007D7F04"/>
    <w:rsid w:val="007E017B"/>
    <w:rsid w:val="007E0649"/>
    <w:rsid w:val="007E079B"/>
    <w:rsid w:val="007E09D8"/>
    <w:rsid w:val="007E1880"/>
    <w:rsid w:val="007E2142"/>
    <w:rsid w:val="007E2223"/>
    <w:rsid w:val="007E358B"/>
    <w:rsid w:val="007E37E6"/>
    <w:rsid w:val="007E4556"/>
    <w:rsid w:val="007E45D4"/>
    <w:rsid w:val="007E4AE5"/>
    <w:rsid w:val="007E5011"/>
    <w:rsid w:val="007E53FE"/>
    <w:rsid w:val="007E5716"/>
    <w:rsid w:val="007E7BA7"/>
    <w:rsid w:val="007F0450"/>
    <w:rsid w:val="007F0534"/>
    <w:rsid w:val="007F1771"/>
    <w:rsid w:val="007F24DB"/>
    <w:rsid w:val="007F2524"/>
    <w:rsid w:val="007F353E"/>
    <w:rsid w:val="007F48F2"/>
    <w:rsid w:val="007F5AE9"/>
    <w:rsid w:val="007F606C"/>
    <w:rsid w:val="007F61B5"/>
    <w:rsid w:val="007F7D06"/>
    <w:rsid w:val="008006FF"/>
    <w:rsid w:val="0080111D"/>
    <w:rsid w:val="0080137B"/>
    <w:rsid w:val="0080198A"/>
    <w:rsid w:val="00802118"/>
    <w:rsid w:val="0080231F"/>
    <w:rsid w:val="00802A26"/>
    <w:rsid w:val="00802BCB"/>
    <w:rsid w:val="00802F77"/>
    <w:rsid w:val="00802F93"/>
    <w:rsid w:val="008039A3"/>
    <w:rsid w:val="00803F57"/>
    <w:rsid w:val="008046AA"/>
    <w:rsid w:val="00804897"/>
    <w:rsid w:val="00804C50"/>
    <w:rsid w:val="00805D39"/>
    <w:rsid w:val="00805D4A"/>
    <w:rsid w:val="00805E79"/>
    <w:rsid w:val="00806216"/>
    <w:rsid w:val="0080628C"/>
    <w:rsid w:val="008077B7"/>
    <w:rsid w:val="008077CA"/>
    <w:rsid w:val="00810669"/>
    <w:rsid w:val="008107AF"/>
    <w:rsid w:val="00811CA6"/>
    <w:rsid w:val="008128F9"/>
    <w:rsid w:val="00813478"/>
    <w:rsid w:val="008141C1"/>
    <w:rsid w:val="00815472"/>
    <w:rsid w:val="008156BB"/>
    <w:rsid w:val="00815EC1"/>
    <w:rsid w:val="0081663E"/>
    <w:rsid w:val="008170ED"/>
    <w:rsid w:val="0081774A"/>
    <w:rsid w:val="00817AC1"/>
    <w:rsid w:val="00820319"/>
    <w:rsid w:val="00821095"/>
    <w:rsid w:val="00821846"/>
    <w:rsid w:val="00821F92"/>
    <w:rsid w:val="0082354E"/>
    <w:rsid w:val="0082447E"/>
    <w:rsid w:val="008244BF"/>
    <w:rsid w:val="00824F4C"/>
    <w:rsid w:val="00824FA1"/>
    <w:rsid w:val="00825A07"/>
    <w:rsid w:val="0083091D"/>
    <w:rsid w:val="00830A92"/>
    <w:rsid w:val="00832440"/>
    <w:rsid w:val="00832637"/>
    <w:rsid w:val="00832C2E"/>
    <w:rsid w:val="00832C70"/>
    <w:rsid w:val="00832CD9"/>
    <w:rsid w:val="00833291"/>
    <w:rsid w:val="008339FE"/>
    <w:rsid w:val="00833B7D"/>
    <w:rsid w:val="00833FA0"/>
    <w:rsid w:val="0083472A"/>
    <w:rsid w:val="00835509"/>
    <w:rsid w:val="008356BB"/>
    <w:rsid w:val="008364D7"/>
    <w:rsid w:val="00836AD1"/>
    <w:rsid w:val="00837307"/>
    <w:rsid w:val="00840502"/>
    <w:rsid w:val="00841EB7"/>
    <w:rsid w:val="00842C26"/>
    <w:rsid w:val="0084328E"/>
    <w:rsid w:val="00843F68"/>
    <w:rsid w:val="008450A4"/>
    <w:rsid w:val="00845230"/>
    <w:rsid w:val="00845748"/>
    <w:rsid w:val="00845CB0"/>
    <w:rsid w:val="008468DA"/>
    <w:rsid w:val="00847000"/>
    <w:rsid w:val="008470CB"/>
    <w:rsid w:val="008477D7"/>
    <w:rsid w:val="008503A8"/>
    <w:rsid w:val="0085134D"/>
    <w:rsid w:val="00851D36"/>
    <w:rsid w:val="00851D66"/>
    <w:rsid w:val="008524A5"/>
    <w:rsid w:val="008529D8"/>
    <w:rsid w:val="00853B17"/>
    <w:rsid w:val="00854341"/>
    <w:rsid w:val="0085434D"/>
    <w:rsid w:val="00855AC4"/>
    <w:rsid w:val="008577A7"/>
    <w:rsid w:val="00857E72"/>
    <w:rsid w:val="00860451"/>
    <w:rsid w:val="008605DA"/>
    <w:rsid w:val="008606B2"/>
    <w:rsid w:val="00861190"/>
    <w:rsid w:val="00861504"/>
    <w:rsid w:val="00861680"/>
    <w:rsid w:val="00861A20"/>
    <w:rsid w:val="00861C74"/>
    <w:rsid w:val="00861CF3"/>
    <w:rsid w:val="0086231F"/>
    <w:rsid w:val="008624B8"/>
    <w:rsid w:val="00862572"/>
    <w:rsid w:val="00862BF4"/>
    <w:rsid w:val="00863340"/>
    <w:rsid w:val="008633CD"/>
    <w:rsid w:val="008650A9"/>
    <w:rsid w:val="0086524B"/>
    <w:rsid w:val="008655A3"/>
    <w:rsid w:val="00865B4A"/>
    <w:rsid w:val="00865C08"/>
    <w:rsid w:val="00865F9F"/>
    <w:rsid w:val="00866CF3"/>
    <w:rsid w:val="00866CF6"/>
    <w:rsid w:val="00867146"/>
    <w:rsid w:val="00867257"/>
    <w:rsid w:val="00867BBA"/>
    <w:rsid w:val="0087040B"/>
    <w:rsid w:val="00870B95"/>
    <w:rsid w:val="00870E0F"/>
    <w:rsid w:val="0087141D"/>
    <w:rsid w:val="00871A89"/>
    <w:rsid w:val="00871C3D"/>
    <w:rsid w:val="00872E6C"/>
    <w:rsid w:val="00873523"/>
    <w:rsid w:val="00874145"/>
    <w:rsid w:val="00874155"/>
    <w:rsid w:val="008749C1"/>
    <w:rsid w:val="00874AD6"/>
    <w:rsid w:val="00874C38"/>
    <w:rsid w:val="00875206"/>
    <w:rsid w:val="008766A6"/>
    <w:rsid w:val="00876ED6"/>
    <w:rsid w:val="00877048"/>
    <w:rsid w:val="008775C4"/>
    <w:rsid w:val="00877814"/>
    <w:rsid w:val="008779AD"/>
    <w:rsid w:val="0088020C"/>
    <w:rsid w:val="00880D17"/>
    <w:rsid w:val="0088123D"/>
    <w:rsid w:val="0088212B"/>
    <w:rsid w:val="008822BA"/>
    <w:rsid w:val="00882B3E"/>
    <w:rsid w:val="0088349E"/>
    <w:rsid w:val="0088495B"/>
    <w:rsid w:val="00885719"/>
    <w:rsid w:val="008862AB"/>
    <w:rsid w:val="00886C02"/>
    <w:rsid w:val="00886FDE"/>
    <w:rsid w:val="008877E3"/>
    <w:rsid w:val="00887EE5"/>
    <w:rsid w:val="008904CC"/>
    <w:rsid w:val="00891656"/>
    <w:rsid w:val="00891D6A"/>
    <w:rsid w:val="00892E96"/>
    <w:rsid w:val="0089334C"/>
    <w:rsid w:val="00893A90"/>
    <w:rsid w:val="00894448"/>
    <w:rsid w:val="00895325"/>
    <w:rsid w:val="00895880"/>
    <w:rsid w:val="00896850"/>
    <w:rsid w:val="00897696"/>
    <w:rsid w:val="00897F3C"/>
    <w:rsid w:val="008A01AC"/>
    <w:rsid w:val="008A032B"/>
    <w:rsid w:val="008A0588"/>
    <w:rsid w:val="008A0675"/>
    <w:rsid w:val="008A1C13"/>
    <w:rsid w:val="008A1C6B"/>
    <w:rsid w:val="008A2FEE"/>
    <w:rsid w:val="008A3860"/>
    <w:rsid w:val="008A4550"/>
    <w:rsid w:val="008A5309"/>
    <w:rsid w:val="008A544C"/>
    <w:rsid w:val="008A582D"/>
    <w:rsid w:val="008A5A3E"/>
    <w:rsid w:val="008A6D98"/>
    <w:rsid w:val="008A6EC9"/>
    <w:rsid w:val="008A7351"/>
    <w:rsid w:val="008A7A56"/>
    <w:rsid w:val="008A7B69"/>
    <w:rsid w:val="008B01D4"/>
    <w:rsid w:val="008B029C"/>
    <w:rsid w:val="008B0336"/>
    <w:rsid w:val="008B0D36"/>
    <w:rsid w:val="008B1BA6"/>
    <w:rsid w:val="008B27BC"/>
    <w:rsid w:val="008B29A8"/>
    <w:rsid w:val="008B36EF"/>
    <w:rsid w:val="008B3F09"/>
    <w:rsid w:val="008B3FAB"/>
    <w:rsid w:val="008B4221"/>
    <w:rsid w:val="008B5A61"/>
    <w:rsid w:val="008B6812"/>
    <w:rsid w:val="008B7C63"/>
    <w:rsid w:val="008B7CB8"/>
    <w:rsid w:val="008C012B"/>
    <w:rsid w:val="008C021B"/>
    <w:rsid w:val="008C02E9"/>
    <w:rsid w:val="008C067D"/>
    <w:rsid w:val="008C143F"/>
    <w:rsid w:val="008C2670"/>
    <w:rsid w:val="008C2F78"/>
    <w:rsid w:val="008C3933"/>
    <w:rsid w:val="008C3D2F"/>
    <w:rsid w:val="008C3D41"/>
    <w:rsid w:val="008C3E0C"/>
    <w:rsid w:val="008C429C"/>
    <w:rsid w:val="008C4503"/>
    <w:rsid w:val="008C4E8C"/>
    <w:rsid w:val="008C6827"/>
    <w:rsid w:val="008C7F51"/>
    <w:rsid w:val="008D00B8"/>
    <w:rsid w:val="008D0B93"/>
    <w:rsid w:val="008D1BB8"/>
    <w:rsid w:val="008D2442"/>
    <w:rsid w:val="008D26C6"/>
    <w:rsid w:val="008D2D5F"/>
    <w:rsid w:val="008D3077"/>
    <w:rsid w:val="008D39F7"/>
    <w:rsid w:val="008D4780"/>
    <w:rsid w:val="008D5114"/>
    <w:rsid w:val="008D513A"/>
    <w:rsid w:val="008D543E"/>
    <w:rsid w:val="008D6332"/>
    <w:rsid w:val="008D73CB"/>
    <w:rsid w:val="008D7504"/>
    <w:rsid w:val="008D771C"/>
    <w:rsid w:val="008D78D7"/>
    <w:rsid w:val="008D7B3B"/>
    <w:rsid w:val="008D7F12"/>
    <w:rsid w:val="008E03CC"/>
    <w:rsid w:val="008E06E0"/>
    <w:rsid w:val="008E06E7"/>
    <w:rsid w:val="008E136C"/>
    <w:rsid w:val="008E1C4A"/>
    <w:rsid w:val="008E2186"/>
    <w:rsid w:val="008E4E0A"/>
    <w:rsid w:val="008E5D83"/>
    <w:rsid w:val="008E6924"/>
    <w:rsid w:val="008E6D32"/>
    <w:rsid w:val="008E7005"/>
    <w:rsid w:val="008F043D"/>
    <w:rsid w:val="008F05FE"/>
    <w:rsid w:val="008F0F24"/>
    <w:rsid w:val="008F112D"/>
    <w:rsid w:val="008F1F55"/>
    <w:rsid w:val="008F21E9"/>
    <w:rsid w:val="008F273B"/>
    <w:rsid w:val="008F4046"/>
    <w:rsid w:val="008F454D"/>
    <w:rsid w:val="008F4A7D"/>
    <w:rsid w:val="008F4DB1"/>
    <w:rsid w:val="008F506E"/>
    <w:rsid w:val="008F5361"/>
    <w:rsid w:val="008F549E"/>
    <w:rsid w:val="008F6CB4"/>
    <w:rsid w:val="009007F6"/>
    <w:rsid w:val="00901816"/>
    <w:rsid w:val="009021A6"/>
    <w:rsid w:val="00902F17"/>
    <w:rsid w:val="009032BB"/>
    <w:rsid w:val="00903757"/>
    <w:rsid w:val="009037DE"/>
    <w:rsid w:val="00903C91"/>
    <w:rsid w:val="0090405D"/>
    <w:rsid w:val="00904228"/>
    <w:rsid w:val="00904A88"/>
    <w:rsid w:val="00904D5E"/>
    <w:rsid w:val="0090522E"/>
    <w:rsid w:val="00905735"/>
    <w:rsid w:val="00906091"/>
    <w:rsid w:val="009070C5"/>
    <w:rsid w:val="0090726F"/>
    <w:rsid w:val="009113DC"/>
    <w:rsid w:val="00911783"/>
    <w:rsid w:val="0091236E"/>
    <w:rsid w:val="00912376"/>
    <w:rsid w:val="009125EC"/>
    <w:rsid w:val="00912E3F"/>
    <w:rsid w:val="00913029"/>
    <w:rsid w:val="009137C2"/>
    <w:rsid w:val="00913DF7"/>
    <w:rsid w:val="009140DC"/>
    <w:rsid w:val="0091442E"/>
    <w:rsid w:val="00914819"/>
    <w:rsid w:val="00914B4A"/>
    <w:rsid w:val="00914B80"/>
    <w:rsid w:val="00914C27"/>
    <w:rsid w:val="009150E1"/>
    <w:rsid w:val="00915A34"/>
    <w:rsid w:val="00917CA7"/>
    <w:rsid w:val="00920E6D"/>
    <w:rsid w:val="009216A2"/>
    <w:rsid w:val="00925BC4"/>
    <w:rsid w:val="00927DA2"/>
    <w:rsid w:val="0093027C"/>
    <w:rsid w:val="00930312"/>
    <w:rsid w:val="00930E00"/>
    <w:rsid w:val="0093186F"/>
    <w:rsid w:val="0093187D"/>
    <w:rsid w:val="00931E46"/>
    <w:rsid w:val="00932276"/>
    <w:rsid w:val="0093244B"/>
    <w:rsid w:val="00932479"/>
    <w:rsid w:val="00932B5D"/>
    <w:rsid w:val="00932D82"/>
    <w:rsid w:val="009337DD"/>
    <w:rsid w:val="009343AE"/>
    <w:rsid w:val="00934886"/>
    <w:rsid w:val="009349FA"/>
    <w:rsid w:val="00934A14"/>
    <w:rsid w:val="00935470"/>
    <w:rsid w:val="0093547C"/>
    <w:rsid w:val="009354BD"/>
    <w:rsid w:val="00937117"/>
    <w:rsid w:val="00937732"/>
    <w:rsid w:val="009400CF"/>
    <w:rsid w:val="00940617"/>
    <w:rsid w:val="009411B2"/>
    <w:rsid w:val="0094380D"/>
    <w:rsid w:val="009442FA"/>
    <w:rsid w:val="0094439C"/>
    <w:rsid w:val="00944492"/>
    <w:rsid w:val="00945259"/>
    <w:rsid w:val="00945B83"/>
    <w:rsid w:val="009466AC"/>
    <w:rsid w:val="00946DB9"/>
    <w:rsid w:val="0094758E"/>
    <w:rsid w:val="0095016A"/>
    <w:rsid w:val="009501C4"/>
    <w:rsid w:val="00950657"/>
    <w:rsid w:val="00951399"/>
    <w:rsid w:val="009513EE"/>
    <w:rsid w:val="0095146E"/>
    <w:rsid w:val="0095162A"/>
    <w:rsid w:val="00951F21"/>
    <w:rsid w:val="0095211A"/>
    <w:rsid w:val="0095433D"/>
    <w:rsid w:val="00954609"/>
    <w:rsid w:val="009549CA"/>
    <w:rsid w:val="009549F9"/>
    <w:rsid w:val="00954B49"/>
    <w:rsid w:val="0095511A"/>
    <w:rsid w:val="009560C4"/>
    <w:rsid w:val="00956E69"/>
    <w:rsid w:val="00956F31"/>
    <w:rsid w:val="0095797F"/>
    <w:rsid w:val="009607A2"/>
    <w:rsid w:val="0096083F"/>
    <w:rsid w:val="00961D17"/>
    <w:rsid w:val="00962503"/>
    <w:rsid w:val="00962C4F"/>
    <w:rsid w:val="00963E6D"/>
    <w:rsid w:val="009646B1"/>
    <w:rsid w:val="0096496F"/>
    <w:rsid w:val="0096549F"/>
    <w:rsid w:val="00966466"/>
    <w:rsid w:val="0096669C"/>
    <w:rsid w:val="00966A20"/>
    <w:rsid w:val="00967E8B"/>
    <w:rsid w:val="00970AC9"/>
    <w:rsid w:val="00970AD7"/>
    <w:rsid w:val="00970E94"/>
    <w:rsid w:val="00970FC6"/>
    <w:rsid w:val="00971068"/>
    <w:rsid w:val="009712E9"/>
    <w:rsid w:val="00971377"/>
    <w:rsid w:val="00972DEC"/>
    <w:rsid w:val="0097388C"/>
    <w:rsid w:val="00973FF6"/>
    <w:rsid w:val="009749D9"/>
    <w:rsid w:val="00974E45"/>
    <w:rsid w:val="0097548C"/>
    <w:rsid w:val="009765B2"/>
    <w:rsid w:val="009770F4"/>
    <w:rsid w:val="00977E14"/>
    <w:rsid w:val="009803F5"/>
    <w:rsid w:val="00980BF9"/>
    <w:rsid w:val="0098119D"/>
    <w:rsid w:val="0098294C"/>
    <w:rsid w:val="009829B4"/>
    <w:rsid w:val="00982A60"/>
    <w:rsid w:val="00982F8D"/>
    <w:rsid w:val="0098326F"/>
    <w:rsid w:val="0098341E"/>
    <w:rsid w:val="00983910"/>
    <w:rsid w:val="00984168"/>
    <w:rsid w:val="00984255"/>
    <w:rsid w:val="00984DDC"/>
    <w:rsid w:val="00984EBF"/>
    <w:rsid w:val="009858A4"/>
    <w:rsid w:val="00985921"/>
    <w:rsid w:val="00985F8B"/>
    <w:rsid w:val="0098624B"/>
    <w:rsid w:val="00986B97"/>
    <w:rsid w:val="009879C4"/>
    <w:rsid w:val="009901B2"/>
    <w:rsid w:val="0099131C"/>
    <w:rsid w:val="009913ED"/>
    <w:rsid w:val="00992016"/>
    <w:rsid w:val="0099255D"/>
    <w:rsid w:val="0099256B"/>
    <w:rsid w:val="009931F7"/>
    <w:rsid w:val="0099378B"/>
    <w:rsid w:val="0099495B"/>
    <w:rsid w:val="0099588D"/>
    <w:rsid w:val="00996EEB"/>
    <w:rsid w:val="0099735D"/>
    <w:rsid w:val="00997547"/>
    <w:rsid w:val="00997703"/>
    <w:rsid w:val="00997C5E"/>
    <w:rsid w:val="00997D30"/>
    <w:rsid w:val="009A0A8D"/>
    <w:rsid w:val="009A0FED"/>
    <w:rsid w:val="009A331B"/>
    <w:rsid w:val="009A33C9"/>
    <w:rsid w:val="009A3B85"/>
    <w:rsid w:val="009A4F28"/>
    <w:rsid w:val="009A65AB"/>
    <w:rsid w:val="009A7DF2"/>
    <w:rsid w:val="009B0106"/>
    <w:rsid w:val="009B089F"/>
    <w:rsid w:val="009B08D0"/>
    <w:rsid w:val="009B0A68"/>
    <w:rsid w:val="009B0F39"/>
    <w:rsid w:val="009B1E68"/>
    <w:rsid w:val="009B2B5E"/>
    <w:rsid w:val="009B3D41"/>
    <w:rsid w:val="009B3DB1"/>
    <w:rsid w:val="009B3E00"/>
    <w:rsid w:val="009B3EE6"/>
    <w:rsid w:val="009B457E"/>
    <w:rsid w:val="009B6C3A"/>
    <w:rsid w:val="009B7370"/>
    <w:rsid w:val="009B749E"/>
    <w:rsid w:val="009C0541"/>
    <w:rsid w:val="009C06CC"/>
    <w:rsid w:val="009C078A"/>
    <w:rsid w:val="009C0B36"/>
    <w:rsid w:val="009C1B66"/>
    <w:rsid w:val="009C2B7C"/>
    <w:rsid w:val="009C373F"/>
    <w:rsid w:val="009C40C4"/>
    <w:rsid w:val="009C422B"/>
    <w:rsid w:val="009C4A52"/>
    <w:rsid w:val="009C4C79"/>
    <w:rsid w:val="009C5CBC"/>
    <w:rsid w:val="009C7148"/>
    <w:rsid w:val="009C7307"/>
    <w:rsid w:val="009C74A9"/>
    <w:rsid w:val="009D06CD"/>
    <w:rsid w:val="009D0C95"/>
    <w:rsid w:val="009D155F"/>
    <w:rsid w:val="009D25AB"/>
    <w:rsid w:val="009D2852"/>
    <w:rsid w:val="009D301A"/>
    <w:rsid w:val="009D337A"/>
    <w:rsid w:val="009D3596"/>
    <w:rsid w:val="009D3828"/>
    <w:rsid w:val="009D4800"/>
    <w:rsid w:val="009D497D"/>
    <w:rsid w:val="009D526B"/>
    <w:rsid w:val="009D52D1"/>
    <w:rsid w:val="009D56C6"/>
    <w:rsid w:val="009D62A2"/>
    <w:rsid w:val="009D65B3"/>
    <w:rsid w:val="009D7096"/>
    <w:rsid w:val="009D7AC8"/>
    <w:rsid w:val="009E143B"/>
    <w:rsid w:val="009E198A"/>
    <w:rsid w:val="009E19DD"/>
    <w:rsid w:val="009E328E"/>
    <w:rsid w:val="009E3B83"/>
    <w:rsid w:val="009E4CEE"/>
    <w:rsid w:val="009E5417"/>
    <w:rsid w:val="009E54BF"/>
    <w:rsid w:val="009E5664"/>
    <w:rsid w:val="009E59B9"/>
    <w:rsid w:val="009E5A3D"/>
    <w:rsid w:val="009E6081"/>
    <w:rsid w:val="009E6170"/>
    <w:rsid w:val="009E61E2"/>
    <w:rsid w:val="009E6854"/>
    <w:rsid w:val="009E7001"/>
    <w:rsid w:val="009E7544"/>
    <w:rsid w:val="009E7EB3"/>
    <w:rsid w:val="009F05C3"/>
    <w:rsid w:val="009F1C93"/>
    <w:rsid w:val="009F2873"/>
    <w:rsid w:val="009F36AA"/>
    <w:rsid w:val="009F4451"/>
    <w:rsid w:val="009F4ADD"/>
    <w:rsid w:val="009F6779"/>
    <w:rsid w:val="009F6F12"/>
    <w:rsid w:val="009F73D5"/>
    <w:rsid w:val="009F7D0C"/>
    <w:rsid w:val="00A00048"/>
    <w:rsid w:val="00A008D5"/>
    <w:rsid w:val="00A00D53"/>
    <w:rsid w:val="00A0268E"/>
    <w:rsid w:val="00A05231"/>
    <w:rsid w:val="00A05824"/>
    <w:rsid w:val="00A06E54"/>
    <w:rsid w:val="00A07D41"/>
    <w:rsid w:val="00A07DCD"/>
    <w:rsid w:val="00A07E93"/>
    <w:rsid w:val="00A1008D"/>
    <w:rsid w:val="00A10245"/>
    <w:rsid w:val="00A10AF8"/>
    <w:rsid w:val="00A1120C"/>
    <w:rsid w:val="00A114CE"/>
    <w:rsid w:val="00A11F2D"/>
    <w:rsid w:val="00A122F2"/>
    <w:rsid w:val="00A12C3C"/>
    <w:rsid w:val="00A13410"/>
    <w:rsid w:val="00A14212"/>
    <w:rsid w:val="00A144EA"/>
    <w:rsid w:val="00A14B1A"/>
    <w:rsid w:val="00A15636"/>
    <w:rsid w:val="00A156B4"/>
    <w:rsid w:val="00A1644F"/>
    <w:rsid w:val="00A16ECE"/>
    <w:rsid w:val="00A17B0B"/>
    <w:rsid w:val="00A17F28"/>
    <w:rsid w:val="00A205B4"/>
    <w:rsid w:val="00A20C2D"/>
    <w:rsid w:val="00A23332"/>
    <w:rsid w:val="00A24042"/>
    <w:rsid w:val="00A2642A"/>
    <w:rsid w:val="00A27897"/>
    <w:rsid w:val="00A278BB"/>
    <w:rsid w:val="00A30D7A"/>
    <w:rsid w:val="00A30DC3"/>
    <w:rsid w:val="00A31204"/>
    <w:rsid w:val="00A31FA7"/>
    <w:rsid w:val="00A327D6"/>
    <w:rsid w:val="00A332EA"/>
    <w:rsid w:val="00A33E0A"/>
    <w:rsid w:val="00A34403"/>
    <w:rsid w:val="00A34581"/>
    <w:rsid w:val="00A34883"/>
    <w:rsid w:val="00A35421"/>
    <w:rsid w:val="00A36AC0"/>
    <w:rsid w:val="00A3736C"/>
    <w:rsid w:val="00A37A85"/>
    <w:rsid w:val="00A37C9F"/>
    <w:rsid w:val="00A406DF"/>
    <w:rsid w:val="00A410E8"/>
    <w:rsid w:val="00A41300"/>
    <w:rsid w:val="00A41D74"/>
    <w:rsid w:val="00A41E15"/>
    <w:rsid w:val="00A45132"/>
    <w:rsid w:val="00A452E5"/>
    <w:rsid w:val="00A453D1"/>
    <w:rsid w:val="00A45589"/>
    <w:rsid w:val="00A46016"/>
    <w:rsid w:val="00A4666A"/>
    <w:rsid w:val="00A46C09"/>
    <w:rsid w:val="00A47BE2"/>
    <w:rsid w:val="00A47C00"/>
    <w:rsid w:val="00A5064A"/>
    <w:rsid w:val="00A528BE"/>
    <w:rsid w:val="00A528CD"/>
    <w:rsid w:val="00A530B5"/>
    <w:rsid w:val="00A5336A"/>
    <w:rsid w:val="00A5380C"/>
    <w:rsid w:val="00A539D5"/>
    <w:rsid w:val="00A53B20"/>
    <w:rsid w:val="00A54B23"/>
    <w:rsid w:val="00A553F5"/>
    <w:rsid w:val="00A5574B"/>
    <w:rsid w:val="00A558A3"/>
    <w:rsid w:val="00A5649F"/>
    <w:rsid w:val="00A57B74"/>
    <w:rsid w:val="00A60840"/>
    <w:rsid w:val="00A61353"/>
    <w:rsid w:val="00A613CB"/>
    <w:rsid w:val="00A61658"/>
    <w:rsid w:val="00A61988"/>
    <w:rsid w:val="00A620BE"/>
    <w:rsid w:val="00A6223C"/>
    <w:rsid w:val="00A62C9A"/>
    <w:rsid w:val="00A63994"/>
    <w:rsid w:val="00A6416B"/>
    <w:rsid w:val="00A64209"/>
    <w:rsid w:val="00A65023"/>
    <w:rsid w:val="00A65EBC"/>
    <w:rsid w:val="00A66872"/>
    <w:rsid w:val="00A67543"/>
    <w:rsid w:val="00A67DA8"/>
    <w:rsid w:val="00A70BC9"/>
    <w:rsid w:val="00A7122E"/>
    <w:rsid w:val="00A7215B"/>
    <w:rsid w:val="00A729A2"/>
    <w:rsid w:val="00A729E9"/>
    <w:rsid w:val="00A72EAD"/>
    <w:rsid w:val="00A72ECC"/>
    <w:rsid w:val="00A72FED"/>
    <w:rsid w:val="00A73AA4"/>
    <w:rsid w:val="00A73C67"/>
    <w:rsid w:val="00A74225"/>
    <w:rsid w:val="00A74710"/>
    <w:rsid w:val="00A74E90"/>
    <w:rsid w:val="00A74FD7"/>
    <w:rsid w:val="00A75510"/>
    <w:rsid w:val="00A7593B"/>
    <w:rsid w:val="00A760E7"/>
    <w:rsid w:val="00A76103"/>
    <w:rsid w:val="00A766F4"/>
    <w:rsid w:val="00A77162"/>
    <w:rsid w:val="00A776F6"/>
    <w:rsid w:val="00A77A5A"/>
    <w:rsid w:val="00A808F0"/>
    <w:rsid w:val="00A81166"/>
    <w:rsid w:val="00A82B66"/>
    <w:rsid w:val="00A83EBA"/>
    <w:rsid w:val="00A842B4"/>
    <w:rsid w:val="00A843BD"/>
    <w:rsid w:val="00A84FF7"/>
    <w:rsid w:val="00A85064"/>
    <w:rsid w:val="00A85364"/>
    <w:rsid w:val="00A8541D"/>
    <w:rsid w:val="00A85B0A"/>
    <w:rsid w:val="00A86BDB"/>
    <w:rsid w:val="00A86CE1"/>
    <w:rsid w:val="00A87468"/>
    <w:rsid w:val="00A87BE1"/>
    <w:rsid w:val="00A9082C"/>
    <w:rsid w:val="00A90838"/>
    <w:rsid w:val="00A90D68"/>
    <w:rsid w:val="00A911A4"/>
    <w:rsid w:val="00A9222E"/>
    <w:rsid w:val="00A9282E"/>
    <w:rsid w:val="00A939DC"/>
    <w:rsid w:val="00A93A4B"/>
    <w:rsid w:val="00A93D67"/>
    <w:rsid w:val="00A95567"/>
    <w:rsid w:val="00A95F43"/>
    <w:rsid w:val="00A9684A"/>
    <w:rsid w:val="00A96F7E"/>
    <w:rsid w:val="00A9731D"/>
    <w:rsid w:val="00A97C23"/>
    <w:rsid w:val="00A97FD2"/>
    <w:rsid w:val="00AA0097"/>
    <w:rsid w:val="00AA090D"/>
    <w:rsid w:val="00AA173A"/>
    <w:rsid w:val="00AA1937"/>
    <w:rsid w:val="00AA1A4F"/>
    <w:rsid w:val="00AA1C22"/>
    <w:rsid w:val="00AA1F67"/>
    <w:rsid w:val="00AA267F"/>
    <w:rsid w:val="00AA2C7E"/>
    <w:rsid w:val="00AA3353"/>
    <w:rsid w:val="00AA36F5"/>
    <w:rsid w:val="00AA3845"/>
    <w:rsid w:val="00AA4919"/>
    <w:rsid w:val="00AA5366"/>
    <w:rsid w:val="00AA541F"/>
    <w:rsid w:val="00AA59B0"/>
    <w:rsid w:val="00AA60DD"/>
    <w:rsid w:val="00AB037B"/>
    <w:rsid w:val="00AB05C2"/>
    <w:rsid w:val="00AB0EB2"/>
    <w:rsid w:val="00AB0F3A"/>
    <w:rsid w:val="00AB0F47"/>
    <w:rsid w:val="00AB0F9B"/>
    <w:rsid w:val="00AB10A2"/>
    <w:rsid w:val="00AB18A3"/>
    <w:rsid w:val="00AB2A5E"/>
    <w:rsid w:val="00AB2B6D"/>
    <w:rsid w:val="00AB3807"/>
    <w:rsid w:val="00AB3C2D"/>
    <w:rsid w:val="00AB3F1B"/>
    <w:rsid w:val="00AB4542"/>
    <w:rsid w:val="00AB4984"/>
    <w:rsid w:val="00AB4C03"/>
    <w:rsid w:val="00AB5125"/>
    <w:rsid w:val="00AB5525"/>
    <w:rsid w:val="00AB5F8C"/>
    <w:rsid w:val="00AB60BB"/>
    <w:rsid w:val="00AB638F"/>
    <w:rsid w:val="00AB64E3"/>
    <w:rsid w:val="00AB6657"/>
    <w:rsid w:val="00AB6A83"/>
    <w:rsid w:val="00AB6C28"/>
    <w:rsid w:val="00AC00A0"/>
    <w:rsid w:val="00AC153D"/>
    <w:rsid w:val="00AC1815"/>
    <w:rsid w:val="00AC1A29"/>
    <w:rsid w:val="00AC2365"/>
    <w:rsid w:val="00AC3B33"/>
    <w:rsid w:val="00AC3C32"/>
    <w:rsid w:val="00AC482D"/>
    <w:rsid w:val="00AC4B06"/>
    <w:rsid w:val="00AC4F6F"/>
    <w:rsid w:val="00AC50D3"/>
    <w:rsid w:val="00AC56C9"/>
    <w:rsid w:val="00AC5999"/>
    <w:rsid w:val="00AC5E72"/>
    <w:rsid w:val="00AC64FF"/>
    <w:rsid w:val="00AC7278"/>
    <w:rsid w:val="00AC7673"/>
    <w:rsid w:val="00AC7DF3"/>
    <w:rsid w:val="00AD09DA"/>
    <w:rsid w:val="00AD0C48"/>
    <w:rsid w:val="00AD0E4F"/>
    <w:rsid w:val="00AD1CB3"/>
    <w:rsid w:val="00AD21D3"/>
    <w:rsid w:val="00AD2983"/>
    <w:rsid w:val="00AD2CD1"/>
    <w:rsid w:val="00AD325C"/>
    <w:rsid w:val="00AD34B2"/>
    <w:rsid w:val="00AD4CEB"/>
    <w:rsid w:val="00AD50BE"/>
    <w:rsid w:val="00AD59D4"/>
    <w:rsid w:val="00AD62D1"/>
    <w:rsid w:val="00AD63BB"/>
    <w:rsid w:val="00AD73D4"/>
    <w:rsid w:val="00AE0981"/>
    <w:rsid w:val="00AE0F22"/>
    <w:rsid w:val="00AE120A"/>
    <w:rsid w:val="00AE14FB"/>
    <w:rsid w:val="00AE1A8A"/>
    <w:rsid w:val="00AE2497"/>
    <w:rsid w:val="00AE252F"/>
    <w:rsid w:val="00AE2B3D"/>
    <w:rsid w:val="00AE341B"/>
    <w:rsid w:val="00AE3593"/>
    <w:rsid w:val="00AE4105"/>
    <w:rsid w:val="00AE45B9"/>
    <w:rsid w:val="00AE51C7"/>
    <w:rsid w:val="00AE5470"/>
    <w:rsid w:val="00AE5475"/>
    <w:rsid w:val="00AE56EE"/>
    <w:rsid w:val="00AE5A63"/>
    <w:rsid w:val="00AE5D6F"/>
    <w:rsid w:val="00AE6D71"/>
    <w:rsid w:val="00AE7512"/>
    <w:rsid w:val="00AE7929"/>
    <w:rsid w:val="00AF0B43"/>
    <w:rsid w:val="00AF144C"/>
    <w:rsid w:val="00AF1BFA"/>
    <w:rsid w:val="00AF2B7F"/>
    <w:rsid w:val="00AF2BDF"/>
    <w:rsid w:val="00AF3736"/>
    <w:rsid w:val="00AF393B"/>
    <w:rsid w:val="00AF4504"/>
    <w:rsid w:val="00AF4674"/>
    <w:rsid w:val="00AF5B6B"/>
    <w:rsid w:val="00AF5B76"/>
    <w:rsid w:val="00AF724D"/>
    <w:rsid w:val="00AF72AA"/>
    <w:rsid w:val="00AF73EF"/>
    <w:rsid w:val="00AF775E"/>
    <w:rsid w:val="00AF7B67"/>
    <w:rsid w:val="00B00635"/>
    <w:rsid w:val="00B027C6"/>
    <w:rsid w:val="00B03802"/>
    <w:rsid w:val="00B04C47"/>
    <w:rsid w:val="00B050CB"/>
    <w:rsid w:val="00B06A3E"/>
    <w:rsid w:val="00B06E05"/>
    <w:rsid w:val="00B07131"/>
    <w:rsid w:val="00B076A2"/>
    <w:rsid w:val="00B10140"/>
    <w:rsid w:val="00B10756"/>
    <w:rsid w:val="00B11B31"/>
    <w:rsid w:val="00B12180"/>
    <w:rsid w:val="00B1234C"/>
    <w:rsid w:val="00B132BD"/>
    <w:rsid w:val="00B14736"/>
    <w:rsid w:val="00B154DC"/>
    <w:rsid w:val="00B16DEA"/>
    <w:rsid w:val="00B16EB4"/>
    <w:rsid w:val="00B17C24"/>
    <w:rsid w:val="00B202AF"/>
    <w:rsid w:val="00B203E1"/>
    <w:rsid w:val="00B205F0"/>
    <w:rsid w:val="00B21B65"/>
    <w:rsid w:val="00B22363"/>
    <w:rsid w:val="00B22C42"/>
    <w:rsid w:val="00B2329E"/>
    <w:rsid w:val="00B23600"/>
    <w:rsid w:val="00B23A23"/>
    <w:rsid w:val="00B23B60"/>
    <w:rsid w:val="00B23E3A"/>
    <w:rsid w:val="00B24948"/>
    <w:rsid w:val="00B2498B"/>
    <w:rsid w:val="00B24DDB"/>
    <w:rsid w:val="00B25287"/>
    <w:rsid w:val="00B25E81"/>
    <w:rsid w:val="00B26649"/>
    <w:rsid w:val="00B26925"/>
    <w:rsid w:val="00B26B7F"/>
    <w:rsid w:val="00B26C46"/>
    <w:rsid w:val="00B27A1C"/>
    <w:rsid w:val="00B304E2"/>
    <w:rsid w:val="00B309B4"/>
    <w:rsid w:val="00B31AA8"/>
    <w:rsid w:val="00B31CAA"/>
    <w:rsid w:val="00B3267F"/>
    <w:rsid w:val="00B32924"/>
    <w:rsid w:val="00B337B2"/>
    <w:rsid w:val="00B33DA1"/>
    <w:rsid w:val="00B34260"/>
    <w:rsid w:val="00B3459F"/>
    <w:rsid w:val="00B35C7F"/>
    <w:rsid w:val="00B35EFE"/>
    <w:rsid w:val="00B36227"/>
    <w:rsid w:val="00B3696E"/>
    <w:rsid w:val="00B40A37"/>
    <w:rsid w:val="00B4153F"/>
    <w:rsid w:val="00B42113"/>
    <w:rsid w:val="00B42123"/>
    <w:rsid w:val="00B42131"/>
    <w:rsid w:val="00B42BB8"/>
    <w:rsid w:val="00B43244"/>
    <w:rsid w:val="00B438DB"/>
    <w:rsid w:val="00B44402"/>
    <w:rsid w:val="00B4446E"/>
    <w:rsid w:val="00B444EF"/>
    <w:rsid w:val="00B446E8"/>
    <w:rsid w:val="00B4489B"/>
    <w:rsid w:val="00B44D72"/>
    <w:rsid w:val="00B44EC8"/>
    <w:rsid w:val="00B45500"/>
    <w:rsid w:val="00B45C9D"/>
    <w:rsid w:val="00B4669A"/>
    <w:rsid w:val="00B46C0B"/>
    <w:rsid w:val="00B47267"/>
    <w:rsid w:val="00B50CEE"/>
    <w:rsid w:val="00B515CA"/>
    <w:rsid w:val="00B515F1"/>
    <w:rsid w:val="00B518DF"/>
    <w:rsid w:val="00B51B35"/>
    <w:rsid w:val="00B5226E"/>
    <w:rsid w:val="00B525ED"/>
    <w:rsid w:val="00B53B3A"/>
    <w:rsid w:val="00B53E20"/>
    <w:rsid w:val="00B54214"/>
    <w:rsid w:val="00B55076"/>
    <w:rsid w:val="00B551F1"/>
    <w:rsid w:val="00B55276"/>
    <w:rsid w:val="00B576E5"/>
    <w:rsid w:val="00B578E7"/>
    <w:rsid w:val="00B60087"/>
    <w:rsid w:val="00B606FD"/>
    <w:rsid w:val="00B60A98"/>
    <w:rsid w:val="00B60CE9"/>
    <w:rsid w:val="00B60EAA"/>
    <w:rsid w:val="00B60FB9"/>
    <w:rsid w:val="00B61874"/>
    <w:rsid w:val="00B63743"/>
    <w:rsid w:val="00B63B26"/>
    <w:rsid w:val="00B64AA3"/>
    <w:rsid w:val="00B64BE5"/>
    <w:rsid w:val="00B64D94"/>
    <w:rsid w:val="00B65B2A"/>
    <w:rsid w:val="00B65B9B"/>
    <w:rsid w:val="00B66D19"/>
    <w:rsid w:val="00B6706B"/>
    <w:rsid w:val="00B67A3D"/>
    <w:rsid w:val="00B67D03"/>
    <w:rsid w:val="00B70138"/>
    <w:rsid w:val="00B709DD"/>
    <w:rsid w:val="00B715A5"/>
    <w:rsid w:val="00B7239B"/>
    <w:rsid w:val="00B72FDB"/>
    <w:rsid w:val="00B76754"/>
    <w:rsid w:val="00B776B2"/>
    <w:rsid w:val="00B77E2B"/>
    <w:rsid w:val="00B803E2"/>
    <w:rsid w:val="00B81314"/>
    <w:rsid w:val="00B8153D"/>
    <w:rsid w:val="00B81667"/>
    <w:rsid w:val="00B81BE4"/>
    <w:rsid w:val="00B82593"/>
    <w:rsid w:val="00B82CED"/>
    <w:rsid w:val="00B82EA6"/>
    <w:rsid w:val="00B8319D"/>
    <w:rsid w:val="00B83356"/>
    <w:rsid w:val="00B8339C"/>
    <w:rsid w:val="00B838B8"/>
    <w:rsid w:val="00B839B8"/>
    <w:rsid w:val="00B83ABA"/>
    <w:rsid w:val="00B83B34"/>
    <w:rsid w:val="00B83B7E"/>
    <w:rsid w:val="00B83E26"/>
    <w:rsid w:val="00B8412A"/>
    <w:rsid w:val="00B85388"/>
    <w:rsid w:val="00B85F90"/>
    <w:rsid w:val="00B86322"/>
    <w:rsid w:val="00B8760D"/>
    <w:rsid w:val="00B87AD9"/>
    <w:rsid w:val="00B91880"/>
    <w:rsid w:val="00B918B2"/>
    <w:rsid w:val="00B91FCE"/>
    <w:rsid w:val="00B9214C"/>
    <w:rsid w:val="00B9274B"/>
    <w:rsid w:val="00B929A3"/>
    <w:rsid w:val="00B938AF"/>
    <w:rsid w:val="00B9393C"/>
    <w:rsid w:val="00B940CB"/>
    <w:rsid w:val="00B9453B"/>
    <w:rsid w:val="00B9544C"/>
    <w:rsid w:val="00B95F19"/>
    <w:rsid w:val="00B96F2A"/>
    <w:rsid w:val="00B975A7"/>
    <w:rsid w:val="00B97FE1"/>
    <w:rsid w:val="00BA02A3"/>
    <w:rsid w:val="00BA0F23"/>
    <w:rsid w:val="00BA0FC9"/>
    <w:rsid w:val="00BA163C"/>
    <w:rsid w:val="00BA2133"/>
    <w:rsid w:val="00BA22A2"/>
    <w:rsid w:val="00BA22CE"/>
    <w:rsid w:val="00BA45F5"/>
    <w:rsid w:val="00BA4BE9"/>
    <w:rsid w:val="00BA5373"/>
    <w:rsid w:val="00BA55E6"/>
    <w:rsid w:val="00BA560A"/>
    <w:rsid w:val="00BA626F"/>
    <w:rsid w:val="00BA6E15"/>
    <w:rsid w:val="00BA6E9D"/>
    <w:rsid w:val="00BA6F7A"/>
    <w:rsid w:val="00BA703C"/>
    <w:rsid w:val="00BA77A6"/>
    <w:rsid w:val="00BA78E3"/>
    <w:rsid w:val="00BA796F"/>
    <w:rsid w:val="00BA7F09"/>
    <w:rsid w:val="00BB0036"/>
    <w:rsid w:val="00BB064D"/>
    <w:rsid w:val="00BB0B29"/>
    <w:rsid w:val="00BB18CE"/>
    <w:rsid w:val="00BB1D66"/>
    <w:rsid w:val="00BB254F"/>
    <w:rsid w:val="00BB2A88"/>
    <w:rsid w:val="00BB4ADE"/>
    <w:rsid w:val="00BB5271"/>
    <w:rsid w:val="00BB52C1"/>
    <w:rsid w:val="00BB52F9"/>
    <w:rsid w:val="00BB5EC7"/>
    <w:rsid w:val="00BB67BA"/>
    <w:rsid w:val="00BB7523"/>
    <w:rsid w:val="00BC1D6D"/>
    <w:rsid w:val="00BC274B"/>
    <w:rsid w:val="00BC2828"/>
    <w:rsid w:val="00BC4076"/>
    <w:rsid w:val="00BC4853"/>
    <w:rsid w:val="00BC4857"/>
    <w:rsid w:val="00BC4984"/>
    <w:rsid w:val="00BC612D"/>
    <w:rsid w:val="00BC62A4"/>
    <w:rsid w:val="00BC69AD"/>
    <w:rsid w:val="00BC69C2"/>
    <w:rsid w:val="00BC6BEE"/>
    <w:rsid w:val="00BC6E90"/>
    <w:rsid w:val="00BC70CF"/>
    <w:rsid w:val="00BC7100"/>
    <w:rsid w:val="00BC7419"/>
    <w:rsid w:val="00BC7766"/>
    <w:rsid w:val="00BD0683"/>
    <w:rsid w:val="00BD07A7"/>
    <w:rsid w:val="00BD0BBB"/>
    <w:rsid w:val="00BD0F2E"/>
    <w:rsid w:val="00BD12B5"/>
    <w:rsid w:val="00BD2B81"/>
    <w:rsid w:val="00BD36C4"/>
    <w:rsid w:val="00BD414F"/>
    <w:rsid w:val="00BD4363"/>
    <w:rsid w:val="00BD54AA"/>
    <w:rsid w:val="00BD5B1D"/>
    <w:rsid w:val="00BD5D12"/>
    <w:rsid w:val="00BD607B"/>
    <w:rsid w:val="00BD61A1"/>
    <w:rsid w:val="00BD65C3"/>
    <w:rsid w:val="00BD67D2"/>
    <w:rsid w:val="00BD7C96"/>
    <w:rsid w:val="00BE00CA"/>
    <w:rsid w:val="00BE04F8"/>
    <w:rsid w:val="00BE065A"/>
    <w:rsid w:val="00BE082C"/>
    <w:rsid w:val="00BE0FBD"/>
    <w:rsid w:val="00BE271F"/>
    <w:rsid w:val="00BE2B71"/>
    <w:rsid w:val="00BE3145"/>
    <w:rsid w:val="00BE3EBE"/>
    <w:rsid w:val="00BE410C"/>
    <w:rsid w:val="00BE49CC"/>
    <w:rsid w:val="00BE4AB9"/>
    <w:rsid w:val="00BE4DDB"/>
    <w:rsid w:val="00BE5797"/>
    <w:rsid w:val="00BE59C0"/>
    <w:rsid w:val="00BE59E1"/>
    <w:rsid w:val="00BE5A59"/>
    <w:rsid w:val="00BE5AD5"/>
    <w:rsid w:val="00BE5EA6"/>
    <w:rsid w:val="00BE5FFD"/>
    <w:rsid w:val="00BE6BA2"/>
    <w:rsid w:val="00BE6FCE"/>
    <w:rsid w:val="00BE7828"/>
    <w:rsid w:val="00BF02E5"/>
    <w:rsid w:val="00BF038E"/>
    <w:rsid w:val="00BF08AE"/>
    <w:rsid w:val="00BF0950"/>
    <w:rsid w:val="00BF0A76"/>
    <w:rsid w:val="00BF13BD"/>
    <w:rsid w:val="00BF1E79"/>
    <w:rsid w:val="00BF1ED6"/>
    <w:rsid w:val="00BF2ED3"/>
    <w:rsid w:val="00BF3679"/>
    <w:rsid w:val="00BF377D"/>
    <w:rsid w:val="00BF3CE1"/>
    <w:rsid w:val="00BF4236"/>
    <w:rsid w:val="00BF4372"/>
    <w:rsid w:val="00BF480D"/>
    <w:rsid w:val="00BF4D04"/>
    <w:rsid w:val="00BF4F44"/>
    <w:rsid w:val="00BF54FE"/>
    <w:rsid w:val="00BF581A"/>
    <w:rsid w:val="00BF698B"/>
    <w:rsid w:val="00BF6C54"/>
    <w:rsid w:val="00BF7833"/>
    <w:rsid w:val="00BF789E"/>
    <w:rsid w:val="00BF7BC4"/>
    <w:rsid w:val="00C00ACD"/>
    <w:rsid w:val="00C00B52"/>
    <w:rsid w:val="00C00B96"/>
    <w:rsid w:val="00C00E7F"/>
    <w:rsid w:val="00C02570"/>
    <w:rsid w:val="00C02AED"/>
    <w:rsid w:val="00C0391D"/>
    <w:rsid w:val="00C03BA3"/>
    <w:rsid w:val="00C03C81"/>
    <w:rsid w:val="00C045B5"/>
    <w:rsid w:val="00C04DBA"/>
    <w:rsid w:val="00C05F5D"/>
    <w:rsid w:val="00C06232"/>
    <w:rsid w:val="00C0627F"/>
    <w:rsid w:val="00C063E0"/>
    <w:rsid w:val="00C063EF"/>
    <w:rsid w:val="00C071C5"/>
    <w:rsid w:val="00C075D0"/>
    <w:rsid w:val="00C10AA9"/>
    <w:rsid w:val="00C1301C"/>
    <w:rsid w:val="00C13623"/>
    <w:rsid w:val="00C13C9C"/>
    <w:rsid w:val="00C15032"/>
    <w:rsid w:val="00C15337"/>
    <w:rsid w:val="00C16189"/>
    <w:rsid w:val="00C16C09"/>
    <w:rsid w:val="00C171D6"/>
    <w:rsid w:val="00C17941"/>
    <w:rsid w:val="00C17F48"/>
    <w:rsid w:val="00C17F55"/>
    <w:rsid w:val="00C201D0"/>
    <w:rsid w:val="00C209BC"/>
    <w:rsid w:val="00C20F52"/>
    <w:rsid w:val="00C2196F"/>
    <w:rsid w:val="00C21F0C"/>
    <w:rsid w:val="00C23DD4"/>
    <w:rsid w:val="00C24103"/>
    <w:rsid w:val="00C24AE7"/>
    <w:rsid w:val="00C24F15"/>
    <w:rsid w:val="00C2644B"/>
    <w:rsid w:val="00C264BE"/>
    <w:rsid w:val="00C273D9"/>
    <w:rsid w:val="00C3043A"/>
    <w:rsid w:val="00C30D2C"/>
    <w:rsid w:val="00C313C0"/>
    <w:rsid w:val="00C32B2E"/>
    <w:rsid w:val="00C33050"/>
    <w:rsid w:val="00C33F68"/>
    <w:rsid w:val="00C3455F"/>
    <w:rsid w:val="00C34F15"/>
    <w:rsid w:val="00C3530F"/>
    <w:rsid w:val="00C35B56"/>
    <w:rsid w:val="00C36081"/>
    <w:rsid w:val="00C3618F"/>
    <w:rsid w:val="00C36354"/>
    <w:rsid w:val="00C369AC"/>
    <w:rsid w:val="00C40751"/>
    <w:rsid w:val="00C40ACA"/>
    <w:rsid w:val="00C40CF6"/>
    <w:rsid w:val="00C4136A"/>
    <w:rsid w:val="00C41E83"/>
    <w:rsid w:val="00C42595"/>
    <w:rsid w:val="00C42914"/>
    <w:rsid w:val="00C42BEA"/>
    <w:rsid w:val="00C43008"/>
    <w:rsid w:val="00C43674"/>
    <w:rsid w:val="00C44ECF"/>
    <w:rsid w:val="00C451B8"/>
    <w:rsid w:val="00C459C1"/>
    <w:rsid w:val="00C4798E"/>
    <w:rsid w:val="00C47A11"/>
    <w:rsid w:val="00C47B60"/>
    <w:rsid w:val="00C47FEA"/>
    <w:rsid w:val="00C50575"/>
    <w:rsid w:val="00C51149"/>
    <w:rsid w:val="00C513B1"/>
    <w:rsid w:val="00C517E6"/>
    <w:rsid w:val="00C51B43"/>
    <w:rsid w:val="00C51CB1"/>
    <w:rsid w:val="00C52162"/>
    <w:rsid w:val="00C53068"/>
    <w:rsid w:val="00C5313B"/>
    <w:rsid w:val="00C53A23"/>
    <w:rsid w:val="00C53B79"/>
    <w:rsid w:val="00C53E15"/>
    <w:rsid w:val="00C547B2"/>
    <w:rsid w:val="00C54A30"/>
    <w:rsid w:val="00C55606"/>
    <w:rsid w:val="00C55F1A"/>
    <w:rsid w:val="00C562E8"/>
    <w:rsid w:val="00C5665C"/>
    <w:rsid w:val="00C56ACF"/>
    <w:rsid w:val="00C56DD8"/>
    <w:rsid w:val="00C570A6"/>
    <w:rsid w:val="00C6059E"/>
    <w:rsid w:val="00C6077E"/>
    <w:rsid w:val="00C60C3B"/>
    <w:rsid w:val="00C60EA1"/>
    <w:rsid w:val="00C61758"/>
    <w:rsid w:val="00C61960"/>
    <w:rsid w:val="00C622D8"/>
    <w:rsid w:val="00C6288A"/>
    <w:rsid w:val="00C62926"/>
    <w:rsid w:val="00C62E1C"/>
    <w:rsid w:val="00C62FFA"/>
    <w:rsid w:val="00C63972"/>
    <w:rsid w:val="00C64BFE"/>
    <w:rsid w:val="00C65D07"/>
    <w:rsid w:val="00C65FDC"/>
    <w:rsid w:val="00C6663C"/>
    <w:rsid w:val="00C67EB4"/>
    <w:rsid w:val="00C7019F"/>
    <w:rsid w:val="00C70204"/>
    <w:rsid w:val="00C704D4"/>
    <w:rsid w:val="00C70FC4"/>
    <w:rsid w:val="00C72DC8"/>
    <w:rsid w:val="00C742A6"/>
    <w:rsid w:val="00C75683"/>
    <w:rsid w:val="00C75805"/>
    <w:rsid w:val="00C75F22"/>
    <w:rsid w:val="00C765D7"/>
    <w:rsid w:val="00C76886"/>
    <w:rsid w:val="00C774C0"/>
    <w:rsid w:val="00C775E3"/>
    <w:rsid w:val="00C816BD"/>
    <w:rsid w:val="00C819CD"/>
    <w:rsid w:val="00C81AFE"/>
    <w:rsid w:val="00C81C9C"/>
    <w:rsid w:val="00C8235E"/>
    <w:rsid w:val="00C823F0"/>
    <w:rsid w:val="00C8272D"/>
    <w:rsid w:val="00C82DA1"/>
    <w:rsid w:val="00C8309E"/>
    <w:rsid w:val="00C8348D"/>
    <w:rsid w:val="00C83BC0"/>
    <w:rsid w:val="00C83C9F"/>
    <w:rsid w:val="00C84F2F"/>
    <w:rsid w:val="00C85AEC"/>
    <w:rsid w:val="00C86095"/>
    <w:rsid w:val="00C86470"/>
    <w:rsid w:val="00C86CEF"/>
    <w:rsid w:val="00C86D8B"/>
    <w:rsid w:val="00C90058"/>
    <w:rsid w:val="00C905C2"/>
    <w:rsid w:val="00C90C1A"/>
    <w:rsid w:val="00C90F00"/>
    <w:rsid w:val="00C91374"/>
    <w:rsid w:val="00C9164F"/>
    <w:rsid w:val="00C91D10"/>
    <w:rsid w:val="00C91F7C"/>
    <w:rsid w:val="00C92D85"/>
    <w:rsid w:val="00C930A4"/>
    <w:rsid w:val="00C93134"/>
    <w:rsid w:val="00C937E3"/>
    <w:rsid w:val="00C93B86"/>
    <w:rsid w:val="00C94C3C"/>
    <w:rsid w:val="00C955A4"/>
    <w:rsid w:val="00C95647"/>
    <w:rsid w:val="00C966FA"/>
    <w:rsid w:val="00C97226"/>
    <w:rsid w:val="00C97C02"/>
    <w:rsid w:val="00C97C7E"/>
    <w:rsid w:val="00C97C8A"/>
    <w:rsid w:val="00C97E4B"/>
    <w:rsid w:val="00CA0986"/>
    <w:rsid w:val="00CA0CEA"/>
    <w:rsid w:val="00CA1D70"/>
    <w:rsid w:val="00CA2880"/>
    <w:rsid w:val="00CA336A"/>
    <w:rsid w:val="00CA3599"/>
    <w:rsid w:val="00CA362B"/>
    <w:rsid w:val="00CA365C"/>
    <w:rsid w:val="00CA3A91"/>
    <w:rsid w:val="00CA4329"/>
    <w:rsid w:val="00CA5123"/>
    <w:rsid w:val="00CA560E"/>
    <w:rsid w:val="00CA60D7"/>
    <w:rsid w:val="00CA6384"/>
    <w:rsid w:val="00CA74FD"/>
    <w:rsid w:val="00CA7A3F"/>
    <w:rsid w:val="00CB034B"/>
    <w:rsid w:val="00CB0535"/>
    <w:rsid w:val="00CB09E4"/>
    <w:rsid w:val="00CB0D13"/>
    <w:rsid w:val="00CB1ED3"/>
    <w:rsid w:val="00CB2861"/>
    <w:rsid w:val="00CB4D7B"/>
    <w:rsid w:val="00CB50AE"/>
    <w:rsid w:val="00CB63FC"/>
    <w:rsid w:val="00CB746E"/>
    <w:rsid w:val="00CB76AF"/>
    <w:rsid w:val="00CB7E88"/>
    <w:rsid w:val="00CB7F94"/>
    <w:rsid w:val="00CC028D"/>
    <w:rsid w:val="00CC1957"/>
    <w:rsid w:val="00CC2759"/>
    <w:rsid w:val="00CC29A5"/>
    <w:rsid w:val="00CC2E22"/>
    <w:rsid w:val="00CC3300"/>
    <w:rsid w:val="00CC41D2"/>
    <w:rsid w:val="00CC4C06"/>
    <w:rsid w:val="00CC4F74"/>
    <w:rsid w:val="00CC50A0"/>
    <w:rsid w:val="00CC576D"/>
    <w:rsid w:val="00CC67E7"/>
    <w:rsid w:val="00CC68A3"/>
    <w:rsid w:val="00CD01BD"/>
    <w:rsid w:val="00CD08CB"/>
    <w:rsid w:val="00CD160D"/>
    <w:rsid w:val="00CD18A3"/>
    <w:rsid w:val="00CD240F"/>
    <w:rsid w:val="00CD27F5"/>
    <w:rsid w:val="00CD3056"/>
    <w:rsid w:val="00CD3706"/>
    <w:rsid w:val="00CD3952"/>
    <w:rsid w:val="00CD395C"/>
    <w:rsid w:val="00CD5875"/>
    <w:rsid w:val="00CD6E6B"/>
    <w:rsid w:val="00CE05E7"/>
    <w:rsid w:val="00CE09B9"/>
    <w:rsid w:val="00CE0CF3"/>
    <w:rsid w:val="00CE1391"/>
    <w:rsid w:val="00CE16CB"/>
    <w:rsid w:val="00CE1F2E"/>
    <w:rsid w:val="00CE2CFA"/>
    <w:rsid w:val="00CE3282"/>
    <w:rsid w:val="00CE3816"/>
    <w:rsid w:val="00CE4CC1"/>
    <w:rsid w:val="00CE545C"/>
    <w:rsid w:val="00CE5A77"/>
    <w:rsid w:val="00CE622E"/>
    <w:rsid w:val="00CE62AD"/>
    <w:rsid w:val="00CE636F"/>
    <w:rsid w:val="00CE63F9"/>
    <w:rsid w:val="00CE6994"/>
    <w:rsid w:val="00CE6A97"/>
    <w:rsid w:val="00CE7955"/>
    <w:rsid w:val="00CF007B"/>
    <w:rsid w:val="00CF01EB"/>
    <w:rsid w:val="00CF0528"/>
    <w:rsid w:val="00CF0E8C"/>
    <w:rsid w:val="00CF0EEF"/>
    <w:rsid w:val="00CF107F"/>
    <w:rsid w:val="00CF111F"/>
    <w:rsid w:val="00CF16B1"/>
    <w:rsid w:val="00CF17F4"/>
    <w:rsid w:val="00CF2122"/>
    <w:rsid w:val="00CF226F"/>
    <w:rsid w:val="00CF251D"/>
    <w:rsid w:val="00CF253D"/>
    <w:rsid w:val="00CF255A"/>
    <w:rsid w:val="00CF3758"/>
    <w:rsid w:val="00CF3780"/>
    <w:rsid w:val="00CF3E55"/>
    <w:rsid w:val="00CF40E2"/>
    <w:rsid w:val="00CF50DF"/>
    <w:rsid w:val="00CF5424"/>
    <w:rsid w:val="00CF57A0"/>
    <w:rsid w:val="00CF607A"/>
    <w:rsid w:val="00CF70C1"/>
    <w:rsid w:val="00CF7EE1"/>
    <w:rsid w:val="00D000F5"/>
    <w:rsid w:val="00D012B0"/>
    <w:rsid w:val="00D01A18"/>
    <w:rsid w:val="00D029C9"/>
    <w:rsid w:val="00D02A7B"/>
    <w:rsid w:val="00D0324E"/>
    <w:rsid w:val="00D03ACA"/>
    <w:rsid w:val="00D03D44"/>
    <w:rsid w:val="00D052BB"/>
    <w:rsid w:val="00D054BE"/>
    <w:rsid w:val="00D05525"/>
    <w:rsid w:val="00D0583D"/>
    <w:rsid w:val="00D05BBF"/>
    <w:rsid w:val="00D06DAB"/>
    <w:rsid w:val="00D0729B"/>
    <w:rsid w:val="00D10D0B"/>
    <w:rsid w:val="00D113F5"/>
    <w:rsid w:val="00D12F2F"/>
    <w:rsid w:val="00D13322"/>
    <w:rsid w:val="00D13337"/>
    <w:rsid w:val="00D134F2"/>
    <w:rsid w:val="00D1383D"/>
    <w:rsid w:val="00D1429B"/>
    <w:rsid w:val="00D158FB"/>
    <w:rsid w:val="00D15A4B"/>
    <w:rsid w:val="00D15C8C"/>
    <w:rsid w:val="00D16C92"/>
    <w:rsid w:val="00D16DCF"/>
    <w:rsid w:val="00D172B0"/>
    <w:rsid w:val="00D20200"/>
    <w:rsid w:val="00D20D4B"/>
    <w:rsid w:val="00D2195E"/>
    <w:rsid w:val="00D22133"/>
    <w:rsid w:val="00D2276D"/>
    <w:rsid w:val="00D2294D"/>
    <w:rsid w:val="00D2307B"/>
    <w:rsid w:val="00D23943"/>
    <w:rsid w:val="00D23DF3"/>
    <w:rsid w:val="00D24075"/>
    <w:rsid w:val="00D243AC"/>
    <w:rsid w:val="00D24C30"/>
    <w:rsid w:val="00D25E73"/>
    <w:rsid w:val="00D25F88"/>
    <w:rsid w:val="00D26474"/>
    <w:rsid w:val="00D26E92"/>
    <w:rsid w:val="00D27963"/>
    <w:rsid w:val="00D312B0"/>
    <w:rsid w:val="00D31775"/>
    <w:rsid w:val="00D3280E"/>
    <w:rsid w:val="00D32CEB"/>
    <w:rsid w:val="00D337D5"/>
    <w:rsid w:val="00D33CB3"/>
    <w:rsid w:val="00D33D6F"/>
    <w:rsid w:val="00D3501D"/>
    <w:rsid w:val="00D35FB5"/>
    <w:rsid w:val="00D367D0"/>
    <w:rsid w:val="00D369F9"/>
    <w:rsid w:val="00D3739B"/>
    <w:rsid w:val="00D37B0B"/>
    <w:rsid w:val="00D4029B"/>
    <w:rsid w:val="00D40A40"/>
    <w:rsid w:val="00D40DAE"/>
    <w:rsid w:val="00D413E1"/>
    <w:rsid w:val="00D4184A"/>
    <w:rsid w:val="00D41C51"/>
    <w:rsid w:val="00D41E7E"/>
    <w:rsid w:val="00D41FE7"/>
    <w:rsid w:val="00D426DF"/>
    <w:rsid w:val="00D445CE"/>
    <w:rsid w:val="00D44BF7"/>
    <w:rsid w:val="00D452EB"/>
    <w:rsid w:val="00D457E9"/>
    <w:rsid w:val="00D45BF3"/>
    <w:rsid w:val="00D46A3A"/>
    <w:rsid w:val="00D46E07"/>
    <w:rsid w:val="00D47DCF"/>
    <w:rsid w:val="00D47EE6"/>
    <w:rsid w:val="00D508A4"/>
    <w:rsid w:val="00D514B2"/>
    <w:rsid w:val="00D51695"/>
    <w:rsid w:val="00D52E17"/>
    <w:rsid w:val="00D53D94"/>
    <w:rsid w:val="00D54207"/>
    <w:rsid w:val="00D54EB1"/>
    <w:rsid w:val="00D54EF2"/>
    <w:rsid w:val="00D55082"/>
    <w:rsid w:val="00D555D3"/>
    <w:rsid w:val="00D56B6F"/>
    <w:rsid w:val="00D57A95"/>
    <w:rsid w:val="00D61C5F"/>
    <w:rsid w:val="00D630DA"/>
    <w:rsid w:val="00D63FA4"/>
    <w:rsid w:val="00D64C83"/>
    <w:rsid w:val="00D64D35"/>
    <w:rsid w:val="00D65BEA"/>
    <w:rsid w:val="00D65C09"/>
    <w:rsid w:val="00D66AD7"/>
    <w:rsid w:val="00D66C60"/>
    <w:rsid w:val="00D67228"/>
    <w:rsid w:val="00D678DA"/>
    <w:rsid w:val="00D70196"/>
    <w:rsid w:val="00D72B50"/>
    <w:rsid w:val="00D732B1"/>
    <w:rsid w:val="00D736F6"/>
    <w:rsid w:val="00D736F7"/>
    <w:rsid w:val="00D73A32"/>
    <w:rsid w:val="00D747CE"/>
    <w:rsid w:val="00D756F8"/>
    <w:rsid w:val="00D7642D"/>
    <w:rsid w:val="00D76605"/>
    <w:rsid w:val="00D80732"/>
    <w:rsid w:val="00D80843"/>
    <w:rsid w:val="00D80958"/>
    <w:rsid w:val="00D80D17"/>
    <w:rsid w:val="00D815D8"/>
    <w:rsid w:val="00D81844"/>
    <w:rsid w:val="00D82B70"/>
    <w:rsid w:val="00D83059"/>
    <w:rsid w:val="00D83DA4"/>
    <w:rsid w:val="00D83E5E"/>
    <w:rsid w:val="00D843C1"/>
    <w:rsid w:val="00D84477"/>
    <w:rsid w:val="00D85518"/>
    <w:rsid w:val="00D861F3"/>
    <w:rsid w:val="00D8636B"/>
    <w:rsid w:val="00D868D7"/>
    <w:rsid w:val="00D87628"/>
    <w:rsid w:val="00D87D41"/>
    <w:rsid w:val="00D87F56"/>
    <w:rsid w:val="00D87F8C"/>
    <w:rsid w:val="00D9078B"/>
    <w:rsid w:val="00D915F9"/>
    <w:rsid w:val="00D91FD2"/>
    <w:rsid w:val="00D9232D"/>
    <w:rsid w:val="00D923C5"/>
    <w:rsid w:val="00D92930"/>
    <w:rsid w:val="00D92B52"/>
    <w:rsid w:val="00D933A0"/>
    <w:rsid w:val="00D93D9F"/>
    <w:rsid w:val="00D9417B"/>
    <w:rsid w:val="00D9514A"/>
    <w:rsid w:val="00D95237"/>
    <w:rsid w:val="00D95475"/>
    <w:rsid w:val="00D95E98"/>
    <w:rsid w:val="00D97A88"/>
    <w:rsid w:val="00D97D4C"/>
    <w:rsid w:val="00D97E4B"/>
    <w:rsid w:val="00DA1C21"/>
    <w:rsid w:val="00DA3990"/>
    <w:rsid w:val="00DA3EB3"/>
    <w:rsid w:val="00DA401E"/>
    <w:rsid w:val="00DA4173"/>
    <w:rsid w:val="00DA471E"/>
    <w:rsid w:val="00DA5B7A"/>
    <w:rsid w:val="00DA6CC1"/>
    <w:rsid w:val="00DA6F8A"/>
    <w:rsid w:val="00DA743C"/>
    <w:rsid w:val="00DA7D52"/>
    <w:rsid w:val="00DB118D"/>
    <w:rsid w:val="00DB2C2F"/>
    <w:rsid w:val="00DB2E1F"/>
    <w:rsid w:val="00DB392A"/>
    <w:rsid w:val="00DB39E7"/>
    <w:rsid w:val="00DB3C8B"/>
    <w:rsid w:val="00DB3DED"/>
    <w:rsid w:val="00DB4339"/>
    <w:rsid w:val="00DB4403"/>
    <w:rsid w:val="00DB46F3"/>
    <w:rsid w:val="00DB4771"/>
    <w:rsid w:val="00DB5454"/>
    <w:rsid w:val="00DB56F0"/>
    <w:rsid w:val="00DB5720"/>
    <w:rsid w:val="00DB6F0A"/>
    <w:rsid w:val="00DB71C8"/>
    <w:rsid w:val="00DB7BAA"/>
    <w:rsid w:val="00DB7E25"/>
    <w:rsid w:val="00DC1006"/>
    <w:rsid w:val="00DC21D5"/>
    <w:rsid w:val="00DC2537"/>
    <w:rsid w:val="00DC272A"/>
    <w:rsid w:val="00DC2E03"/>
    <w:rsid w:val="00DC2EFE"/>
    <w:rsid w:val="00DC3382"/>
    <w:rsid w:val="00DC3B55"/>
    <w:rsid w:val="00DC3EC4"/>
    <w:rsid w:val="00DC4DBA"/>
    <w:rsid w:val="00DC5010"/>
    <w:rsid w:val="00DC7432"/>
    <w:rsid w:val="00DC746B"/>
    <w:rsid w:val="00DD0AB1"/>
    <w:rsid w:val="00DD0AEC"/>
    <w:rsid w:val="00DD15C8"/>
    <w:rsid w:val="00DD4515"/>
    <w:rsid w:val="00DD567C"/>
    <w:rsid w:val="00DD579D"/>
    <w:rsid w:val="00DD5A18"/>
    <w:rsid w:val="00DD7AA5"/>
    <w:rsid w:val="00DE0067"/>
    <w:rsid w:val="00DE05FF"/>
    <w:rsid w:val="00DE063A"/>
    <w:rsid w:val="00DE06FF"/>
    <w:rsid w:val="00DE14FC"/>
    <w:rsid w:val="00DE15CE"/>
    <w:rsid w:val="00DE1C3D"/>
    <w:rsid w:val="00DE3C07"/>
    <w:rsid w:val="00DE4CC8"/>
    <w:rsid w:val="00DE659B"/>
    <w:rsid w:val="00DE7F35"/>
    <w:rsid w:val="00DF0B7A"/>
    <w:rsid w:val="00DF0E8E"/>
    <w:rsid w:val="00DF1434"/>
    <w:rsid w:val="00DF14CD"/>
    <w:rsid w:val="00DF2104"/>
    <w:rsid w:val="00DF26AE"/>
    <w:rsid w:val="00DF2DEB"/>
    <w:rsid w:val="00DF311F"/>
    <w:rsid w:val="00DF3466"/>
    <w:rsid w:val="00DF367C"/>
    <w:rsid w:val="00DF5766"/>
    <w:rsid w:val="00DF5D6B"/>
    <w:rsid w:val="00DF6228"/>
    <w:rsid w:val="00E00083"/>
    <w:rsid w:val="00E0131C"/>
    <w:rsid w:val="00E013FC"/>
    <w:rsid w:val="00E014F3"/>
    <w:rsid w:val="00E01C6E"/>
    <w:rsid w:val="00E0298E"/>
    <w:rsid w:val="00E03400"/>
    <w:rsid w:val="00E036A2"/>
    <w:rsid w:val="00E038AA"/>
    <w:rsid w:val="00E03F58"/>
    <w:rsid w:val="00E042DE"/>
    <w:rsid w:val="00E043FA"/>
    <w:rsid w:val="00E0473D"/>
    <w:rsid w:val="00E047D5"/>
    <w:rsid w:val="00E063B1"/>
    <w:rsid w:val="00E06516"/>
    <w:rsid w:val="00E067CE"/>
    <w:rsid w:val="00E06AAB"/>
    <w:rsid w:val="00E07706"/>
    <w:rsid w:val="00E07BC6"/>
    <w:rsid w:val="00E07E2D"/>
    <w:rsid w:val="00E10372"/>
    <w:rsid w:val="00E11F5D"/>
    <w:rsid w:val="00E1238A"/>
    <w:rsid w:val="00E12DBB"/>
    <w:rsid w:val="00E13A16"/>
    <w:rsid w:val="00E15826"/>
    <w:rsid w:val="00E165D6"/>
    <w:rsid w:val="00E16B76"/>
    <w:rsid w:val="00E170EA"/>
    <w:rsid w:val="00E171AC"/>
    <w:rsid w:val="00E17662"/>
    <w:rsid w:val="00E1783A"/>
    <w:rsid w:val="00E2066A"/>
    <w:rsid w:val="00E20C40"/>
    <w:rsid w:val="00E20FCA"/>
    <w:rsid w:val="00E210A9"/>
    <w:rsid w:val="00E210BF"/>
    <w:rsid w:val="00E212A6"/>
    <w:rsid w:val="00E212B3"/>
    <w:rsid w:val="00E225EB"/>
    <w:rsid w:val="00E22C07"/>
    <w:rsid w:val="00E23580"/>
    <w:rsid w:val="00E23C7B"/>
    <w:rsid w:val="00E242FE"/>
    <w:rsid w:val="00E24522"/>
    <w:rsid w:val="00E24B68"/>
    <w:rsid w:val="00E24E2A"/>
    <w:rsid w:val="00E2562C"/>
    <w:rsid w:val="00E257FB"/>
    <w:rsid w:val="00E2628D"/>
    <w:rsid w:val="00E2731D"/>
    <w:rsid w:val="00E27791"/>
    <w:rsid w:val="00E300CF"/>
    <w:rsid w:val="00E30AB5"/>
    <w:rsid w:val="00E30E36"/>
    <w:rsid w:val="00E31250"/>
    <w:rsid w:val="00E312AB"/>
    <w:rsid w:val="00E325AD"/>
    <w:rsid w:val="00E32849"/>
    <w:rsid w:val="00E33BC7"/>
    <w:rsid w:val="00E33BFF"/>
    <w:rsid w:val="00E35454"/>
    <w:rsid w:val="00E35725"/>
    <w:rsid w:val="00E35C19"/>
    <w:rsid w:val="00E35C61"/>
    <w:rsid w:val="00E378EB"/>
    <w:rsid w:val="00E37F99"/>
    <w:rsid w:val="00E401F6"/>
    <w:rsid w:val="00E40445"/>
    <w:rsid w:val="00E410E7"/>
    <w:rsid w:val="00E41133"/>
    <w:rsid w:val="00E412F1"/>
    <w:rsid w:val="00E42005"/>
    <w:rsid w:val="00E426FB"/>
    <w:rsid w:val="00E42D53"/>
    <w:rsid w:val="00E432FD"/>
    <w:rsid w:val="00E43CDE"/>
    <w:rsid w:val="00E43D4F"/>
    <w:rsid w:val="00E44C0A"/>
    <w:rsid w:val="00E45267"/>
    <w:rsid w:val="00E45497"/>
    <w:rsid w:val="00E459E5"/>
    <w:rsid w:val="00E46544"/>
    <w:rsid w:val="00E473C9"/>
    <w:rsid w:val="00E47A49"/>
    <w:rsid w:val="00E52342"/>
    <w:rsid w:val="00E52BF1"/>
    <w:rsid w:val="00E54011"/>
    <w:rsid w:val="00E5480D"/>
    <w:rsid w:val="00E54DA3"/>
    <w:rsid w:val="00E54F99"/>
    <w:rsid w:val="00E54FB8"/>
    <w:rsid w:val="00E561BB"/>
    <w:rsid w:val="00E567C7"/>
    <w:rsid w:val="00E576D5"/>
    <w:rsid w:val="00E578AD"/>
    <w:rsid w:val="00E57EEE"/>
    <w:rsid w:val="00E60A23"/>
    <w:rsid w:val="00E60E7B"/>
    <w:rsid w:val="00E614C0"/>
    <w:rsid w:val="00E6198F"/>
    <w:rsid w:val="00E62375"/>
    <w:rsid w:val="00E62639"/>
    <w:rsid w:val="00E62BDD"/>
    <w:rsid w:val="00E63A9B"/>
    <w:rsid w:val="00E645B5"/>
    <w:rsid w:val="00E64B5A"/>
    <w:rsid w:val="00E64BDC"/>
    <w:rsid w:val="00E65D30"/>
    <w:rsid w:val="00E6650C"/>
    <w:rsid w:val="00E66844"/>
    <w:rsid w:val="00E66B28"/>
    <w:rsid w:val="00E66BB9"/>
    <w:rsid w:val="00E66EE9"/>
    <w:rsid w:val="00E67946"/>
    <w:rsid w:val="00E67C58"/>
    <w:rsid w:val="00E67E67"/>
    <w:rsid w:val="00E67F6E"/>
    <w:rsid w:val="00E67F8D"/>
    <w:rsid w:val="00E705BC"/>
    <w:rsid w:val="00E70B65"/>
    <w:rsid w:val="00E716F4"/>
    <w:rsid w:val="00E71A1F"/>
    <w:rsid w:val="00E71D82"/>
    <w:rsid w:val="00E72886"/>
    <w:rsid w:val="00E729C6"/>
    <w:rsid w:val="00E73F00"/>
    <w:rsid w:val="00E7459D"/>
    <w:rsid w:val="00E748DC"/>
    <w:rsid w:val="00E753DF"/>
    <w:rsid w:val="00E763E8"/>
    <w:rsid w:val="00E768E7"/>
    <w:rsid w:val="00E76DC6"/>
    <w:rsid w:val="00E77353"/>
    <w:rsid w:val="00E776A0"/>
    <w:rsid w:val="00E801A0"/>
    <w:rsid w:val="00E8052F"/>
    <w:rsid w:val="00E8107F"/>
    <w:rsid w:val="00E8120E"/>
    <w:rsid w:val="00E81324"/>
    <w:rsid w:val="00E8135A"/>
    <w:rsid w:val="00E81929"/>
    <w:rsid w:val="00E819A6"/>
    <w:rsid w:val="00E82980"/>
    <w:rsid w:val="00E82D8D"/>
    <w:rsid w:val="00E83808"/>
    <w:rsid w:val="00E8399A"/>
    <w:rsid w:val="00E84326"/>
    <w:rsid w:val="00E84EF6"/>
    <w:rsid w:val="00E86766"/>
    <w:rsid w:val="00E86AB6"/>
    <w:rsid w:val="00E86C55"/>
    <w:rsid w:val="00E876DA"/>
    <w:rsid w:val="00E87F51"/>
    <w:rsid w:val="00E90AFB"/>
    <w:rsid w:val="00E91349"/>
    <w:rsid w:val="00E914B5"/>
    <w:rsid w:val="00E9301F"/>
    <w:rsid w:val="00E932D0"/>
    <w:rsid w:val="00E9371E"/>
    <w:rsid w:val="00E939E3"/>
    <w:rsid w:val="00E93B15"/>
    <w:rsid w:val="00E95C66"/>
    <w:rsid w:val="00E95E1F"/>
    <w:rsid w:val="00E9608B"/>
    <w:rsid w:val="00E96B92"/>
    <w:rsid w:val="00E96C39"/>
    <w:rsid w:val="00E97133"/>
    <w:rsid w:val="00E97A08"/>
    <w:rsid w:val="00E97B24"/>
    <w:rsid w:val="00E97B55"/>
    <w:rsid w:val="00E97C73"/>
    <w:rsid w:val="00EA19F2"/>
    <w:rsid w:val="00EA2633"/>
    <w:rsid w:val="00EA2D49"/>
    <w:rsid w:val="00EA5933"/>
    <w:rsid w:val="00EA5E12"/>
    <w:rsid w:val="00EA5F6D"/>
    <w:rsid w:val="00EA6096"/>
    <w:rsid w:val="00EA6B36"/>
    <w:rsid w:val="00EA7941"/>
    <w:rsid w:val="00EB0048"/>
    <w:rsid w:val="00EB01CC"/>
    <w:rsid w:val="00EB0C88"/>
    <w:rsid w:val="00EB0F7E"/>
    <w:rsid w:val="00EB1233"/>
    <w:rsid w:val="00EB1725"/>
    <w:rsid w:val="00EB18D4"/>
    <w:rsid w:val="00EB1A28"/>
    <w:rsid w:val="00EB1CBF"/>
    <w:rsid w:val="00EB1F6A"/>
    <w:rsid w:val="00EB2FB2"/>
    <w:rsid w:val="00EB3642"/>
    <w:rsid w:val="00EB3BE4"/>
    <w:rsid w:val="00EB3CD9"/>
    <w:rsid w:val="00EB4A41"/>
    <w:rsid w:val="00EB5F8A"/>
    <w:rsid w:val="00EB64F8"/>
    <w:rsid w:val="00EB6606"/>
    <w:rsid w:val="00EB77CC"/>
    <w:rsid w:val="00EB7E18"/>
    <w:rsid w:val="00EB7EF4"/>
    <w:rsid w:val="00EC035C"/>
    <w:rsid w:val="00EC19E3"/>
    <w:rsid w:val="00EC20D2"/>
    <w:rsid w:val="00EC26F2"/>
    <w:rsid w:val="00EC288B"/>
    <w:rsid w:val="00EC2B4A"/>
    <w:rsid w:val="00EC30C8"/>
    <w:rsid w:val="00EC3751"/>
    <w:rsid w:val="00EC3F72"/>
    <w:rsid w:val="00EC4173"/>
    <w:rsid w:val="00EC4A74"/>
    <w:rsid w:val="00EC5003"/>
    <w:rsid w:val="00EC5078"/>
    <w:rsid w:val="00EC50AE"/>
    <w:rsid w:val="00EC5198"/>
    <w:rsid w:val="00EC6695"/>
    <w:rsid w:val="00EC758B"/>
    <w:rsid w:val="00EC784C"/>
    <w:rsid w:val="00ED007A"/>
    <w:rsid w:val="00ED037E"/>
    <w:rsid w:val="00ED09F8"/>
    <w:rsid w:val="00ED0A75"/>
    <w:rsid w:val="00ED101D"/>
    <w:rsid w:val="00ED114C"/>
    <w:rsid w:val="00ED2901"/>
    <w:rsid w:val="00ED2B6F"/>
    <w:rsid w:val="00ED30D8"/>
    <w:rsid w:val="00ED43EB"/>
    <w:rsid w:val="00ED52B1"/>
    <w:rsid w:val="00ED63C8"/>
    <w:rsid w:val="00ED6ED7"/>
    <w:rsid w:val="00ED7562"/>
    <w:rsid w:val="00ED76D2"/>
    <w:rsid w:val="00EE02CD"/>
    <w:rsid w:val="00EE04FC"/>
    <w:rsid w:val="00EE16F1"/>
    <w:rsid w:val="00EE1C96"/>
    <w:rsid w:val="00EE1D08"/>
    <w:rsid w:val="00EE2C75"/>
    <w:rsid w:val="00EE3327"/>
    <w:rsid w:val="00EE5C25"/>
    <w:rsid w:val="00EE75F6"/>
    <w:rsid w:val="00EE78C2"/>
    <w:rsid w:val="00EE79CE"/>
    <w:rsid w:val="00EE7B72"/>
    <w:rsid w:val="00EE7C2C"/>
    <w:rsid w:val="00EE7D36"/>
    <w:rsid w:val="00EF0438"/>
    <w:rsid w:val="00EF07F5"/>
    <w:rsid w:val="00EF0D5E"/>
    <w:rsid w:val="00EF1399"/>
    <w:rsid w:val="00EF1961"/>
    <w:rsid w:val="00EF3D5A"/>
    <w:rsid w:val="00EF46CC"/>
    <w:rsid w:val="00EF4955"/>
    <w:rsid w:val="00EF667D"/>
    <w:rsid w:val="00EF69E9"/>
    <w:rsid w:val="00EF7CC3"/>
    <w:rsid w:val="00F005C7"/>
    <w:rsid w:val="00F00601"/>
    <w:rsid w:val="00F010BE"/>
    <w:rsid w:val="00F01153"/>
    <w:rsid w:val="00F01782"/>
    <w:rsid w:val="00F02377"/>
    <w:rsid w:val="00F03005"/>
    <w:rsid w:val="00F031D7"/>
    <w:rsid w:val="00F034BE"/>
    <w:rsid w:val="00F0622C"/>
    <w:rsid w:val="00F06A93"/>
    <w:rsid w:val="00F06BF0"/>
    <w:rsid w:val="00F07765"/>
    <w:rsid w:val="00F10067"/>
    <w:rsid w:val="00F101F4"/>
    <w:rsid w:val="00F10643"/>
    <w:rsid w:val="00F10914"/>
    <w:rsid w:val="00F1159D"/>
    <w:rsid w:val="00F11680"/>
    <w:rsid w:val="00F11CFC"/>
    <w:rsid w:val="00F12DB6"/>
    <w:rsid w:val="00F12EFE"/>
    <w:rsid w:val="00F130B1"/>
    <w:rsid w:val="00F13F30"/>
    <w:rsid w:val="00F147E1"/>
    <w:rsid w:val="00F153B4"/>
    <w:rsid w:val="00F1583D"/>
    <w:rsid w:val="00F166A2"/>
    <w:rsid w:val="00F169A2"/>
    <w:rsid w:val="00F1760E"/>
    <w:rsid w:val="00F212DE"/>
    <w:rsid w:val="00F21E4A"/>
    <w:rsid w:val="00F2232E"/>
    <w:rsid w:val="00F2285B"/>
    <w:rsid w:val="00F2315D"/>
    <w:rsid w:val="00F2356C"/>
    <w:rsid w:val="00F23BBF"/>
    <w:rsid w:val="00F2415B"/>
    <w:rsid w:val="00F250F1"/>
    <w:rsid w:val="00F254E7"/>
    <w:rsid w:val="00F25FD1"/>
    <w:rsid w:val="00F2619F"/>
    <w:rsid w:val="00F261DB"/>
    <w:rsid w:val="00F2693C"/>
    <w:rsid w:val="00F272E8"/>
    <w:rsid w:val="00F31AA7"/>
    <w:rsid w:val="00F323BA"/>
    <w:rsid w:val="00F32A9F"/>
    <w:rsid w:val="00F32E91"/>
    <w:rsid w:val="00F32F8E"/>
    <w:rsid w:val="00F334B3"/>
    <w:rsid w:val="00F3396F"/>
    <w:rsid w:val="00F34180"/>
    <w:rsid w:val="00F3485A"/>
    <w:rsid w:val="00F354D2"/>
    <w:rsid w:val="00F35CFA"/>
    <w:rsid w:val="00F35DDE"/>
    <w:rsid w:val="00F37225"/>
    <w:rsid w:val="00F37507"/>
    <w:rsid w:val="00F375C1"/>
    <w:rsid w:val="00F377D2"/>
    <w:rsid w:val="00F40D35"/>
    <w:rsid w:val="00F40DF0"/>
    <w:rsid w:val="00F416DB"/>
    <w:rsid w:val="00F4294B"/>
    <w:rsid w:val="00F42AC7"/>
    <w:rsid w:val="00F43A1D"/>
    <w:rsid w:val="00F43FDE"/>
    <w:rsid w:val="00F44464"/>
    <w:rsid w:val="00F44D7F"/>
    <w:rsid w:val="00F45366"/>
    <w:rsid w:val="00F45957"/>
    <w:rsid w:val="00F46254"/>
    <w:rsid w:val="00F463F2"/>
    <w:rsid w:val="00F46E85"/>
    <w:rsid w:val="00F46FE8"/>
    <w:rsid w:val="00F472AD"/>
    <w:rsid w:val="00F50CB8"/>
    <w:rsid w:val="00F51438"/>
    <w:rsid w:val="00F520F2"/>
    <w:rsid w:val="00F529AC"/>
    <w:rsid w:val="00F52E24"/>
    <w:rsid w:val="00F5349F"/>
    <w:rsid w:val="00F545A5"/>
    <w:rsid w:val="00F5491A"/>
    <w:rsid w:val="00F54E80"/>
    <w:rsid w:val="00F54FE5"/>
    <w:rsid w:val="00F55192"/>
    <w:rsid w:val="00F5548D"/>
    <w:rsid w:val="00F55B92"/>
    <w:rsid w:val="00F55F2B"/>
    <w:rsid w:val="00F5602F"/>
    <w:rsid w:val="00F5618F"/>
    <w:rsid w:val="00F56467"/>
    <w:rsid w:val="00F56617"/>
    <w:rsid w:val="00F567E9"/>
    <w:rsid w:val="00F56D9C"/>
    <w:rsid w:val="00F573CE"/>
    <w:rsid w:val="00F5795C"/>
    <w:rsid w:val="00F57DD5"/>
    <w:rsid w:val="00F600A7"/>
    <w:rsid w:val="00F60102"/>
    <w:rsid w:val="00F61663"/>
    <w:rsid w:val="00F617CE"/>
    <w:rsid w:val="00F62482"/>
    <w:rsid w:val="00F62D9E"/>
    <w:rsid w:val="00F6324B"/>
    <w:rsid w:val="00F63CA9"/>
    <w:rsid w:val="00F64D94"/>
    <w:rsid w:val="00F65044"/>
    <w:rsid w:val="00F6537E"/>
    <w:rsid w:val="00F67028"/>
    <w:rsid w:val="00F670A3"/>
    <w:rsid w:val="00F67AA8"/>
    <w:rsid w:val="00F724CB"/>
    <w:rsid w:val="00F74B38"/>
    <w:rsid w:val="00F75DD7"/>
    <w:rsid w:val="00F765B0"/>
    <w:rsid w:val="00F768AF"/>
    <w:rsid w:val="00F76B8D"/>
    <w:rsid w:val="00F76F9D"/>
    <w:rsid w:val="00F7716B"/>
    <w:rsid w:val="00F774D0"/>
    <w:rsid w:val="00F803A1"/>
    <w:rsid w:val="00F8059D"/>
    <w:rsid w:val="00F805D8"/>
    <w:rsid w:val="00F80EF0"/>
    <w:rsid w:val="00F81C9C"/>
    <w:rsid w:val="00F820B5"/>
    <w:rsid w:val="00F8306F"/>
    <w:rsid w:val="00F83D28"/>
    <w:rsid w:val="00F84312"/>
    <w:rsid w:val="00F849E9"/>
    <w:rsid w:val="00F85236"/>
    <w:rsid w:val="00F86D2C"/>
    <w:rsid w:val="00F87804"/>
    <w:rsid w:val="00F87B87"/>
    <w:rsid w:val="00F9134C"/>
    <w:rsid w:val="00F91BBD"/>
    <w:rsid w:val="00F91EC5"/>
    <w:rsid w:val="00F9238D"/>
    <w:rsid w:val="00F92F6D"/>
    <w:rsid w:val="00F93243"/>
    <w:rsid w:val="00F93822"/>
    <w:rsid w:val="00F93A0D"/>
    <w:rsid w:val="00F947D5"/>
    <w:rsid w:val="00F94A49"/>
    <w:rsid w:val="00F95275"/>
    <w:rsid w:val="00F9670A"/>
    <w:rsid w:val="00F96D24"/>
    <w:rsid w:val="00F96D8C"/>
    <w:rsid w:val="00F96F7F"/>
    <w:rsid w:val="00F9780A"/>
    <w:rsid w:val="00F97B01"/>
    <w:rsid w:val="00F97F77"/>
    <w:rsid w:val="00FA0DA4"/>
    <w:rsid w:val="00FA0FC8"/>
    <w:rsid w:val="00FA1D2B"/>
    <w:rsid w:val="00FA2A35"/>
    <w:rsid w:val="00FA355E"/>
    <w:rsid w:val="00FA467C"/>
    <w:rsid w:val="00FA5436"/>
    <w:rsid w:val="00FA54AB"/>
    <w:rsid w:val="00FA583E"/>
    <w:rsid w:val="00FA5869"/>
    <w:rsid w:val="00FA6818"/>
    <w:rsid w:val="00FA77B6"/>
    <w:rsid w:val="00FB03C5"/>
    <w:rsid w:val="00FB06E5"/>
    <w:rsid w:val="00FB12E4"/>
    <w:rsid w:val="00FB26BE"/>
    <w:rsid w:val="00FB2FEF"/>
    <w:rsid w:val="00FB3088"/>
    <w:rsid w:val="00FB3F6E"/>
    <w:rsid w:val="00FB4447"/>
    <w:rsid w:val="00FB5493"/>
    <w:rsid w:val="00FB5DE9"/>
    <w:rsid w:val="00FB6133"/>
    <w:rsid w:val="00FB63A1"/>
    <w:rsid w:val="00FB68BA"/>
    <w:rsid w:val="00FB6F22"/>
    <w:rsid w:val="00FB78FB"/>
    <w:rsid w:val="00FB7B84"/>
    <w:rsid w:val="00FB7D8E"/>
    <w:rsid w:val="00FC04B5"/>
    <w:rsid w:val="00FC05B9"/>
    <w:rsid w:val="00FC08B8"/>
    <w:rsid w:val="00FC0F00"/>
    <w:rsid w:val="00FC0F41"/>
    <w:rsid w:val="00FC106D"/>
    <w:rsid w:val="00FC1CB0"/>
    <w:rsid w:val="00FC2594"/>
    <w:rsid w:val="00FC2F5B"/>
    <w:rsid w:val="00FC3B4A"/>
    <w:rsid w:val="00FC4273"/>
    <w:rsid w:val="00FC4889"/>
    <w:rsid w:val="00FC4F48"/>
    <w:rsid w:val="00FC5B5B"/>
    <w:rsid w:val="00FC66B5"/>
    <w:rsid w:val="00FC6842"/>
    <w:rsid w:val="00FC73B8"/>
    <w:rsid w:val="00FC7575"/>
    <w:rsid w:val="00FC7F1E"/>
    <w:rsid w:val="00FD0CE5"/>
    <w:rsid w:val="00FD0DEF"/>
    <w:rsid w:val="00FD0EC5"/>
    <w:rsid w:val="00FD0FA6"/>
    <w:rsid w:val="00FD270A"/>
    <w:rsid w:val="00FD37C1"/>
    <w:rsid w:val="00FD472E"/>
    <w:rsid w:val="00FD4CE1"/>
    <w:rsid w:val="00FD5D35"/>
    <w:rsid w:val="00FD6183"/>
    <w:rsid w:val="00FE19EC"/>
    <w:rsid w:val="00FE1C43"/>
    <w:rsid w:val="00FE26F3"/>
    <w:rsid w:val="00FE2A42"/>
    <w:rsid w:val="00FE3CB6"/>
    <w:rsid w:val="00FE3D8C"/>
    <w:rsid w:val="00FE430E"/>
    <w:rsid w:val="00FE4642"/>
    <w:rsid w:val="00FE65BC"/>
    <w:rsid w:val="00FE6FDE"/>
    <w:rsid w:val="00FE7DC9"/>
    <w:rsid w:val="00FF0198"/>
    <w:rsid w:val="00FF0C52"/>
    <w:rsid w:val="00FF0DED"/>
    <w:rsid w:val="00FF1926"/>
    <w:rsid w:val="00FF330C"/>
    <w:rsid w:val="00FF5DBA"/>
    <w:rsid w:val="00FF6696"/>
    <w:rsid w:val="00FF7ADC"/>
    <w:rsid w:val="00FF7B2C"/>
    <w:rsid w:val="01184357"/>
    <w:rsid w:val="01230692"/>
    <w:rsid w:val="016247FA"/>
    <w:rsid w:val="01745EE6"/>
    <w:rsid w:val="018326A3"/>
    <w:rsid w:val="018B32D0"/>
    <w:rsid w:val="01A06A8F"/>
    <w:rsid w:val="01AA7D1B"/>
    <w:rsid w:val="01B34253"/>
    <w:rsid w:val="01C6622B"/>
    <w:rsid w:val="01E07CD8"/>
    <w:rsid w:val="01EA671C"/>
    <w:rsid w:val="021673DB"/>
    <w:rsid w:val="022353B4"/>
    <w:rsid w:val="0227136C"/>
    <w:rsid w:val="022A3557"/>
    <w:rsid w:val="023973BF"/>
    <w:rsid w:val="024A56F5"/>
    <w:rsid w:val="026E0F2B"/>
    <w:rsid w:val="027A2F04"/>
    <w:rsid w:val="02845B9C"/>
    <w:rsid w:val="02B1196D"/>
    <w:rsid w:val="02C47A2F"/>
    <w:rsid w:val="02DD55DA"/>
    <w:rsid w:val="032A676A"/>
    <w:rsid w:val="032D7D27"/>
    <w:rsid w:val="03415224"/>
    <w:rsid w:val="034F751B"/>
    <w:rsid w:val="03847CD4"/>
    <w:rsid w:val="03E32C2B"/>
    <w:rsid w:val="03E45FEA"/>
    <w:rsid w:val="03F375BC"/>
    <w:rsid w:val="044C3505"/>
    <w:rsid w:val="04551879"/>
    <w:rsid w:val="04704D33"/>
    <w:rsid w:val="047713FB"/>
    <w:rsid w:val="049525BD"/>
    <w:rsid w:val="04C65B16"/>
    <w:rsid w:val="05184748"/>
    <w:rsid w:val="053A77BB"/>
    <w:rsid w:val="055B55D2"/>
    <w:rsid w:val="05DD7507"/>
    <w:rsid w:val="05FD666C"/>
    <w:rsid w:val="05FE680E"/>
    <w:rsid w:val="060824FF"/>
    <w:rsid w:val="063F11B9"/>
    <w:rsid w:val="06562220"/>
    <w:rsid w:val="06B12657"/>
    <w:rsid w:val="070C0CAE"/>
    <w:rsid w:val="072A1650"/>
    <w:rsid w:val="072C420B"/>
    <w:rsid w:val="07725961"/>
    <w:rsid w:val="079F1B8B"/>
    <w:rsid w:val="07CD74CD"/>
    <w:rsid w:val="07CF37B1"/>
    <w:rsid w:val="07D653C6"/>
    <w:rsid w:val="07DC6755"/>
    <w:rsid w:val="07E04069"/>
    <w:rsid w:val="08101121"/>
    <w:rsid w:val="083945D9"/>
    <w:rsid w:val="08A14F57"/>
    <w:rsid w:val="08EE742E"/>
    <w:rsid w:val="091326A6"/>
    <w:rsid w:val="09275B42"/>
    <w:rsid w:val="09547520"/>
    <w:rsid w:val="09697C1D"/>
    <w:rsid w:val="09796E68"/>
    <w:rsid w:val="09CA6EA6"/>
    <w:rsid w:val="0A2A087D"/>
    <w:rsid w:val="0A2B7D2A"/>
    <w:rsid w:val="0A333843"/>
    <w:rsid w:val="0A57260B"/>
    <w:rsid w:val="0ACC1410"/>
    <w:rsid w:val="0AFD3352"/>
    <w:rsid w:val="0B083D6B"/>
    <w:rsid w:val="0B141F1A"/>
    <w:rsid w:val="0B6573F2"/>
    <w:rsid w:val="0BB33363"/>
    <w:rsid w:val="0BB958B8"/>
    <w:rsid w:val="0BC663BC"/>
    <w:rsid w:val="0BD537C3"/>
    <w:rsid w:val="0BD92474"/>
    <w:rsid w:val="0C14470F"/>
    <w:rsid w:val="0C600AAB"/>
    <w:rsid w:val="0C650670"/>
    <w:rsid w:val="0C721F3B"/>
    <w:rsid w:val="0CA5180B"/>
    <w:rsid w:val="0CBB6E0D"/>
    <w:rsid w:val="0CC74046"/>
    <w:rsid w:val="0D144DED"/>
    <w:rsid w:val="0D5A60C0"/>
    <w:rsid w:val="0D674D12"/>
    <w:rsid w:val="0DA717C7"/>
    <w:rsid w:val="0DCA115E"/>
    <w:rsid w:val="0E115C8A"/>
    <w:rsid w:val="0E4629E7"/>
    <w:rsid w:val="0E484B44"/>
    <w:rsid w:val="0E5C414B"/>
    <w:rsid w:val="0E9C4E0F"/>
    <w:rsid w:val="0EA30700"/>
    <w:rsid w:val="0EB31142"/>
    <w:rsid w:val="0EBF7200"/>
    <w:rsid w:val="0EFDFC0E"/>
    <w:rsid w:val="0F006A20"/>
    <w:rsid w:val="0F07024F"/>
    <w:rsid w:val="0F095504"/>
    <w:rsid w:val="0F3B2473"/>
    <w:rsid w:val="0F534BB2"/>
    <w:rsid w:val="0FA963EE"/>
    <w:rsid w:val="0FBA74F6"/>
    <w:rsid w:val="0FBB0301"/>
    <w:rsid w:val="0FC1695C"/>
    <w:rsid w:val="0FC3085C"/>
    <w:rsid w:val="0FE20946"/>
    <w:rsid w:val="10044A9B"/>
    <w:rsid w:val="10111F7C"/>
    <w:rsid w:val="1023263D"/>
    <w:rsid w:val="104F1744"/>
    <w:rsid w:val="106016F3"/>
    <w:rsid w:val="10620267"/>
    <w:rsid w:val="107F2524"/>
    <w:rsid w:val="10861BA8"/>
    <w:rsid w:val="1094132B"/>
    <w:rsid w:val="10A52D12"/>
    <w:rsid w:val="10A56E7C"/>
    <w:rsid w:val="10B408DD"/>
    <w:rsid w:val="10E243C3"/>
    <w:rsid w:val="11203590"/>
    <w:rsid w:val="11402F73"/>
    <w:rsid w:val="11454713"/>
    <w:rsid w:val="114F5A4E"/>
    <w:rsid w:val="11612A9E"/>
    <w:rsid w:val="118851E5"/>
    <w:rsid w:val="119A3B84"/>
    <w:rsid w:val="119F0F1F"/>
    <w:rsid w:val="11B85B3D"/>
    <w:rsid w:val="121572D4"/>
    <w:rsid w:val="123F625E"/>
    <w:rsid w:val="125C471A"/>
    <w:rsid w:val="12671F77"/>
    <w:rsid w:val="127A0FCA"/>
    <w:rsid w:val="127E4ECB"/>
    <w:rsid w:val="12A80617"/>
    <w:rsid w:val="12BD152A"/>
    <w:rsid w:val="12EF1953"/>
    <w:rsid w:val="12F67447"/>
    <w:rsid w:val="130324BB"/>
    <w:rsid w:val="13177D05"/>
    <w:rsid w:val="131A0221"/>
    <w:rsid w:val="132077BC"/>
    <w:rsid w:val="1335429C"/>
    <w:rsid w:val="13540009"/>
    <w:rsid w:val="13574E7D"/>
    <w:rsid w:val="141D2C0B"/>
    <w:rsid w:val="14957781"/>
    <w:rsid w:val="14D479D2"/>
    <w:rsid w:val="14F81437"/>
    <w:rsid w:val="15316332"/>
    <w:rsid w:val="1593631A"/>
    <w:rsid w:val="16103820"/>
    <w:rsid w:val="161B6B1A"/>
    <w:rsid w:val="16263110"/>
    <w:rsid w:val="1699712B"/>
    <w:rsid w:val="16B761A1"/>
    <w:rsid w:val="16C62AAA"/>
    <w:rsid w:val="16DF1001"/>
    <w:rsid w:val="1711684A"/>
    <w:rsid w:val="173516EA"/>
    <w:rsid w:val="173D7D0F"/>
    <w:rsid w:val="178766DD"/>
    <w:rsid w:val="17965F21"/>
    <w:rsid w:val="17D404BB"/>
    <w:rsid w:val="17D70079"/>
    <w:rsid w:val="17EC4251"/>
    <w:rsid w:val="17F13463"/>
    <w:rsid w:val="18140FCF"/>
    <w:rsid w:val="187E553C"/>
    <w:rsid w:val="188426D8"/>
    <w:rsid w:val="188D1AD1"/>
    <w:rsid w:val="18E427C8"/>
    <w:rsid w:val="18E52B69"/>
    <w:rsid w:val="19031D93"/>
    <w:rsid w:val="192223EF"/>
    <w:rsid w:val="19523A78"/>
    <w:rsid w:val="19575C3B"/>
    <w:rsid w:val="195B4A51"/>
    <w:rsid w:val="195C6AB9"/>
    <w:rsid w:val="196F2052"/>
    <w:rsid w:val="197449B0"/>
    <w:rsid w:val="19AE7F28"/>
    <w:rsid w:val="19B6113F"/>
    <w:rsid w:val="19B9587E"/>
    <w:rsid w:val="19CA0989"/>
    <w:rsid w:val="19DE010A"/>
    <w:rsid w:val="19E70A6A"/>
    <w:rsid w:val="19F40797"/>
    <w:rsid w:val="1A206975"/>
    <w:rsid w:val="1A213ABD"/>
    <w:rsid w:val="1A617FFD"/>
    <w:rsid w:val="1AB51207"/>
    <w:rsid w:val="1AC47300"/>
    <w:rsid w:val="1AD43080"/>
    <w:rsid w:val="1ADF238C"/>
    <w:rsid w:val="1AF71523"/>
    <w:rsid w:val="1B1A4A1C"/>
    <w:rsid w:val="1B2C029F"/>
    <w:rsid w:val="1B38030C"/>
    <w:rsid w:val="1B3C1C8E"/>
    <w:rsid w:val="1B674AC7"/>
    <w:rsid w:val="1B695F6C"/>
    <w:rsid w:val="1B746B39"/>
    <w:rsid w:val="1B784E18"/>
    <w:rsid w:val="1B80541E"/>
    <w:rsid w:val="1BC50187"/>
    <w:rsid w:val="1BCA7842"/>
    <w:rsid w:val="1BD25A4D"/>
    <w:rsid w:val="1BEA7119"/>
    <w:rsid w:val="1BF91BD9"/>
    <w:rsid w:val="1C42696B"/>
    <w:rsid w:val="1C427144"/>
    <w:rsid w:val="1C4409AC"/>
    <w:rsid w:val="1C530BD0"/>
    <w:rsid w:val="1C8F133C"/>
    <w:rsid w:val="1CA87CF9"/>
    <w:rsid w:val="1CC90CBC"/>
    <w:rsid w:val="1D08669B"/>
    <w:rsid w:val="1D094F9C"/>
    <w:rsid w:val="1D0D31E0"/>
    <w:rsid w:val="1D0E23E7"/>
    <w:rsid w:val="1D100F23"/>
    <w:rsid w:val="1D491EF1"/>
    <w:rsid w:val="1D7F39B2"/>
    <w:rsid w:val="1D8C2345"/>
    <w:rsid w:val="1D8D7A52"/>
    <w:rsid w:val="1DAE65F0"/>
    <w:rsid w:val="1DEF5D9F"/>
    <w:rsid w:val="1E111767"/>
    <w:rsid w:val="1E117A37"/>
    <w:rsid w:val="1E300829"/>
    <w:rsid w:val="1E720322"/>
    <w:rsid w:val="1E8B4AEE"/>
    <w:rsid w:val="1EB142DF"/>
    <w:rsid w:val="1EDF0BAD"/>
    <w:rsid w:val="1F035E51"/>
    <w:rsid w:val="1F096B82"/>
    <w:rsid w:val="1F2F2A15"/>
    <w:rsid w:val="1F656BFD"/>
    <w:rsid w:val="1F6E33CE"/>
    <w:rsid w:val="1F9E565E"/>
    <w:rsid w:val="1FA2333B"/>
    <w:rsid w:val="1FE47E48"/>
    <w:rsid w:val="2023550C"/>
    <w:rsid w:val="203B4DB3"/>
    <w:rsid w:val="204B7F58"/>
    <w:rsid w:val="2057365A"/>
    <w:rsid w:val="208E77B9"/>
    <w:rsid w:val="20AE4CDA"/>
    <w:rsid w:val="20F64BEA"/>
    <w:rsid w:val="20F75FD5"/>
    <w:rsid w:val="20FB6AEC"/>
    <w:rsid w:val="2105481C"/>
    <w:rsid w:val="210E4642"/>
    <w:rsid w:val="213011D5"/>
    <w:rsid w:val="21407116"/>
    <w:rsid w:val="214366D9"/>
    <w:rsid w:val="21B45DF5"/>
    <w:rsid w:val="21E15853"/>
    <w:rsid w:val="220A03EB"/>
    <w:rsid w:val="22211C9D"/>
    <w:rsid w:val="223F14FC"/>
    <w:rsid w:val="224332AE"/>
    <w:rsid w:val="22581B32"/>
    <w:rsid w:val="22605689"/>
    <w:rsid w:val="228377FC"/>
    <w:rsid w:val="228A62E5"/>
    <w:rsid w:val="22AD589A"/>
    <w:rsid w:val="22FB72D8"/>
    <w:rsid w:val="23050980"/>
    <w:rsid w:val="23245B22"/>
    <w:rsid w:val="23314333"/>
    <w:rsid w:val="23360FD0"/>
    <w:rsid w:val="23C2673F"/>
    <w:rsid w:val="23CC6C6C"/>
    <w:rsid w:val="23E83618"/>
    <w:rsid w:val="24030E99"/>
    <w:rsid w:val="24105B34"/>
    <w:rsid w:val="24777F0B"/>
    <w:rsid w:val="24814A6D"/>
    <w:rsid w:val="24975E97"/>
    <w:rsid w:val="24D17B32"/>
    <w:rsid w:val="24FD13D3"/>
    <w:rsid w:val="24FF6042"/>
    <w:rsid w:val="25014CD3"/>
    <w:rsid w:val="252814AD"/>
    <w:rsid w:val="253C2765"/>
    <w:rsid w:val="256652B4"/>
    <w:rsid w:val="256D377B"/>
    <w:rsid w:val="256F5ACC"/>
    <w:rsid w:val="2581184D"/>
    <w:rsid w:val="25965F7C"/>
    <w:rsid w:val="25A466AC"/>
    <w:rsid w:val="25A517EF"/>
    <w:rsid w:val="25AE084C"/>
    <w:rsid w:val="25F837E0"/>
    <w:rsid w:val="26024D6D"/>
    <w:rsid w:val="26233A75"/>
    <w:rsid w:val="26713644"/>
    <w:rsid w:val="2674362D"/>
    <w:rsid w:val="268F20C6"/>
    <w:rsid w:val="26C72B6F"/>
    <w:rsid w:val="26DA605D"/>
    <w:rsid w:val="26EC6985"/>
    <w:rsid w:val="270F0823"/>
    <w:rsid w:val="27133AE9"/>
    <w:rsid w:val="27225ADA"/>
    <w:rsid w:val="2725615B"/>
    <w:rsid w:val="273A63A3"/>
    <w:rsid w:val="2749444C"/>
    <w:rsid w:val="27A323DF"/>
    <w:rsid w:val="27C9064C"/>
    <w:rsid w:val="28197154"/>
    <w:rsid w:val="285D0AEF"/>
    <w:rsid w:val="28612632"/>
    <w:rsid w:val="28B65382"/>
    <w:rsid w:val="28BA7F95"/>
    <w:rsid w:val="28D64DCE"/>
    <w:rsid w:val="28DE02D2"/>
    <w:rsid w:val="28F84B93"/>
    <w:rsid w:val="29077D29"/>
    <w:rsid w:val="290A77CC"/>
    <w:rsid w:val="2918419C"/>
    <w:rsid w:val="294616FD"/>
    <w:rsid w:val="295079E5"/>
    <w:rsid w:val="29A25B56"/>
    <w:rsid w:val="29AB330F"/>
    <w:rsid w:val="29AC5898"/>
    <w:rsid w:val="29AC5FBF"/>
    <w:rsid w:val="29F8157A"/>
    <w:rsid w:val="2A1E335D"/>
    <w:rsid w:val="2A2C0A1E"/>
    <w:rsid w:val="2A524FDF"/>
    <w:rsid w:val="2A753158"/>
    <w:rsid w:val="2A965B0A"/>
    <w:rsid w:val="2AAC37FB"/>
    <w:rsid w:val="2ADB2BD5"/>
    <w:rsid w:val="2AE40CAC"/>
    <w:rsid w:val="2B096B82"/>
    <w:rsid w:val="2B544339"/>
    <w:rsid w:val="2BA519D8"/>
    <w:rsid w:val="2C250B14"/>
    <w:rsid w:val="2C3A5674"/>
    <w:rsid w:val="2C3B5405"/>
    <w:rsid w:val="2C4B2FA5"/>
    <w:rsid w:val="2C59031C"/>
    <w:rsid w:val="2C5907E9"/>
    <w:rsid w:val="2C645E55"/>
    <w:rsid w:val="2C650E64"/>
    <w:rsid w:val="2C6579B8"/>
    <w:rsid w:val="2CD56F5D"/>
    <w:rsid w:val="2CF00EAC"/>
    <w:rsid w:val="2CF9108B"/>
    <w:rsid w:val="2D2C38C4"/>
    <w:rsid w:val="2D50625F"/>
    <w:rsid w:val="2DAC19F5"/>
    <w:rsid w:val="2DB22C01"/>
    <w:rsid w:val="2DE03CE6"/>
    <w:rsid w:val="2E0470F3"/>
    <w:rsid w:val="2E0726CA"/>
    <w:rsid w:val="2E0D253C"/>
    <w:rsid w:val="2E486DD2"/>
    <w:rsid w:val="2E57306B"/>
    <w:rsid w:val="2F1B7500"/>
    <w:rsid w:val="2F4C544D"/>
    <w:rsid w:val="2F7067E6"/>
    <w:rsid w:val="2F757199"/>
    <w:rsid w:val="2F885A73"/>
    <w:rsid w:val="2F8922A1"/>
    <w:rsid w:val="2FB731A0"/>
    <w:rsid w:val="2FDF791C"/>
    <w:rsid w:val="2FE34720"/>
    <w:rsid w:val="2FE9521D"/>
    <w:rsid w:val="2FEA60CD"/>
    <w:rsid w:val="2FFF2950"/>
    <w:rsid w:val="30341FA2"/>
    <w:rsid w:val="303E25B2"/>
    <w:rsid w:val="307E7C38"/>
    <w:rsid w:val="30821D49"/>
    <w:rsid w:val="30FB53B2"/>
    <w:rsid w:val="3106021B"/>
    <w:rsid w:val="3106378E"/>
    <w:rsid w:val="3109122B"/>
    <w:rsid w:val="311268F7"/>
    <w:rsid w:val="312E2219"/>
    <w:rsid w:val="316C33F5"/>
    <w:rsid w:val="31707B59"/>
    <w:rsid w:val="31994052"/>
    <w:rsid w:val="31EF1640"/>
    <w:rsid w:val="321C5403"/>
    <w:rsid w:val="321F5EE6"/>
    <w:rsid w:val="324764FD"/>
    <w:rsid w:val="32C71C80"/>
    <w:rsid w:val="32CA473F"/>
    <w:rsid w:val="32E22E40"/>
    <w:rsid w:val="33280090"/>
    <w:rsid w:val="334249CD"/>
    <w:rsid w:val="33437504"/>
    <w:rsid w:val="335633BC"/>
    <w:rsid w:val="33586859"/>
    <w:rsid w:val="33982369"/>
    <w:rsid w:val="339B7340"/>
    <w:rsid w:val="33A201DA"/>
    <w:rsid w:val="33A32A64"/>
    <w:rsid w:val="33D1015A"/>
    <w:rsid w:val="33D25DFC"/>
    <w:rsid w:val="340071A3"/>
    <w:rsid w:val="34073A51"/>
    <w:rsid w:val="342B3CB6"/>
    <w:rsid w:val="346B5F4A"/>
    <w:rsid w:val="346D28AC"/>
    <w:rsid w:val="34986757"/>
    <w:rsid w:val="34BE7006"/>
    <w:rsid w:val="34C834CB"/>
    <w:rsid w:val="34DF211F"/>
    <w:rsid w:val="35154E98"/>
    <w:rsid w:val="35186016"/>
    <w:rsid w:val="35245E9E"/>
    <w:rsid w:val="35B01E4A"/>
    <w:rsid w:val="35B71AE4"/>
    <w:rsid w:val="35C9034A"/>
    <w:rsid w:val="35D201CC"/>
    <w:rsid w:val="361B561A"/>
    <w:rsid w:val="361E2AC3"/>
    <w:rsid w:val="361F63B6"/>
    <w:rsid w:val="36496066"/>
    <w:rsid w:val="36BF77AF"/>
    <w:rsid w:val="36C2714B"/>
    <w:rsid w:val="36EA2872"/>
    <w:rsid w:val="37021DBA"/>
    <w:rsid w:val="37136BB9"/>
    <w:rsid w:val="37905BEB"/>
    <w:rsid w:val="379D2F5B"/>
    <w:rsid w:val="37A10C9D"/>
    <w:rsid w:val="37B55A13"/>
    <w:rsid w:val="37D44F73"/>
    <w:rsid w:val="38353194"/>
    <w:rsid w:val="38367638"/>
    <w:rsid w:val="38556DEE"/>
    <w:rsid w:val="388127A4"/>
    <w:rsid w:val="388E70B3"/>
    <w:rsid w:val="38A327F3"/>
    <w:rsid w:val="38A96204"/>
    <w:rsid w:val="38BA6919"/>
    <w:rsid w:val="38CF612C"/>
    <w:rsid w:val="38E5008F"/>
    <w:rsid w:val="39012572"/>
    <w:rsid w:val="390A578B"/>
    <w:rsid w:val="39BC6193"/>
    <w:rsid w:val="39E906DA"/>
    <w:rsid w:val="3A2D21AE"/>
    <w:rsid w:val="3A41153E"/>
    <w:rsid w:val="3A476958"/>
    <w:rsid w:val="3A541FF7"/>
    <w:rsid w:val="3A5E004A"/>
    <w:rsid w:val="3A6409FF"/>
    <w:rsid w:val="3A6D3427"/>
    <w:rsid w:val="3A9D283C"/>
    <w:rsid w:val="3AA24F6A"/>
    <w:rsid w:val="3AC70A1B"/>
    <w:rsid w:val="3AED0349"/>
    <w:rsid w:val="3AF74EE0"/>
    <w:rsid w:val="3B027B15"/>
    <w:rsid w:val="3B146EA0"/>
    <w:rsid w:val="3B1C7208"/>
    <w:rsid w:val="3B26064F"/>
    <w:rsid w:val="3B532F34"/>
    <w:rsid w:val="3B5D4EDB"/>
    <w:rsid w:val="3B912DD7"/>
    <w:rsid w:val="3BB47D76"/>
    <w:rsid w:val="3BC75101"/>
    <w:rsid w:val="3BCA3D2B"/>
    <w:rsid w:val="3BCA5D8E"/>
    <w:rsid w:val="3BCE6DE3"/>
    <w:rsid w:val="3BDD3D31"/>
    <w:rsid w:val="3C0C24D0"/>
    <w:rsid w:val="3C2329DE"/>
    <w:rsid w:val="3C387C13"/>
    <w:rsid w:val="3C3C148C"/>
    <w:rsid w:val="3C566D4D"/>
    <w:rsid w:val="3C8C4360"/>
    <w:rsid w:val="3CF02027"/>
    <w:rsid w:val="3CF51FB8"/>
    <w:rsid w:val="3D1F45F0"/>
    <w:rsid w:val="3D676C4F"/>
    <w:rsid w:val="3D6D42D8"/>
    <w:rsid w:val="3D704A2B"/>
    <w:rsid w:val="3D82706F"/>
    <w:rsid w:val="3D9764AF"/>
    <w:rsid w:val="3DAB17BA"/>
    <w:rsid w:val="3DBF00CF"/>
    <w:rsid w:val="3DCD5673"/>
    <w:rsid w:val="3DDC6D05"/>
    <w:rsid w:val="3DEB3817"/>
    <w:rsid w:val="3E01510C"/>
    <w:rsid w:val="3E1877DF"/>
    <w:rsid w:val="3E474961"/>
    <w:rsid w:val="3E6E6B8D"/>
    <w:rsid w:val="3ECD1262"/>
    <w:rsid w:val="3F0277DB"/>
    <w:rsid w:val="3F216D3E"/>
    <w:rsid w:val="3F69603F"/>
    <w:rsid w:val="3F6F4BAC"/>
    <w:rsid w:val="3FA171C1"/>
    <w:rsid w:val="3FA928E5"/>
    <w:rsid w:val="3FAA090B"/>
    <w:rsid w:val="3FB13A48"/>
    <w:rsid w:val="3FD95300"/>
    <w:rsid w:val="3FE8458F"/>
    <w:rsid w:val="3FE93DFA"/>
    <w:rsid w:val="401C4AEF"/>
    <w:rsid w:val="406A7E41"/>
    <w:rsid w:val="407767B1"/>
    <w:rsid w:val="4093314D"/>
    <w:rsid w:val="40DC1DD0"/>
    <w:rsid w:val="40E261FB"/>
    <w:rsid w:val="40EB305C"/>
    <w:rsid w:val="40ED3776"/>
    <w:rsid w:val="40F7192E"/>
    <w:rsid w:val="40FA2DBD"/>
    <w:rsid w:val="4137798B"/>
    <w:rsid w:val="413C07FF"/>
    <w:rsid w:val="414423C4"/>
    <w:rsid w:val="415455A0"/>
    <w:rsid w:val="41755597"/>
    <w:rsid w:val="418878EA"/>
    <w:rsid w:val="41A30C6B"/>
    <w:rsid w:val="41B034B4"/>
    <w:rsid w:val="41BF5814"/>
    <w:rsid w:val="41F23C83"/>
    <w:rsid w:val="42247208"/>
    <w:rsid w:val="425036B4"/>
    <w:rsid w:val="425B616B"/>
    <w:rsid w:val="42815EC9"/>
    <w:rsid w:val="42B25728"/>
    <w:rsid w:val="42B34FB0"/>
    <w:rsid w:val="42C674C6"/>
    <w:rsid w:val="42F47F65"/>
    <w:rsid w:val="430A4325"/>
    <w:rsid w:val="43256988"/>
    <w:rsid w:val="433444B4"/>
    <w:rsid w:val="433E181F"/>
    <w:rsid w:val="43436817"/>
    <w:rsid w:val="434F194C"/>
    <w:rsid w:val="437D5F38"/>
    <w:rsid w:val="43C81360"/>
    <w:rsid w:val="43F63A9A"/>
    <w:rsid w:val="440D168C"/>
    <w:rsid w:val="441A5719"/>
    <w:rsid w:val="44454911"/>
    <w:rsid w:val="444570D7"/>
    <w:rsid w:val="44687A88"/>
    <w:rsid w:val="44693328"/>
    <w:rsid w:val="447D41C0"/>
    <w:rsid w:val="44B741BA"/>
    <w:rsid w:val="44BB7689"/>
    <w:rsid w:val="451106FD"/>
    <w:rsid w:val="45206E17"/>
    <w:rsid w:val="452E61C6"/>
    <w:rsid w:val="454F554E"/>
    <w:rsid w:val="45636DD2"/>
    <w:rsid w:val="457049ED"/>
    <w:rsid w:val="45966907"/>
    <w:rsid w:val="459906E4"/>
    <w:rsid w:val="45A76D4B"/>
    <w:rsid w:val="45BA501A"/>
    <w:rsid w:val="45D7387E"/>
    <w:rsid w:val="45F22775"/>
    <w:rsid w:val="462D281F"/>
    <w:rsid w:val="46386346"/>
    <w:rsid w:val="46857774"/>
    <w:rsid w:val="46C45A77"/>
    <w:rsid w:val="46E20A9A"/>
    <w:rsid w:val="473258A5"/>
    <w:rsid w:val="47993A99"/>
    <w:rsid w:val="47A130F5"/>
    <w:rsid w:val="47A42777"/>
    <w:rsid w:val="47AA6410"/>
    <w:rsid w:val="47E8192D"/>
    <w:rsid w:val="47F05DD2"/>
    <w:rsid w:val="47FA1031"/>
    <w:rsid w:val="481E0C0D"/>
    <w:rsid w:val="48403B96"/>
    <w:rsid w:val="485754EA"/>
    <w:rsid w:val="48653621"/>
    <w:rsid w:val="487C3FC9"/>
    <w:rsid w:val="487C701D"/>
    <w:rsid w:val="487F367A"/>
    <w:rsid w:val="48873598"/>
    <w:rsid w:val="48A71E8C"/>
    <w:rsid w:val="48AE321A"/>
    <w:rsid w:val="48BB4C17"/>
    <w:rsid w:val="48DD7E3B"/>
    <w:rsid w:val="48E4789E"/>
    <w:rsid w:val="48F77395"/>
    <w:rsid w:val="492C319F"/>
    <w:rsid w:val="4968161B"/>
    <w:rsid w:val="496F4763"/>
    <w:rsid w:val="49963007"/>
    <w:rsid w:val="49A64533"/>
    <w:rsid w:val="49B10DCB"/>
    <w:rsid w:val="49C4513B"/>
    <w:rsid w:val="49CD3BD2"/>
    <w:rsid w:val="49CE3B9F"/>
    <w:rsid w:val="49F112D9"/>
    <w:rsid w:val="4A007AA5"/>
    <w:rsid w:val="4AE43E3C"/>
    <w:rsid w:val="4B2D7D1E"/>
    <w:rsid w:val="4B323E0F"/>
    <w:rsid w:val="4B386B5D"/>
    <w:rsid w:val="4B540521"/>
    <w:rsid w:val="4B64236F"/>
    <w:rsid w:val="4B895879"/>
    <w:rsid w:val="4B977869"/>
    <w:rsid w:val="4BA86EA2"/>
    <w:rsid w:val="4BAE5D96"/>
    <w:rsid w:val="4BB369F5"/>
    <w:rsid w:val="4BC87E09"/>
    <w:rsid w:val="4BED7415"/>
    <w:rsid w:val="4C28492A"/>
    <w:rsid w:val="4C56200A"/>
    <w:rsid w:val="4C8229F4"/>
    <w:rsid w:val="4C8D360A"/>
    <w:rsid w:val="4CA14229"/>
    <w:rsid w:val="4CAC5CC3"/>
    <w:rsid w:val="4CB81013"/>
    <w:rsid w:val="4CC35913"/>
    <w:rsid w:val="4CD16286"/>
    <w:rsid w:val="4CD37D58"/>
    <w:rsid w:val="4CEA78A8"/>
    <w:rsid w:val="4D0C3224"/>
    <w:rsid w:val="4D221CD7"/>
    <w:rsid w:val="4D660768"/>
    <w:rsid w:val="4D6C41D0"/>
    <w:rsid w:val="4D6F32C7"/>
    <w:rsid w:val="4D8656DA"/>
    <w:rsid w:val="4DA40E96"/>
    <w:rsid w:val="4DAF0F0C"/>
    <w:rsid w:val="4DDC7AE7"/>
    <w:rsid w:val="4DDF3E76"/>
    <w:rsid w:val="4DE813D2"/>
    <w:rsid w:val="4DEA4CF4"/>
    <w:rsid w:val="4DED05FC"/>
    <w:rsid w:val="4DF36CCF"/>
    <w:rsid w:val="4E1A38B1"/>
    <w:rsid w:val="4E28286B"/>
    <w:rsid w:val="4E3852C6"/>
    <w:rsid w:val="4EA937A9"/>
    <w:rsid w:val="4EBC7A0C"/>
    <w:rsid w:val="4F03287C"/>
    <w:rsid w:val="4F236AC7"/>
    <w:rsid w:val="4F2D6FE8"/>
    <w:rsid w:val="4F4158C1"/>
    <w:rsid w:val="4F5370C0"/>
    <w:rsid w:val="4F5438DD"/>
    <w:rsid w:val="4F581010"/>
    <w:rsid w:val="4F5B3392"/>
    <w:rsid w:val="4F726AC9"/>
    <w:rsid w:val="4FAF0DBE"/>
    <w:rsid w:val="4FB65A95"/>
    <w:rsid w:val="50045AC3"/>
    <w:rsid w:val="50244C57"/>
    <w:rsid w:val="504B35D3"/>
    <w:rsid w:val="505B74EA"/>
    <w:rsid w:val="50AB3096"/>
    <w:rsid w:val="50AD2C9D"/>
    <w:rsid w:val="50DD2246"/>
    <w:rsid w:val="50EE68AA"/>
    <w:rsid w:val="50F02B8B"/>
    <w:rsid w:val="517717CD"/>
    <w:rsid w:val="51BB2504"/>
    <w:rsid w:val="51DC5B14"/>
    <w:rsid w:val="52030F03"/>
    <w:rsid w:val="52091678"/>
    <w:rsid w:val="520F24BE"/>
    <w:rsid w:val="5212572E"/>
    <w:rsid w:val="521469DC"/>
    <w:rsid w:val="52170FF6"/>
    <w:rsid w:val="522C74B0"/>
    <w:rsid w:val="523E00E6"/>
    <w:rsid w:val="52403885"/>
    <w:rsid w:val="527B7A70"/>
    <w:rsid w:val="528662F8"/>
    <w:rsid w:val="52FA6F7C"/>
    <w:rsid w:val="53130BF7"/>
    <w:rsid w:val="531B1423"/>
    <w:rsid w:val="5322600D"/>
    <w:rsid w:val="533E1D0F"/>
    <w:rsid w:val="534479FE"/>
    <w:rsid w:val="5363180D"/>
    <w:rsid w:val="53A476F3"/>
    <w:rsid w:val="53B35F17"/>
    <w:rsid w:val="53D85C9D"/>
    <w:rsid w:val="53E5062E"/>
    <w:rsid w:val="540D783D"/>
    <w:rsid w:val="541B65F4"/>
    <w:rsid w:val="54752E3E"/>
    <w:rsid w:val="549D73AB"/>
    <w:rsid w:val="54A02E19"/>
    <w:rsid w:val="54A414C7"/>
    <w:rsid w:val="54A746AA"/>
    <w:rsid w:val="54D0545F"/>
    <w:rsid w:val="5552691D"/>
    <w:rsid w:val="55566A4B"/>
    <w:rsid w:val="55600F6F"/>
    <w:rsid w:val="55684751"/>
    <w:rsid w:val="556E46C1"/>
    <w:rsid w:val="55A44BCF"/>
    <w:rsid w:val="55A60A43"/>
    <w:rsid w:val="55D06BEF"/>
    <w:rsid w:val="55E23B6E"/>
    <w:rsid w:val="55E46E77"/>
    <w:rsid w:val="55E8379E"/>
    <w:rsid w:val="55FC278C"/>
    <w:rsid w:val="56011DF0"/>
    <w:rsid w:val="56180A5E"/>
    <w:rsid w:val="563D7950"/>
    <w:rsid w:val="564927D4"/>
    <w:rsid w:val="56AD4B11"/>
    <w:rsid w:val="56BB1602"/>
    <w:rsid w:val="56E6151A"/>
    <w:rsid w:val="56F91B04"/>
    <w:rsid w:val="56FF2E93"/>
    <w:rsid w:val="575F25C1"/>
    <w:rsid w:val="57781C71"/>
    <w:rsid w:val="5778511F"/>
    <w:rsid w:val="57A03881"/>
    <w:rsid w:val="57B66DF8"/>
    <w:rsid w:val="57E2605D"/>
    <w:rsid w:val="57E60D46"/>
    <w:rsid w:val="57FD1792"/>
    <w:rsid w:val="58020E8D"/>
    <w:rsid w:val="58171D95"/>
    <w:rsid w:val="582941A3"/>
    <w:rsid w:val="582B0EC0"/>
    <w:rsid w:val="58323126"/>
    <w:rsid w:val="583B339B"/>
    <w:rsid w:val="58415193"/>
    <w:rsid w:val="58481CE4"/>
    <w:rsid w:val="58615BB3"/>
    <w:rsid w:val="58616702"/>
    <w:rsid w:val="586958FF"/>
    <w:rsid w:val="5898636D"/>
    <w:rsid w:val="58B73B3C"/>
    <w:rsid w:val="58BA34DE"/>
    <w:rsid w:val="58BC5859"/>
    <w:rsid w:val="58C953BB"/>
    <w:rsid w:val="591F781C"/>
    <w:rsid w:val="5926651D"/>
    <w:rsid w:val="593D497F"/>
    <w:rsid w:val="59610D51"/>
    <w:rsid w:val="59830BF8"/>
    <w:rsid w:val="59D5057A"/>
    <w:rsid w:val="5A024091"/>
    <w:rsid w:val="5A166E71"/>
    <w:rsid w:val="5A584E73"/>
    <w:rsid w:val="5A8A6DE2"/>
    <w:rsid w:val="5AC51BE8"/>
    <w:rsid w:val="5AC94807"/>
    <w:rsid w:val="5AFC5479"/>
    <w:rsid w:val="5B140EFE"/>
    <w:rsid w:val="5B3A4EE7"/>
    <w:rsid w:val="5B40336D"/>
    <w:rsid w:val="5B441378"/>
    <w:rsid w:val="5B4E4486"/>
    <w:rsid w:val="5B7051F8"/>
    <w:rsid w:val="5B8C5D73"/>
    <w:rsid w:val="5B9F1E05"/>
    <w:rsid w:val="5BC326E1"/>
    <w:rsid w:val="5BEE65FC"/>
    <w:rsid w:val="5BF1724E"/>
    <w:rsid w:val="5BF949F3"/>
    <w:rsid w:val="5BFA36D3"/>
    <w:rsid w:val="5BFD58A1"/>
    <w:rsid w:val="5C084732"/>
    <w:rsid w:val="5C125816"/>
    <w:rsid w:val="5C13465C"/>
    <w:rsid w:val="5C1D6295"/>
    <w:rsid w:val="5C2115FE"/>
    <w:rsid w:val="5C566B5C"/>
    <w:rsid w:val="5CE16196"/>
    <w:rsid w:val="5D3D7E97"/>
    <w:rsid w:val="5D505E66"/>
    <w:rsid w:val="5D720F98"/>
    <w:rsid w:val="5DA0717E"/>
    <w:rsid w:val="5DCE0AA9"/>
    <w:rsid w:val="5DD07523"/>
    <w:rsid w:val="5DDA0FE2"/>
    <w:rsid w:val="5DE73D28"/>
    <w:rsid w:val="5DEE5104"/>
    <w:rsid w:val="5E527C50"/>
    <w:rsid w:val="5EA000BE"/>
    <w:rsid w:val="5EB8251C"/>
    <w:rsid w:val="5EC703E6"/>
    <w:rsid w:val="5ECB0068"/>
    <w:rsid w:val="5EDB4F20"/>
    <w:rsid w:val="5EF02B54"/>
    <w:rsid w:val="5EFF2CFB"/>
    <w:rsid w:val="5F284E40"/>
    <w:rsid w:val="5F2E4743"/>
    <w:rsid w:val="5F3C2ED6"/>
    <w:rsid w:val="5F5024DD"/>
    <w:rsid w:val="5F5641FA"/>
    <w:rsid w:val="5F5F367A"/>
    <w:rsid w:val="5F754BEE"/>
    <w:rsid w:val="5F89287F"/>
    <w:rsid w:val="5FA62A45"/>
    <w:rsid w:val="5FD003F1"/>
    <w:rsid w:val="60172C60"/>
    <w:rsid w:val="602148BA"/>
    <w:rsid w:val="604F3361"/>
    <w:rsid w:val="606317CC"/>
    <w:rsid w:val="607625F6"/>
    <w:rsid w:val="60A832D2"/>
    <w:rsid w:val="60EA14E8"/>
    <w:rsid w:val="61145E0F"/>
    <w:rsid w:val="61624FEF"/>
    <w:rsid w:val="618242F4"/>
    <w:rsid w:val="61997B21"/>
    <w:rsid w:val="61BB2F63"/>
    <w:rsid w:val="61E25761"/>
    <w:rsid w:val="62030D09"/>
    <w:rsid w:val="62245AFA"/>
    <w:rsid w:val="622D4EEC"/>
    <w:rsid w:val="623D546B"/>
    <w:rsid w:val="62571DD5"/>
    <w:rsid w:val="626271F8"/>
    <w:rsid w:val="62746729"/>
    <w:rsid w:val="629275AC"/>
    <w:rsid w:val="629628FD"/>
    <w:rsid w:val="62B46A9A"/>
    <w:rsid w:val="62B603BE"/>
    <w:rsid w:val="62B836E7"/>
    <w:rsid w:val="62CD3163"/>
    <w:rsid w:val="62F55F13"/>
    <w:rsid w:val="633640E0"/>
    <w:rsid w:val="636E3A96"/>
    <w:rsid w:val="63951267"/>
    <w:rsid w:val="63BE1A11"/>
    <w:rsid w:val="63E273AC"/>
    <w:rsid w:val="641C7905"/>
    <w:rsid w:val="64224B50"/>
    <w:rsid w:val="642E62DB"/>
    <w:rsid w:val="646F4906"/>
    <w:rsid w:val="64A96A0F"/>
    <w:rsid w:val="64AE7D48"/>
    <w:rsid w:val="64AF1586"/>
    <w:rsid w:val="64EF1EE4"/>
    <w:rsid w:val="654A3F98"/>
    <w:rsid w:val="655167DB"/>
    <w:rsid w:val="65611DD3"/>
    <w:rsid w:val="65827169"/>
    <w:rsid w:val="658F1C8B"/>
    <w:rsid w:val="659A53D5"/>
    <w:rsid w:val="65F10827"/>
    <w:rsid w:val="660409AD"/>
    <w:rsid w:val="661C031E"/>
    <w:rsid w:val="665D1497"/>
    <w:rsid w:val="669E47D6"/>
    <w:rsid w:val="66BB5028"/>
    <w:rsid w:val="66EC609B"/>
    <w:rsid w:val="67054BC5"/>
    <w:rsid w:val="67072FFE"/>
    <w:rsid w:val="671477D7"/>
    <w:rsid w:val="672958C3"/>
    <w:rsid w:val="674928AC"/>
    <w:rsid w:val="675B2D96"/>
    <w:rsid w:val="67670D0C"/>
    <w:rsid w:val="677D3130"/>
    <w:rsid w:val="678A67A9"/>
    <w:rsid w:val="678C42CF"/>
    <w:rsid w:val="67DF2416"/>
    <w:rsid w:val="67F61CED"/>
    <w:rsid w:val="681805AD"/>
    <w:rsid w:val="683449CB"/>
    <w:rsid w:val="684E77D6"/>
    <w:rsid w:val="6887014C"/>
    <w:rsid w:val="688A62C1"/>
    <w:rsid w:val="689773CF"/>
    <w:rsid w:val="68A7765D"/>
    <w:rsid w:val="68B61ACB"/>
    <w:rsid w:val="68D61FD5"/>
    <w:rsid w:val="690F3D82"/>
    <w:rsid w:val="69140A20"/>
    <w:rsid w:val="694834FE"/>
    <w:rsid w:val="695745BC"/>
    <w:rsid w:val="69AB4CF2"/>
    <w:rsid w:val="69C94CCC"/>
    <w:rsid w:val="69D96939"/>
    <w:rsid w:val="69E71474"/>
    <w:rsid w:val="69F53BBD"/>
    <w:rsid w:val="69F86402"/>
    <w:rsid w:val="6A275D8D"/>
    <w:rsid w:val="6A476AE4"/>
    <w:rsid w:val="6A517BC2"/>
    <w:rsid w:val="6A65224D"/>
    <w:rsid w:val="6AD03CA4"/>
    <w:rsid w:val="6B015F03"/>
    <w:rsid w:val="6B1A2272"/>
    <w:rsid w:val="6B3C56AD"/>
    <w:rsid w:val="6B730D8D"/>
    <w:rsid w:val="6B7A5E67"/>
    <w:rsid w:val="6BA20565"/>
    <w:rsid w:val="6BA22313"/>
    <w:rsid w:val="6BC45011"/>
    <w:rsid w:val="6BCE7D5F"/>
    <w:rsid w:val="6BDD7570"/>
    <w:rsid w:val="6BF24B76"/>
    <w:rsid w:val="6C060AF4"/>
    <w:rsid w:val="6C292A34"/>
    <w:rsid w:val="6C4F0A89"/>
    <w:rsid w:val="6C700663"/>
    <w:rsid w:val="6C886152"/>
    <w:rsid w:val="6C9735EF"/>
    <w:rsid w:val="6C9B33DD"/>
    <w:rsid w:val="6CC1445E"/>
    <w:rsid w:val="6CC4275D"/>
    <w:rsid w:val="6CE30E35"/>
    <w:rsid w:val="6CF91E5F"/>
    <w:rsid w:val="6CFB6AE7"/>
    <w:rsid w:val="6D3C62EF"/>
    <w:rsid w:val="6D3E020C"/>
    <w:rsid w:val="6D437B25"/>
    <w:rsid w:val="6D5B7C22"/>
    <w:rsid w:val="6D6279BC"/>
    <w:rsid w:val="6D6D47E3"/>
    <w:rsid w:val="6D7F34AE"/>
    <w:rsid w:val="6D96073B"/>
    <w:rsid w:val="6D9F6F97"/>
    <w:rsid w:val="6DD803C3"/>
    <w:rsid w:val="6E041367"/>
    <w:rsid w:val="6E2A03E1"/>
    <w:rsid w:val="6E3217E2"/>
    <w:rsid w:val="6E46523A"/>
    <w:rsid w:val="6E4E02CB"/>
    <w:rsid w:val="6E8A5164"/>
    <w:rsid w:val="6ECF651E"/>
    <w:rsid w:val="6EF52D06"/>
    <w:rsid w:val="6F0F37DA"/>
    <w:rsid w:val="6F345DED"/>
    <w:rsid w:val="6F4A003E"/>
    <w:rsid w:val="6F4A4CF9"/>
    <w:rsid w:val="6F4E6D96"/>
    <w:rsid w:val="6F58046E"/>
    <w:rsid w:val="6F60051B"/>
    <w:rsid w:val="6F647671"/>
    <w:rsid w:val="6F713328"/>
    <w:rsid w:val="6F7B59FA"/>
    <w:rsid w:val="6FB952F9"/>
    <w:rsid w:val="6FD553A6"/>
    <w:rsid w:val="6FE04B3D"/>
    <w:rsid w:val="6FFF2F39"/>
    <w:rsid w:val="702173D8"/>
    <w:rsid w:val="705C33D8"/>
    <w:rsid w:val="705F6AE0"/>
    <w:rsid w:val="70616B7D"/>
    <w:rsid w:val="706B5C46"/>
    <w:rsid w:val="70B33B3C"/>
    <w:rsid w:val="70C146AC"/>
    <w:rsid w:val="70C21C9E"/>
    <w:rsid w:val="70C26FB3"/>
    <w:rsid w:val="70C31947"/>
    <w:rsid w:val="70DA5CBA"/>
    <w:rsid w:val="70ED4030"/>
    <w:rsid w:val="717C1858"/>
    <w:rsid w:val="719E01FC"/>
    <w:rsid w:val="71B04CB7"/>
    <w:rsid w:val="71C65D6C"/>
    <w:rsid w:val="71E6401D"/>
    <w:rsid w:val="71EC6C57"/>
    <w:rsid w:val="720A1AEC"/>
    <w:rsid w:val="72377A68"/>
    <w:rsid w:val="724F6160"/>
    <w:rsid w:val="72580E2B"/>
    <w:rsid w:val="72AA2522"/>
    <w:rsid w:val="72C23555"/>
    <w:rsid w:val="72D0311E"/>
    <w:rsid w:val="72E15C27"/>
    <w:rsid w:val="72F3388B"/>
    <w:rsid w:val="733D3771"/>
    <w:rsid w:val="73470CFE"/>
    <w:rsid w:val="73D3670A"/>
    <w:rsid w:val="73E6120B"/>
    <w:rsid w:val="73EC4408"/>
    <w:rsid w:val="73FE3139"/>
    <w:rsid w:val="74006B47"/>
    <w:rsid w:val="741B5665"/>
    <w:rsid w:val="741E7F6E"/>
    <w:rsid w:val="744C66E2"/>
    <w:rsid w:val="74613231"/>
    <w:rsid w:val="74894ED8"/>
    <w:rsid w:val="74C81B3F"/>
    <w:rsid w:val="74EC3944"/>
    <w:rsid w:val="75076AED"/>
    <w:rsid w:val="752D39CB"/>
    <w:rsid w:val="75851338"/>
    <w:rsid w:val="75930F1E"/>
    <w:rsid w:val="759B20C5"/>
    <w:rsid w:val="75C62F7B"/>
    <w:rsid w:val="75E6446D"/>
    <w:rsid w:val="76544B51"/>
    <w:rsid w:val="76565CF8"/>
    <w:rsid w:val="765D6AD9"/>
    <w:rsid w:val="768C18A5"/>
    <w:rsid w:val="769771B8"/>
    <w:rsid w:val="76A333E3"/>
    <w:rsid w:val="76FA1495"/>
    <w:rsid w:val="771C2B72"/>
    <w:rsid w:val="7735228D"/>
    <w:rsid w:val="773D399C"/>
    <w:rsid w:val="77436BAC"/>
    <w:rsid w:val="776E2CBE"/>
    <w:rsid w:val="778B4C48"/>
    <w:rsid w:val="77AE64E8"/>
    <w:rsid w:val="77B072BC"/>
    <w:rsid w:val="77E872FF"/>
    <w:rsid w:val="77ED0DBA"/>
    <w:rsid w:val="77F80F61"/>
    <w:rsid w:val="78031D58"/>
    <w:rsid w:val="78207259"/>
    <w:rsid w:val="7832110C"/>
    <w:rsid w:val="78546EFA"/>
    <w:rsid w:val="78627FD0"/>
    <w:rsid w:val="78BC253A"/>
    <w:rsid w:val="78E32DDE"/>
    <w:rsid w:val="78EF05F9"/>
    <w:rsid w:val="792A77D2"/>
    <w:rsid w:val="793F27C8"/>
    <w:rsid w:val="79645141"/>
    <w:rsid w:val="79661EFB"/>
    <w:rsid w:val="7967317B"/>
    <w:rsid w:val="796A7017"/>
    <w:rsid w:val="796C2017"/>
    <w:rsid w:val="797125E2"/>
    <w:rsid w:val="799D2830"/>
    <w:rsid w:val="79A37060"/>
    <w:rsid w:val="79DF25E2"/>
    <w:rsid w:val="79E61F64"/>
    <w:rsid w:val="79FC19C3"/>
    <w:rsid w:val="7A591AD6"/>
    <w:rsid w:val="7A5E1396"/>
    <w:rsid w:val="7AA15E8B"/>
    <w:rsid w:val="7AA459C3"/>
    <w:rsid w:val="7AAC18BC"/>
    <w:rsid w:val="7AEB20F3"/>
    <w:rsid w:val="7B097CF6"/>
    <w:rsid w:val="7B1D7B50"/>
    <w:rsid w:val="7B2A639A"/>
    <w:rsid w:val="7B4707E1"/>
    <w:rsid w:val="7B8D25BC"/>
    <w:rsid w:val="7BB069E9"/>
    <w:rsid w:val="7BBF0C53"/>
    <w:rsid w:val="7BDF310F"/>
    <w:rsid w:val="7BEB1AB4"/>
    <w:rsid w:val="7BF344C5"/>
    <w:rsid w:val="7C0853DB"/>
    <w:rsid w:val="7C344213"/>
    <w:rsid w:val="7C6712B6"/>
    <w:rsid w:val="7C686C61"/>
    <w:rsid w:val="7C754C18"/>
    <w:rsid w:val="7CC806D1"/>
    <w:rsid w:val="7CDB7433"/>
    <w:rsid w:val="7CDC73E9"/>
    <w:rsid w:val="7CFA0158"/>
    <w:rsid w:val="7CFF1633"/>
    <w:rsid w:val="7D0C7CB9"/>
    <w:rsid w:val="7D1F2AE3"/>
    <w:rsid w:val="7D23702C"/>
    <w:rsid w:val="7D2E4F75"/>
    <w:rsid w:val="7D320274"/>
    <w:rsid w:val="7D322D1E"/>
    <w:rsid w:val="7D362C5F"/>
    <w:rsid w:val="7D4C467F"/>
    <w:rsid w:val="7D5F46D6"/>
    <w:rsid w:val="7D890C83"/>
    <w:rsid w:val="7DDF2F52"/>
    <w:rsid w:val="7DE63809"/>
    <w:rsid w:val="7DFC6BAE"/>
    <w:rsid w:val="7E190142"/>
    <w:rsid w:val="7E447259"/>
    <w:rsid w:val="7E723B52"/>
    <w:rsid w:val="7E782E0A"/>
    <w:rsid w:val="7E813E78"/>
    <w:rsid w:val="7EBB7B93"/>
    <w:rsid w:val="7EE80CA9"/>
    <w:rsid w:val="7F173927"/>
    <w:rsid w:val="7F3B0A52"/>
    <w:rsid w:val="7F781AA4"/>
    <w:rsid w:val="7F875650"/>
    <w:rsid w:val="7F9C7E50"/>
    <w:rsid w:val="7FB17441"/>
    <w:rsid w:val="7FB87EFF"/>
    <w:rsid w:val="7FCE5462"/>
    <w:rsid w:val="7FD82C59"/>
    <w:rsid w:val="7FE51643"/>
    <w:rsid w:val="7FFF13B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qFormat="1" w:unhideWhenUsed="0" w:uiPriority="0" w:semiHidden="0" w:name="index 1"/>
    <w:lsdException w:uiPriority="0" w:name="index 2"/>
    <w:lsdException w:uiPriority="0" w:name="index 3"/>
    <w:lsdException w:uiPriority="0" w:name="index 4"/>
    <w:lsdException w:uiPriority="0" w:name="index 5"/>
    <w:lsdException w:uiPriority="0" w:name="index 6"/>
    <w:lsdException w:uiPriority="0" w:name="index 7"/>
    <w:lsdException w:uiPriority="0" w:name="index 8"/>
    <w:lsdException w:uiPriority="0" w:name="index 9"/>
    <w:lsdException w:qFormat="1" w:unhideWhenUsed="0" w:uiPriority="39" w:semiHidden="0" w:name="toc 1"/>
    <w:lsdException w:qFormat="1" w:unhideWhenUsed="0" w:uiPriority="39" w:semiHidden="0" w:name="toc 2"/>
    <w:lsdException w:qFormat="1" w:unhideWhenUsed="0" w:uiPriority="39" w:semiHidden="0" w:name="toc 3"/>
    <w:lsdException w:qFormat="1" w:unhideWhenUsed="0" w:uiPriority="39" w:semiHidden="0" w:name="toc 4"/>
    <w:lsdException w:qFormat="1" w:unhideWhenUsed="0" w:uiPriority="39" w:semiHidden="0" w:name="toc 5"/>
    <w:lsdException w:qFormat="1" w:unhideWhenUsed="0" w:uiPriority="39" w:semiHidden="0" w:name="toc 6"/>
    <w:lsdException w:qFormat="1" w:unhideWhenUsed="0" w:uiPriority="39" w:semiHidden="0" w:name="toc 7"/>
    <w:lsdException w:qFormat="1" w:unhideWhenUsed="0" w:uiPriority="39" w:semiHidden="0" w:name="toc 8"/>
    <w:lsdException w:qFormat="1" w:unhideWhenUsed="0" w:uiPriority="0" w:semiHidden="0" w:name="toc 9"/>
    <w:lsdException w:qFormat="1" w:unhideWhenUsed="0" w:uiPriority="0" w:semiHidden="0" w:name="Normal Indent"/>
    <w:lsdException w:uiPriority="0" w:name="footnote text"/>
    <w:lsdException w:qFormat="1" w:uiPriority="99" w:semiHidden="0" w:name="annotation text"/>
    <w:lsdException w:qFormat="1" w:unhideWhenUsed="0" w:uiPriority="0" w:semiHidden="0" w:name="header"/>
    <w:lsdException w:qFormat="1" w:unhideWhenUsed="0" w:uiPriority="99" w:semiHidden="0" w:name="footer"/>
    <w:lsdException w:uiPriority="0" w:name="index heading"/>
    <w:lsdException w:qFormat="1" w:unhideWhenUsed="0" w:uiPriority="0" w:semiHidden="0" w:name="caption"/>
    <w:lsdException w:uiPriority="0" w:name="table of figures"/>
    <w:lsdException w:uiPriority="0" w:name="envelope address"/>
    <w:lsdException w:uiPriority="0" w:name="envelope return"/>
    <w:lsdException w:uiPriority="0" w:name="footnote reference"/>
    <w:lsdException w:qFormat="1" w:uiPriority="99" w:semiHidden="0" w:name="annotation reference"/>
    <w:lsdException w:uiPriority="0" w:name="line number"/>
    <w:lsdException w:qFormat="1" w:unhideWhenUsed="0" w:uiPriority="0" w:semiHidden="0" w:name="page number"/>
    <w:lsdException w:uiPriority="0" w:name="endnote reference"/>
    <w:lsdException w:uiPriority="0" w:name="endnote text"/>
    <w:lsdException w:unhideWhenUsed="0" w:uiPriority="0" w:semiHidden="0" w:name="table of authorities"/>
    <w:lsdException w:qFormat="1" w:unhideWhenUsed="0" w:uiPriority="99" w:semiHidden="0" w:name="macro"/>
    <w:lsdException w:uiPriority="0" w:name="toa heading"/>
    <w:lsdException w:qFormat="1" w:unhideWhenUsed="0" w:uiPriority="0" w:semiHidden="0" w:name="List"/>
    <w:lsdException w:unhideWhenUsed="0" w:uiPriority="0" w:semiHidden="0" w:name="List Bullet"/>
    <w:lsdException w:qFormat="1" w:unhideWhenUsed="0" w:uiPriority="0" w:semiHidden="0" w:name="List Number"/>
    <w:lsdException w:qFormat="1" w:unhideWhenUsed="0" w:uiPriority="0" w:semiHidden="0" w:name="List 2"/>
    <w:lsdException w:uiPriority="0" w:name="List 3"/>
    <w:lsdException w:uiPriority="0" w:name="List 4"/>
    <w:lsdException w:qFormat="1" w:unhideWhenUsed="0" w:uiPriority="0" w:semiHidden="0" w:name="List 5"/>
    <w:lsdException w:uiPriority="0" w:name="List Bullet 2"/>
    <w:lsdException w:uiPriority="0" w:name="List Bullet 3"/>
    <w:lsdException w:uiPriority="0" w:name="List Bullet 4"/>
    <w:lsdException w:uiPriority="0" w:name="List Bullet 5"/>
    <w:lsdException w:uiPriority="0" w:name="List Number 2"/>
    <w:lsdException w:qFormat="1" w:unhideWhenUsed="0" w:uiPriority="0" w:semiHidden="0" w:name="List Number 3"/>
    <w:lsdException w:uiPriority="0" w:name="List Number 4"/>
    <w:lsdException w:uiPriority="0" w:name="List Number 5"/>
    <w:lsdException w:qFormat="1" w:unhideWhenUsed="0" w:uiPriority="0" w:semiHidden="0" w:name="Title"/>
    <w:lsdException w:uiPriority="0" w:name="Closing"/>
    <w:lsdException w:uiPriority="0" w:name="Signature"/>
    <w:lsdException w:qFormat="1" w:uiPriority="1" w:name="Default Paragraph Font"/>
    <w:lsdException w:qFormat="1" w:unhideWhenUsed="0" w:uiPriority="0" w:semiHidden="0" w:name="Body Text"/>
    <w:lsdException w:qFormat="1" w:unhideWhenUsed="0" w:uiPriority="0" w:semiHidden="0" w:name="Body Text Indent"/>
    <w:lsdException w:uiPriority="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iPriority="0" w:name="Message Header"/>
    <w:lsdException w:qFormat="1" w:unhideWhenUsed="0" w:uiPriority="0" w:semiHidden="0" w:name="Subtitle"/>
    <w:lsdException w:uiPriority="0" w:name="Salutation"/>
    <w:lsdException w:qFormat="1" w:unhideWhenUsed="0" w:uiPriority="0" w:semiHidden="0" w:name="Date"/>
    <w:lsdException w:uiPriority="0" w:name="Body Text First Indent"/>
    <w:lsdException w:qFormat="1" w:uiPriority="0" w:name="Body Text First Indent 2"/>
    <w:lsdException w:uiPriority="0" w:name="Note Heading"/>
    <w:lsdException w:qFormat="1" w:unhideWhenUsed="0" w:uiPriority="0" w:semiHidden="0" w:name="Body Text 2"/>
    <w:lsdException w:qFormat="1" w:unhideWhenUsed="0" w:uiPriority="0" w:semiHidden="0" w:name="Body Text 3"/>
    <w:lsdException w:qFormat="1" w:unhideWhenUsed="0" w:uiPriority="0" w:semiHidden="0" w:name="Body Text Indent 2"/>
    <w:lsdException w:qFormat="1" w:unhideWhenUsed="0" w:uiPriority="0" w:semiHidden="0" w:name="Body Text Indent 3"/>
    <w:lsdException w:qFormat="1" w:unhideWhenUsed="0" w:uiPriority="0" w:semiHidden="0" w:name="Block Text"/>
    <w:lsdException w:qFormat="1" w:unhideWhenUsed="0" w:uiPriority="99" w:semiHidden="0" w:name="Hyperlink"/>
    <w:lsdException w:qFormat="1" w:unhideWhenUsed="0" w:uiPriority="99" w:semiHidden="0" w:name="FollowedHyperlink"/>
    <w:lsdException w:qFormat="1" w:unhideWhenUsed="0" w:uiPriority="0" w:semiHidden="0" w:name="Strong"/>
    <w:lsdException w:qFormat="1" w:unhideWhenUsed="0" w:uiPriority="0" w:semiHidden="0" w:name="Emphasis"/>
    <w:lsdException w:qFormat="1" w:unhideWhenUsed="0" w:uiPriority="0" w:semiHidden="0" w:name="Document Map"/>
    <w:lsdException w:qFormat="1" w:unhideWhenUsed="0" w:uiPriority="0" w:semiHidden="0" w:name="Plain Text"/>
    <w:lsdException w:uiPriority="0" w:name="E-mail Signature"/>
    <w:lsdException w:qFormat="1" w:unhideWhenUsed="0" w:uiPriority="0" w:semiHidden="0" w:name="Normal (Web)"/>
    <w:lsdException w:uiPriority="0" w:name="HTML Acronym"/>
    <w:lsdException w:uiPriority="0" w:name="HTML Address"/>
    <w:lsdException w:uiPriority="0" w:name="HTML Cite"/>
    <w:lsdException w:uiPriority="0" w:name="HTML Code"/>
    <w:lsdException w:uiPriority="0" w:name="HTML Definition"/>
    <w:lsdException w:uiPriority="0" w:name="HTML Keyboard"/>
    <w:lsdException w:qFormat="1" w:uiPriority="99" w:semiHidden="0" w:name="HTML Preformatted"/>
    <w:lsdException w:uiPriority="0" w:name="HTML Sample"/>
    <w:lsdException w:uiPriority="0" w:name="HTML Typewriter"/>
    <w:lsdException w:uiPriority="0" w:name="HTML Variable"/>
    <w:lsdException w:qFormat="1" w:uiPriority="99" w:name="Normal Table"/>
    <w:lsdException w:qFormat="1" w:uiPriority="0" w:semiHidden="0" w:name="annotation subject"/>
    <w:lsdException w:uiPriority="0" w:name="Table Simple 1"/>
    <w:lsdException w:uiPriority="0" w:name="Table Simple 2"/>
    <w:lsdException w:uiPriority="0" w:name="Table Simple 3"/>
    <w:lsdException w:uiPriority="0" w:name="Table Classic 1"/>
    <w:lsdException w:uiPriority="0" w:name="Table Classic 2"/>
    <w:lsdException w:uiPriority="0" w:name="Table Classic 3"/>
    <w:lsdException w:uiPriority="0" w:name="Table Classic 4"/>
    <w:lsdException w:uiPriority="0" w:name="Table Colorful 1"/>
    <w:lsdException w:uiPriority="0" w:name="Table Colorful 2"/>
    <w:lsdException w:uiPriority="0" w:name="Table Colorful 3"/>
    <w:lsdException w:uiPriority="0" w:name="Table Columns 1"/>
    <w:lsdException w:uiPriority="0" w:name="Table Columns 2"/>
    <w:lsdException w:uiPriority="0" w:name="Table Columns 3"/>
    <w:lsdException w:uiPriority="0" w:name="Table Columns 4"/>
    <w:lsdException w:uiPriority="0" w:name="Table Columns 5"/>
    <w:lsdException w:uiPriority="0" w:name="Table Grid 1"/>
    <w:lsdException w:uiPriority="0" w:name="Table Grid 2"/>
    <w:lsdException w:uiPriority="0" w:name="Table Grid 3"/>
    <w:lsdException w:uiPriority="0" w:name="Table Grid 4"/>
    <w:lsdException w:uiPriority="0" w:name="Table Grid 5"/>
    <w:lsdException w:uiPriority="0" w:name="Table Grid 6"/>
    <w:lsdException w:uiPriority="0" w:name="Table Grid 7"/>
    <w:lsdException w:uiPriority="0" w:name="Table Grid 8"/>
    <w:lsdException w:uiPriority="0" w:name="Table List 1"/>
    <w:lsdException w:uiPriority="0" w:name="Table List 2"/>
    <w:lsdException w:uiPriority="0" w:name="Table List 3"/>
    <w:lsdException w:uiPriority="0" w:name="Table List 4"/>
    <w:lsdException w:uiPriority="0" w:name="Table List 5"/>
    <w:lsdException w:uiPriority="0" w:name="Table List 6"/>
    <w:lsdException w:uiPriority="0" w:name="Table List 7"/>
    <w:lsdException w:uiPriority="0" w:name="Table List 8"/>
    <w:lsdException w:uiPriority="0" w:name="Table 3D effects 1"/>
    <w:lsdException w:uiPriority="0" w:name="Table 3D effects 2"/>
    <w:lsdException w:uiPriority="0" w:name="Table 3D effects 3"/>
    <w:lsdException w:uiPriority="0" w:name="Table Contemporary"/>
    <w:lsdException w:uiPriority="0" w:name="Table Elegant"/>
    <w:lsdException w:uiPriority="0" w:name="Table Professional"/>
    <w:lsdException w:uiPriority="0" w:name="Table Subtle 1"/>
    <w:lsdException w:uiPriority="0" w:name="Table Subtle 2"/>
    <w:lsdException w:uiPriority="0" w:name="Table Web 1"/>
    <w:lsdException w:uiPriority="0" w:name="Table Web 2"/>
    <w:lsdException w:uiPriority="0" w:name="Table Web 3"/>
    <w:lsdException w:qFormat="1" w:unhideWhenUsed="0" w:uiPriority="0" w:semiHidden="0" w:name="Balloon Text"/>
    <w:lsdException w:qFormat="1" w:unhideWhenUsed="0" w:uiPriority="0" w:semiHidden="0" w:name="Table Grid"/>
    <w:lsdException w:uiPriority="0" w:name="Table Theme"/>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next w:val="2"/>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5">
    <w:name w:val="heading 1"/>
    <w:basedOn w:val="1"/>
    <w:next w:val="1"/>
    <w:link w:val="692"/>
    <w:qFormat/>
    <w:uiPriority w:val="0"/>
    <w:pPr>
      <w:keepNext/>
      <w:keepLines/>
      <w:spacing w:before="340" w:after="330" w:line="578" w:lineRule="auto"/>
      <w:outlineLvl w:val="0"/>
    </w:pPr>
    <w:rPr>
      <w:b/>
      <w:bCs/>
      <w:kern w:val="44"/>
      <w:sz w:val="44"/>
      <w:szCs w:val="44"/>
    </w:rPr>
  </w:style>
  <w:style w:type="paragraph" w:styleId="6">
    <w:name w:val="heading 2"/>
    <w:basedOn w:val="1"/>
    <w:next w:val="1"/>
    <w:link w:val="693"/>
    <w:qFormat/>
    <w:uiPriority w:val="0"/>
    <w:pPr>
      <w:keepNext/>
      <w:adjustRightInd w:val="0"/>
      <w:spacing w:before="120" w:line="360" w:lineRule="auto"/>
      <w:jc w:val="center"/>
      <w:outlineLvl w:val="1"/>
    </w:pPr>
    <w:rPr>
      <w:rFonts w:eastAsia="隶书"/>
      <w:b/>
      <w:kern w:val="0"/>
      <w:sz w:val="44"/>
      <w:szCs w:val="20"/>
    </w:rPr>
  </w:style>
  <w:style w:type="paragraph" w:styleId="7">
    <w:name w:val="heading 3"/>
    <w:basedOn w:val="1"/>
    <w:next w:val="1"/>
    <w:link w:val="694"/>
    <w:qFormat/>
    <w:uiPriority w:val="0"/>
    <w:pPr>
      <w:keepNext/>
      <w:keepLines/>
      <w:spacing w:before="260" w:after="260" w:line="416" w:lineRule="auto"/>
      <w:outlineLvl w:val="2"/>
    </w:pPr>
    <w:rPr>
      <w:b/>
      <w:bCs/>
      <w:sz w:val="32"/>
      <w:szCs w:val="32"/>
    </w:rPr>
  </w:style>
  <w:style w:type="paragraph" w:styleId="8">
    <w:name w:val="heading 4"/>
    <w:basedOn w:val="1"/>
    <w:next w:val="1"/>
    <w:link w:val="695"/>
    <w:qFormat/>
    <w:uiPriority w:val="0"/>
    <w:pPr>
      <w:keepNext/>
      <w:keepLines/>
      <w:spacing w:before="280" w:after="290" w:line="376" w:lineRule="auto"/>
      <w:outlineLvl w:val="3"/>
    </w:pPr>
    <w:rPr>
      <w:rFonts w:ascii="Arial" w:hAnsi="Arial" w:eastAsia="黑体"/>
      <w:b/>
      <w:bCs/>
      <w:sz w:val="28"/>
      <w:szCs w:val="28"/>
    </w:rPr>
  </w:style>
  <w:style w:type="paragraph" w:styleId="9">
    <w:name w:val="heading 5"/>
    <w:basedOn w:val="1"/>
    <w:next w:val="10"/>
    <w:link w:val="696"/>
    <w:qFormat/>
    <w:uiPriority w:val="0"/>
    <w:pPr>
      <w:keepNext/>
      <w:keepLines/>
      <w:numPr>
        <w:ilvl w:val="4"/>
        <w:numId w:val="1"/>
      </w:numPr>
      <w:spacing w:before="280" w:after="290" w:line="376" w:lineRule="auto"/>
      <w:outlineLvl w:val="4"/>
    </w:pPr>
    <w:rPr>
      <w:b/>
      <w:sz w:val="28"/>
    </w:rPr>
  </w:style>
  <w:style w:type="paragraph" w:styleId="11">
    <w:name w:val="heading 6"/>
    <w:basedOn w:val="1"/>
    <w:next w:val="10"/>
    <w:link w:val="697"/>
    <w:qFormat/>
    <w:uiPriority w:val="0"/>
    <w:pPr>
      <w:keepNext/>
      <w:keepLines/>
      <w:numPr>
        <w:ilvl w:val="5"/>
        <w:numId w:val="1"/>
      </w:numPr>
      <w:spacing w:before="240" w:after="64" w:line="320" w:lineRule="auto"/>
      <w:outlineLvl w:val="5"/>
    </w:pPr>
    <w:rPr>
      <w:rFonts w:ascii="Arial" w:hAnsi="Arial" w:eastAsia="黑体"/>
      <w:b/>
      <w:sz w:val="24"/>
    </w:rPr>
  </w:style>
  <w:style w:type="paragraph" w:styleId="12">
    <w:name w:val="heading 7"/>
    <w:basedOn w:val="1"/>
    <w:next w:val="10"/>
    <w:link w:val="87"/>
    <w:qFormat/>
    <w:uiPriority w:val="0"/>
    <w:pPr>
      <w:keepNext/>
      <w:keepLines/>
      <w:numPr>
        <w:ilvl w:val="6"/>
        <w:numId w:val="1"/>
      </w:numPr>
      <w:spacing w:before="240" w:after="64" w:line="320" w:lineRule="auto"/>
      <w:outlineLvl w:val="6"/>
    </w:pPr>
    <w:rPr>
      <w:b/>
      <w:sz w:val="24"/>
    </w:rPr>
  </w:style>
  <w:style w:type="paragraph" w:styleId="13">
    <w:name w:val="heading 8"/>
    <w:basedOn w:val="1"/>
    <w:next w:val="10"/>
    <w:link w:val="134"/>
    <w:qFormat/>
    <w:uiPriority w:val="0"/>
    <w:pPr>
      <w:keepNext/>
      <w:keepLines/>
      <w:numPr>
        <w:ilvl w:val="7"/>
        <w:numId w:val="1"/>
      </w:numPr>
      <w:spacing w:before="240" w:after="64" w:line="320" w:lineRule="auto"/>
      <w:outlineLvl w:val="7"/>
    </w:pPr>
    <w:rPr>
      <w:rFonts w:ascii="Arial" w:hAnsi="Arial" w:eastAsia="黑体"/>
      <w:sz w:val="24"/>
    </w:rPr>
  </w:style>
  <w:style w:type="paragraph" w:styleId="14">
    <w:name w:val="heading 9"/>
    <w:basedOn w:val="1"/>
    <w:next w:val="10"/>
    <w:link w:val="63"/>
    <w:qFormat/>
    <w:uiPriority w:val="0"/>
    <w:pPr>
      <w:keepNext/>
      <w:keepLines/>
      <w:numPr>
        <w:ilvl w:val="8"/>
        <w:numId w:val="1"/>
      </w:numPr>
      <w:spacing w:before="240" w:after="64" w:line="320" w:lineRule="auto"/>
      <w:outlineLvl w:val="8"/>
    </w:pPr>
    <w:rPr>
      <w:rFonts w:ascii="Arial" w:hAnsi="Arial" w:eastAsia="黑体"/>
    </w:rPr>
  </w:style>
  <w:style w:type="character" w:default="1" w:styleId="50">
    <w:name w:val="Default Paragraph Font"/>
    <w:semiHidden/>
    <w:unhideWhenUsed/>
    <w:qFormat/>
    <w:uiPriority w:val="1"/>
  </w:style>
  <w:style w:type="table" w:default="1" w:styleId="48">
    <w:name w:val="Normal Table"/>
    <w:semiHidden/>
    <w:unhideWhenUsed/>
    <w:qFormat/>
    <w:uiPriority w:val="99"/>
    <w:tblPr>
      <w:tblCellMar>
        <w:top w:w="0" w:type="dxa"/>
        <w:left w:w="108" w:type="dxa"/>
        <w:bottom w:w="0" w:type="dxa"/>
        <w:right w:w="108" w:type="dxa"/>
      </w:tblCellMar>
    </w:tblPr>
  </w:style>
  <w:style w:type="paragraph" w:styleId="2">
    <w:name w:val="Body Text First Indent 2"/>
    <w:basedOn w:val="3"/>
    <w:link w:val="233"/>
    <w:semiHidden/>
    <w:unhideWhenUsed/>
    <w:qFormat/>
    <w:uiPriority w:val="0"/>
    <w:pPr>
      <w:ind w:firstLine="420" w:firstLineChars="200"/>
    </w:pPr>
  </w:style>
  <w:style w:type="paragraph" w:styleId="3">
    <w:name w:val="Body Text Indent"/>
    <w:basedOn w:val="1"/>
    <w:link w:val="70"/>
    <w:qFormat/>
    <w:uiPriority w:val="0"/>
    <w:pPr>
      <w:spacing w:after="120"/>
      <w:ind w:left="420" w:leftChars="200"/>
    </w:pPr>
  </w:style>
  <w:style w:type="paragraph" w:styleId="4">
    <w:name w:val="macro"/>
    <w:link w:val="92"/>
    <w:qFormat/>
    <w:uiPriority w:val="99"/>
    <w:pPr>
      <w:widowControl w:val="0"/>
      <w:tabs>
        <w:tab w:val="left" w:pos="480"/>
        <w:tab w:val="left" w:pos="960"/>
        <w:tab w:val="left" w:pos="1440"/>
        <w:tab w:val="left" w:pos="1920"/>
        <w:tab w:val="left" w:pos="2400"/>
        <w:tab w:val="left" w:pos="2880"/>
        <w:tab w:val="left" w:pos="3360"/>
        <w:tab w:val="left" w:pos="3840"/>
        <w:tab w:val="left" w:pos="4320"/>
      </w:tabs>
      <w:autoSpaceDE w:val="0"/>
      <w:autoSpaceDN w:val="0"/>
      <w:adjustRightInd w:val="0"/>
      <w:textAlignment w:val="baseline"/>
    </w:pPr>
    <w:rPr>
      <w:rFonts w:ascii="Courier New" w:hAnsi="Courier New" w:eastAsia="宋体" w:cs="Times New Roman"/>
      <w:kern w:val="2"/>
      <w:sz w:val="24"/>
      <w:szCs w:val="24"/>
      <w:lang w:val="en-US" w:eastAsia="zh-CN" w:bidi="ar-SA"/>
    </w:rPr>
  </w:style>
  <w:style w:type="paragraph" w:styleId="10">
    <w:name w:val="Normal Indent"/>
    <w:basedOn w:val="1"/>
    <w:link w:val="86"/>
    <w:qFormat/>
    <w:uiPriority w:val="0"/>
    <w:pPr>
      <w:spacing w:line="240" w:lineRule="atLeast"/>
      <w:ind w:left="900" w:hanging="900"/>
      <w:jc w:val="left"/>
    </w:pPr>
    <w:rPr>
      <w:rFonts w:ascii="宋体"/>
      <w:snapToGrid w:val="0"/>
      <w:kern w:val="0"/>
      <w:sz w:val="20"/>
      <w:szCs w:val="20"/>
    </w:rPr>
  </w:style>
  <w:style w:type="paragraph" w:styleId="15">
    <w:name w:val="toc 7"/>
    <w:basedOn w:val="1"/>
    <w:next w:val="1"/>
    <w:qFormat/>
    <w:uiPriority w:val="39"/>
    <w:pPr>
      <w:ind w:left="1260"/>
      <w:jc w:val="left"/>
    </w:pPr>
    <w:rPr>
      <w:rFonts w:ascii="Calibri" w:hAnsi="Calibri"/>
      <w:sz w:val="18"/>
      <w:szCs w:val="18"/>
    </w:rPr>
  </w:style>
  <w:style w:type="paragraph" w:styleId="16">
    <w:name w:val="List Number"/>
    <w:basedOn w:val="1"/>
    <w:qFormat/>
    <w:uiPriority w:val="0"/>
    <w:pPr>
      <w:widowControl/>
      <w:tabs>
        <w:tab w:val="left" w:pos="454"/>
        <w:tab w:val="left" w:pos="720"/>
        <w:tab w:val="left" w:pos="840"/>
      </w:tabs>
      <w:spacing w:after="156" w:afterLines="50"/>
      <w:ind w:left="454" w:hanging="284"/>
      <w:jc w:val="left"/>
    </w:pPr>
    <w:rPr>
      <w:kern w:val="0"/>
      <w:sz w:val="24"/>
      <w:szCs w:val="20"/>
    </w:rPr>
  </w:style>
  <w:style w:type="paragraph" w:styleId="17">
    <w:name w:val="caption"/>
    <w:basedOn w:val="1"/>
    <w:next w:val="1"/>
    <w:link w:val="64"/>
    <w:qFormat/>
    <w:uiPriority w:val="0"/>
    <w:pPr>
      <w:spacing w:before="152" w:after="160"/>
    </w:pPr>
    <w:rPr>
      <w:rFonts w:ascii="Arial" w:hAnsi="Arial" w:eastAsia="黑体"/>
      <w:sz w:val="20"/>
      <w:szCs w:val="20"/>
    </w:rPr>
  </w:style>
  <w:style w:type="paragraph" w:styleId="18">
    <w:name w:val="Document Map"/>
    <w:basedOn w:val="1"/>
    <w:link w:val="130"/>
    <w:qFormat/>
    <w:uiPriority w:val="0"/>
    <w:pPr>
      <w:shd w:val="clear" w:color="auto" w:fill="000080"/>
    </w:pPr>
  </w:style>
  <w:style w:type="paragraph" w:styleId="19">
    <w:name w:val="annotation text"/>
    <w:basedOn w:val="1"/>
    <w:link w:val="103"/>
    <w:unhideWhenUsed/>
    <w:qFormat/>
    <w:uiPriority w:val="99"/>
    <w:pPr>
      <w:jc w:val="left"/>
    </w:pPr>
  </w:style>
  <w:style w:type="paragraph" w:styleId="20">
    <w:name w:val="Body Text 3"/>
    <w:basedOn w:val="1"/>
    <w:link w:val="84"/>
    <w:qFormat/>
    <w:uiPriority w:val="0"/>
    <w:pPr>
      <w:spacing w:line="500" w:lineRule="exact"/>
    </w:pPr>
    <w:rPr>
      <w:b/>
      <w:bCs/>
      <w:kern w:val="0"/>
      <w:sz w:val="24"/>
    </w:rPr>
  </w:style>
  <w:style w:type="paragraph" w:styleId="21">
    <w:name w:val="Body Text"/>
    <w:basedOn w:val="1"/>
    <w:link w:val="120"/>
    <w:qFormat/>
    <w:uiPriority w:val="0"/>
    <w:pPr>
      <w:spacing w:line="420" w:lineRule="exact"/>
    </w:pPr>
    <w:rPr>
      <w:sz w:val="24"/>
    </w:rPr>
  </w:style>
  <w:style w:type="paragraph" w:styleId="22">
    <w:name w:val="List Number 3"/>
    <w:basedOn w:val="1"/>
    <w:qFormat/>
    <w:uiPriority w:val="0"/>
    <w:pPr>
      <w:tabs>
        <w:tab w:val="left" w:pos="1200"/>
      </w:tabs>
      <w:ind w:left="900" w:hanging="420"/>
    </w:pPr>
  </w:style>
  <w:style w:type="paragraph" w:styleId="23">
    <w:name w:val="List 2"/>
    <w:basedOn w:val="1"/>
    <w:qFormat/>
    <w:uiPriority w:val="0"/>
    <w:pPr>
      <w:ind w:left="100" w:leftChars="200" w:hanging="200" w:hangingChars="200"/>
    </w:pPr>
    <w:rPr>
      <w:sz w:val="28"/>
    </w:rPr>
  </w:style>
  <w:style w:type="paragraph" w:styleId="24">
    <w:name w:val="Block Text"/>
    <w:basedOn w:val="1"/>
    <w:qFormat/>
    <w:uiPriority w:val="0"/>
    <w:pPr>
      <w:adjustRightInd w:val="0"/>
      <w:ind w:left="420" w:right="33"/>
      <w:jc w:val="left"/>
      <w:textAlignment w:val="baseline"/>
    </w:pPr>
    <w:rPr>
      <w:kern w:val="0"/>
      <w:sz w:val="24"/>
      <w:szCs w:val="20"/>
    </w:rPr>
  </w:style>
  <w:style w:type="paragraph" w:styleId="25">
    <w:name w:val="toc 5"/>
    <w:basedOn w:val="1"/>
    <w:next w:val="1"/>
    <w:qFormat/>
    <w:uiPriority w:val="39"/>
    <w:pPr>
      <w:ind w:left="840"/>
      <w:jc w:val="left"/>
    </w:pPr>
    <w:rPr>
      <w:rFonts w:ascii="Calibri" w:hAnsi="Calibri"/>
      <w:sz w:val="18"/>
      <w:szCs w:val="18"/>
    </w:rPr>
  </w:style>
  <w:style w:type="paragraph" w:styleId="26">
    <w:name w:val="toc 3"/>
    <w:basedOn w:val="1"/>
    <w:next w:val="1"/>
    <w:qFormat/>
    <w:uiPriority w:val="39"/>
    <w:pPr>
      <w:ind w:left="420"/>
      <w:jc w:val="left"/>
    </w:pPr>
    <w:rPr>
      <w:rFonts w:ascii="Calibri" w:hAnsi="Calibri"/>
      <w:i/>
      <w:iCs/>
      <w:sz w:val="20"/>
      <w:szCs w:val="20"/>
    </w:rPr>
  </w:style>
  <w:style w:type="paragraph" w:styleId="27">
    <w:name w:val="Plain Text"/>
    <w:basedOn w:val="1"/>
    <w:link w:val="131"/>
    <w:qFormat/>
    <w:uiPriority w:val="0"/>
    <w:rPr>
      <w:rFonts w:ascii="宋体" w:hAnsi="Courier New" w:cs="Courier New"/>
      <w:szCs w:val="21"/>
    </w:rPr>
  </w:style>
  <w:style w:type="paragraph" w:styleId="28">
    <w:name w:val="toc 8"/>
    <w:basedOn w:val="1"/>
    <w:next w:val="1"/>
    <w:qFormat/>
    <w:uiPriority w:val="39"/>
    <w:pPr>
      <w:ind w:left="1470"/>
      <w:jc w:val="left"/>
    </w:pPr>
    <w:rPr>
      <w:rFonts w:ascii="Calibri" w:hAnsi="Calibri"/>
      <w:sz w:val="18"/>
      <w:szCs w:val="18"/>
    </w:rPr>
  </w:style>
  <w:style w:type="paragraph" w:styleId="29">
    <w:name w:val="Date"/>
    <w:basedOn w:val="1"/>
    <w:next w:val="1"/>
    <w:link w:val="94"/>
    <w:qFormat/>
    <w:uiPriority w:val="0"/>
    <w:pPr>
      <w:ind w:left="100" w:leftChars="2500"/>
    </w:pPr>
    <w:rPr>
      <w:sz w:val="24"/>
    </w:rPr>
  </w:style>
  <w:style w:type="paragraph" w:styleId="30">
    <w:name w:val="Body Text Indent 2"/>
    <w:basedOn w:val="1"/>
    <w:link w:val="140"/>
    <w:qFormat/>
    <w:uiPriority w:val="0"/>
    <w:pPr>
      <w:spacing w:after="120" w:line="480" w:lineRule="auto"/>
      <w:ind w:left="420" w:leftChars="200"/>
    </w:pPr>
  </w:style>
  <w:style w:type="paragraph" w:styleId="31">
    <w:name w:val="Balloon Text"/>
    <w:basedOn w:val="1"/>
    <w:link w:val="141"/>
    <w:qFormat/>
    <w:uiPriority w:val="0"/>
    <w:rPr>
      <w:sz w:val="18"/>
      <w:szCs w:val="18"/>
    </w:rPr>
  </w:style>
  <w:style w:type="paragraph" w:styleId="32">
    <w:name w:val="footer"/>
    <w:basedOn w:val="1"/>
    <w:link w:val="133"/>
    <w:qFormat/>
    <w:uiPriority w:val="99"/>
    <w:pPr>
      <w:tabs>
        <w:tab w:val="center" w:pos="4153"/>
        <w:tab w:val="right" w:pos="8306"/>
      </w:tabs>
      <w:snapToGrid w:val="0"/>
      <w:jc w:val="left"/>
    </w:pPr>
    <w:rPr>
      <w:sz w:val="18"/>
      <w:szCs w:val="18"/>
    </w:rPr>
  </w:style>
  <w:style w:type="paragraph" w:styleId="33">
    <w:name w:val="header"/>
    <w:basedOn w:val="1"/>
    <w:link w:val="127"/>
    <w:qFormat/>
    <w:uiPriority w:val="0"/>
    <w:pPr>
      <w:pBdr>
        <w:bottom w:val="single" w:color="auto" w:sz="6" w:space="1"/>
      </w:pBdr>
      <w:tabs>
        <w:tab w:val="center" w:pos="4153"/>
        <w:tab w:val="right" w:pos="8306"/>
      </w:tabs>
      <w:snapToGrid w:val="0"/>
      <w:jc w:val="center"/>
    </w:pPr>
    <w:rPr>
      <w:sz w:val="18"/>
      <w:szCs w:val="18"/>
    </w:rPr>
  </w:style>
  <w:style w:type="paragraph" w:styleId="34">
    <w:name w:val="toc 1"/>
    <w:basedOn w:val="1"/>
    <w:next w:val="1"/>
    <w:qFormat/>
    <w:uiPriority w:val="39"/>
    <w:pPr>
      <w:spacing w:before="120" w:after="120"/>
      <w:jc w:val="left"/>
    </w:pPr>
    <w:rPr>
      <w:rFonts w:ascii="Calibri" w:hAnsi="Calibri"/>
      <w:b/>
      <w:bCs/>
      <w:caps/>
      <w:sz w:val="20"/>
      <w:szCs w:val="20"/>
    </w:rPr>
  </w:style>
  <w:style w:type="paragraph" w:styleId="35">
    <w:name w:val="toc 4"/>
    <w:basedOn w:val="1"/>
    <w:next w:val="1"/>
    <w:qFormat/>
    <w:uiPriority w:val="39"/>
    <w:pPr>
      <w:ind w:left="630"/>
      <w:jc w:val="left"/>
    </w:pPr>
    <w:rPr>
      <w:rFonts w:ascii="Calibri" w:hAnsi="Calibri"/>
      <w:sz w:val="18"/>
      <w:szCs w:val="18"/>
    </w:rPr>
  </w:style>
  <w:style w:type="paragraph" w:styleId="36">
    <w:name w:val="List"/>
    <w:basedOn w:val="1"/>
    <w:qFormat/>
    <w:uiPriority w:val="0"/>
    <w:pPr>
      <w:ind w:left="200" w:hanging="200" w:hangingChars="200"/>
    </w:pPr>
    <w:rPr>
      <w:sz w:val="28"/>
    </w:rPr>
  </w:style>
  <w:style w:type="paragraph" w:styleId="37">
    <w:name w:val="toc 6"/>
    <w:basedOn w:val="1"/>
    <w:next w:val="1"/>
    <w:qFormat/>
    <w:uiPriority w:val="39"/>
    <w:pPr>
      <w:ind w:left="1050"/>
      <w:jc w:val="left"/>
    </w:pPr>
    <w:rPr>
      <w:rFonts w:ascii="Calibri" w:hAnsi="Calibri"/>
      <w:sz w:val="18"/>
      <w:szCs w:val="18"/>
    </w:rPr>
  </w:style>
  <w:style w:type="paragraph" w:styleId="38">
    <w:name w:val="List 5"/>
    <w:basedOn w:val="1"/>
    <w:qFormat/>
    <w:uiPriority w:val="0"/>
    <w:pPr>
      <w:ind w:left="2100" w:hanging="420"/>
    </w:pPr>
    <w:rPr>
      <w:szCs w:val="20"/>
    </w:rPr>
  </w:style>
  <w:style w:type="paragraph" w:styleId="39">
    <w:name w:val="Body Text Indent 3"/>
    <w:basedOn w:val="1"/>
    <w:link w:val="101"/>
    <w:qFormat/>
    <w:uiPriority w:val="0"/>
    <w:pPr>
      <w:spacing w:after="120"/>
      <w:ind w:left="420" w:leftChars="200"/>
    </w:pPr>
    <w:rPr>
      <w:sz w:val="16"/>
      <w:szCs w:val="16"/>
    </w:rPr>
  </w:style>
  <w:style w:type="paragraph" w:styleId="40">
    <w:name w:val="toc 2"/>
    <w:basedOn w:val="1"/>
    <w:next w:val="1"/>
    <w:qFormat/>
    <w:uiPriority w:val="39"/>
    <w:pPr>
      <w:ind w:left="210"/>
      <w:jc w:val="left"/>
    </w:pPr>
    <w:rPr>
      <w:rFonts w:ascii="Calibri" w:hAnsi="Calibri"/>
      <w:smallCaps/>
      <w:sz w:val="20"/>
      <w:szCs w:val="20"/>
    </w:rPr>
  </w:style>
  <w:style w:type="paragraph" w:styleId="41">
    <w:name w:val="toc 9"/>
    <w:basedOn w:val="1"/>
    <w:next w:val="1"/>
    <w:qFormat/>
    <w:uiPriority w:val="0"/>
    <w:pPr>
      <w:ind w:left="1680"/>
      <w:jc w:val="left"/>
    </w:pPr>
    <w:rPr>
      <w:rFonts w:ascii="Calibri" w:hAnsi="Calibri"/>
      <w:sz w:val="18"/>
      <w:szCs w:val="18"/>
    </w:rPr>
  </w:style>
  <w:style w:type="paragraph" w:styleId="42">
    <w:name w:val="Body Text 2"/>
    <w:basedOn w:val="1"/>
    <w:link w:val="157"/>
    <w:qFormat/>
    <w:uiPriority w:val="0"/>
    <w:pPr>
      <w:spacing w:after="120" w:line="480" w:lineRule="auto"/>
    </w:pPr>
    <w:rPr>
      <w:kern w:val="0"/>
      <w:sz w:val="20"/>
    </w:rPr>
  </w:style>
  <w:style w:type="paragraph" w:styleId="43">
    <w:name w:val="HTML Preformatted"/>
    <w:basedOn w:val="1"/>
    <w:link w:val="112"/>
    <w:unhideWhenUsed/>
    <w:qFormat/>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宋体" w:hAnsi="宋体"/>
      <w:kern w:val="0"/>
      <w:sz w:val="24"/>
    </w:rPr>
  </w:style>
  <w:style w:type="paragraph" w:styleId="44">
    <w:name w:val="Normal (Web)"/>
    <w:basedOn w:val="1"/>
    <w:qFormat/>
    <w:uiPriority w:val="0"/>
    <w:pPr>
      <w:widowControl/>
      <w:spacing w:before="100" w:beforeAutospacing="1" w:after="100" w:afterAutospacing="1"/>
      <w:jc w:val="left"/>
    </w:pPr>
    <w:rPr>
      <w:rFonts w:hint="eastAsia" w:ascii="宋体" w:hAnsi="宋体"/>
      <w:kern w:val="0"/>
      <w:sz w:val="24"/>
      <w:szCs w:val="20"/>
    </w:rPr>
  </w:style>
  <w:style w:type="paragraph" w:styleId="45">
    <w:name w:val="index 1"/>
    <w:basedOn w:val="1"/>
    <w:next w:val="1"/>
    <w:qFormat/>
    <w:uiPriority w:val="0"/>
    <w:pPr>
      <w:spacing w:line="360" w:lineRule="auto"/>
    </w:pPr>
    <w:rPr>
      <w:rFonts w:ascii="宋体" w:hAnsi="宋体"/>
      <w:bCs/>
      <w:szCs w:val="21"/>
    </w:rPr>
  </w:style>
  <w:style w:type="paragraph" w:styleId="46">
    <w:name w:val="Title"/>
    <w:basedOn w:val="1"/>
    <w:next w:val="1"/>
    <w:qFormat/>
    <w:uiPriority w:val="0"/>
    <w:pPr>
      <w:jc w:val="center"/>
    </w:pPr>
    <w:rPr>
      <w:rFonts w:ascii="宋体"/>
      <w:b/>
      <w:snapToGrid w:val="0"/>
      <w:kern w:val="0"/>
      <w:sz w:val="36"/>
      <w:szCs w:val="20"/>
    </w:rPr>
  </w:style>
  <w:style w:type="paragraph" w:styleId="47">
    <w:name w:val="annotation subject"/>
    <w:basedOn w:val="19"/>
    <w:next w:val="19"/>
    <w:link w:val="122"/>
    <w:unhideWhenUsed/>
    <w:qFormat/>
    <w:uiPriority w:val="0"/>
    <w:rPr>
      <w:b/>
      <w:bCs/>
    </w:rPr>
  </w:style>
  <w:style w:type="table" w:styleId="49">
    <w:name w:val="Table Grid"/>
    <w:basedOn w:val="48"/>
    <w:qFormat/>
    <w:uiPriority w:val="0"/>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character" w:styleId="51">
    <w:name w:val="Strong"/>
    <w:qFormat/>
    <w:uiPriority w:val="0"/>
    <w:rPr>
      <w:b/>
      <w:bCs/>
    </w:rPr>
  </w:style>
  <w:style w:type="character" w:styleId="52">
    <w:name w:val="page number"/>
    <w:basedOn w:val="50"/>
    <w:qFormat/>
    <w:uiPriority w:val="0"/>
  </w:style>
  <w:style w:type="character" w:styleId="53">
    <w:name w:val="FollowedHyperlink"/>
    <w:qFormat/>
    <w:uiPriority w:val="99"/>
    <w:rPr>
      <w:color w:val="800080"/>
      <w:u w:val="single"/>
    </w:rPr>
  </w:style>
  <w:style w:type="character" w:styleId="54">
    <w:name w:val="Emphasis"/>
    <w:qFormat/>
    <w:uiPriority w:val="0"/>
    <w:rPr>
      <w:color w:val="CC0000"/>
    </w:rPr>
  </w:style>
  <w:style w:type="character" w:styleId="55">
    <w:name w:val="Hyperlink"/>
    <w:qFormat/>
    <w:uiPriority w:val="99"/>
    <w:rPr>
      <w:color w:val="0000FF"/>
      <w:u w:val="single"/>
    </w:rPr>
  </w:style>
  <w:style w:type="character" w:styleId="56">
    <w:name w:val="annotation reference"/>
    <w:unhideWhenUsed/>
    <w:qFormat/>
    <w:uiPriority w:val="99"/>
    <w:rPr>
      <w:sz w:val="21"/>
      <w:szCs w:val="21"/>
    </w:rPr>
  </w:style>
  <w:style w:type="character" w:customStyle="1" w:styleId="57">
    <w:name w:val="font51"/>
    <w:qFormat/>
    <w:uiPriority w:val="0"/>
    <w:rPr>
      <w:rFonts w:hint="eastAsia" w:ascii="宋体" w:hAnsi="宋体" w:eastAsia="宋体" w:cs="宋体"/>
      <w:color w:val="000000"/>
      <w:sz w:val="20"/>
      <w:szCs w:val="20"/>
      <w:u w:val="none"/>
    </w:rPr>
  </w:style>
  <w:style w:type="character" w:customStyle="1" w:styleId="58">
    <w:name w:val="正文文本缩进 2 Char2"/>
    <w:semiHidden/>
    <w:qFormat/>
    <w:uiPriority w:val="99"/>
    <w:rPr>
      <w:kern w:val="2"/>
      <w:sz w:val="21"/>
      <w:szCs w:val="24"/>
    </w:rPr>
  </w:style>
  <w:style w:type="character" w:customStyle="1" w:styleId="59">
    <w:name w:val="宏文本 Char1"/>
    <w:qFormat/>
    <w:uiPriority w:val="99"/>
    <w:rPr>
      <w:rFonts w:ascii="Courier New" w:hAnsi="Courier New" w:cs="Courier New"/>
      <w:kern w:val="2"/>
      <w:sz w:val="24"/>
      <w:szCs w:val="24"/>
    </w:rPr>
  </w:style>
  <w:style w:type="character" w:customStyle="1" w:styleId="60">
    <w:name w:val="正文文本缩进 2 Char1"/>
    <w:semiHidden/>
    <w:qFormat/>
    <w:uiPriority w:val="99"/>
    <w:rPr>
      <w:rFonts w:ascii="Times New Roman" w:hAnsi="Times New Roman" w:eastAsia="宋体" w:cs="Times New Roman"/>
      <w:szCs w:val="24"/>
    </w:rPr>
  </w:style>
  <w:style w:type="character" w:customStyle="1" w:styleId="61">
    <w:name w:val="样式2"/>
    <w:qFormat/>
    <w:uiPriority w:val="0"/>
    <w:rPr>
      <w:rFonts w:ascii="宋体" w:hAnsi="宋体"/>
      <w:b/>
      <w:szCs w:val="21"/>
    </w:rPr>
  </w:style>
  <w:style w:type="character" w:customStyle="1" w:styleId="62">
    <w:name w:val="apple-converted-space"/>
    <w:basedOn w:val="50"/>
    <w:qFormat/>
    <w:uiPriority w:val="0"/>
  </w:style>
  <w:style w:type="character" w:customStyle="1" w:styleId="63">
    <w:name w:val="标题 9 字符"/>
    <w:link w:val="14"/>
    <w:qFormat/>
    <w:uiPriority w:val="0"/>
    <w:rPr>
      <w:rFonts w:ascii="Arial" w:hAnsi="Arial" w:eastAsia="黑体"/>
      <w:kern w:val="2"/>
      <w:sz w:val="21"/>
      <w:szCs w:val="24"/>
    </w:rPr>
  </w:style>
  <w:style w:type="character" w:customStyle="1" w:styleId="64">
    <w:name w:val="题注 字符"/>
    <w:link w:val="17"/>
    <w:qFormat/>
    <w:uiPriority w:val="0"/>
    <w:rPr>
      <w:rFonts w:ascii="Arial" w:hAnsi="Arial" w:eastAsia="黑体" w:cs="Arial"/>
      <w:kern w:val="2"/>
    </w:rPr>
  </w:style>
  <w:style w:type="character" w:customStyle="1" w:styleId="65">
    <w:name w:val="标题 5 字符"/>
    <w:link w:val="9"/>
    <w:qFormat/>
    <w:uiPriority w:val="0"/>
    <w:rPr>
      <w:b/>
      <w:kern w:val="2"/>
      <w:sz w:val="28"/>
      <w:szCs w:val="24"/>
    </w:rPr>
  </w:style>
  <w:style w:type="character" w:customStyle="1" w:styleId="66">
    <w:name w:val="正文文本 3 Char1"/>
    <w:qFormat/>
    <w:uiPriority w:val="99"/>
    <w:rPr>
      <w:kern w:val="2"/>
      <w:sz w:val="16"/>
      <w:szCs w:val="16"/>
    </w:rPr>
  </w:style>
  <w:style w:type="character" w:customStyle="1" w:styleId="67">
    <w:name w:val="标题 3 字符"/>
    <w:link w:val="7"/>
    <w:qFormat/>
    <w:uiPriority w:val="0"/>
    <w:rPr>
      <w:b/>
      <w:bCs/>
      <w:kern w:val="2"/>
      <w:sz w:val="32"/>
      <w:szCs w:val="32"/>
    </w:rPr>
  </w:style>
  <w:style w:type="character" w:customStyle="1" w:styleId="68">
    <w:name w:val="样式1"/>
    <w:qFormat/>
    <w:uiPriority w:val="0"/>
    <w:rPr>
      <w:rFonts w:ascii="宋体" w:hAnsi="宋体"/>
      <w:szCs w:val="21"/>
    </w:rPr>
  </w:style>
  <w:style w:type="character" w:customStyle="1" w:styleId="69">
    <w:name w:val="标题 2 字符"/>
    <w:link w:val="6"/>
    <w:qFormat/>
    <w:uiPriority w:val="0"/>
    <w:rPr>
      <w:rFonts w:eastAsia="隶书"/>
      <w:b/>
      <w:sz w:val="44"/>
    </w:rPr>
  </w:style>
  <w:style w:type="character" w:customStyle="1" w:styleId="70">
    <w:name w:val="正文文本缩进 字符"/>
    <w:link w:val="3"/>
    <w:qFormat/>
    <w:uiPriority w:val="0"/>
    <w:rPr>
      <w:kern w:val="2"/>
      <w:sz w:val="21"/>
      <w:szCs w:val="24"/>
    </w:rPr>
  </w:style>
  <w:style w:type="character" w:customStyle="1" w:styleId="71">
    <w:name w:val="页脚 Char2"/>
    <w:semiHidden/>
    <w:qFormat/>
    <w:uiPriority w:val="99"/>
    <w:rPr>
      <w:kern w:val="2"/>
      <w:sz w:val="18"/>
      <w:szCs w:val="18"/>
    </w:rPr>
  </w:style>
  <w:style w:type="character" w:customStyle="1" w:styleId="72">
    <w:name w:val="列表段落 字符"/>
    <w:link w:val="73"/>
    <w:qFormat/>
    <w:locked/>
    <w:uiPriority w:val="34"/>
    <w:rPr>
      <w:rFonts w:ascii="Calibri" w:hAnsi="Calibri"/>
      <w:kern w:val="2"/>
      <w:sz w:val="21"/>
      <w:szCs w:val="22"/>
    </w:rPr>
  </w:style>
  <w:style w:type="paragraph" w:styleId="73">
    <w:name w:val="List Paragraph"/>
    <w:basedOn w:val="1"/>
    <w:link w:val="72"/>
    <w:qFormat/>
    <w:uiPriority w:val="34"/>
    <w:pPr>
      <w:ind w:firstLine="420" w:firstLineChars="200"/>
    </w:pPr>
    <w:rPr>
      <w:rFonts w:ascii="Calibri" w:hAnsi="Calibri"/>
      <w:szCs w:val="22"/>
    </w:rPr>
  </w:style>
  <w:style w:type="character" w:customStyle="1" w:styleId="74">
    <w:name w:val="gray"/>
    <w:qFormat/>
    <w:uiPriority w:val="0"/>
    <w:rPr>
      <w:rFonts w:ascii="Tahoma" w:hAnsi="Tahoma" w:eastAsia="宋体"/>
      <w:kern w:val="2"/>
      <w:sz w:val="24"/>
      <w:szCs w:val="24"/>
      <w:lang w:val="en-US" w:eastAsia="zh-CN" w:bidi="ar-SA"/>
    </w:rPr>
  </w:style>
  <w:style w:type="character" w:customStyle="1" w:styleId="75">
    <w:name w:val="HTML 预设格式 Char1"/>
    <w:qFormat/>
    <w:uiPriority w:val="99"/>
    <w:rPr>
      <w:rFonts w:ascii="Courier New" w:hAnsi="Courier New" w:cs="Courier New"/>
      <w:kern w:val="2"/>
    </w:rPr>
  </w:style>
  <w:style w:type="character" w:customStyle="1" w:styleId="76">
    <w:name w:val="mark"/>
    <w:basedOn w:val="50"/>
    <w:qFormat/>
    <w:uiPriority w:val="0"/>
  </w:style>
  <w:style w:type="character" w:customStyle="1" w:styleId="77">
    <w:name w:val="A15"/>
    <w:qFormat/>
    <w:uiPriority w:val="0"/>
    <w:rPr>
      <w:rFonts w:ascii="Times New Roman" w:hAnsi="Times New Roman"/>
      <w:color w:val="000000"/>
      <w:sz w:val="14"/>
      <w:szCs w:val="14"/>
    </w:rPr>
  </w:style>
  <w:style w:type="character" w:customStyle="1" w:styleId="78">
    <w:name w:val="日期 Char1"/>
    <w:semiHidden/>
    <w:qFormat/>
    <w:uiPriority w:val="99"/>
    <w:rPr>
      <w:rFonts w:ascii="Times New Roman" w:hAnsi="Times New Roman" w:eastAsia="宋体" w:cs="Times New Roman"/>
      <w:szCs w:val="24"/>
    </w:rPr>
  </w:style>
  <w:style w:type="character" w:customStyle="1" w:styleId="79">
    <w:name w:val="引用 字符"/>
    <w:link w:val="80"/>
    <w:qFormat/>
    <w:uiPriority w:val="29"/>
    <w:rPr>
      <w:i/>
      <w:iCs/>
      <w:color w:val="404040"/>
      <w:kern w:val="2"/>
      <w:sz w:val="21"/>
      <w:szCs w:val="24"/>
    </w:rPr>
  </w:style>
  <w:style w:type="paragraph" w:styleId="80">
    <w:name w:val="Quote"/>
    <w:basedOn w:val="1"/>
    <w:next w:val="1"/>
    <w:link w:val="79"/>
    <w:qFormat/>
    <w:uiPriority w:val="29"/>
    <w:pPr>
      <w:spacing w:before="200" w:after="160"/>
      <w:ind w:left="864" w:right="864"/>
      <w:jc w:val="center"/>
    </w:pPr>
    <w:rPr>
      <w:i/>
      <w:iCs/>
      <w:color w:val="404040"/>
    </w:rPr>
  </w:style>
  <w:style w:type="character" w:customStyle="1" w:styleId="81">
    <w:name w:val="超链接2"/>
    <w:qFormat/>
    <w:uiPriority w:val="0"/>
    <w:rPr>
      <w:rFonts w:hint="eastAsia" w:ascii="宋体" w:hAnsi="宋体" w:eastAsia="宋体"/>
      <w:color w:val="FFFFFF"/>
      <w:sz w:val="18"/>
      <w:szCs w:val="18"/>
      <w:u w:val="none"/>
    </w:rPr>
  </w:style>
  <w:style w:type="character" w:customStyle="1" w:styleId="82">
    <w:name w:val="ca-2"/>
    <w:basedOn w:val="50"/>
    <w:qFormat/>
    <w:uiPriority w:val="0"/>
  </w:style>
  <w:style w:type="character" w:customStyle="1" w:styleId="83">
    <w:name w:val="页脚 Char1"/>
    <w:semiHidden/>
    <w:qFormat/>
    <w:uiPriority w:val="99"/>
    <w:rPr>
      <w:rFonts w:ascii="Times New Roman" w:hAnsi="Times New Roman" w:eastAsia="宋体" w:cs="Times New Roman"/>
      <w:sz w:val="18"/>
      <w:szCs w:val="18"/>
    </w:rPr>
  </w:style>
  <w:style w:type="character" w:customStyle="1" w:styleId="84">
    <w:name w:val="正文文本 3 字符"/>
    <w:link w:val="20"/>
    <w:qFormat/>
    <w:uiPriority w:val="0"/>
    <w:rPr>
      <w:b/>
      <w:bCs/>
      <w:sz w:val="24"/>
      <w:szCs w:val="24"/>
    </w:rPr>
  </w:style>
  <w:style w:type="character" w:customStyle="1" w:styleId="85">
    <w:name w:val="引用 Char1"/>
    <w:qFormat/>
    <w:uiPriority w:val="99"/>
    <w:rPr>
      <w:rFonts w:ascii="Times New Roman" w:hAnsi="Times New Roman"/>
      <w:i/>
      <w:iCs/>
      <w:color w:val="000000"/>
      <w:kern w:val="2"/>
      <w:sz w:val="21"/>
      <w:szCs w:val="24"/>
    </w:rPr>
  </w:style>
  <w:style w:type="character" w:customStyle="1" w:styleId="86">
    <w:name w:val="正文缩进 字符"/>
    <w:link w:val="10"/>
    <w:qFormat/>
    <w:uiPriority w:val="0"/>
    <w:rPr>
      <w:rFonts w:ascii="宋体"/>
      <w:snapToGrid w:val="0"/>
    </w:rPr>
  </w:style>
  <w:style w:type="character" w:customStyle="1" w:styleId="87">
    <w:name w:val="标题 7 字符"/>
    <w:link w:val="12"/>
    <w:qFormat/>
    <w:uiPriority w:val="0"/>
    <w:rPr>
      <w:b/>
      <w:kern w:val="2"/>
      <w:sz w:val="24"/>
      <w:szCs w:val="24"/>
    </w:rPr>
  </w:style>
  <w:style w:type="character" w:customStyle="1" w:styleId="88">
    <w:name w:val="style21"/>
    <w:qFormat/>
    <w:uiPriority w:val="0"/>
    <w:rPr>
      <w:sz w:val="22"/>
      <w:szCs w:val="22"/>
    </w:rPr>
  </w:style>
  <w:style w:type="character" w:customStyle="1" w:styleId="89">
    <w:name w:val="A4"/>
    <w:qFormat/>
    <w:uiPriority w:val="0"/>
    <w:rPr>
      <w:rFonts w:ascii="新宋体" w:eastAsia="新宋体" w:cs="新宋体"/>
      <w:color w:val="000000"/>
      <w:lang w:bidi="ar-SA"/>
    </w:rPr>
  </w:style>
  <w:style w:type="character" w:customStyle="1" w:styleId="90">
    <w:name w:val="纯文本 字符1"/>
    <w:qFormat/>
    <w:uiPriority w:val="0"/>
    <w:rPr>
      <w:rFonts w:ascii="宋体" w:hAnsi="Courier New" w:eastAsia="宋体" w:cs="Courier New"/>
      <w:szCs w:val="21"/>
    </w:rPr>
  </w:style>
  <w:style w:type="character" w:customStyle="1" w:styleId="91">
    <w:name w:val="Subtle Emphasis"/>
    <w:qFormat/>
    <w:uiPriority w:val="19"/>
    <w:rPr>
      <w:i/>
      <w:iCs/>
      <w:color w:val="808080"/>
    </w:rPr>
  </w:style>
  <w:style w:type="character" w:customStyle="1" w:styleId="92">
    <w:name w:val="宏文本 字符"/>
    <w:link w:val="4"/>
    <w:qFormat/>
    <w:uiPriority w:val="99"/>
    <w:rPr>
      <w:rFonts w:ascii="Courier New" w:hAnsi="Courier New"/>
      <w:kern w:val="2"/>
      <w:sz w:val="24"/>
      <w:szCs w:val="24"/>
      <w:lang w:val="en-US" w:eastAsia="zh-CN" w:bidi="ar-SA"/>
    </w:rPr>
  </w:style>
  <w:style w:type="character" w:customStyle="1" w:styleId="93">
    <w:name w:val="正文文本缩进 3 Char2"/>
    <w:semiHidden/>
    <w:qFormat/>
    <w:uiPriority w:val="99"/>
    <w:rPr>
      <w:kern w:val="2"/>
      <w:sz w:val="16"/>
      <w:szCs w:val="16"/>
    </w:rPr>
  </w:style>
  <w:style w:type="character" w:customStyle="1" w:styleId="94">
    <w:name w:val="日期 字符"/>
    <w:link w:val="29"/>
    <w:qFormat/>
    <w:uiPriority w:val="0"/>
    <w:rPr>
      <w:kern w:val="2"/>
      <w:sz w:val="24"/>
      <w:szCs w:val="24"/>
    </w:rPr>
  </w:style>
  <w:style w:type="character" w:customStyle="1" w:styleId="95">
    <w:name w:val="正文文本缩进 3 Char1"/>
    <w:semiHidden/>
    <w:qFormat/>
    <w:uiPriority w:val="99"/>
    <w:rPr>
      <w:rFonts w:ascii="Times New Roman" w:hAnsi="Times New Roman" w:eastAsia="宋体" w:cs="Times New Roman"/>
      <w:sz w:val="16"/>
      <w:szCs w:val="16"/>
    </w:rPr>
  </w:style>
  <w:style w:type="character" w:customStyle="1" w:styleId="96">
    <w:name w:val="普通文字 Char Char4"/>
    <w:qFormat/>
    <w:uiPriority w:val="0"/>
    <w:rPr>
      <w:rFonts w:ascii="宋体" w:hAnsi="Courier New" w:eastAsia="宋体" w:cs="Courier New"/>
      <w:szCs w:val="21"/>
    </w:rPr>
  </w:style>
  <w:style w:type="character" w:customStyle="1" w:styleId="97">
    <w:name w:val="text1"/>
    <w:basedOn w:val="50"/>
    <w:qFormat/>
    <w:uiPriority w:val="0"/>
  </w:style>
  <w:style w:type="character" w:customStyle="1" w:styleId="98">
    <w:name w:val="表正文 Char2"/>
    <w:qFormat/>
    <w:uiPriority w:val="0"/>
    <w:rPr>
      <w:rFonts w:ascii="Times New Roman" w:hAnsi="Times New Roman"/>
      <w:kern w:val="2"/>
      <w:sz w:val="21"/>
    </w:rPr>
  </w:style>
  <w:style w:type="character" w:customStyle="1" w:styleId="99">
    <w:name w:val="项目排列 Char Char"/>
    <w:link w:val="100"/>
    <w:qFormat/>
    <w:uiPriority w:val="0"/>
    <w:rPr>
      <w:kern w:val="2"/>
      <w:sz w:val="24"/>
      <w:szCs w:val="24"/>
    </w:rPr>
  </w:style>
  <w:style w:type="paragraph" w:customStyle="1" w:styleId="100">
    <w:name w:val="项目排列"/>
    <w:basedOn w:val="1"/>
    <w:link w:val="99"/>
    <w:qFormat/>
    <w:uiPriority w:val="0"/>
    <w:pPr>
      <w:numPr>
        <w:ilvl w:val="0"/>
        <w:numId w:val="1"/>
      </w:numPr>
      <w:tabs>
        <w:tab w:val="left" w:pos="1200"/>
      </w:tabs>
      <w:spacing w:before="156" w:beforeLines="50" w:after="156" w:afterLines="50" w:line="300" w:lineRule="auto"/>
    </w:pPr>
    <w:rPr>
      <w:sz w:val="24"/>
    </w:rPr>
  </w:style>
  <w:style w:type="character" w:customStyle="1" w:styleId="101">
    <w:name w:val="正文文本缩进 3 字符"/>
    <w:link w:val="39"/>
    <w:qFormat/>
    <w:uiPriority w:val="0"/>
    <w:rPr>
      <w:kern w:val="2"/>
      <w:sz w:val="16"/>
      <w:szCs w:val="16"/>
    </w:rPr>
  </w:style>
  <w:style w:type="character" w:customStyle="1" w:styleId="102">
    <w:name w:val="text11"/>
    <w:qFormat/>
    <w:uiPriority w:val="0"/>
    <w:rPr>
      <w:rFonts w:hint="default" w:ascii="Verdana" w:hAnsi="Verdana"/>
      <w:color w:val="4E4E4E"/>
      <w:sz w:val="18"/>
      <w:szCs w:val="18"/>
    </w:rPr>
  </w:style>
  <w:style w:type="character" w:customStyle="1" w:styleId="103">
    <w:name w:val="批注文字 字符"/>
    <w:link w:val="19"/>
    <w:qFormat/>
    <w:uiPriority w:val="99"/>
    <w:rPr>
      <w:kern w:val="2"/>
      <w:sz w:val="21"/>
      <w:szCs w:val="24"/>
    </w:rPr>
  </w:style>
  <w:style w:type="character" w:customStyle="1" w:styleId="104">
    <w:name w:val="lmain1"/>
    <w:qFormat/>
    <w:uiPriority w:val="0"/>
    <w:rPr>
      <w:color w:val="407AAB"/>
      <w:sz w:val="30"/>
      <w:szCs w:val="30"/>
    </w:rPr>
  </w:style>
  <w:style w:type="character" w:customStyle="1" w:styleId="105">
    <w:name w:val="case31"/>
    <w:qFormat/>
    <w:uiPriority w:val="0"/>
    <w:rPr>
      <w:rFonts w:hint="default"/>
      <w:sz w:val="21"/>
      <w:szCs w:val="21"/>
    </w:rPr>
  </w:style>
  <w:style w:type="character" w:customStyle="1" w:styleId="106">
    <w:name w:val="ca-11"/>
    <w:qFormat/>
    <w:uiPriority w:val="0"/>
    <w:rPr>
      <w:rFonts w:hint="eastAsia" w:ascii="宋体" w:hAnsi="宋体" w:eastAsia="宋体"/>
      <w:b/>
      <w:bCs/>
      <w:spacing w:val="-20"/>
      <w:sz w:val="21"/>
      <w:szCs w:val="21"/>
    </w:rPr>
  </w:style>
  <w:style w:type="character" w:customStyle="1" w:styleId="107">
    <w:name w:val="f161"/>
    <w:qFormat/>
    <w:uiPriority w:val="0"/>
    <w:rPr>
      <w:b/>
      <w:bCs/>
      <w:sz w:val="24"/>
      <w:szCs w:val="24"/>
    </w:rPr>
  </w:style>
  <w:style w:type="character" w:customStyle="1" w:styleId="108">
    <w:name w:val="标题 4 字符"/>
    <w:link w:val="8"/>
    <w:qFormat/>
    <w:uiPriority w:val="0"/>
    <w:rPr>
      <w:rFonts w:ascii="Arial" w:hAnsi="Arial" w:eastAsia="黑体"/>
      <w:b/>
      <w:bCs/>
      <w:kern w:val="2"/>
      <w:sz w:val="28"/>
      <w:szCs w:val="28"/>
    </w:rPr>
  </w:style>
  <w:style w:type="character" w:customStyle="1" w:styleId="109">
    <w:name w:val="正文文本 2 Char2"/>
    <w:qFormat/>
    <w:uiPriority w:val="99"/>
    <w:rPr>
      <w:kern w:val="2"/>
      <w:sz w:val="21"/>
      <w:szCs w:val="24"/>
    </w:rPr>
  </w:style>
  <w:style w:type="character" w:customStyle="1" w:styleId="110">
    <w:name w:val="style1"/>
    <w:basedOn w:val="50"/>
    <w:qFormat/>
    <w:uiPriority w:val="0"/>
  </w:style>
  <w:style w:type="character" w:customStyle="1" w:styleId="111">
    <w:name w:val="ca-21"/>
    <w:qFormat/>
    <w:uiPriority w:val="0"/>
    <w:rPr>
      <w:rFonts w:hint="eastAsia" w:ascii="宋体" w:hAnsi="宋体" w:eastAsia="宋体"/>
      <w:sz w:val="21"/>
      <w:szCs w:val="21"/>
    </w:rPr>
  </w:style>
  <w:style w:type="character" w:customStyle="1" w:styleId="112">
    <w:name w:val="HTML 预设格式 字符"/>
    <w:link w:val="43"/>
    <w:qFormat/>
    <w:uiPriority w:val="99"/>
    <w:rPr>
      <w:rFonts w:ascii="宋体" w:hAnsi="宋体" w:cs="宋体"/>
      <w:sz w:val="24"/>
      <w:szCs w:val="24"/>
    </w:rPr>
  </w:style>
  <w:style w:type="character" w:customStyle="1" w:styleId="113">
    <w:name w:val="Char Char11"/>
    <w:qFormat/>
    <w:uiPriority w:val="0"/>
    <w:rPr>
      <w:rFonts w:ascii="宋体" w:hAnsi="Courier New" w:eastAsia="宋体" w:cs="Courier New"/>
      <w:szCs w:val="21"/>
    </w:rPr>
  </w:style>
  <w:style w:type="character" w:customStyle="1" w:styleId="114">
    <w:name w:val="日期 Char2"/>
    <w:semiHidden/>
    <w:qFormat/>
    <w:uiPriority w:val="99"/>
    <w:rPr>
      <w:kern w:val="2"/>
      <w:sz w:val="21"/>
      <w:szCs w:val="24"/>
    </w:rPr>
  </w:style>
  <w:style w:type="character" w:customStyle="1" w:styleId="115">
    <w:name w:val="hei16b"/>
    <w:basedOn w:val="50"/>
    <w:qFormat/>
    <w:uiPriority w:val="0"/>
  </w:style>
  <w:style w:type="character" w:customStyle="1" w:styleId="116">
    <w:name w:val="标题 1 字符"/>
    <w:link w:val="5"/>
    <w:qFormat/>
    <w:uiPriority w:val="0"/>
    <w:rPr>
      <w:b/>
      <w:bCs/>
      <w:kern w:val="44"/>
      <w:sz w:val="44"/>
      <w:szCs w:val="44"/>
    </w:rPr>
  </w:style>
  <w:style w:type="character" w:customStyle="1" w:styleId="117">
    <w:name w:val="页眉 Char1"/>
    <w:semiHidden/>
    <w:qFormat/>
    <w:uiPriority w:val="99"/>
    <w:rPr>
      <w:kern w:val="2"/>
      <w:sz w:val="18"/>
      <w:szCs w:val="18"/>
    </w:rPr>
  </w:style>
  <w:style w:type="character" w:customStyle="1" w:styleId="118">
    <w:name w:val="正文缩进 Char1"/>
    <w:qFormat/>
    <w:uiPriority w:val="0"/>
    <w:rPr>
      <w:rFonts w:ascii="Times New Roman" w:hAnsi="Times New Roman"/>
      <w:kern w:val="2"/>
      <w:sz w:val="21"/>
    </w:rPr>
  </w:style>
  <w:style w:type="character" w:customStyle="1" w:styleId="119">
    <w:name w:val="font12-blue-bold1"/>
    <w:qFormat/>
    <w:uiPriority w:val="0"/>
    <w:rPr>
      <w:b/>
      <w:bCs/>
      <w:color w:val="0249A5"/>
      <w:sz w:val="14"/>
      <w:szCs w:val="14"/>
      <w:u w:val="none"/>
    </w:rPr>
  </w:style>
  <w:style w:type="character" w:customStyle="1" w:styleId="120">
    <w:name w:val="正文文本 字符"/>
    <w:link w:val="21"/>
    <w:qFormat/>
    <w:uiPriority w:val="0"/>
    <w:rPr>
      <w:kern w:val="2"/>
      <w:sz w:val="24"/>
      <w:szCs w:val="24"/>
    </w:rPr>
  </w:style>
  <w:style w:type="character" w:customStyle="1" w:styleId="121">
    <w:name w:val="Body Text Indent 3 Char"/>
    <w:qFormat/>
    <w:locked/>
    <w:uiPriority w:val="99"/>
    <w:rPr>
      <w:rFonts w:eastAsia="宋体"/>
      <w:sz w:val="16"/>
    </w:rPr>
  </w:style>
  <w:style w:type="character" w:customStyle="1" w:styleId="122">
    <w:name w:val="批注主题 字符"/>
    <w:link w:val="47"/>
    <w:qFormat/>
    <w:uiPriority w:val="0"/>
    <w:rPr>
      <w:b/>
      <w:bCs/>
      <w:kern w:val="2"/>
      <w:sz w:val="21"/>
      <w:szCs w:val="24"/>
    </w:rPr>
  </w:style>
  <w:style w:type="character" w:customStyle="1" w:styleId="123">
    <w:name w:val="bold1"/>
    <w:qFormat/>
    <w:uiPriority w:val="0"/>
    <w:rPr>
      <w:rFonts w:hint="default"/>
      <w:b/>
      <w:bCs/>
      <w:color w:val="000000"/>
      <w:sz w:val="18"/>
      <w:szCs w:val="18"/>
    </w:rPr>
  </w:style>
  <w:style w:type="character" w:customStyle="1" w:styleId="124">
    <w:name w:val="标题 6 字符"/>
    <w:link w:val="11"/>
    <w:qFormat/>
    <w:uiPriority w:val="0"/>
    <w:rPr>
      <w:rFonts w:ascii="Arial" w:hAnsi="Arial" w:eastAsia="黑体"/>
      <w:b/>
      <w:kern w:val="2"/>
      <w:sz w:val="24"/>
      <w:szCs w:val="24"/>
    </w:rPr>
  </w:style>
  <w:style w:type="character" w:customStyle="1" w:styleId="125">
    <w:name w:val="文档结构图 Char1"/>
    <w:qFormat/>
    <w:uiPriority w:val="99"/>
    <w:rPr>
      <w:rFonts w:ascii="宋体"/>
      <w:kern w:val="2"/>
      <w:sz w:val="18"/>
      <w:szCs w:val="18"/>
    </w:rPr>
  </w:style>
  <w:style w:type="character" w:customStyle="1" w:styleId="126">
    <w:name w:val="正文文本 Char1"/>
    <w:semiHidden/>
    <w:qFormat/>
    <w:uiPriority w:val="99"/>
    <w:rPr>
      <w:rFonts w:ascii="Times New Roman" w:hAnsi="Times New Roman" w:eastAsia="宋体" w:cs="Times New Roman"/>
      <w:szCs w:val="24"/>
    </w:rPr>
  </w:style>
  <w:style w:type="character" w:customStyle="1" w:styleId="127">
    <w:name w:val="页眉 字符"/>
    <w:link w:val="33"/>
    <w:qFormat/>
    <w:uiPriority w:val="0"/>
    <w:rPr>
      <w:kern w:val="2"/>
      <w:sz w:val="18"/>
      <w:szCs w:val="18"/>
    </w:rPr>
  </w:style>
  <w:style w:type="character" w:customStyle="1" w:styleId="128">
    <w:name w:val="正文文本缩进 Char1"/>
    <w:semiHidden/>
    <w:qFormat/>
    <w:uiPriority w:val="99"/>
    <w:rPr>
      <w:kern w:val="2"/>
      <w:sz w:val="21"/>
      <w:szCs w:val="24"/>
    </w:rPr>
  </w:style>
  <w:style w:type="character" w:customStyle="1" w:styleId="129">
    <w:name w:val="正文文本 2 Char1"/>
    <w:semiHidden/>
    <w:qFormat/>
    <w:uiPriority w:val="99"/>
    <w:rPr>
      <w:rFonts w:ascii="Times New Roman" w:hAnsi="Times New Roman" w:eastAsia="宋体" w:cs="Times New Roman"/>
      <w:szCs w:val="24"/>
    </w:rPr>
  </w:style>
  <w:style w:type="character" w:customStyle="1" w:styleId="130">
    <w:name w:val="文档结构图 字符"/>
    <w:link w:val="18"/>
    <w:qFormat/>
    <w:uiPriority w:val="0"/>
    <w:rPr>
      <w:kern w:val="2"/>
      <w:sz w:val="21"/>
      <w:szCs w:val="24"/>
      <w:shd w:val="clear" w:color="auto" w:fill="000080"/>
    </w:rPr>
  </w:style>
  <w:style w:type="character" w:customStyle="1" w:styleId="131">
    <w:name w:val="纯文本 字符"/>
    <w:link w:val="27"/>
    <w:qFormat/>
    <w:uiPriority w:val="0"/>
    <w:rPr>
      <w:rFonts w:ascii="宋体" w:hAnsi="Courier New" w:eastAsia="宋体" w:cs="Courier New"/>
      <w:kern w:val="2"/>
      <w:sz w:val="21"/>
      <w:szCs w:val="21"/>
      <w:lang w:val="en-US" w:eastAsia="zh-CN" w:bidi="ar-SA"/>
    </w:rPr>
  </w:style>
  <w:style w:type="character" w:customStyle="1" w:styleId="132">
    <w:name w:val="apple-style-span"/>
    <w:qFormat/>
    <w:uiPriority w:val="0"/>
  </w:style>
  <w:style w:type="character" w:customStyle="1" w:styleId="133">
    <w:name w:val="页脚 字符"/>
    <w:link w:val="32"/>
    <w:qFormat/>
    <w:uiPriority w:val="99"/>
    <w:rPr>
      <w:kern w:val="2"/>
      <w:sz w:val="18"/>
      <w:szCs w:val="18"/>
    </w:rPr>
  </w:style>
  <w:style w:type="character" w:customStyle="1" w:styleId="134">
    <w:name w:val="标题 8 字符"/>
    <w:link w:val="13"/>
    <w:qFormat/>
    <w:uiPriority w:val="0"/>
    <w:rPr>
      <w:rFonts w:ascii="Arial" w:hAnsi="Arial" w:eastAsia="黑体"/>
      <w:kern w:val="2"/>
      <w:sz w:val="24"/>
      <w:szCs w:val="24"/>
    </w:rPr>
  </w:style>
  <w:style w:type="character" w:customStyle="1" w:styleId="135">
    <w:name w:val="Char Char4"/>
    <w:semiHidden/>
    <w:qFormat/>
    <w:uiPriority w:val="0"/>
    <w:rPr>
      <w:rFonts w:ascii="Times New Roman" w:hAnsi="Times New Roman" w:eastAsia="宋体" w:cs="Times New Roman"/>
      <w:sz w:val="16"/>
      <w:szCs w:val="16"/>
    </w:rPr>
  </w:style>
  <w:style w:type="character" w:customStyle="1" w:styleId="136">
    <w:name w:val="Plain Text Char"/>
    <w:qFormat/>
    <w:locked/>
    <w:uiPriority w:val="0"/>
    <w:rPr>
      <w:rFonts w:ascii="宋体" w:hAnsi="Courier New" w:eastAsia="宋体"/>
    </w:rPr>
  </w:style>
  <w:style w:type="character" w:customStyle="1" w:styleId="137">
    <w:name w:val="ca-41"/>
    <w:qFormat/>
    <w:uiPriority w:val="0"/>
    <w:rPr>
      <w:rFonts w:hint="eastAsia" w:ascii="宋体" w:hAnsi="宋体" w:eastAsia="宋体"/>
      <w:color w:val="FF0000"/>
      <w:sz w:val="21"/>
      <w:szCs w:val="21"/>
    </w:rPr>
  </w:style>
  <w:style w:type="character" w:customStyle="1" w:styleId="138">
    <w:name w:val="无间隔 字符"/>
    <w:link w:val="139"/>
    <w:qFormat/>
    <w:uiPriority w:val="1"/>
    <w:rPr>
      <w:rFonts w:hAnsi="Courier New"/>
      <w:kern w:val="2"/>
      <w:sz w:val="21"/>
      <w:lang w:val="en-US" w:eastAsia="zh-CN" w:bidi="ar-SA"/>
    </w:rPr>
  </w:style>
  <w:style w:type="paragraph" w:styleId="139">
    <w:name w:val="No Spacing"/>
    <w:link w:val="138"/>
    <w:qFormat/>
    <w:uiPriority w:val="1"/>
    <w:pPr>
      <w:widowControl w:val="0"/>
      <w:jc w:val="both"/>
    </w:pPr>
    <w:rPr>
      <w:rFonts w:ascii="Times New Roman" w:hAnsi="Courier New" w:eastAsia="宋体" w:cs="Times New Roman"/>
      <w:kern w:val="2"/>
      <w:sz w:val="21"/>
      <w:lang w:val="en-US" w:eastAsia="zh-CN" w:bidi="ar-SA"/>
    </w:rPr>
  </w:style>
  <w:style w:type="character" w:customStyle="1" w:styleId="140">
    <w:name w:val="正文文本缩进 2 字符"/>
    <w:link w:val="30"/>
    <w:qFormat/>
    <w:uiPriority w:val="0"/>
    <w:rPr>
      <w:kern w:val="2"/>
      <w:sz w:val="21"/>
      <w:szCs w:val="24"/>
    </w:rPr>
  </w:style>
  <w:style w:type="character" w:customStyle="1" w:styleId="141">
    <w:name w:val="批注框文本 字符"/>
    <w:link w:val="31"/>
    <w:qFormat/>
    <w:uiPriority w:val="0"/>
    <w:rPr>
      <w:kern w:val="2"/>
      <w:sz w:val="18"/>
      <w:szCs w:val="18"/>
    </w:rPr>
  </w:style>
  <w:style w:type="character" w:customStyle="1" w:styleId="142">
    <w:name w:val="文档正文 Char Char"/>
    <w:link w:val="143"/>
    <w:qFormat/>
    <w:locked/>
    <w:uiPriority w:val="0"/>
    <w:rPr>
      <w:rFonts w:ascii="华文细黑" w:hAnsi="华文细黑" w:eastAsia="华文细黑"/>
      <w:color w:val="000000"/>
      <w:sz w:val="24"/>
    </w:rPr>
  </w:style>
  <w:style w:type="paragraph" w:customStyle="1" w:styleId="143">
    <w:name w:val="文档正文"/>
    <w:basedOn w:val="1"/>
    <w:link w:val="142"/>
    <w:qFormat/>
    <w:uiPriority w:val="0"/>
    <w:pPr>
      <w:adjustRightInd w:val="0"/>
      <w:spacing w:after="120" w:line="360" w:lineRule="auto"/>
      <w:ind w:firstLine="480" w:firstLineChars="200"/>
    </w:pPr>
    <w:rPr>
      <w:rFonts w:ascii="华文细黑" w:hAnsi="华文细黑" w:eastAsia="华文细黑"/>
      <w:color w:val="000000"/>
      <w:kern w:val="0"/>
      <w:sz w:val="24"/>
      <w:szCs w:val="20"/>
    </w:rPr>
  </w:style>
  <w:style w:type="character" w:customStyle="1" w:styleId="144">
    <w:name w:val="纯文本 Char2"/>
    <w:qFormat/>
    <w:uiPriority w:val="0"/>
    <w:rPr>
      <w:rFonts w:ascii="宋体" w:hAnsi="Courier New" w:eastAsia="宋体" w:cs="Courier New"/>
      <w:kern w:val="2"/>
      <w:sz w:val="21"/>
      <w:szCs w:val="21"/>
      <w:lang w:val="en-US" w:eastAsia="zh-CN" w:bidi="ar-SA"/>
    </w:rPr>
  </w:style>
  <w:style w:type="character" w:customStyle="1" w:styleId="145">
    <w:name w:val="font91"/>
    <w:qFormat/>
    <w:uiPriority w:val="0"/>
    <w:rPr>
      <w:rFonts w:hint="default" w:ascii="Times New Roman" w:hAnsi="Times New Roman" w:cs="Times New Roman"/>
      <w:color w:val="000000"/>
      <w:sz w:val="20"/>
      <w:szCs w:val="20"/>
      <w:u w:val="none"/>
    </w:rPr>
  </w:style>
  <w:style w:type="character" w:customStyle="1" w:styleId="146">
    <w:name w:val="062"/>
    <w:qFormat/>
    <w:uiPriority w:val="0"/>
    <w:rPr>
      <w:rFonts w:ascii="宋体" w:hAnsi="宋体"/>
      <w:b/>
      <w:bCs/>
      <w:sz w:val="32"/>
    </w:rPr>
  </w:style>
  <w:style w:type="character" w:customStyle="1" w:styleId="147">
    <w:name w:val="纯文本 Char3"/>
    <w:qFormat/>
    <w:uiPriority w:val="0"/>
    <w:rPr>
      <w:rFonts w:ascii="宋体" w:hAnsi="Courier New" w:eastAsia="宋体" w:cs="Courier New"/>
      <w:szCs w:val="21"/>
    </w:rPr>
  </w:style>
  <w:style w:type="character" w:customStyle="1" w:styleId="148">
    <w:name w:val="正文文本 Char2"/>
    <w:semiHidden/>
    <w:qFormat/>
    <w:uiPriority w:val="99"/>
    <w:rPr>
      <w:kern w:val="2"/>
      <w:sz w:val="21"/>
      <w:szCs w:val="24"/>
    </w:rPr>
  </w:style>
  <w:style w:type="character" w:customStyle="1" w:styleId="149">
    <w:name w:val="纯文本 Char1"/>
    <w:qFormat/>
    <w:uiPriority w:val="0"/>
    <w:rPr>
      <w:rFonts w:ascii="宋体" w:hAnsi="Courier New" w:eastAsia="宋体" w:cs="Courier New"/>
      <w:szCs w:val="21"/>
    </w:rPr>
  </w:style>
  <w:style w:type="character" w:customStyle="1" w:styleId="150">
    <w:name w:val="Char Char1"/>
    <w:qFormat/>
    <w:uiPriority w:val="0"/>
    <w:rPr>
      <w:rFonts w:eastAsia="宋体"/>
      <w:kern w:val="2"/>
      <w:sz w:val="21"/>
      <w:szCs w:val="24"/>
      <w:lang w:bidi="ar-SA"/>
    </w:rPr>
  </w:style>
  <w:style w:type="character" w:customStyle="1" w:styleId="151">
    <w:name w:val="1ji Char"/>
    <w:link w:val="152"/>
    <w:qFormat/>
    <w:uiPriority w:val="0"/>
    <w:rPr>
      <w:rFonts w:ascii="宋体" w:hAnsi="宋体"/>
      <w:b/>
      <w:bCs/>
      <w:kern w:val="44"/>
      <w:sz w:val="36"/>
      <w:szCs w:val="44"/>
    </w:rPr>
  </w:style>
  <w:style w:type="paragraph" w:customStyle="1" w:styleId="152">
    <w:name w:val="1ji"/>
    <w:basedOn w:val="5"/>
    <w:link w:val="151"/>
    <w:qFormat/>
    <w:uiPriority w:val="0"/>
    <w:pPr>
      <w:keepLines w:val="0"/>
      <w:widowControl/>
      <w:spacing w:before="0" w:after="0" w:line="240" w:lineRule="auto"/>
      <w:jc w:val="center"/>
    </w:pPr>
    <w:rPr>
      <w:rFonts w:ascii="宋体" w:hAnsi="宋体"/>
      <w:sz w:val="36"/>
    </w:rPr>
  </w:style>
  <w:style w:type="character" w:customStyle="1" w:styleId="153">
    <w:name w:val="批注主题 Char1"/>
    <w:qFormat/>
    <w:uiPriority w:val="99"/>
    <w:rPr>
      <w:b/>
      <w:bCs/>
      <w:kern w:val="2"/>
      <w:sz w:val="21"/>
      <w:szCs w:val="24"/>
    </w:rPr>
  </w:style>
  <w:style w:type="character" w:customStyle="1" w:styleId="154">
    <w:name w:val="标题3 Char Char"/>
    <w:link w:val="155"/>
    <w:qFormat/>
    <w:uiPriority w:val="0"/>
    <w:rPr>
      <w:rFonts w:eastAsia="仿宋_GB2312"/>
      <w:bCs/>
      <w:kern w:val="2"/>
      <w:sz w:val="30"/>
      <w:szCs w:val="32"/>
    </w:rPr>
  </w:style>
  <w:style w:type="paragraph" w:customStyle="1" w:styleId="155">
    <w:name w:val="标题3"/>
    <w:basedOn w:val="7"/>
    <w:link w:val="154"/>
    <w:qFormat/>
    <w:uiPriority w:val="0"/>
    <w:pPr>
      <w:keepNext w:val="0"/>
      <w:keepLines w:val="0"/>
      <w:spacing w:before="0" w:after="0" w:line="360" w:lineRule="auto"/>
    </w:pPr>
    <w:rPr>
      <w:rFonts w:eastAsia="仿宋_GB2312"/>
      <w:b w:val="0"/>
      <w:sz w:val="30"/>
    </w:rPr>
  </w:style>
  <w:style w:type="character" w:customStyle="1" w:styleId="156">
    <w:name w:val="批注框文本 Char1"/>
    <w:semiHidden/>
    <w:qFormat/>
    <w:uiPriority w:val="99"/>
    <w:rPr>
      <w:kern w:val="2"/>
      <w:sz w:val="18"/>
      <w:szCs w:val="18"/>
    </w:rPr>
  </w:style>
  <w:style w:type="character" w:customStyle="1" w:styleId="157">
    <w:name w:val="正文文本 2 字符"/>
    <w:link w:val="42"/>
    <w:qFormat/>
    <w:uiPriority w:val="0"/>
    <w:rPr>
      <w:szCs w:val="24"/>
    </w:rPr>
  </w:style>
  <w:style w:type="character" w:customStyle="1" w:styleId="158">
    <w:name w:val="引用 Char2"/>
    <w:qFormat/>
    <w:uiPriority w:val="29"/>
    <w:rPr>
      <w:i/>
      <w:iCs/>
      <w:color w:val="000000"/>
      <w:kern w:val="2"/>
      <w:sz w:val="21"/>
      <w:szCs w:val="24"/>
    </w:rPr>
  </w:style>
  <w:style w:type="paragraph" w:customStyle="1" w:styleId="159">
    <w:name w:val="Char Char Char"/>
    <w:basedOn w:val="1"/>
    <w:qFormat/>
    <w:uiPriority w:val="0"/>
    <w:rPr>
      <w:rFonts w:ascii="Tahoma" w:hAnsi="Tahoma"/>
      <w:sz w:val="24"/>
      <w:szCs w:val="20"/>
    </w:rPr>
  </w:style>
  <w:style w:type="paragraph" w:customStyle="1" w:styleId="160">
    <w:name w:val="Char11"/>
    <w:basedOn w:val="1"/>
    <w:qFormat/>
    <w:uiPriority w:val="0"/>
    <w:rPr>
      <w:szCs w:val="21"/>
    </w:rPr>
  </w:style>
  <w:style w:type="paragraph" w:customStyle="1" w:styleId="161">
    <w:name w:val="样式"/>
    <w:qFormat/>
    <w:uiPriority w:val="0"/>
    <w:pPr>
      <w:widowControl w:val="0"/>
      <w:autoSpaceDE w:val="0"/>
      <w:autoSpaceDN w:val="0"/>
      <w:adjustRightInd w:val="0"/>
    </w:pPr>
    <w:rPr>
      <w:rFonts w:ascii="Times New Roman" w:hAnsi="Times New Roman" w:eastAsia="宋体" w:cs="Times New Roman"/>
      <w:sz w:val="24"/>
      <w:szCs w:val="24"/>
      <w:lang w:val="en-US" w:eastAsia="zh-CN" w:bidi="ar-SA"/>
    </w:rPr>
  </w:style>
  <w:style w:type="paragraph" w:customStyle="1" w:styleId="162">
    <w:name w:val="n-正文级"/>
    <w:basedOn w:val="1"/>
    <w:qFormat/>
    <w:uiPriority w:val="0"/>
    <w:pPr>
      <w:spacing w:line="360" w:lineRule="auto"/>
      <w:ind w:firstLine="480" w:firstLineChars="200"/>
    </w:pPr>
    <w:rPr>
      <w:rFonts w:ascii="仿宋_GB2312" w:hAnsi="宋体" w:eastAsia="仿宋_GB2312"/>
      <w:sz w:val="24"/>
    </w:rPr>
  </w:style>
  <w:style w:type="paragraph" w:customStyle="1" w:styleId="163">
    <w:name w:val="HTML Top of Form"/>
    <w:basedOn w:val="1"/>
    <w:next w:val="1"/>
    <w:qFormat/>
    <w:uiPriority w:val="0"/>
    <w:pPr>
      <w:widowControl/>
      <w:pBdr>
        <w:bottom w:val="single" w:color="auto" w:sz="6" w:space="1"/>
      </w:pBdr>
      <w:jc w:val="center"/>
    </w:pPr>
    <w:rPr>
      <w:rFonts w:ascii="Arial" w:hAnsi="Arial" w:cs="Arial"/>
      <w:vanish/>
      <w:kern w:val="0"/>
      <w:sz w:val="16"/>
      <w:szCs w:val="16"/>
    </w:rPr>
  </w:style>
  <w:style w:type="paragraph" w:customStyle="1" w:styleId="164">
    <w:name w:val="msolistparagraph"/>
    <w:basedOn w:val="1"/>
    <w:qFormat/>
    <w:uiPriority w:val="0"/>
    <w:pPr>
      <w:widowControl/>
      <w:spacing w:before="100" w:beforeAutospacing="1" w:after="100" w:afterAutospacing="1"/>
      <w:jc w:val="left"/>
    </w:pPr>
    <w:rPr>
      <w:rFonts w:ascii="宋体" w:hAnsi="宋体" w:cs="宋体"/>
      <w:kern w:val="0"/>
      <w:sz w:val="24"/>
    </w:rPr>
  </w:style>
  <w:style w:type="paragraph" w:customStyle="1" w:styleId="165">
    <w:name w:val="2ji"/>
    <w:basedOn w:val="6"/>
    <w:qFormat/>
    <w:uiPriority w:val="0"/>
    <w:pPr>
      <w:keepLines/>
      <w:spacing w:before="0"/>
      <w:jc w:val="both"/>
      <w:textAlignment w:val="baseline"/>
    </w:pPr>
    <w:rPr>
      <w:rFonts w:ascii="宋体" w:hAnsi="宋体" w:eastAsia="宋体"/>
      <w:bCs/>
      <w:sz w:val="21"/>
      <w:szCs w:val="21"/>
    </w:rPr>
  </w:style>
  <w:style w:type="paragraph" w:customStyle="1" w:styleId="166">
    <w:name w:val="Default"/>
    <w:qFormat/>
    <w:uiPriority w:val="0"/>
    <w:pPr>
      <w:widowControl w:val="0"/>
      <w:autoSpaceDE w:val="0"/>
      <w:autoSpaceDN w:val="0"/>
      <w:adjustRightInd w:val="0"/>
    </w:pPr>
    <w:rPr>
      <w:rFonts w:ascii="方正大黑简体2." w:hAnsi="Times New Roman" w:eastAsia="方正大黑简体2." w:cs="方正大黑简体2."/>
      <w:color w:val="000000"/>
      <w:sz w:val="24"/>
      <w:szCs w:val="24"/>
      <w:lang w:val="en-US" w:eastAsia="zh-CN" w:bidi="ar-SA"/>
    </w:rPr>
  </w:style>
  <w:style w:type="paragraph" w:customStyle="1" w:styleId="167">
    <w:name w:val="正文--2字符首行缩进"/>
    <w:basedOn w:val="1"/>
    <w:qFormat/>
    <w:uiPriority w:val="0"/>
    <w:pPr>
      <w:snapToGrid w:val="0"/>
      <w:spacing w:line="360" w:lineRule="auto"/>
      <w:ind w:firstLine="560" w:firstLineChars="200"/>
      <w:contextualSpacing/>
    </w:pPr>
    <w:rPr>
      <w:rFonts w:ascii="仿宋_GB2312" w:eastAsia="仿宋_GB2312"/>
      <w:sz w:val="28"/>
    </w:rPr>
  </w:style>
  <w:style w:type="paragraph" w:customStyle="1" w:styleId="168">
    <w:name w:val="正文段"/>
    <w:basedOn w:val="1"/>
    <w:qFormat/>
    <w:uiPriority w:val="0"/>
    <w:pPr>
      <w:widowControl/>
      <w:snapToGrid w:val="0"/>
      <w:spacing w:after="156" w:afterLines="50"/>
      <w:ind w:firstLine="200" w:firstLineChars="200"/>
    </w:pPr>
    <w:rPr>
      <w:kern w:val="0"/>
      <w:sz w:val="24"/>
      <w:szCs w:val="20"/>
    </w:rPr>
  </w:style>
  <w:style w:type="paragraph" w:customStyle="1" w:styleId="169">
    <w:name w:val="五级条标题"/>
    <w:basedOn w:val="170"/>
    <w:next w:val="173"/>
    <w:qFormat/>
    <w:uiPriority w:val="0"/>
    <w:pPr>
      <w:outlineLvl w:val="6"/>
    </w:pPr>
  </w:style>
  <w:style w:type="paragraph" w:customStyle="1" w:styleId="170">
    <w:name w:val="四级条标题"/>
    <w:basedOn w:val="171"/>
    <w:next w:val="173"/>
    <w:qFormat/>
    <w:uiPriority w:val="0"/>
    <w:pPr>
      <w:outlineLvl w:val="5"/>
    </w:pPr>
  </w:style>
  <w:style w:type="paragraph" w:customStyle="1" w:styleId="171">
    <w:name w:val="三级条标题"/>
    <w:basedOn w:val="172"/>
    <w:next w:val="173"/>
    <w:qFormat/>
    <w:uiPriority w:val="0"/>
    <w:pPr>
      <w:outlineLvl w:val="4"/>
    </w:pPr>
  </w:style>
  <w:style w:type="paragraph" w:customStyle="1" w:styleId="172">
    <w:name w:val="二级条标题"/>
    <w:basedOn w:val="1"/>
    <w:next w:val="1"/>
    <w:qFormat/>
    <w:uiPriority w:val="0"/>
    <w:pPr>
      <w:widowControl/>
      <w:jc w:val="left"/>
      <w:outlineLvl w:val="3"/>
    </w:pPr>
    <w:rPr>
      <w:rFonts w:ascii="宋体" w:hAnsi="宋体"/>
      <w:color w:val="000000"/>
      <w:kern w:val="0"/>
      <w:szCs w:val="20"/>
    </w:rPr>
  </w:style>
  <w:style w:type="paragraph" w:customStyle="1" w:styleId="173">
    <w:name w:val="段"/>
    <w:qFormat/>
    <w:uiPriority w:val="0"/>
    <w:pPr>
      <w:autoSpaceDE w:val="0"/>
      <w:autoSpaceDN w:val="0"/>
      <w:ind w:firstLine="200" w:firstLineChars="200"/>
      <w:jc w:val="both"/>
    </w:pPr>
    <w:rPr>
      <w:rFonts w:ascii="Times New Roman" w:hAnsi="Times New Roman" w:eastAsia="宋体" w:cs="Times New Roman"/>
      <w:sz w:val="21"/>
      <w:lang w:val="en-US" w:eastAsia="zh-CN" w:bidi="ar-SA"/>
    </w:rPr>
  </w:style>
  <w:style w:type="paragraph" w:customStyle="1" w:styleId="174">
    <w:name w:val="表格"/>
    <w:basedOn w:val="1"/>
    <w:qFormat/>
    <w:uiPriority w:val="0"/>
    <w:pPr>
      <w:spacing w:line="400" w:lineRule="exact"/>
    </w:pPr>
    <w:rPr>
      <w:sz w:val="24"/>
    </w:rPr>
  </w:style>
  <w:style w:type="paragraph" w:customStyle="1" w:styleId="175">
    <w:name w:val="列表段落1"/>
    <w:basedOn w:val="1"/>
    <w:qFormat/>
    <w:uiPriority w:val="0"/>
    <w:pPr>
      <w:ind w:firstLine="420" w:firstLineChars="200"/>
    </w:pPr>
    <w:rPr>
      <w:rFonts w:ascii="Calibri" w:hAnsi="Calibri"/>
      <w:szCs w:val="22"/>
    </w:rPr>
  </w:style>
  <w:style w:type="paragraph" w:customStyle="1" w:styleId="176">
    <w:name w:val="Char1 Char Char Char Char Char Char Char Char Char Char Char Char"/>
    <w:basedOn w:val="1"/>
    <w:qFormat/>
    <w:uiPriority w:val="0"/>
    <w:rPr>
      <w:rFonts w:ascii="Tahoma" w:hAnsi="Tahoma"/>
      <w:sz w:val="24"/>
      <w:szCs w:val="20"/>
    </w:rPr>
  </w:style>
  <w:style w:type="paragraph" w:customStyle="1" w:styleId="177">
    <w:name w:val="_Style 65"/>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78">
    <w:name w:val="p0"/>
    <w:basedOn w:val="1"/>
    <w:qFormat/>
    <w:uiPriority w:val="0"/>
    <w:pPr>
      <w:widowControl/>
    </w:pPr>
    <w:rPr>
      <w:kern w:val="0"/>
      <w:szCs w:val="21"/>
    </w:rPr>
  </w:style>
  <w:style w:type="paragraph" w:customStyle="1" w:styleId="179">
    <w:name w:val="style2"/>
    <w:basedOn w:val="1"/>
    <w:qFormat/>
    <w:uiPriority w:val="0"/>
    <w:pPr>
      <w:widowControl/>
      <w:spacing w:before="100" w:beforeAutospacing="1" w:after="100" w:afterAutospacing="1"/>
    </w:pPr>
    <w:rPr>
      <w:rFonts w:hint="eastAsia" w:ascii="宋体" w:hAnsi="宋体" w:cs="Arial"/>
      <w:kern w:val="0"/>
      <w:sz w:val="18"/>
      <w:szCs w:val="18"/>
    </w:rPr>
  </w:style>
  <w:style w:type="paragraph" w:customStyle="1" w:styleId="180">
    <w:name w:val="正文 A"/>
    <w:qFormat/>
    <w:uiPriority w:val="0"/>
    <w:pPr>
      <w:widowControl w:val="0"/>
      <w:jc w:val="both"/>
    </w:pPr>
    <w:rPr>
      <w:rFonts w:ascii="Times New Roman" w:hAnsi="Times New Roman" w:eastAsia="Arial Unicode MS" w:cs="Arial Unicode MS"/>
      <w:color w:val="000000"/>
      <w:kern w:val="2"/>
      <w:sz w:val="21"/>
      <w:szCs w:val="21"/>
      <w:lang w:val="en-US" w:eastAsia="zh-CN" w:bidi="ar-SA"/>
    </w:rPr>
  </w:style>
  <w:style w:type="paragraph" w:customStyle="1" w:styleId="181">
    <w:name w:val="无间隔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2">
    <w:name w:val="Char2"/>
    <w:basedOn w:val="1"/>
    <w:qFormat/>
    <w:uiPriority w:val="0"/>
    <w:pPr>
      <w:widowControl/>
      <w:spacing w:after="160" w:line="240" w:lineRule="exact"/>
      <w:jc w:val="left"/>
    </w:pPr>
    <w:rPr>
      <w:rFonts w:ascii="Verdana" w:hAnsi="Verdana"/>
      <w:kern w:val="0"/>
      <w:szCs w:val="20"/>
      <w:lang w:eastAsia="en-US"/>
    </w:rPr>
  </w:style>
  <w:style w:type="paragraph" w:customStyle="1" w:styleId="183">
    <w:name w:val="pa-5"/>
    <w:basedOn w:val="1"/>
    <w:qFormat/>
    <w:uiPriority w:val="0"/>
    <w:pPr>
      <w:widowControl/>
      <w:spacing w:line="240" w:lineRule="atLeast"/>
      <w:ind w:firstLine="420"/>
    </w:pPr>
    <w:rPr>
      <w:rFonts w:ascii="宋体" w:hAnsi="宋体" w:cs="宋体"/>
      <w:kern w:val="0"/>
      <w:sz w:val="24"/>
    </w:rPr>
  </w:style>
  <w:style w:type="paragraph" w:customStyle="1" w:styleId="184">
    <w:name w:val="默认段落字体 Para Char Char Char1 Char"/>
    <w:basedOn w:val="1"/>
    <w:qFormat/>
    <w:uiPriority w:val="0"/>
    <w:rPr>
      <w:rFonts w:ascii="Tahoma" w:hAnsi="Tahoma"/>
      <w:sz w:val="24"/>
      <w:szCs w:val="20"/>
    </w:rPr>
  </w:style>
  <w:style w:type="paragraph" w:customStyle="1" w:styleId="185">
    <w:name w:val="列项——"/>
    <w:qFormat/>
    <w:uiPriority w:val="0"/>
    <w:pPr>
      <w:widowControl w:val="0"/>
      <w:tabs>
        <w:tab w:val="left" w:pos="854"/>
      </w:tabs>
      <w:ind w:left="840" w:leftChars="200" w:hanging="420" w:hangingChars="200"/>
      <w:jc w:val="both"/>
    </w:pPr>
    <w:rPr>
      <w:rFonts w:ascii="Times New Roman" w:hAnsi="Times New Roman" w:eastAsia="宋体" w:cs="Times New Roman"/>
      <w:sz w:val="21"/>
      <w:lang w:val="en-US" w:eastAsia="zh-CN" w:bidi="ar-SA"/>
    </w:rPr>
  </w:style>
  <w:style w:type="paragraph" w:customStyle="1" w:styleId="186">
    <w:name w:val="_Style 86"/>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187">
    <w:name w:val="444"/>
    <w:basedOn w:val="1"/>
    <w:qFormat/>
    <w:uiPriority w:val="0"/>
    <w:pPr>
      <w:adjustRightInd w:val="0"/>
      <w:spacing w:line="312" w:lineRule="atLeast"/>
      <w:jc w:val="center"/>
      <w:textAlignment w:val="baseline"/>
    </w:pPr>
    <w:rPr>
      <w:b/>
      <w:kern w:val="0"/>
      <w:sz w:val="36"/>
      <w:szCs w:val="36"/>
    </w:rPr>
  </w:style>
  <w:style w:type="paragraph" w:customStyle="1" w:styleId="188">
    <w:name w:val="列表1"/>
    <w:basedOn w:val="189"/>
    <w:qFormat/>
    <w:uiPriority w:val="0"/>
    <w:pPr>
      <w:tabs>
        <w:tab w:val="left" w:pos="900"/>
      </w:tabs>
      <w:ind w:left="900" w:hanging="420"/>
    </w:pPr>
    <w:rPr>
      <w:rFonts w:ascii="Times New Roman" w:hAnsi="Times New Roman"/>
      <w:szCs w:val="20"/>
    </w:rPr>
  </w:style>
  <w:style w:type="paragraph" w:customStyle="1" w:styleId="189">
    <w:name w:val="标准正文"/>
    <w:basedOn w:val="3"/>
    <w:qFormat/>
    <w:uiPriority w:val="0"/>
    <w:pPr>
      <w:spacing w:before="60" w:after="60" w:line="360" w:lineRule="auto"/>
      <w:ind w:left="0" w:leftChars="0" w:firstLine="482"/>
    </w:pPr>
    <w:rPr>
      <w:rFonts w:ascii="宋体" w:hAnsi="宋体"/>
      <w:kern w:val="0"/>
      <w:sz w:val="24"/>
      <w:szCs w:val="28"/>
    </w:rPr>
  </w:style>
  <w:style w:type="paragraph" w:customStyle="1" w:styleId="190">
    <w:name w:val="默认段落字体 Para Char1"/>
    <w:next w:val="1"/>
    <w:qFormat/>
    <w:uiPriority w:val="0"/>
    <w:pPr>
      <w:keepNext/>
      <w:keepLines/>
      <w:tabs>
        <w:tab w:val="left" w:pos="360"/>
      </w:tabs>
      <w:snapToGrid w:val="0"/>
      <w:spacing w:before="240" w:after="240"/>
      <w:outlineLvl w:val="7"/>
    </w:pPr>
    <w:rPr>
      <w:rFonts w:ascii="Arial" w:hAnsi="Arial" w:eastAsia="宋体" w:cs="Arial"/>
      <w:kern w:val="2"/>
      <w:lang w:val="en-US" w:eastAsia="zh-CN" w:bidi="ar-SA"/>
    </w:rPr>
  </w:style>
  <w:style w:type="paragraph" w:customStyle="1" w:styleId="191">
    <w:name w:val="样式 标题 2 + Times New Roman 四号 非加粗 段前: 5 磅 段后: 0 磅 行距: 固定值 20..."/>
    <w:basedOn w:val="6"/>
    <w:qFormat/>
    <w:uiPriority w:val="0"/>
    <w:pPr>
      <w:keepLines/>
      <w:adjustRightInd/>
      <w:spacing w:before="100" w:line="400" w:lineRule="exact"/>
      <w:jc w:val="both"/>
    </w:pPr>
    <w:rPr>
      <w:rFonts w:eastAsia="黑体" w:cs="宋体"/>
      <w:b w:val="0"/>
      <w:sz w:val="28"/>
    </w:rPr>
  </w:style>
  <w:style w:type="paragraph" w:customStyle="1" w:styleId="192">
    <w:name w:val="表内文字"/>
    <w:basedOn w:val="1"/>
    <w:qFormat/>
    <w:uiPriority w:val="0"/>
    <w:pPr>
      <w:snapToGrid w:val="0"/>
      <w:spacing w:before="50" w:after="50"/>
      <w:jc w:val="center"/>
    </w:pPr>
    <w:rPr>
      <w:rFonts w:ascii="仿宋_GB2312" w:hAnsi="宋体" w:eastAsia="仿宋_GB2312"/>
      <w:b/>
      <w:color w:val="000000"/>
      <w:sz w:val="32"/>
      <w:szCs w:val="32"/>
    </w:rPr>
  </w:style>
  <w:style w:type="paragraph" w:customStyle="1" w:styleId="193">
    <w:name w:val="样式 Verdana 首行缩进:  0.74 厘米"/>
    <w:basedOn w:val="1"/>
    <w:qFormat/>
    <w:uiPriority w:val="0"/>
    <w:pPr>
      <w:spacing w:line="360" w:lineRule="auto"/>
      <w:ind w:firstLine="420"/>
    </w:pPr>
    <w:rPr>
      <w:rFonts w:ascii="Verdana" w:hAnsi="Verdana"/>
      <w:sz w:val="24"/>
      <w:szCs w:val="20"/>
    </w:rPr>
  </w:style>
  <w:style w:type="paragraph" w:customStyle="1" w:styleId="194">
    <w:name w:val="xl36"/>
    <w:basedOn w:val="1"/>
    <w:qFormat/>
    <w:uiPriority w:val="0"/>
    <w:pPr>
      <w:widowControl/>
      <w:pBdr>
        <w:left w:val="single" w:color="auto" w:sz="4" w:space="0"/>
        <w:bottom w:val="single" w:color="auto" w:sz="4" w:space="0"/>
        <w:right w:val="single" w:color="auto" w:sz="4" w:space="0"/>
      </w:pBdr>
      <w:spacing w:before="100" w:beforeAutospacing="1" w:after="100" w:afterAutospacing="1"/>
      <w:jc w:val="center"/>
      <w:textAlignment w:val="center"/>
    </w:pPr>
    <w:rPr>
      <w:rFonts w:ascii="宋体" w:hAnsi="宋体"/>
      <w:kern w:val="0"/>
      <w:sz w:val="22"/>
      <w:szCs w:val="22"/>
    </w:rPr>
  </w:style>
  <w:style w:type="paragraph" w:customStyle="1" w:styleId="195">
    <w:name w:val="1 Char"/>
    <w:basedOn w:val="10"/>
    <w:qFormat/>
    <w:uiPriority w:val="0"/>
    <w:pPr>
      <w:spacing w:line="360" w:lineRule="auto"/>
      <w:ind w:left="0" w:firstLine="200" w:firstLineChars="200"/>
      <w:jc w:val="both"/>
    </w:pPr>
    <w:rPr>
      <w:rFonts w:ascii="Times New Roman"/>
      <w:snapToGrid/>
      <w:kern w:val="2"/>
      <w:sz w:val="21"/>
    </w:rPr>
  </w:style>
  <w:style w:type="paragraph" w:customStyle="1" w:styleId="196">
    <w:name w:val="列出段落1"/>
    <w:basedOn w:val="1"/>
    <w:qFormat/>
    <w:uiPriority w:val="0"/>
    <w:pPr>
      <w:ind w:firstLine="420" w:firstLineChars="200"/>
    </w:pPr>
    <w:rPr>
      <w:rFonts w:ascii="Calibri" w:hAnsi="Calibri"/>
      <w:szCs w:val="22"/>
    </w:rPr>
  </w:style>
  <w:style w:type="paragraph" w:customStyle="1" w:styleId="197">
    <w:name w:val="_Style 2"/>
    <w:basedOn w:val="1"/>
    <w:qFormat/>
    <w:uiPriority w:val="0"/>
    <w:pPr>
      <w:ind w:firstLine="420" w:firstLineChars="200"/>
    </w:pPr>
  </w:style>
  <w:style w:type="paragraph" w:customStyle="1" w:styleId="198">
    <w:name w:val="Char Char Char1"/>
    <w:basedOn w:val="1"/>
    <w:qFormat/>
    <w:uiPriority w:val="0"/>
    <w:pPr>
      <w:widowControl/>
      <w:spacing w:after="160" w:line="240" w:lineRule="exact"/>
      <w:jc w:val="left"/>
    </w:pPr>
    <w:rPr>
      <w:rFonts w:ascii="Verdana" w:hAnsi="Verdana"/>
      <w:kern w:val="0"/>
      <w:sz w:val="20"/>
      <w:szCs w:val="20"/>
      <w:lang w:eastAsia="en-US"/>
    </w:rPr>
  </w:style>
  <w:style w:type="paragraph" w:customStyle="1" w:styleId="199">
    <w:name w:val="Char"/>
    <w:basedOn w:val="1"/>
    <w:qFormat/>
    <w:uiPriority w:val="0"/>
  </w:style>
  <w:style w:type="paragraph" w:customStyle="1" w:styleId="200">
    <w:name w:val="ÕýÎÄ"/>
    <w:qFormat/>
    <w:uiPriority w:val="0"/>
    <w:pPr>
      <w:widowControl w:val="0"/>
      <w:overflowPunct w:val="0"/>
      <w:autoSpaceDE w:val="0"/>
      <w:autoSpaceDN w:val="0"/>
      <w:adjustRightInd w:val="0"/>
      <w:spacing w:line="351" w:lineRule="atLeast"/>
      <w:ind w:firstLine="419"/>
      <w:jc w:val="both"/>
      <w:textAlignment w:val="baseline"/>
    </w:pPr>
    <w:rPr>
      <w:rFonts w:ascii="Times New Roman" w:hAnsi="Times New Roman" w:eastAsia="宋体" w:cs="Times New Roman"/>
      <w:color w:val="000000"/>
      <w:sz w:val="21"/>
      <w:lang w:val="en-US" w:eastAsia="zh-CN" w:bidi="ar-SA"/>
    </w:rPr>
  </w:style>
  <w:style w:type="paragraph" w:customStyle="1" w:styleId="201">
    <w:name w:val="_Style 861"/>
    <w:next w:val="1"/>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202">
    <w:name w:val="Char3"/>
    <w:basedOn w:val="1"/>
    <w:qFormat/>
    <w:uiPriority w:val="0"/>
    <w:pPr>
      <w:widowControl/>
      <w:spacing w:after="160" w:line="240" w:lineRule="exact"/>
      <w:jc w:val="left"/>
    </w:pPr>
    <w:rPr>
      <w:rFonts w:ascii="Verdana" w:hAnsi="Verdana"/>
      <w:kern w:val="0"/>
      <w:sz w:val="20"/>
      <w:szCs w:val="20"/>
      <w:lang w:eastAsia="en-US"/>
    </w:rPr>
  </w:style>
  <w:style w:type="paragraph" w:customStyle="1" w:styleId="203">
    <w:name w:val="Char Char Char Char"/>
    <w:basedOn w:val="1"/>
    <w:qFormat/>
    <w:uiPriority w:val="0"/>
  </w:style>
  <w:style w:type="paragraph" w:customStyle="1" w:styleId="204">
    <w:name w:val="1"/>
    <w:basedOn w:val="1"/>
    <w:next w:val="27"/>
    <w:qFormat/>
    <w:uiPriority w:val="0"/>
    <w:rPr>
      <w:rFonts w:ascii="宋体" w:hAnsi="Courier New"/>
      <w:szCs w:val="20"/>
    </w:rPr>
  </w:style>
  <w:style w:type="paragraph" w:customStyle="1" w:styleId="205">
    <w:name w:val="Char Char Char Char1"/>
    <w:basedOn w:val="1"/>
    <w:qFormat/>
    <w:uiPriority w:val="0"/>
  </w:style>
  <w:style w:type="paragraph" w:customStyle="1" w:styleId="206">
    <w:name w:val="HTML Bottom of Form"/>
    <w:basedOn w:val="1"/>
    <w:next w:val="1"/>
    <w:qFormat/>
    <w:uiPriority w:val="0"/>
    <w:pPr>
      <w:widowControl/>
      <w:pBdr>
        <w:top w:val="single" w:color="auto" w:sz="6" w:space="1"/>
      </w:pBdr>
      <w:jc w:val="center"/>
    </w:pPr>
    <w:rPr>
      <w:rFonts w:ascii="Arial" w:hAnsi="Arial" w:cs="Arial"/>
      <w:vanish/>
      <w:kern w:val="0"/>
      <w:sz w:val="16"/>
      <w:szCs w:val="16"/>
    </w:rPr>
  </w:style>
  <w:style w:type="paragraph" w:customStyle="1" w:styleId="207">
    <w:name w:val="Char Char Char Char Char Char1 Char"/>
    <w:basedOn w:val="1"/>
    <w:qFormat/>
    <w:uiPriority w:val="0"/>
    <w:pPr>
      <w:widowControl/>
      <w:spacing w:after="160" w:line="240" w:lineRule="exact"/>
      <w:jc w:val="left"/>
    </w:pPr>
    <w:rPr>
      <w:rFonts w:ascii="Verdana" w:hAnsi="Verdana"/>
      <w:kern w:val="0"/>
      <w:szCs w:val="20"/>
      <w:lang w:eastAsia="en-US"/>
    </w:rPr>
  </w:style>
  <w:style w:type="paragraph" w:customStyle="1" w:styleId="208">
    <w:name w:val="pa-3"/>
    <w:basedOn w:val="1"/>
    <w:qFormat/>
    <w:uiPriority w:val="0"/>
    <w:pPr>
      <w:widowControl/>
      <w:spacing w:line="240" w:lineRule="atLeast"/>
    </w:pPr>
    <w:rPr>
      <w:rFonts w:ascii="宋体" w:hAnsi="宋体" w:cs="宋体"/>
      <w:kern w:val="0"/>
      <w:sz w:val="24"/>
    </w:rPr>
  </w:style>
  <w:style w:type="paragraph" w:customStyle="1" w:styleId="209">
    <w:name w:val="规范正文"/>
    <w:basedOn w:val="1"/>
    <w:qFormat/>
    <w:uiPriority w:val="0"/>
    <w:pPr>
      <w:adjustRightInd w:val="0"/>
      <w:spacing w:line="360" w:lineRule="auto"/>
      <w:ind w:left="480"/>
      <w:textAlignment w:val="baseline"/>
    </w:pPr>
    <w:rPr>
      <w:kern w:val="0"/>
      <w:sz w:val="24"/>
      <w:szCs w:val="20"/>
    </w:rPr>
  </w:style>
  <w:style w:type="paragraph" w:customStyle="1" w:styleId="210">
    <w:name w:val="about_main1"/>
    <w:basedOn w:val="1"/>
    <w:qFormat/>
    <w:uiPriority w:val="0"/>
    <w:pPr>
      <w:widowControl/>
      <w:spacing w:before="30" w:after="100" w:afterAutospacing="1"/>
      <w:jc w:val="left"/>
    </w:pPr>
    <w:rPr>
      <w:rFonts w:ascii="宋体" w:hAnsi="宋体" w:cs="宋体"/>
      <w:kern w:val="0"/>
      <w:sz w:val="24"/>
    </w:rPr>
  </w:style>
  <w:style w:type="paragraph" w:customStyle="1" w:styleId="211">
    <w:name w:val="pa-2"/>
    <w:basedOn w:val="1"/>
    <w:qFormat/>
    <w:uiPriority w:val="0"/>
    <w:pPr>
      <w:widowControl/>
      <w:spacing w:line="280" w:lineRule="atLeast"/>
      <w:ind w:firstLine="420"/>
    </w:pPr>
    <w:rPr>
      <w:rFonts w:ascii="宋体" w:hAnsi="宋体" w:cs="宋体"/>
      <w:kern w:val="0"/>
      <w:sz w:val="24"/>
    </w:rPr>
  </w:style>
  <w:style w:type="paragraph" w:customStyle="1" w:styleId="212">
    <w:name w:val="Char1"/>
    <w:basedOn w:val="18"/>
    <w:qFormat/>
    <w:uiPriority w:val="0"/>
    <w:pPr>
      <w:widowControl/>
      <w:ind w:firstLine="454"/>
      <w:jc w:val="left"/>
    </w:pPr>
    <w:rPr>
      <w:rFonts w:ascii="Tahoma" w:hAnsi="Tahoma" w:cs="宋体"/>
      <w:kern w:val="0"/>
      <w:sz w:val="24"/>
      <w:szCs w:val="20"/>
    </w:rPr>
  </w:style>
  <w:style w:type="paragraph" w:customStyle="1" w:styleId="213">
    <w:name w:val="xl24"/>
    <w:basedOn w:val="1"/>
    <w:qFormat/>
    <w:uiPriority w:val="0"/>
    <w:pPr>
      <w:widowControl/>
      <w:pBdr>
        <w:bottom w:val="single" w:color="auto" w:sz="4" w:space="0"/>
        <w:right w:val="single" w:color="auto" w:sz="4" w:space="0"/>
      </w:pBdr>
      <w:spacing w:before="100" w:beforeAutospacing="1" w:after="100" w:afterAutospacing="1"/>
      <w:jc w:val="center"/>
      <w:textAlignment w:val="center"/>
    </w:pPr>
    <w:rPr>
      <w:rFonts w:hint="eastAsia" w:ascii="楷体_GB2312" w:hAnsi="宋体" w:eastAsia="楷体_GB2312"/>
      <w:kern w:val="0"/>
      <w:sz w:val="24"/>
    </w:rPr>
  </w:style>
  <w:style w:type="paragraph" w:customStyle="1" w:styleId="214">
    <w:name w:val="正文1"/>
    <w:basedOn w:val="1"/>
    <w:qFormat/>
    <w:uiPriority w:val="0"/>
    <w:pPr>
      <w:widowControl/>
      <w:overflowPunct w:val="0"/>
      <w:autoSpaceDE w:val="0"/>
      <w:autoSpaceDN w:val="0"/>
      <w:adjustRightInd w:val="0"/>
    </w:pPr>
    <w:rPr>
      <w:rFonts w:ascii="宋体"/>
      <w:kern w:val="0"/>
      <w:szCs w:val="20"/>
    </w:rPr>
  </w:style>
  <w:style w:type="paragraph" w:customStyle="1" w:styleId="215">
    <w:name w:val="样式 标题 3 + (中文) 黑体 小四 非加粗 段前: 7.8 磅 段后: 0 磅 行距: 固定值 20 磅"/>
    <w:basedOn w:val="7"/>
    <w:qFormat/>
    <w:uiPriority w:val="0"/>
    <w:pPr>
      <w:spacing w:before="0" w:after="0" w:line="400" w:lineRule="exact"/>
    </w:pPr>
    <w:rPr>
      <w:rFonts w:eastAsia="黑体" w:cs="宋体"/>
      <w:b w:val="0"/>
      <w:bCs w:val="0"/>
      <w:kern w:val="0"/>
      <w:sz w:val="24"/>
      <w:szCs w:val="20"/>
    </w:rPr>
  </w:style>
  <w:style w:type="paragraph" w:customStyle="1" w:styleId="216">
    <w:name w:val="正文首行缩进两字符"/>
    <w:basedOn w:val="1"/>
    <w:qFormat/>
    <w:uiPriority w:val="0"/>
    <w:pPr>
      <w:spacing w:line="360" w:lineRule="auto"/>
      <w:ind w:firstLine="200" w:firstLineChars="200"/>
    </w:pPr>
  </w:style>
  <w:style w:type="paragraph" w:customStyle="1" w:styleId="217">
    <w:name w:val="一级条标题"/>
    <w:next w:val="173"/>
    <w:qFormat/>
    <w:uiPriority w:val="0"/>
    <w:pPr>
      <w:ind w:left="284"/>
      <w:outlineLvl w:val="2"/>
    </w:pPr>
    <w:rPr>
      <w:rFonts w:ascii="Times New Roman" w:hAnsi="Times New Roman" w:eastAsia="黑体" w:cs="Times New Roman"/>
      <w:sz w:val="21"/>
      <w:lang w:val="en-US" w:eastAsia="zh-CN" w:bidi="ar-SA"/>
    </w:rPr>
  </w:style>
  <w:style w:type="paragraph" w:customStyle="1" w:styleId="218">
    <w:name w:val="1."/>
    <w:basedOn w:val="1"/>
    <w:qFormat/>
    <w:uiPriority w:val="0"/>
    <w:pPr>
      <w:spacing w:line="360" w:lineRule="auto"/>
      <w:ind w:firstLine="480" w:firstLineChars="200"/>
    </w:pPr>
    <w:rPr>
      <w:rFonts w:ascii="宋体" w:hAnsi="宋体"/>
      <w:sz w:val="24"/>
    </w:rPr>
  </w:style>
  <w:style w:type="paragraph" w:customStyle="1" w:styleId="219">
    <w:name w:val="样式 首行缩进:  2 字符"/>
    <w:basedOn w:val="1"/>
    <w:qFormat/>
    <w:uiPriority w:val="0"/>
    <w:pPr>
      <w:spacing w:line="400" w:lineRule="exact"/>
      <w:ind w:firstLine="200" w:firstLineChars="200"/>
    </w:pPr>
    <w:rPr>
      <w:rFonts w:cs="宋体"/>
      <w:sz w:val="24"/>
    </w:rPr>
  </w:style>
  <w:style w:type="paragraph" w:customStyle="1" w:styleId="220">
    <w:name w:val="Char Char3 Char Char"/>
    <w:basedOn w:val="1"/>
    <w:qFormat/>
    <w:uiPriority w:val="0"/>
  </w:style>
  <w:style w:type="paragraph" w:customStyle="1" w:styleId="221">
    <w:name w:val="Char12"/>
    <w:basedOn w:val="1"/>
    <w:qFormat/>
    <w:uiPriority w:val="0"/>
    <w:rPr>
      <w:szCs w:val="21"/>
    </w:rPr>
  </w:style>
  <w:style w:type="paragraph" w:customStyle="1" w:styleId="222">
    <w:name w:val="F2"/>
    <w:basedOn w:val="1"/>
    <w:qFormat/>
    <w:uiPriority w:val="0"/>
    <w:pPr>
      <w:autoSpaceDE w:val="0"/>
      <w:autoSpaceDN w:val="0"/>
      <w:adjustRightInd w:val="0"/>
      <w:ind w:firstLine="601"/>
      <w:textAlignment w:val="baseline"/>
    </w:pPr>
    <w:rPr>
      <w:kern w:val="0"/>
      <w:sz w:val="24"/>
      <w:szCs w:val="20"/>
    </w:rPr>
  </w:style>
  <w:style w:type="paragraph" w:customStyle="1" w:styleId="223">
    <w:name w:val="默认段落字体 Para Char Char Char Char Char Char Char Char Char Char Char Char Char Char Char Char Char Char Char"/>
    <w:basedOn w:val="1"/>
    <w:qFormat/>
    <w:uiPriority w:val="0"/>
    <w:rPr>
      <w:rFonts w:ascii="Calibri" w:hAnsi="Calibri"/>
      <w:szCs w:val="22"/>
    </w:rPr>
  </w:style>
  <w:style w:type="paragraph" w:customStyle="1" w:styleId="224">
    <w:name w:val="样式6"/>
    <w:basedOn w:val="9"/>
    <w:qFormat/>
    <w:uiPriority w:val="0"/>
    <w:pPr>
      <w:numPr>
        <w:numId w:val="0"/>
      </w:numPr>
      <w:spacing w:line="360" w:lineRule="auto"/>
      <w:ind w:left="210" w:leftChars="100"/>
    </w:pPr>
    <w:rPr>
      <w:rFonts w:ascii="宋体" w:hAnsi="宋体" w:cs="Arial"/>
      <w:bCs/>
      <w:sz w:val="24"/>
    </w:rPr>
  </w:style>
  <w:style w:type="paragraph" w:customStyle="1" w:styleId="225">
    <w:name w:val="前言、引言标题"/>
    <w:next w:val="1"/>
    <w:qFormat/>
    <w:uiPriority w:val="0"/>
    <w:pPr>
      <w:shd w:val="clear" w:color="FFFFFF" w:fill="FFFFFF"/>
      <w:spacing w:before="640" w:after="560"/>
      <w:ind w:left="900" w:hanging="420"/>
      <w:jc w:val="center"/>
      <w:outlineLvl w:val="0"/>
    </w:pPr>
    <w:rPr>
      <w:rFonts w:ascii="黑体" w:hAnsi="Times New Roman" w:eastAsia="黑体" w:cs="Times New Roman"/>
      <w:sz w:val="32"/>
      <w:lang w:val="en-US" w:eastAsia="zh-CN" w:bidi="ar-SA"/>
    </w:rPr>
  </w:style>
  <w:style w:type="paragraph" w:customStyle="1" w:styleId="226">
    <w:name w:val="Tabletext"/>
    <w:basedOn w:val="1"/>
    <w:qFormat/>
    <w:uiPriority w:val="0"/>
    <w:pPr>
      <w:keepLines/>
      <w:spacing w:after="120" w:line="240" w:lineRule="atLeast"/>
      <w:jc w:val="left"/>
    </w:pPr>
    <w:rPr>
      <w:rFonts w:ascii="宋体"/>
      <w:snapToGrid w:val="0"/>
      <w:kern w:val="0"/>
      <w:sz w:val="20"/>
      <w:szCs w:val="20"/>
    </w:rPr>
  </w:style>
  <w:style w:type="paragraph" w:customStyle="1" w:styleId="227">
    <w:name w:val="Revision"/>
    <w:unhideWhenUsed/>
    <w:qFormat/>
    <w:uiPriority w:val="99"/>
    <w:rPr>
      <w:rFonts w:ascii="Times New Roman" w:hAnsi="Times New Roman" w:eastAsia="宋体" w:cs="Times New Roman"/>
      <w:kern w:val="2"/>
      <w:sz w:val="21"/>
      <w:szCs w:val="24"/>
      <w:lang w:val="en-US" w:eastAsia="zh-CN" w:bidi="ar-SA"/>
    </w:rPr>
  </w:style>
  <w:style w:type="paragraph" w:customStyle="1" w:styleId="228">
    <w:name w:val="样式5"/>
    <w:basedOn w:val="6"/>
    <w:qFormat/>
    <w:uiPriority w:val="0"/>
    <w:pPr>
      <w:keepLines/>
      <w:adjustRightInd/>
      <w:spacing w:before="260" w:after="260"/>
      <w:ind w:left="420" w:leftChars="200"/>
      <w:jc w:val="both"/>
    </w:pPr>
    <w:rPr>
      <w:rFonts w:ascii="宋体" w:hAnsi="宋体" w:eastAsia="宋体"/>
      <w:bCs/>
      <w:sz w:val="24"/>
      <w:szCs w:val="24"/>
    </w:rPr>
  </w:style>
  <w:style w:type="paragraph" w:customStyle="1" w:styleId="229">
    <w:name w:val="默认段落字体 Para Char Char Char Char Char Char Char Char Char1 Char Char Char Char"/>
    <w:basedOn w:val="1"/>
    <w:qFormat/>
    <w:uiPriority w:val="0"/>
    <w:rPr>
      <w:rFonts w:ascii="Tahoma" w:hAnsi="Tahoma"/>
      <w:sz w:val="24"/>
      <w:szCs w:val="20"/>
    </w:rPr>
  </w:style>
  <w:style w:type="paragraph" w:customStyle="1" w:styleId="230">
    <w:name w:val="2-2ji"/>
    <w:basedOn w:val="6"/>
    <w:qFormat/>
    <w:uiPriority w:val="0"/>
    <w:pPr>
      <w:keepLines/>
      <w:spacing w:before="0"/>
      <w:textAlignment w:val="baseline"/>
    </w:pPr>
    <w:rPr>
      <w:rFonts w:ascii="宋体" w:hAnsi="宋体" w:eastAsia="宋体"/>
      <w:sz w:val="36"/>
      <w:szCs w:val="32"/>
    </w:rPr>
  </w:style>
  <w:style w:type="paragraph" w:customStyle="1" w:styleId="231">
    <w:name w:val="表格文字"/>
    <w:basedOn w:val="1"/>
    <w:qFormat/>
    <w:uiPriority w:val="99"/>
    <w:pPr>
      <w:spacing w:before="25" w:after="25"/>
      <w:jc w:val="left"/>
    </w:pPr>
    <w:rPr>
      <w:bCs/>
      <w:spacing w:val="10"/>
      <w:kern w:val="0"/>
      <w:sz w:val="24"/>
    </w:rPr>
  </w:style>
  <w:style w:type="paragraph" w:customStyle="1" w:styleId="232">
    <w:name w:val="Normal (Web)_file_872_file_882"/>
    <w:basedOn w:val="1"/>
    <w:semiHidden/>
    <w:unhideWhenUsed/>
    <w:qFormat/>
    <w:uiPriority w:val="99"/>
    <w:pPr>
      <w:widowControl/>
      <w:spacing w:before="100" w:beforeAutospacing="1" w:after="100" w:afterAutospacing="1"/>
      <w:jc w:val="left"/>
    </w:pPr>
    <w:rPr>
      <w:rFonts w:ascii="宋体" w:hAnsi="宋体" w:cs="宋体"/>
      <w:kern w:val="0"/>
      <w:sz w:val="24"/>
    </w:rPr>
  </w:style>
  <w:style w:type="character" w:customStyle="1" w:styleId="233">
    <w:name w:val="正文文本首行缩进 2 字符"/>
    <w:basedOn w:val="70"/>
    <w:link w:val="2"/>
    <w:semiHidden/>
    <w:qFormat/>
    <w:uiPriority w:val="0"/>
    <w:rPr>
      <w:kern w:val="2"/>
      <w:sz w:val="21"/>
      <w:szCs w:val="24"/>
    </w:rPr>
  </w:style>
  <w:style w:type="paragraph" w:customStyle="1" w:styleId="234">
    <w:name w:val="Normal_file_132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35">
    <w:name w:val="heading 1_file_1322"/>
    <w:basedOn w:val="234"/>
    <w:qFormat/>
    <w:uiPriority w:val="9"/>
    <w:pPr>
      <w:outlineLvl w:val="0"/>
    </w:pPr>
    <w:rPr>
      <w:kern w:val="36"/>
      <w:sz w:val="48"/>
      <w:szCs w:val="48"/>
    </w:rPr>
  </w:style>
  <w:style w:type="paragraph" w:customStyle="1" w:styleId="236">
    <w:name w:val="heading 2_file_1322"/>
    <w:basedOn w:val="234"/>
    <w:qFormat/>
    <w:uiPriority w:val="9"/>
    <w:pPr>
      <w:outlineLvl w:val="1"/>
    </w:pPr>
    <w:rPr>
      <w:sz w:val="36"/>
      <w:szCs w:val="36"/>
    </w:rPr>
  </w:style>
  <w:style w:type="paragraph" w:customStyle="1" w:styleId="237">
    <w:name w:val="heading 3_file_1322"/>
    <w:basedOn w:val="234"/>
    <w:qFormat/>
    <w:uiPriority w:val="9"/>
    <w:pPr>
      <w:outlineLvl w:val="2"/>
    </w:pPr>
    <w:rPr>
      <w:sz w:val="27"/>
      <w:szCs w:val="27"/>
    </w:rPr>
  </w:style>
  <w:style w:type="paragraph" w:customStyle="1" w:styleId="238">
    <w:name w:val="heading 4_file_1322"/>
    <w:basedOn w:val="234"/>
    <w:qFormat/>
    <w:uiPriority w:val="9"/>
    <w:pPr>
      <w:outlineLvl w:val="3"/>
    </w:pPr>
  </w:style>
  <w:style w:type="paragraph" w:customStyle="1" w:styleId="239">
    <w:name w:val="heading 5_file_1322"/>
    <w:basedOn w:val="234"/>
    <w:qFormat/>
    <w:uiPriority w:val="9"/>
    <w:pPr>
      <w:outlineLvl w:val="4"/>
    </w:pPr>
    <w:rPr>
      <w:sz w:val="20"/>
      <w:szCs w:val="20"/>
    </w:rPr>
  </w:style>
  <w:style w:type="paragraph" w:customStyle="1" w:styleId="240">
    <w:name w:val="heading 6_file_1322"/>
    <w:basedOn w:val="234"/>
    <w:qFormat/>
    <w:uiPriority w:val="9"/>
    <w:pPr>
      <w:outlineLvl w:val="5"/>
    </w:pPr>
    <w:rPr>
      <w:sz w:val="15"/>
      <w:szCs w:val="15"/>
    </w:rPr>
  </w:style>
  <w:style w:type="character" w:customStyle="1" w:styleId="241">
    <w:name w:val="Default Paragraph Font_file_1322"/>
    <w:semiHidden/>
    <w:unhideWhenUsed/>
    <w:qFormat/>
    <w:uiPriority w:val="1"/>
  </w:style>
  <w:style w:type="table" w:customStyle="1" w:styleId="242">
    <w:name w:val="Normal Table_file_1322"/>
    <w:semiHidden/>
    <w:unhideWhenUsed/>
    <w:qFormat/>
    <w:uiPriority w:val="99"/>
    <w:tblPr>
      <w:tblCellMar>
        <w:top w:w="0" w:type="dxa"/>
        <w:left w:w="108" w:type="dxa"/>
        <w:bottom w:w="0" w:type="dxa"/>
        <w:right w:w="108" w:type="dxa"/>
      </w:tblCellMar>
    </w:tblPr>
  </w:style>
  <w:style w:type="character" w:customStyle="1" w:styleId="243">
    <w:name w:val="Hyperlink_file_1322"/>
    <w:basedOn w:val="241"/>
    <w:semiHidden/>
    <w:unhideWhenUsed/>
    <w:qFormat/>
    <w:uiPriority w:val="99"/>
    <w:rPr>
      <w:color w:val="0782C1"/>
      <w:u w:val="single"/>
    </w:rPr>
  </w:style>
  <w:style w:type="character" w:customStyle="1" w:styleId="244">
    <w:name w:val="FollowedHyperlink_file_1322"/>
    <w:basedOn w:val="241"/>
    <w:semiHidden/>
    <w:unhideWhenUsed/>
    <w:qFormat/>
    <w:uiPriority w:val="99"/>
    <w:rPr>
      <w:color w:val="0782C1"/>
      <w:u w:val="single"/>
    </w:rPr>
  </w:style>
  <w:style w:type="character" w:customStyle="1" w:styleId="245">
    <w:name w:val="标题 1 Char_file_1322"/>
    <w:basedOn w:val="241"/>
    <w:link w:val="5"/>
    <w:qFormat/>
    <w:uiPriority w:val="9"/>
    <w:rPr>
      <w:rFonts w:ascii="宋体" w:hAnsi="宋体" w:eastAsia="宋体" w:cs="宋体"/>
      <w:b/>
      <w:bCs/>
      <w:kern w:val="44"/>
      <w:sz w:val="44"/>
      <w:szCs w:val="44"/>
    </w:rPr>
  </w:style>
  <w:style w:type="character" w:customStyle="1" w:styleId="246">
    <w:name w:val="标题 2 Char_file_1322"/>
    <w:basedOn w:val="241"/>
    <w:link w:val="6"/>
    <w:semiHidden/>
    <w:qFormat/>
    <w:uiPriority w:val="9"/>
    <w:rPr>
      <w:rFonts w:asciiTheme="majorHAnsi" w:hAnsiTheme="majorHAnsi" w:eastAsiaTheme="majorEastAsia" w:cstheme="majorBidi"/>
      <w:b/>
      <w:bCs/>
      <w:sz w:val="32"/>
      <w:szCs w:val="32"/>
    </w:rPr>
  </w:style>
  <w:style w:type="character" w:customStyle="1" w:styleId="247">
    <w:name w:val="标题 3 Char_file_1322"/>
    <w:basedOn w:val="241"/>
    <w:link w:val="7"/>
    <w:semiHidden/>
    <w:qFormat/>
    <w:uiPriority w:val="9"/>
    <w:rPr>
      <w:rFonts w:ascii="宋体" w:hAnsi="宋体" w:eastAsia="宋体" w:cs="宋体"/>
      <w:b/>
      <w:bCs/>
      <w:sz w:val="32"/>
      <w:szCs w:val="32"/>
    </w:rPr>
  </w:style>
  <w:style w:type="character" w:customStyle="1" w:styleId="248">
    <w:name w:val="标题 4 Char_file_1322"/>
    <w:basedOn w:val="241"/>
    <w:link w:val="8"/>
    <w:semiHidden/>
    <w:qFormat/>
    <w:uiPriority w:val="9"/>
    <w:rPr>
      <w:rFonts w:asciiTheme="majorHAnsi" w:hAnsiTheme="majorHAnsi" w:eastAsiaTheme="majorEastAsia" w:cstheme="majorBidi"/>
      <w:b/>
      <w:bCs/>
      <w:sz w:val="28"/>
      <w:szCs w:val="28"/>
    </w:rPr>
  </w:style>
  <w:style w:type="character" w:customStyle="1" w:styleId="249">
    <w:name w:val="标题 5 Char_file_1322"/>
    <w:basedOn w:val="241"/>
    <w:link w:val="9"/>
    <w:semiHidden/>
    <w:qFormat/>
    <w:uiPriority w:val="9"/>
    <w:rPr>
      <w:rFonts w:ascii="宋体" w:hAnsi="宋体" w:eastAsia="宋体" w:cs="宋体"/>
      <w:b/>
      <w:bCs/>
      <w:sz w:val="28"/>
      <w:szCs w:val="28"/>
    </w:rPr>
  </w:style>
  <w:style w:type="character" w:customStyle="1" w:styleId="250">
    <w:name w:val="标题 6 Char_file_1322"/>
    <w:basedOn w:val="241"/>
    <w:link w:val="11"/>
    <w:semiHidden/>
    <w:qFormat/>
    <w:uiPriority w:val="9"/>
    <w:rPr>
      <w:rFonts w:asciiTheme="majorHAnsi" w:hAnsiTheme="majorHAnsi" w:eastAsiaTheme="majorEastAsia" w:cstheme="majorBidi"/>
      <w:b/>
      <w:bCs/>
      <w:sz w:val="24"/>
      <w:szCs w:val="24"/>
    </w:rPr>
  </w:style>
  <w:style w:type="paragraph" w:customStyle="1" w:styleId="251">
    <w:name w:val="cke_editable_file_1322"/>
    <w:basedOn w:val="234"/>
    <w:qFormat/>
    <w:uiPriority w:val="0"/>
    <w:rPr>
      <w:rFonts w:ascii="仿宋_GB2312" w:eastAsia="仿宋_GB2312"/>
    </w:rPr>
  </w:style>
  <w:style w:type="paragraph" w:customStyle="1" w:styleId="252">
    <w:name w:val="marker_file_1322"/>
    <w:basedOn w:val="234"/>
    <w:qFormat/>
    <w:uiPriority w:val="0"/>
    <w:pPr>
      <w:shd w:val="clear" w:color="auto" w:fill="FFFF00"/>
    </w:pPr>
  </w:style>
  <w:style w:type="paragraph" w:customStyle="1" w:styleId="253">
    <w:name w:val="Normal (Web)_file_1322"/>
    <w:basedOn w:val="234"/>
    <w:semiHidden/>
    <w:unhideWhenUsed/>
    <w:qFormat/>
    <w:uiPriority w:val="99"/>
  </w:style>
  <w:style w:type="paragraph" w:customStyle="1" w:styleId="254">
    <w:name w:val="Normal_file_132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55">
    <w:name w:val="heading 1_file_1323"/>
    <w:basedOn w:val="254"/>
    <w:qFormat/>
    <w:uiPriority w:val="9"/>
    <w:pPr>
      <w:outlineLvl w:val="0"/>
    </w:pPr>
    <w:rPr>
      <w:kern w:val="36"/>
      <w:sz w:val="48"/>
      <w:szCs w:val="48"/>
    </w:rPr>
  </w:style>
  <w:style w:type="paragraph" w:customStyle="1" w:styleId="256">
    <w:name w:val="heading 2_file_1323"/>
    <w:basedOn w:val="254"/>
    <w:qFormat/>
    <w:uiPriority w:val="9"/>
    <w:pPr>
      <w:outlineLvl w:val="1"/>
    </w:pPr>
    <w:rPr>
      <w:sz w:val="36"/>
      <w:szCs w:val="36"/>
    </w:rPr>
  </w:style>
  <w:style w:type="paragraph" w:customStyle="1" w:styleId="257">
    <w:name w:val="heading 3_file_1323"/>
    <w:basedOn w:val="254"/>
    <w:qFormat/>
    <w:uiPriority w:val="9"/>
    <w:pPr>
      <w:outlineLvl w:val="2"/>
    </w:pPr>
    <w:rPr>
      <w:sz w:val="27"/>
      <w:szCs w:val="27"/>
    </w:rPr>
  </w:style>
  <w:style w:type="paragraph" w:customStyle="1" w:styleId="258">
    <w:name w:val="heading 4_file_1323"/>
    <w:basedOn w:val="254"/>
    <w:qFormat/>
    <w:uiPriority w:val="9"/>
    <w:pPr>
      <w:outlineLvl w:val="3"/>
    </w:pPr>
  </w:style>
  <w:style w:type="paragraph" w:customStyle="1" w:styleId="259">
    <w:name w:val="heading 5_file_1323"/>
    <w:basedOn w:val="254"/>
    <w:qFormat/>
    <w:uiPriority w:val="9"/>
    <w:pPr>
      <w:outlineLvl w:val="4"/>
    </w:pPr>
    <w:rPr>
      <w:sz w:val="20"/>
      <w:szCs w:val="20"/>
    </w:rPr>
  </w:style>
  <w:style w:type="paragraph" w:customStyle="1" w:styleId="260">
    <w:name w:val="heading 6_file_1323"/>
    <w:basedOn w:val="254"/>
    <w:qFormat/>
    <w:uiPriority w:val="9"/>
    <w:pPr>
      <w:outlineLvl w:val="5"/>
    </w:pPr>
    <w:rPr>
      <w:sz w:val="15"/>
      <w:szCs w:val="15"/>
    </w:rPr>
  </w:style>
  <w:style w:type="character" w:customStyle="1" w:styleId="261">
    <w:name w:val="Default Paragraph Font_file_1323"/>
    <w:semiHidden/>
    <w:unhideWhenUsed/>
    <w:qFormat/>
    <w:uiPriority w:val="1"/>
  </w:style>
  <w:style w:type="table" w:customStyle="1" w:styleId="262">
    <w:name w:val="Normal Table_file_1323"/>
    <w:semiHidden/>
    <w:unhideWhenUsed/>
    <w:qFormat/>
    <w:uiPriority w:val="99"/>
    <w:tblPr>
      <w:tblCellMar>
        <w:top w:w="0" w:type="dxa"/>
        <w:left w:w="108" w:type="dxa"/>
        <w:bottom w:w="0" w:type="dxa"/>
        <w:right w:w="108" w:type="dxa"/>
      </w:tblCellMar>
    </w:tblPr>
  </w:style>
  <w:style w:type="character" w:customStyle="1" w:styleId="263">
    <w:name w:val="Hyperlink_file_1323"/>
    <w:basedOn w:val="261"/>
    <w:semiHidden/>
    <w:unhideWhenUsed/>
    <w:qFormat/>
    <w:uiPriority w:val="99"/>
    <w:rPr>
      <w:color w:val="0782C1"/>
      <w:u w:val="single"/>
    </w:rPr>
  </w:style>
  <w:style w:type="character" w:customStyle="1" w:styleId="264">
    <w:name w:val="FollowedHyperlink_file_1323"/>
    <w:basedOn w:val="261"/>
    <w:semiHidden/>
    <w:unhideWhenUsed/>
    <w:qFormat/>
    <w:uiPriority w:val="99"/>
    <w:rPr>
      <w:color w:val="0782C1"/>
      <w:u w:val="single"/>
    </w:rPr>
  </w:style>
  <w:style w:type="character" w:customStyle="1" w:styleId="265">
    <w:name w:val="标题 1 Char_file_1323"/>
    <w:basedOn w:val="261"/>
    <w:link w:val="5"/>
    <w:qFormat/>
    <w:uiPriority w:val="9"/>
    <w:rPr>
      <w:rFonts w:ascii="宋体" w:hAnsi="宋体" w:eastAsia="宋体" w:cs="宋体"/>
      <w:b/>
      <w:bCs/>
      <w:kern w:val="44"/>
      <w:sz w:val="44"/>
      <w:szCs w:val="44"/>
    </w:rPr>
  </w:style>
  <w:style w:type="character" w:customStyle="1" w:styleId="266">
    <w:name w:val="标题 2 Char_file_1323"/>
    <w:basedOn w:val="261"/>
    <w:link w:val="6"/>
    <w:semiHidden/>
    <w:qFormat/>
    <w:uiPriority w:val="9"/>
    <w:rPr>
      <w:rFonts w:asciiTheme="majorHAnsi" w:hAnsiTheme="majorHAnsi" w:eastAsiaTheme="majorEastAsia" w:cstheme="majorBidi"/>
      <w:b/>
      <w:bCs/>
      <w:sz w:val="32"/>
      <w:szCs w:val="32"/>
    </w:rPr>
  </w:style>
  <w:style w:type="character" w:customStyle="1" w:styleId="267">
    <w:name w:val="标题 3 Char_file_1323"/>
    <w:basedOn w:val="261"/>
    <w:link w:val="7"/>
    <w:semiHidden/>
    <w:qFormat/>
    <w:uiPriority w:val="9"/>
    <w:rPr>
      <w:rFonts w:ascii="宋体" w:hAnsi="宋体" w:eastAsia="宋体" w:cs="宋体"/>
      <w:b/>
      <w:bCs/>
      <w:sz w:val="32"/>
      <w:szCs w:val="32"/>
    </w:rPr>
  </w:style>
  <w:style w:type="character" w:customStyle="1" w:styleId="268">
    <w:name w:val="标题 4 Char_file_1323"/>
    <w:basedOn w:val="261"/>
    <w:link w:val="8"/>
    <w:semiHidden/>
    <w:qFormat/>
    <w:uiPriority w:val="9"/>
    <w:rPr>
      <w:rFonts w:asciiTheme="majorHAnsi" w:hAnsiTheme="majorHAnsi" w:eastAsiaTheme="majorEastAsia" w:cstheme="majorBidi"/>
      <w:b/>
      <w:bCs/>
      <w:sz w:val="28"/>
      <w:szCs w:val="28"/>
    </w:rPr>
  </w:style>
  <w:style w:type="character" w:customStyle="1" w:styleId="269">
    <w:name w:val="标题 5 Char_file_1323"/>
    <w:basedOn w:val="261"/>
    <w:link w:val="9"/>
    <w:semiHidden/>
    <w:qFormat/>
    <w:uiPriority w:val="9"/>
    <w:rPr>
      <w:rFonts w:ascii="宋体" w:hAnsi="宋体" w:eastAsia="宋体" w:cs="宋体"/>
      <w:b/>
      <w:bCs/>
      <w:sz w:val="28"/>
      <w:szCs w:val="28"/>
    </w:rPr>
  </w:style>
  <w:style w:type="character" w:customStyle="1" w:styleId="270">
    <w:name w:val="标题 6 Char_file_1323"/>
    <w:basedOn w:val="261"/>
    <w:link w:val="11"/>
    <w:semiHidden/>
    <w:qFormat/>
    <w:uiPriority w:val="9"/>
    <w:rPr>
      <w:rFonts w:asciiTheme="majorHAnsi" w:hAnsiTheme="majorHAnsi" w:eastAsiaTheme="majorEastAsia" w:cstheme="majorBidi"/>
      <w:b/>
      <w:bCs/>
      <w:sz w:val="24"/>
      <w:szCs w:val="24"/>
    </w:rPr>
  </w:style>
  <w:style w:type="paragraph" w:customStyle="1" w:styleId="271">
    <w:name w:val="cke_editable_file_1323"/>
    <w:basedOn w:val="254"/>
    <w:qFormat/>
    <w:uiPriority w:val="0"/>
    <w:rPr>
      <w:rFonts w:ascii="仿宋_GB2312" w:eastAsia="仿宋_GB2312"/>
    </w:rPr>
  </w:style>
  <w:style w:type="paragraph" w:customStyle="1" w:styleId="272">
    <w:name w:val="marker_file_1323"/>
    <w:basedOn w:val="254"/>
    <w:qFormat/>
    <w:uiPriority w:val="0"/>
    <w:pPr>
      <w:shd w:val="clear" w:color="auto" w:fill="FFFF00"/>
    </w:pPr>
  </w:style>
  <w:style w:type="paragraph" w:customStyle="1" w:styleId="273">
    <w:name w:val="Normal (Web)_file_1323"/>
    <w:basedOn w:val="254"/>
    <w:semiHidden/>
    <w:unhideWhenUsed/>
    <w:qFormat/>
    <w:uiPriority w:val="99"/>
  </w:style>
  <w:style w:type="paragraph" w:customStyle="1" w:styleId="274">
    <w:name w:val="Normal_file_132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75">
    <w:name w:val="heading 1_file_1324"/>
    <w:basedOn w:val="274"/>
    <w:qFormat/>
    <w:uiPriority w:val="9"/>
    <w:pPr>
      <w:outlineLvl w:val="0"/>
    </w:pPr>
    <w:rPr>
      <w:kern w:val="36"/>
      <w:sz w:val="48"/>
      <w:szCs w:val="48"/>
    </w:rPr>
  </w:style>
  <w:style w:type="paragraph" w:customStyle="1" w:styleId="276">
    <w:name w:val="heading 2_file_1324"/>
    <w:basedOn w:val="274"/>
    <w:qFormat/>
    <w:uiPriority w:val="9"/>
    <w:pPr>
      <w:outlineLvl w:val="1"/>
    </w:pPr>
    <w:rPr>
      <w:sz w:val="36"/>
      <w:szCs w:val="36"/>
    </w:rPr>
  </w:style>
  <w:style w:type="paragraph" w:customStyle="1" w:styleId="277">
    <w:name w:val="heading 3_file_1324"/>
    <w:basedOn w:val="274"/>
    <w:qFormat/>
    <w:uiPriority w:val="9"/>
    <w:pPr>
      <w:outlineLvl w:val="2"/>
    </w:pPr>
    <w:rPr>
      <w:sz w:val="27"/>
      <w:szCs w:val="27"/>
    </w:rPr>
  </w:style>
  <w:style w:type="paragraph" w:customStyle="1" w:styleId="278">
    <w:name w:val="heading 4_file_1324"/>
    <w:basedOn w:val="274"/>
    <w:qFormat/>
    <w:uiPriority w:val="9"/>
    <w:pPr>
      <w:outlineLvl w:val="3"/>
    </w:pPr>
  </w:style>
  <w:style w:type="paragraph" w:customStyle="1" w:styleId="279">
    <w:name w:val="heading 5_file_1324"/>
    <w:basedOn w:val="274"/>
    <w:qFormat/>
    <w:uiPriority w:val="9"/>
    <w:pPr>
      <w:outlineLvl w:val="4"/>
    </w:pPr>
    <w:rPr>
      <w:sz w:val="20"/>
      <w:szCs w:val="20"/>
    </w:rPr>
  </w:style>
  <w:style w:type="paragraph" w:customStyle="1" w:styleId="280">
    <w:name w:val="heading 6_file_1324"/>
    <w:basedOn w:val="274"/>
    <w:qFormat/>
    <w:uiPriority w:val="9"/>
    <w:pPr>
      <w:outlineLvl w:val="5"/>
    </w:pPr>
    <w:rPr>
      <w:sz w:val="15"/>
      <w:szCs w:val="15"/>
    </w:rPr>
  </w:style>
  <w:style w:type="character" w:customStyle="1" w:styleId="281">
    <w:name w:val="Default Paragraph Font_file_1324"/>
    <w:semiHidden/>
    <w:unhideWhenUsed/>
    <w:qFormat/>
    <w:uiPriority w:val="1"/>
  </w:style>
  <w:style w:type="table" w:customStyle="1" w:styleId="282">
    <w:name w:val="Normal Table_file_1324"/>
    <w:semiHidden/>
    <w:unhideWhenUsed/>
    <w:qFormat/>
    <w:uiPriority w:val="99"/>
    <w:tblPr>
      <w:tblCellMar>
        <w:top w:w="0" w:type="dxa"/>
        <w:left w:w="108" w:type="dxa"/>
        <w:bottom w:w="0" w:type="dxa"/>
        <w:right w:w="108" w:type="dxa"/>
      </w:tblCellMar>
    </w:tblPr>
  </w:style>
  <w:style w:type="character" w:customStyle="1" w:styleId="283">
    <w:name w:val="Hyperlink_file_1324"/>
    <w:basedOn w:val="281"/>
    <w:semiHidden/>
    <w:unhideWhenUsed/>
    <w:qFormat/>
    <w:uiPriority w:val="99"/>
    <w:rPr>
      <w:color w:val="0782C1"/>
      <w:u w:val="single"/>
    </w:rPr>
  </w:style>
  <w:style w:type="character" w:customStyle="1" w:styleId="284">
    <w:name w:val="FollowedHyperlink_file_1324"/>
    <w:basedOn w:val="281"/>
    <w:semiHidden/>
    <w:unhideWhenUsed/>
    <w:qFormat/>
    <w:uiPriority w:val="99"/>
    <w:rPr>
      <w:color w:val="0782C1"/>
      <w:u w:val="single"/>
    </w:rPr>
  </w:style>
  <w:style w:type="character" w:customStyle="1" w:styleId="285">
    <w:name w:val="标题 1 Char_file_1324"/>
    <w:basedOn w:val="281"/>
    <w:link w:val="5"/>
    <w:qFormat/>
    <w:uiPriority w:val="9"/>
    <w:rPr>
      <w:rFonts w:ascii="宋体" w:hAnsi="宋体" w:eastAsia="宋体" w:cs="宋体"/>
      <w:b/>
      <w:bCs/>
      <w:kern w:val="44"/>
      <w:sz w:val="44"/>
      <w:szCs w:val="44"/>
    </w:rPr>
  </w:style>
  <w:style w:type="character" w:customStyle="1" w:styleId="286">
    <w:name w:val="标题 2 Char_file_1324"/>
    <w:basedOn w:val="281"/>
    <w:link w:val="6"/>
    <w:semiHidden/>
    <w:qFormat/>
    <w:uiPriority w:val="9"/>
    <w:rPr>
      <w:rFonts w:asciiTheme="majorHAnsi" w:hAnsiTheme="majorHAnsi" w:eastAsiaTheme="majorEastAsia" w:cstheme="majorBidi"/>
      <w:b/>
      <w:bCs/>
      <w:sz w:val="32"/>
      <w:szCs w:val="32"/>
    </w:rPr>
  </w:style>
  <w:style w:type="character" w:customStyle="1" w:styleId="287">
    <w:name w:val="标题 3 Char_file_1324"/>
    <w:basedOn w:val="281"/>
    <w:link w:val="7"/>
    <w:semiHidden/>
    <w:qFormat/>
    <w:uiPriority w:val="9"/>
    <w:rPr>
      <w:rFonts w:ascii="宋体" w:hAnsi="宋体" w:eastAsia="宋体" w:cs="宋体"/>
      <w:b/>
      <w:bCs/>
      <w:sz w:val="32"/>
      <w:szCs w:val="32"/>
    </w:rPr>
  </w:style>
  <w:style w:type="character" w:customStyle="1" w:styleId="288">
    <w:name w:val="标题 4 Char_file_1324"/>
    <w:basedOn w:val="281"/>
    <w:link w:val="8"/>
    <w:semiHidden/>
    <w:qFormat/>
    <w:uiPriority w:val="9"/>
    <w:rPr>
      <w:rFonts w:asciiTheme="majorHAnsi" w:hAnsiTheme="majorHAnsi" w:eastAsiaTheme="majorEastAsia" w:cstheme="majorBidi"/>
      <w:b/>
      <w:bCs/>
      <w:sz w:val="28"/>
      <w:szCs w:val="28"/>
    </w:rPr>
  </w:style>
  <w:style w:type="character" w:customStyle="1" w:styleId="289">
    <w:name w:val="标题 5 Char_file_1324"/>
    <w:basedOn w:val="281"/>
    <w:link w:val="9"/>
    <w:semiHidden/>
    <w:qFormat/>
    <w:uiPriority w:val="9"/>
    <w:rPr>
      <w:rFonts w:ascii="宋体" w:hAnsi="宋体" w:eastAsia="宋体" w:cs="宋体"/>
      <w:b/>
      <w:bCs/>
      <w:sz w:val="28"/>
      <w:szCs w:val="28"/>
    </w:rPr>
  </w:style>
  <w:style w:type="character" w:customStyle="1" w:styleId="290">
    <w:name w:val="标题 6 Char_file_1324"/>
    <w:basedOn w:val="281"/>
    <w:link w:val="11"/>
    <w:semiHidden/>
    <w:qFormat/>
    <w:uiPriority w:val="9"/>
    <w:rPr>
      <w:rFonts w:asciiTheme="majorHAnsi" w:hAnsiTheme="majorHAnsi" w:eastAsiaTheme="majorEastAsia" w:cstheme="majorBidi"/>
      <w:b/>
      <w:bCs/>
      <w:sz w:val="24"/>
      <w:szCs w:val="24"/>
    </w:rPr>
  </w:style>
  <w:style w:type="paragraph" w:customStyle="1" w:styleId="291">
    <w:name w:val="cke_editable_file_1324"/>
    <w:basedOn w:val="274"/>
    <w:qFormat/>
    <w:uiPriority w:val="0"/>
    <w:rPr>
      <w:rFonts w:ascii="仿宋_GB2312" w:eastAsia="仿宋_GB2312"/>
    </w:rPr>
  </w:style>
  <w:style w:type="paragraph" w:customStyle="1" w:styleId="292">
    <w:name w:val="marker_file_1324"/>
    <w:basedOn w:val="274"/>
    <w:qFormat/>
    <w:uiPriority w:val="0"/>
    <w:pPr>
      <w:shd w:val="clear" w:color="auto" w:fill="FFFF00"/>
    </w:pPr>
  </w:style>
  <w:style w:type="paragraph" w:customStyle="1" w:styleId="293">
    <w:name w:val="Normal (Web)_file_1324"/>
    <w:basedOn w:val="274"/>
    <w:semiHidden/>
    <w:unhideWhenUsed/>
    <w:qFormat/>
    <w:uiPriority w:val="99"/>
  </w:style>
  <w:style w:type="paragraph" w:customStyle="1" w:styleId="294">
    <w:name w:val="Normal_file_13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295">
    <w:name w:val="heading 1_file_1325"/>
    <w:basedOn w:val="294"/>
    <w:qFormat/>
    <w:uiPriority w:val="9"/>
    <w:pPr>
      <w:outlineLvl w:val="0"/>
    </w:pPr>
    <w:rPr>
      <w:kern w:val="36"/>
      <w:sz w:val="48"/>
      <w:szCs w:val="48"/>
    </w:rPr>
  </w:style>
  <w:style w:type="paragraph" w:customStyle="1" w:styleId="296">
    <w:name w:val="heading 2_file_1325"/>
    <w:basedOn w:val="294"/>
    <w:qFormat/>
    <w:uiPriority w:val="9"/>
    <w:pPr>
      <w:outlineLvl w:val="1"/>
    </w:pPr>
    <w:rPr>
      <w:sz w:val="36"/>
      <w:szCs w:val="36"/>
    </w:rPr>
  </w:style>
  <w:style w:type="paragraph" w:customStyle="1" w:styleId="297">
    <w:name w:val="heading 3_file_1325"/>
    <w:basedOn w:val="294"/>
    <w:qFormat/>
    <w:uiPriority w:val="9"/>
    <w:pPr>
      <w:outlineLvl w:val="2"/>
    </w:pPr>
    <w:rPr>
      <w:sz w:val="27"/>
      <w:szCs w:val="27"/>
    </w:rPr>
  </w:style>
  <w:style w:type="paragraph" w:customStyle="1" w:styleId="298">
    <w:name w:val="heading 4_file_1325"/>
    <w:basedOn w:val="294"/>
    <w:qFormat/>
    <w:uiPriority w:val="9"/>
    <w:pPr>
      <w:outlineLvl w:val="3"/>
    </w:pPr>
  </w:style>
  <w:style w:type="paragraph" w:customStyle="1" w:styleId="299">
    <w:name w:val="heading 5_file_1325"/>
    <w:basedOn w:val="294"/>
    <w:qFormat/>
    <w:uiPriority w:val="9"/>
    <w:pPr>
      <w:outlineLvl w:val="4"/>
    </w:pPr>
    <w:rPr>
      <w:sz w:val="20"/>
      <w:szCs w:val="20"/>
    </w:rPr>
  </w:style>
  <w:style w:type="paragraph" w:customStyle="1" w:styleId="300">
    <w:name w:val="heading 6_file_1325"/>
    <w:basedOn w:val="294"/>
    <w:qFormat/>
    <w:uiPriority w:val="9"/>
    <w:pPr>
      <w:outlineLvl w:val="5"/>
    </w:pPr>
    <w:rPr>
      <w:sz w:val="15"/>
      <w:szCs w:val="15"/>
    </w:rPr>
  </w:style>
  <w:style w:type="character" w:customStyle="1" w:styleId="301">
    <w:name w:val="Default Paragraph Font_file_1325"/>
    <w:semiHidden/>
    <w:unhideWhenUsed/>
    <w:qFormat/>
    <w:uiPriority w:val="1"/>
  </w:style>
  <w:style w:type="table" w:customStyle="1" w:styleId="302">
    <w:name w:val="Normal Table_file_1325"/>
    <w:semiHidden/>
    <w:unhideWhenUsed/>
    <w:qFormat/>
    <w:uiPriority w:val="99"/>
    <w:tblPr>
      <w:tblCellMar>
        <w:top w:w="0" w:type="dxa"/>
        <w:left w:w="108" w:type="dxa"/>
        <w:bottom w:w="0" w:type="dxa"/>
        <w:right w:w="108" w:type="dxa"/>
      </w:tblCellMar>
    </w:tblPr>
  </w:style>
  <w:style w:type="character" w:customStyle="1" w:styleId="303">
    <w:name w:val="Hyperlink_file_1325"/>
    <w:basedOn w:val="301"/>
    <w:semiHidden/>
    <w:unhideWhenUsed/>
    <w:qFormat/>
    <w:uiPriority w:val="99"/>
    <w:rPr>
      <w:color w:val="0782C1"/>
      <w:u w:val="single"/>
    </w:rPr>
  </w:style>
  <w:style w:type="character" w:customStyle="1" w:styleId="304">
    <w:name w:val="FollowedHyperlink_file_1325"/>
    <w:basedOn w:val="301"/>
    <w:semiHidden/>
    <w:unhideWhenUsed/>
    <w:qFormat/>
    <w:uiPriority w:val="99"/>
    <w:rPr>
      <w:color w:val="0782C1"/>
      <w:u w:val="single"/>
    </w:rPr>
  </w:style>
  <w:style w:type="character" w:customStyle="1" w:styleId="305">
    <w:name w:val="标题 1 Char_file_1325"/>
    <w:basedOn w:val="301"/>
    <w:link w:val="5"/>
    <w:qFormat/>
    <w:uiPriority w:val="9"/>
    <w:rPr>
      <w:rFonts w:ascii="宋体" w:hAnsi="宋体" w:eastAsia="宋体" w:cs="宋体"/>
      <w:b/>
      <w:bCs/>
      <w:kern w:val="44"/>
      <w:sz w:val="44"/>
      <w:szCs w:val="44"/>
    </w:rPr>
  </w:style>
  <w:style w:type="character" w:customStyle="1" w:styleId="306">
    <w:name w:val="标题 2 Char_file_1325"/>
    <w:basedOn w:val="301"/>
    <w:link w:val="6"/>
    <w:semiHidden/>
    <w:qFormat/>
    <w:uiPriority w:val="9"/>
    <w:rPr>
      <w:rFonts w:asciiTheme="majorHAnsi" w:hAnsiTheme="majorHAnsi" w:eastAsiaTheme="majorEastAsia" w:cstheme="majorBidi"/>
      <w:b/>
      <w:bCs/>
      <w:sz w:val="32"/>
      <w:szCs w:val="32"/>
    </w:rPr>
  </w:style>
  <w:style w:type="character" w:customStyle="1" w:styleId="307">
    <w:name w:val="标题 3 Char_file_1325"/>
    <w:basedOn w:val="301"/>
    <w:link w:val="7"/>
    <w:semiHidden/>
    <w:qFormat/>
    <w:uiPriority w:val="9"/>
    <w:rPr>
      <w:rFonts w:ascii="宋体" w:hAnsi="宋体" w:eastAsia="宋体" w:cs="宋体"/>
      <w:b/>
      <w:bCs/>
      <w:sz w:val="32"/>
      <w:szCs w:val="32"/>
    </w:rPr>
  </w:style>
  <w:style w:type="character" w:customStyle="1" w:styleId="308">
    <w:name w:val="标题 4 Char_file_1325"/>
    <w:basedOn w:val="301"/>
    <w:link w:val="8"/>
    <w:semiHidden/>
    <w:qFormat/>
    <w:uiPriority w:val="9"/>
    <w:rPr>
      <w:rFonts w:asciiTheme="majorHAnsi" w:hAnsiTheme="majorHAnsi" w:eastAsiaTheme="majorEastAsia" w:cstheme="majorBidi"/>
      <w:b/>
      <w:bCs/>
      <w:sz w:val="28"/>
      <w:szCs w:val="28"/>
    </w:rPr>
  </w:style>
  <w:style w:type="character" w:customStyle="1" w:styleId="309">
    <w:name w:val="标题 5 Char_file_1325"/>
    <w:basedOn w:val="301"/>
    <w:link w:val="9"/>
    <w:semiHidden/>
    <w:qFormat/>
    <w:uiPriority w:val="9"/>
    <w:rPr>
      <w:rFonts w:ascii="宋体" w:hAnsi="宋体" w:eastAsia="宋体" w:cs="宋体"/>
      <w:b/>
      <w:bCs/>
      <w:sz w:val="28"/>
      <w:szCs w:val="28"/>
    </w:rPr>
  </w:style>
  <w:style w:type="character" w:customStyle="1" w:styleId="310">
    <w:name w:val="标题 6 Char_file_1325"/>
    <w:basedOn w:val="301"/>
    <w:link w:val="11"/>
    <w:semiHidden/>
    <w:qFormat/>
    <w:uiPriority w:val="9"/>
    <w:rPr>
      <w:rFonts w:asciiTheme="majorHAnsi" w:hAnsiTheme="majorHAnsi" w:eastAsiaTheme="majorEastAsia" w:cstheme="majorBidi"/>
      <w:b/>
      <w:bCs/>
      <w:sz w:val="24"/>
      <w:szCs w:val="24"/>
    </w:rPr>
  </w:style>
  <w:style w:type="paragraph" w:customStyle="1" w:styleId="311">
    <w:name w:val="cke_editable_file_1325"/>
    <w:basedOn w:val="294"/>
    <w:qFormat/>
    <w:uiPriority w:val="0"/>
    <w:rPr>
      <w:rFonts w:ascii="仿宋_GB2312" w:eastAsia="仿宋_GB2312"/>
    </w:rPr>
  </w:style>
  <w:style w:type="paragraph" w:customStyle="1" w:styleId="312">
    <w:name w:val="marker_file_1325"/>
    <w:basedOn w:val="294"/>
    <w:qFormat/>
    <w:uiPriority w:val="0"/>
    <w:pPr>
      <w:shd w:val="clear" w:color="auto" w:fill="FFFF00"/>
    </w:pPr>
  </w:style>
  <w:style w:type="paragraph" w:customStyle="1" w:styleId="313">
    <w:name w:val="Normal (Web)_file_1325"/>
    <w:basedOn w:val="294"/>
    <w:semiHidden/>
    <w:unhideWhenUsed/>
    <w:qFormat/>
    <w:uiPriority w:val="99"/>
  </w:style>
  <w:style w:type="paragraph" w:customStyle="1" w:styleId="314">
    <w:name w:val="Normal_file_132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15">
    <w:name w:val="heading 1_file_1326"/>
    <w:basedOn w:val="314"/>
    <w:qFormat/>
    <w:uiPriority w:val="9"/>
    <w:pPr>
      <w:outlineLvl w:val="0"/>
    </w:pPr>
    <w:rPr>
      <w:kern w:val="36"/>
      <w:sz w:val="48"/>
      <w:szCs w:val="48"/>
    </w:rPr>
  </w:style>
  <w:style w:type="paragraph" w:customStyle="1" w:styleId="316">
    <w:name w:val="heading 2_file_1326"/>
    <w:basedOn w:val="314"/>
    <w:qFormat/>
    <w:uiPriority w:val="9"/>
    <w:pPr>
      <w:outlineLvl w:val="1"/>
    </w:pPr>
    <w:rPr>
      <w:sz w:val="36"/>
      <w:szCs w:val="36"/>
    </w:rPr>
  </w:style>
  <w:style w:type="paragraph" w:customStyle="1" w:styleId="317">
    <w:name w:val="heading 3_file_1326"/>
    <w:basedOn w:val="314"/>
    <w:qFormat/>
    <w:uiPriority w:val="9"/>
    <w:pPr>
      <w:outlineLvl w:val="2"/>
    </w:pPr>
    <w:rPr>
      <w:sz w:val="27"/>
      <w:szCs w:val="27"/>
    </w:rPr>
  </w:style>
  <w:style w:type="paragraph" w:customStyle="1" w:styleId="318">
    <w:name w:val="heading 4_file_1326"/>
    <w:basedOn w:val="314"/>
    <w:qFormat/>
    <w:uiPriority w:val="9"/>
    <w:pPr>
      <w:outlineLvl w:val="3"/>
    </w:pPr>
  </w:style>
  <w:style w:type="paragraph" w:customStyle="1" w:styleId="319">
    <w:name w:val="heading 5_file_1326"/>
    <w:basedOn w:val="314"/>
    <w:qFormat/>
    <w:uiPriority w:val="9"/>
    <w:pPr>
      <w:outlineLvl w:val="4"/>
    </w:pPr>
    <w:rPr>
      <w:sz w:val="20"/>
      <w:szCs w:val="20"/>
    </w:rPr>
  </w:style>
  <w:style w:type="paragraph" w:customStyle="1" w:styleId="320">
    <w:name w:val="heading 6_file_1326"/>
    <w:basedOn w:val="314"/>
    <w:qFormat/>
    <w:uiPriority w:val="9"/>
    <w:pPr>
      <w:outlineLvl w:val="5"/>
    </w:pPr>
    <w:rPr>
      <w:sz w:val="15"/>
      <w:szCs w:val="15"/>
    </w:rPr>
  </w:style>
  <w:style w:type="character" w:customStyle="1" w:styleId="321">
    <w:name w:val="Default Paragraph Font_file_1326"/>
    <w:semiHidden/>
    <w:unhideWhenUsed/>
    <w:qFormat/>
    <w:uiPriority w:val="1"/>
  </w:style>
  <w:style w:type="table" w:customStyle="1" w:styleId="322">
    <w:name w:val="Normal Table_file_1326"/>
    <w:semiHidden/>
    <w:unhideWhenUsed/>
    <w:qFormat/>
    <w:uiPriority w:val="99"/>
    <w:tblPr>
      <w:tblCellMar>
        <w:top w:w="0" w:type="dxa"/>
        <w:left w:w="108" w:type="dxa"/>
        <w:bottom w:w="0" w:type="dxa"/>
        <w:right w:w="108" w:type="dxa"/>
      </w:tblCellMar>
    </w:tblPr>
  </w:style>
  <w:style w:type="character" w:customStyle="1" w:styleId="323">
    <w:name w:val="Hyperlink_file_1326"/>
    <w:basedOn w:val="321"/>
    <w:semiHidden/>
    <w:unhideWhenUsed/>
    <w:qFormat/>
    <w:uiPriority w:val="99"/>
    <w:rPr>
      <w:color w:val="0782C1"/>
      <w:u w:val="single"/>
    </w:rPr>
  </w:style>
  <w:style w:type="character" w:customStyle="1" w:styleId="324">
    <w:name w:val="FollowedHyperlink_file_1326"/>
    <w:basedOn w:val="321"/>
    <w:semiHidden/>
    <w:unhideWhenUsed/>
    <w:qFormat/>
    <w:uiPriority w:val="99"/>
    <w:rPr>
      <w:color w:val="0782C1"/>
      <w:u w:val="single"/>
    </w:rPr>
  </w:style>
  <w:style w:type="character" w:customStyle="1" w:styleId="325">
    <w:name w:val="标题 1 Char_file_1326"/>
    <w:basedOn w:val="321"/>
    <w:link w:val="5"/>
    <w:qFormat/>
    <w:uiPriority w:val="9"/>
    <w:rPr>
      <w:rFonts w:ascii="宋体" w:hAnsi="宋体" w:eastAsia="宋体" w:cs="宋体"/>
      <w:b/>
      <w:bCs/>
      <w:kern w:val="44"/>
      <w:sz w:val="44"/>
      <w:szCs w:val="44"/>
    </w:rPr>
  </w:style>
  <w:style w:type="character" w:customStyle="1" w:styleId="326">
    <w:name w:val="标题 2 Char_file_1326"/>
    <w:basedOn w:val="321"/>
    <w:link w:val="6"/>
    <w:semiHidden/>
    <w:qFormat/>
    <w:uiPriority w:val="9"/>
    <w:rPr>
      <w:rFonts w:asciiTheme="majorHAnsi" w:hAnsiTheme="majorHAnsi" w:eastAsiaTheme="majorEastAsia" w:cstheme="majorBidi"/>
      <w:b/>
      <w:bCs/>
      <w:sz w:val="32"/>
      <w:szCs w:val="32"/>
    </w:rPr>
  </w:style>
  <w:style w:type="character" w:customStyle="1" w:styleId="327">
    <w:name w:val="标题 3 Char_file_1326"/>
    <w:basedOn w:val="321"/>
    <w:link w:val="7"/>
    <w:semiHidden/>
    <w:qFormat/>
    <w:uiPriority w:val="9"/>
    <w:rPr>
      <w:rFonts w:ascii="宋体" w:hAnsi="宋体" w:eastAsia="宋体" w:cs="宋体"/>
      <w:b/>
      <w:bCs/>
      <w:sz w:val="32"/>
      <w:szCs w:val="32"/>
    </w:rPr>
  </w:style>
  <w:style w:type="character" w:customStyle="1" w:styleId="328">
    <w:name w:val="标题 4 Char_file_1326"/>
    <w:basedOn w:val="321"/>
    <w:link w:val="8"/>
    <w:semiHidden/>
    <w:qFormat/>
    <w:uiPriority w:val="9"/>
    <w:rPr>
      <w:rFonts w:asciiTheme="majorHAnsi" w:hAnsiTheme="majorHAnsi" w:eastAsiaTheme="majorEastAsia" w:cstheme="majorBidi"/>
      <w:b/>
      <w:bCs/>
      <w:sz w:val="28"/>
      <w:szCs w:val="28"/>
    </w:rPr>
  </w:style>
  <w:style w:type="character" w:customStyle="1" w:styleId="329">
    <w:name w:val="标题 5 Char_file_1326"/>
    <w:basedOn w:val="321"/>
    <w:link w:val="9"/>
    <w:semiHidden/>
    <w:qFormat/>
    <w:uiPriority w:val="9"/>
    <w:rPr>
      <w:rFonts w:ascii="宋体" w:hAnsi="宋体" w:eastAsia="宋体" w:cs="宋体"/>
      <w:b/>
      <w:bCs/>
      <w:sz w:val="28"/>
      <w:szCs w:val="28"/>
    </w:rPr>
  </w:style>
  <w:style w:type="character" w:customStyle="1" w:styleId="330">
    <w:name w:val="标题 6 Char_file_1326"/>
    <w:basedOn w:val="321"/>
    <w:link w:val="11"/>
    <w:semiHidden/>
    <w:qFormat/>
    <w:uiPriority w:val="9"/>
    <w:rPr>
      <w:rFonts w:asciiTheme="majorHAnsi" w:hAnsiTheme="majorHAnsi" w:eastAsiaTheme="majorEastAsia" w:cstheme="majorBidi"/>
      <w:b/>
      <w:bCs/>
      <w:sz w:val="24"/>
      <w:szCs w:val="24"/>
    </w:rPr>
  </w:style>
  <w:style w:type="paragraph" w:customStyle="1" w:styleId="331">
    <w:name w:val="cke_editable_file_1326"/>
    <w:basedOn w:val="314"/>
    <w:qFormat/>
    <w:uiPriority w:val="0"/>
    <w:rPr>
      <w:rFonts w:ascii="仿宋_GB2312" w:eastAsia="仿宋_GB2312"/>
    </w:rPr>
  </w:style>
  <w:style w:type="paragraph" w:customStyle="1" w:styleId="332">
    <w:name w:val="marker_file_1326"/>
    <w:basedOn w:val="314"/>
    <w:qFormat/>
    <w:uiPriority w:val="0"/>
    <w:pPr>
      <w:shd w:val="clear" w:color="auto" w:fill="FFFF00"/>
    </w:pPr>
  </w:style>
  <w:style w:type="paragraph" w:customStyle="1" w:styleId="333">
    <w:name w:val="Normal (Web)_file_1326"/>
    <w:basedOn w:val="314"/>
    <w:semiHidden/>
    <w:unhideWhenUsed/>
    <w:qFormat/>
    <w:uiPriority w:val="99"/>
  </w:style>
  <w:style w:type="character" w:customStyle="1" w:styleId="334">
    <w:name w:val="Emphasis_file_1326"/>
    <w:basedOn w:val="321"/>
    <w:qFormat/>
    <w:uiPriority w:val="20"/>
    <w:rPr>
      <w:i/>
      <w:iCs/>
    </w:rPr>
  </w:style>
  <w:style w:type="paragraph" w:customStyle="1" w:styleId="335">
    <w:name w:val="Normal_file_132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36">
    <w:name w:val="heading 1_file_1327"/>
    <w:basedOn w:val="335"/>
    <w:qFormat/>
    <w:uiPriority w:val="9"/>
    <w:pPr>
      <w:outlineLvl w:val="0"/>
    </w:pPr>
    <w:rPr>
      <w:kern w:val="36"/>
      <w:sz w:val="48"/>
      <w:szCs w:val="48"/>
    </w:rPr>
  </w:style>
  <w:style w:type="paragraph" w:customStyle="1" w:styleId="337">
    <w:name w:val="heading 2_file_1327"/>
    <w:basedOn w:val="335"/>
    <w:qFormat/>
    <w:uiPriority w:val="9"/>
    <w:pPr>
      <w:outlineLvl w:val="1"/>
    </w:pPr>
    <w:rPr>
      <w:sz w:val="36"/>
      <w:szCs w:val="36"/>
    </w:rPr>
  </w:style>
  <w:style w:type="paragraph" w:customStyle="1" w:styleId="338">
    <w:name w:val="heading 3_file_1327"/>
    <w:basedOn w:val="335"/>
    <w:qFormat/>
    <w:uiPriority w:val="9"/>
    <w:pPr>
      <w:outlineLvl w:val="2"/>
    </w:pPr>
    <w:rPr>
      <w:sz w:val="27"/>
      <w:szCs w:val="27"/>
    </w:rPr>
  </w:style>
  <w:style w:type="paragraph" w:customStyle="1" w:styleId="339">
    <w:name w:val="heading 4_file_1327"/>
    <w:basedOn w:val="335"/>
    <w:qFormat/>
    <w:uiPriority w:val="9"/>
    <w:pPr>
      <w:outlineLvl w:val="3"/>
    </w:pPr>
  </w:style>
  <w:style w:type="paragraph" w:customStyle="1" w:styleId="340">
    <w:name w:val="heading 5_file_1327"/>
    <w:basedOn w:val="335"/>
    <w:qFormat/>
    <w:uiPriority w:val="9"/>
    <w:pPr>
      <w:outlineLvl w:val="4"/>
    </w:pPr>
    <w:rPr>
      <w:sz w:val="20"/>
      <w:szCs w:val="20"/>
    </w:rPr>
  </w:style>
  <w:style w:type="paragraph" w:customStyle="1" w:styleId="341">
    <w:name w:val="heading 6_file_1327"/>
    <w:basedOn w:val="335"/>
    <w:qFormat/>
    <w:uiPriority w:val="9"/>
    <w:pPr>
      <w:outlineLvl w:val="5"/>
    </w:pPr>
    <w:rPr>
      <w:sz w:val="15"/>
      <w:szCs w:val="15"/>
    </w:rPr>
  </w:style>
  <w:style w:type="character" w:customStyle="1" w:styleId="342">
    <w:name w:val="Default Paragraph Font_file_1327"/>
    <w:semiHidden/>
    <w:unhideWhenUsed/>
    <w:qFormat/>
    <w:uiPriority w:val="1"/>
  </w:style>
  <w:style w:type="table" w:customStyle="1" w:styleId="343">
    <w:name w:val="Normal Table_file_1327"/>
    <w:semiHidden/>
    <w:unhideWhenUsed/>
    <w:qFormat/>
    <w:uiPriority w:val="99"/>
    <w:tblPr>
      <w:tblCellMar>
        <w:top w:w="0" w:type="dxa"/>
        <w:left w:w="108" w:type="dxa"/>
        <w:bottom w:w="0" w:type="dxa"/>
        <w:right w:w="108" w:type="dxa"/>
      </w:tblCellMar>
    </w:tblPr>
  </w:style>
  <w:style w:type="character" w:customStyle="1" w:styleId="344">
    <w:name w:val="Hyperlink_file_1327"/>
    <w:basedOn w:val="342"/>
    <w:semiHidden/>
    <w:unhideWhenUsed/>
    <w:qFormat/>
    <w:uiPriority w:val="99"/>
    <w:rPr>
      <w:color w:val="0782C1"/>
      <w:u w:val="single"/>
    </w:rPr>
  </w:style>
  <w:style w:type="character" w:customStyle="1" w:styleId="345">
    <w:name w:val="FollowedHyperlink_file_1327"/>
    <w:basedOn w:val="342"/>
    <w:semiHidden/>
    <w:unhideWhenUsed/>
    <w:qFormat/>
    <w:uiPriority w:val="99"/>
    <w:rPr>
      <w:color w:val="0782C1"/>
      <w:u w:val="single"/>
    </w:rPr>
  </w:style>
  <w:style w:type="character" w:customStyle="1" w:styleId="346">
    <w:name w:val="标题 1 Char_file_1327"/>
    <w:basedOn w:val="342"/>
    <w:link w:val="5"/>
    <w:qFormat/>
    <w:uiPriority w:val="9"/>
    <w:rPr>
      <w:rFonts w:ascii="宋体" w:hAnsi="宋体" w:eastAsia="宋体" w:cs="宋体"/>
      <w:b/>
      <w:bCs/>
      <w:kern w:val="44"/>
      <w:sz w:val="44"/>
      <w:szCs w:val="44"/>
    </w:rPr>
  </w:style>
  <w:style w:type="character" w:customStyle="1" w:styleId="347">
    <w:name w:val="标题 2 Char_file_1327"/>
    <w:basedOn w:val="342"/>
    <w:link w:val="6"/>
    <w:semiHidden/>
    <w:qFormat/>
    <w:uiPriority w:val="9"/>
    <w:rPr>
      <w:rFonts w:asciiTheme="majorHAnsi" w:hAnsiTheme="majorHAnsi" w:eastAsiaTheme="majorEastAsia" w:cstheme="majorBidi"/>
      <w:b/>
      <w:bCs/>
      <w:sz w:val="32"/>
      <w:szCs w:val="32"/>
    </w:rPr>
  </w:style>
  <w:style w:type="character" w:customStyle="1" w:styleId="348">
    <w:name w:val="标题 3 Char_file_1327"/>
    <w:basedOn w:val="342"/>
    <w:link w:val="7"/>
    <w:semiHidden/>
    <w:qFormat/>
    <w:uiPriority w:val="9"/>
    <w:rPr>
      <w:rFonts w:ascii="宋体" w:hAnsi="宋体" w:eastAsia="宋体" w:cs="宋体"/>
      <w:b/>
      <w:bCs/>
      <w:sz w:val="32"/>
      <w:szCs w:val="32"/>
    </w:rPr>
  </w:style>
  <w:style w:type="character" w:customStyle="1" w:styleId="349">
    <w:name w:val="标题 4 Char_file_1327"/>
    <w:basedOn w:val="342"/>
    <w:link w:val="8"/>
    <w:semiHidden/>
    <w:qFormat/>
    <w:uiPriority w:val="9"/>
    <w:rPr>
      <w:rFonts w:asciiTheme="majorHAnsi" w:hAnsiTheme="majorHAnsi" w:eastAsiaTheme="majorEastAsia" w:cstheme="majorBidi"/>
      <w:b/>
      <w:bCs/>
      <w:sz w:val="28"/>
      <w:szCs w:val="28"/>
    </w:rPr>
  </w:style>
  <w:style w:type="character" w:customStyle="1" w:styleId="350">
    <w:name w:val="标题 5 Char_file_1327"/>
    <w:basedOn w:val="342"/>
    <w:link w:val="9"/>
    <w:semiHidden/>
    <w:qFormat/>
    <w:uiPriority w:val="9"/>
    <w:rPr>
      <w:rFonts w:ascii="宋体" w:hAnsi="宋体" w:eastAsia="宋体" w:cs="宋体"/>
      <w:b/>
      <w:bCs/>
      <w:sz w:val="28"/>
      <w:szCs w:val="28"/>
    </w:rPr>
  </w:style>
  <w:style w:type="character" w:customStyle="1" w:styleId="351">
    <w:name w:val="标题 6 Char_file_1327"/>
    <w:basedOn w:val="342"/>
    <w:link w:val="11"/>
    <w:semiHidden/>
    <w:qFormat/>
    <w:uiPriority w:val="9"/>
    <w:rPr>
      <w:rFonts w:asciiTheme="majorHAnsi" w:hAnsiTheme="majorHAnsi" w:eastAsiaTheme="majorEastAsia" w:cstheme="majorBidi"/>
      <w:b/>
      <w:bCs/>
      <w:sz w:val="24"/>
      <w:szCs w:val="24"/>
    </w:rPr>
  </w:style>
  <w:style w:type="paragraph" w:customStyle="1" w:styleId="352">
    <w:name w:val="cke_editable_file_1327"/>
    <w:basedOn w:val="335"/>
    <w:qFormat/>
    <w:uiPriority w:val="0"/>
    <w:rPr>
      <w:rFonts w:ascii="仿宋_GB2312" w:eastAsia="仿宋_GB2312"/>
    </w:rPr>
  </w:style>
  <w:style w:type="paragraph" w:customStyle="1" w:styleId="353">
    <w:name w:val="marker_file_1327"/>
    <w:basedOn w:val="335"/>
    <w:qFormat/>
    <w:uiPriority w:val="0"/>
    <w:pPr>
      <w:shd w:val="clear" w:color="auto" w:fill="FFFF00"/>
    </w:pPr>
  </w:style>
  <w:style w:type="paragraph" w:customStyle="1" w:styleId="354">
    <w:name w:val="Normal (Web)_file_1327"/>
    <w:basedOn w:val="335"/>
    <w:semiHidden/>
    <w:unhideWhenUsed/>
    <w:qFormat/>
    <w:uiPriority w:val="99"/>
  </w:style>
  <w:style w:type="paragraph" w:customStyle="1" w:styleId="355">
    <w:name w:val="Normal_file_132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56">
    <w:name w:val="heading 1_file_1328"/>
    <w:basedOn w:val="355"/>
    <w:qFormat/>
    <w:uiPriority w:val="9"/>
    <w:pPr>
      <w:outlineLvl w:val="0"/>
    </w:pPr>
    <w:rPr>
      <w:kern w:val="36"/>
      <w:sz w:val="48"/>
      <w:szCs w:val="48"/>
    </w:rPr>
  </w:style>
  <w:style w:type="paragraph" w:customStyle="1" w:styleId="357">
    <w:name w:val="heading 2_file_1328"/>
    <w:basedOn w:val="355"/>
    <w:qFormat/>
    <w:uiPriority w:val="9"/>
    <w:pPr>
      <w:outlineLvl w:val="1"/>
    </w:pPr>
    <w:rPr>
      <w:sz w:val="36"/>
      <w:szCs w:val="36"/>
    </w:rPr>
  </w:style>
  <w:style w:type="paragraph" w:customStyle="1" w:styleId="358">
    <w:name w:val="heading 3_file_1328"/>
    <w:basedOn w:val="355"/>
    <w:qFormat/>
    <w:uiPriority w:val="9"/>
    <w:pPr>
      <w:outlineLvl w:val="2"/>
    </w:pPr>
    <w:rPr>
      <w:sz w:val="27"/>
      <w:szCs w:val="27"/>
    </w:rPr>
  </w:style>
  <w:style w:type="paragraph" w:customStyle="1" w:styleId="359">
    <w:name w:val="heading 4_file_1328"/>
    <w:basedOn w:val="355"/>
    <w:qFormat/>
    <w:uiPriority w:val="9"/>
    <w:pPr>
      <w:outlineLvl w:val="3"/>
    </w:pPr>
  </w:style>
  <w:style w:type="paragraph" w:customStyle="1" w:styleId="360">
    <w:name w:val="heading 5_file_1328"/>
    <w:basedOn w:val="355"/>
    <w:qFormat/>
    <w:uiPriority w:val="9"/>
    <w:pPr>
      <w:outlineLvl w:val="4"/>
    </w:pPr>
    <w:rPr>
      <w:sz w:val="20"/>
      <w:szCs w:val="20"/>
    </w:rPr>
  </w:style>
  <w:style w:type="paragraph" w:customStyle="1" w:styleId="361">
    <w:name w:val="heading 6_file_1328"/>
    <w:basedOn w:val="355"/>
    <w:qFormat/>
    <w:uiPriority w:val="9"/>
    <w:pPr>
      <w:outlineLvl w:val="5"/>
    </w:pPr>
    <w:rPr>
      <w:sz w:val="15"/>
      <w:szCs w:val="15"/>
    </w:rPr>
  </w:style>
  <w:style w:type="character" w:customStyle="1" w:styleId="362">
    <w:name w:val="Default Paragraph Font_file_1328"/>
    <w:semiHidden/>
    <w:unhideWhenUsed/>
    <w:qFormat/>
    <w:uiPriority w:val="1"/>
  </w:style>
  <w:style w:type="table" w:customStyle="1" w:styleId="363">
    <w:name w:val="Normal Table_file_1328"/>
    <w:semiHidden/>
    <w:unhideWhenUsed/>
    <w:qFormat/>
    <w:uiPriority w:val="99"/>
    <w:tblPr>
      <w:tblCellMar>
        <w:top w:w="0" w:type="dxa"/>
        <w:left w:w="108" w:type="dxa"/>
        <w:bottom w:w="0" w:type="dxa"/>
        <w:right w:w="108" w:type="dxa"/>
      </w:tblCellMar>
    </w:tblPr>
  </w:style>
  <w:style w:type="character" w:customStyle="1" w:styleId="364">
    <w:name w:val="Hyperlink_file_1328"/>
    <w:basedOn w:val="362"/>
    <w:semiHidden/>
    <w:unhideWhenUsed/>
    <w:qFormat/>
    <w:uiPriority w:val="99"/>
    <w:rPr>
      <w:color w:val="0782C1"/>
      <w:u w:val="single"/>
    </w:rPr>
  </w:style>
  <w:style w:type="character" w:customStyle="1" w:styleId="365">
    <w:name w:val="FollowedHyperlink_file_1328"/>
    <w:basedOn w:val="362"/>
    <w:semiHidden/>
    <w:unhideWhenUsed/>
    <w:qFormat/>
    <w:uiPriority w:val="99"/>
    <w:rPr>
      <w:color w:val="0782C1"/>
      <w:u w:val="single"/>
    </w:rPr>
  </w:style>
  <w:style w:type="character" w:customStyle="1" w:styleId="366">
    <w:name w:val="标题 1 Char_file_1328"/>
    <w:basedOn w:val="362"/>
    <w:link w:val="5"/>
    <w:qFormat/>
    <w:uiPriority w:val="9"/>
    <w:rPr>
      <w:rFonts w:ascii="宋体" w:hAnsi="宋体" w:eastAsia="宋体" w:cs="宋体"/>
      <w:b/>
      <w:bCs/>
      <w:kern w:val="44"/>
      <w:sz w:val="44"/>
      <w:szCs w:val="44"/>
    </w:rPr>
  </w:style>
  <w:style w:type="character" w:customStyle="1" w:styleId="367">
    <w:name w:val="标题 2 Char_file_1328"/>
    <w:basedOn w:val="362"/>
    <w:link w:val="6"/>
    <w:semiHidden/>
    <w:qFormat/>
    <w:uiPriority w:val="9"/>
    <w:rPr>
      <w:rFonts w:asciiTheme="majorHAnsi" w:hAnsiTheme="majorHAnsi" w:eastAsiaTheme="majorEastAsia" w:cstheme="majorBidi"/>
      <w:b/>
      <w:bCs/>
      <w:sz w:val="32"/>
      <w:szCs w:val="32"/>
    </w:rPr>
  </w:style>
  <w:style w:type="character" w:customStyle="1" w:styleId="368">
    <w:name w:val="标题 3 Char_file_1328"/>
    <w:basedOn w:val="362"/>
    <w:link w:val="7"/>
    <w:semiHidden/>
    <w:qFormat/>
    <w:uiPriority w:val="9"/>
    <w:rPr>
      <w:rFonts w:ascii="宋体" w:hAnsi="宋体" w:eastAsia="宋体" w:cs="宋体"/>
      <w:b/>
      <w:bCs/>
      <w:sz w:val="32"/>
      <w:szCs w:val="32"/>
    </w:rPr>
  </w:style>
  <w:style w:type="character" w:customStyle="1" w:styleId="369">
    <w:name w:val="标题 4 Char_file_1328"/>
    <w:basedOn w:val="362"/>
    <w:link w:val="8"/>
    <w:semiHidden/>
    <w:qFormat/>
    <w:uiPriority w:val="9"/>
    <w:rPr>
      <w:rFonts w:asciiTheme="majorHAnsi" w:hAnsiTheme="majorHAnsi" w:eastAsiaTheme="majorEastAsia" w:cstheme="majorBidi"/>
      <w:b/>
      <w:bCs/>
      <w:sz w:val="28"/>
      <w:szCs w:val="28"/>
    </w:rPr>
  </w:style>
  <w:style w:type="character" w:customStyle="1" w:styleId="370">
    <w:name w:val="标题 5 Char_file_1328"/>
    <w:basedOn w:val="362"/>
    <w:link w:val="9"/>
    <w:semiHidden/>
    <w:qFormat/>
    <w:uiPriority w:val="9"/>
    <w:rPr>
      <w:rFonts w:ascii="宋体" w:hAnsi="宋体" w:eastAsia="宋体" w:cs="宋体"/>
      <w:b/>
      <w:bCs/>
      <w:sz w:val="28"/>
      <w:szCs w:val="28"/>
    </w:rPr>
  </w:style>
  <w:style w:type="character" w:customStyle="1" w:styleId="371">
    <w:name w:val="标题 6 Char_file_1328"/>
    <w:basedOn w:val="362"/>
    <w:link w:val="11"/>
    <w:semiHidden/>
    <w:qFormat/>
    <w:uiPriority w:val="9"/>
    <w:rPr>
      <w:rFonts w:asciiTheme="majorHAnsi" w:hAnsiTheme="majorHAnsi" w:eastAsiaTheme="majorEastAsia" w:cstheme="majorBidi"/>
      <w:b/>
      <w:bCs/>
      <w:sz w:val="24"/>
      <w:szCs w:val="24"/>
    </w:rPr>
  </w:style>
  <w:style w:type="paragraph" w:customStyle="1" w:styleId="372">
    <w:name w:val="cke_editable_file_1328"/>
    <w:basedOn w:val="355"/>
    <w:qFormat/>
    <w:uiPriority w:val="0"/>
    <w:rPr>
      <w:rFonts w:ascii="仿宋_GB2312" w:eastAsia="仿宋_GB2312"/>
    </w:rPr>
  </w:style>
  <w:style w:type="paragraph" w:customStyle="1" w:styleId="373">
    <w:name w:val="marker_file_1328"/>
    <w:basedOn w:val="355"/>
    <w:qFormat/>
    <w:uiPriority w:val="0"/>
    <w:pPr>
      <w:shd w:val="clear" w:color="auto" w:fill="FFFF00"/>
    </w:pPr>
  </w:style>
  <w:style w:type="paragraph" w:customStyle="1" w:styleId="374">
    <w:name w:val="Normal (Web)_file_1328"/>
    <w:basedOn w:val="355"/>
    <w:semiHidden/>
    <w:unhideWhenUsed/>
    <w:qFormat/>
    <w:uiPriority w:val="99"/>
  </w:style>
  <w:style w:type="character" w:customStyle="1" w:styleId="375">
    <w:name w:val="Strong_file_1328"/>
    <w:basedOn w:val="362"/>
    <w:qFormat/>
    <w:uiPriority w:val="22"/>
    <w:rPr>
      <w:b/>
      <w:bCs/>
    </w:rPr>
  </w:style>
  <w:style w:type="paragraph" w:customStyle="1" w:styleId="376">
    <w:name w:val="Normal_file_132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77">
    <w:name w:val="heading 1_file_1329"/>
    <w:basedOn w:val="376"/>
    <w:qFormat/>
    <w:uiPriority w:val="9"/>
    <w:pPr>
      <w:outlineLvl w:val="0"/>
    </w:pPr>
    <w:rPr>
      <w:kern w:val="36"/>
      <w:sz w:val="48"/>
      <w:szCs w:val="48"/>
    </w:rPr>
  </w:style>
  <w:style w:type="paragraph" w:customStyle="1" w:styleId="378">
    <w:name w:val="heading 2_file_1329"/>
    <w:basedOn w:val="376"/>
    <w:qFormat/>
    <w:uiPriority w:val="9"/>
    <w:pPr>
      <w:outlineLvl w:val="1"/>
    </w:pPr>
    <w:rPr>
      <w:sz w:val="36"/>
      <w:szCs w:val="36"/>
    </w:rPr>
  </w:style>
  <w:style w:type="paragraph" w:customStyle="1" w:styleId="379">
    <w:name w:val="heading 3_file_1329"/>
    <w:basedOn w:val="376"/>
    <w:qFormat/>
    <w:uiPriority w:val="9"/>
    <w:pPr>
      <w:outlineLvl w:val="2"/>
    </w:pPr>
    <w:rPr>
      <w:sz w:val="27"/>
      <w:szCs w:val="27"/>
    </w:rPr>
  </w:style>
  <w:style w:type="paragraph" w:customStyle="1" w:styleId="380">
    <w:name w:val="heading 4_file_1329"/>
    <w:basedOn w:val="376"/>
    <w:qFormat/>
    <w:uiPriority w:val="9"/>
    <w:pPr>
      <w:outlineLvl w:val="3"/>
    </w:pPr>
  </w:style>
  <w:style w:type="paragraph" w:customStyle="1" w:styleId="381">
    <w:name w:val="heading 5_file_1329"/>
    <w:basedOn w:val="376"/>
    <w:qFormat/>
    <w:uiPriority w:val="9"/>
    <w:pPr>
      <w:outlineLvl w:val="4"/>
    </w:pPr>
    <w:rPr>
      <w:sz w:val="20"/>
      <w:szCs w:val="20"/>
    </w:rPr>
  </w:style>
  <w:style w:type="paragraph" w:customStyle="1" w:styleId="382">
    <w:name w:val="heading 6_file_1329"/>
    <w:basedOn w:val="376"/>
    <w:qFormat/>
    <w:uiPriority w:val="9"/>
    <w:pPr>
      <w:outlineLvl w:val="5"/>
    </w:pPr>
    <w:rPr>
      <w:sz w:val="15"/>
      <w:szCs w:val="15"/>
    </w:rPr>
  </w:style>
  <w:style w:type="character" w:customStyle="1" w:styleId="383">
    <w:name w:val="Default Paragraph Font_file_1329"/>
    <w:semiHidden/>
    <w:unhideWhenUsed/>
    <w:qFormat/>
    <w:uiPriority w:val="1"/>
  </w:style>
  <w:style w:type="table" w:customStyle="1" w:styleId="384">
    <w:name w:val="Normal Table_file_1329"/>
    <w:semiHidden/>
    <w:unhideWhenUsed/>
    <w:qFormat/>
    <w:uiPriority w:val="99"/>
    <w:tblPr>
      <w:tblCellMar>
        <w:top w:w="0" w:type="dxa"/>
        <w:left w:w="108" w:type="dxa"/>
        <w:bottom w:w="0" w:type="dxa"/>
        <w:right w:w="108" w:type="dxa"/>
      </w:tblCellMar>
    </w:tblPr>
  </w:style>
  <w:style w:type="character" w:customStyle="1" w:styleId="385">
    <w:name w:val="Hyperlink_file_1329"/>
    <w:basedOn w:val="383"/>
    <w:semiHidden/>
    <w:unhideWhenUsed/>
    <w:qFormat/>
    <w:uiPriority w:val="99"/>
    <w:rPr>
      <w:color w:val="0782C1"/>
      <w:u w:val="single"/>
    </w:rPr>
  </w:style>
  <w:style w:type="character" w:customStyle="1" w:styleId="386">
    <w:name w:val="FollowedHyperlink_file_1329"/>
    <w:basedOn w:val="383"/>
    <w:semiHidden/>
    <w:unhideWhenUsed/>
    <w:qFormat/>
    <w:uiPriority w:val="99"/>
    <w:rPr>
      <w:color w:val="0782C1"/>
      <w:u w:val="single"/>
    </w:rPr>
  </w:style>
  <w:style w:type="character" w:customStyle="1" w:styleId="387">
    <w:name w:val="标题 1 Char_file_1329"/>
    <w:basedOn w:val="383"/>
    <w:link w:val="5"/>
    <w:qFormat/>
    <w:uiPriority w:val="9"/>
    <w:rPr>
      <w:rFonts w:ascii="宋体" w:hAnsi="宋体" w:eastAsia="宋体" w:cs="宋体"/>
      <w:b/>
      <w:bCs/>
      <w:kern w:val="44"/>
      <w:sz w:val="44"/>
      <w:szCs w:val="44"/>
    </w:rPr>
  </w:style>
  <w:style w:type="character" w:customStyle="1" w:styleId="388">
    <w:name w:val="标题 2 Char_file_1329"/>
    <w:basedOn w:val="383"/>
    <w:link w:val="6"/>
    <w:semiHidden/>
    <w:qFormat/>
    <w:uiPriority w:val="9"/>
    <w:rPr>
      <w:rFonts w:asciiTheme="majorHAnsi" w:hAnsiTheme="majorHAnsi" w:eastAsiaTheme="majorEastAsia" w:cstheme="majorBidi"/>
      <w:b/>
      <w:bCs/>
      <w:sz w:val="32"/>
      <w:szCs w:val="32"/>
    </w:rPr>
  </w:style>
  <w:style w:type="character" w:customStyle="1" w:styleId="389">
    <w:name w:val="标题 3 Char_file_1329"/>
    <w:basedOn w:val="383"/>
    <w:link w:val="7"/>
    <w:semiHidden/>
    <w:qFormat/>
    <w:uiPriority w:val="9"/>
    <w:rPr>
      <w:rFonts w:ascii="宋体" w:hAnsi="宋体" w:eastAsia="宋体" w:cs="宋体"/>
      <w:b/>
      <w:bCs/>
      <w:sz w:val="32"/>
      <w:szCs w:val="32"/>
    </w:rPr>
  </w:style>
  <w:style w:type="character" w:customStyle="1" w:styleId="390">
    <w:name w:val="标题 4 Char_file_1329"/>
    <w:basedOn w:val="383"/>
    <w:link w:val="8"/>
    <w:semiHidden/>
    <w:qFormat/>
    <w:uiPriority w:val="9"/>
    <w:rPr>
      <w:rFonts w:asciiTheme="majorHAnsi" w:hAnsiTheme="majorHAnsi" w:eastAsiaTheme="majorEastAsia" w:cstheme="majorBidi"/>
      <w:b/>
      <w:bCs/>
      <w:sz w:val="28"/>
      <w:szCs w:val="28"/>
    </w:rPr>
  </w:style>
  <w:style w:type="character" w:customStyle="1" w:styleId="391">
    <w:name w:val="标题 5 Char_file_1329"/>
    <w:basedOn w:val="383"/>
    <w:link w:val="9"/>
    <w:semiHidden/>
    <w:qFormat/>
    <w:uiPriority w:val="9"/>
    <w:rPr>
      <w:rFonts w:ascii="宋体" w:hAnsi="宋体" w:eastAsia="宋体" w:cs="宋体"/>
      <w:b/>
      <w:bCs/>
      <w:sz w:val="28"/>
      <w:szCs w:val="28"/>
    </w:rPr>
  </w:style>
  <w:style w:type="character" w:customStyle="1" w:styleId="392">
    <w:name w:val="标题 6 Char_file_1329"/>
    <w:basedOn w:val="383"/>
    <w:link w:val="11"/>
    <w:semiHidden/>
    <w:qFormat/>
    <w:uiPriority w:val="9"/>
    <w:rPr>
      <w:rFonts w:asciiTheme="majorHAnsi" w:hAnsiTheme="majorHAnsi" w:eastAsiaTheme="majorEastAsia" w:cstheme="majorBidi"/>
      <w:b/>
      <w:bCs/>
      <w:sz w:val="24"/>
      <w:szCs w:val="24"/>
    </w:rPr>
  </w:style>
  <w:style w:type="paragraph" w:customStyle="1" w:styleId="393">
    <w:name w:val="cke_editable_file_1329"/>
    <w:basedOn w:val="376"/>
    <w:qFormat/>
    <w:uiPriority w:val="0"/>
    <w:rPr>
      <w:rFonts w:ascii="仿宋_GB2312" w:eastAsia="仿宋_GB2312"/>
    </w:rPr>
  </w:style>
  <w:style w:type="paragraph" w:customStyle="1" w:styleId="394">
    <w:name w:val="marker_file_1329"/>
    <w:basedOn w:val="376"/>
    <w:qFormat/>
    <w:uiPriority w:val="0"/>
    <w:pPr>
      <w:shd w:val="clear" w:color="auto" w:fill="FFFF00"/>
    </w:pPr>
  </w:style>
  <w:style w:type="paragraph" w:customStyle="1" w:styleId="395">
    <w:name w:val="Normal (Web)_file_1329"/>
    <w:basedOn w:val="376"/>
    <w:semiHidden/>
    <w:unhideWhenUsed/>
    <w:qFormat/>
    <w:uiPriority w:val="99"/>
  </w:style>
  <w:style w:type="paragraph" w:customStyle="1" w:styleId="396">
    <w:name w:val="Normal_file_133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397">
    <w:name w:val="heading 1_file_1330"/>
    <w:basedOn w:val="396"/>
    <w:qFormat/>
    <w:uiPriority w:val="9"/>
    <w:pPr>
      <w:outlineLvl w:val="0"/>
    </w:pPr>
    <w:rPr>
      <w:kern w:val="36"/>
      <w:sz w:val="48"/>
      <w:szCs w:val="48"/>
    </w:rPr>
  </w:style>
  <w:style w:type="paragraph" w:customStyle="1" w:styleId="398">
    <w:name w:val="heading 2_file_1330"/>
    <w:basedOn w:val="396"/>
    <w:qFormat/>
    <w:uiPriority w:val="9"/>
    <w:pPr>
      <w:outlineLvl w:val="1"/>
    </w:pPr>
    <w:rPr>
      <w:sz w:val="36"/>
      <w:szCs w:val="36"/>
    </w:rPr>
  </w:style>
  <w:style w:type="paragraph" w:customStyle="1" w:styleId="399">
    <w:name w:val="heading 3_file_1330"/>
    <w:basedOn w:val="396"/>
    <w:qFormat/>
    <w:uiPriority w:val="9"/>
    <w:pPr>
      <w:outlineLvl w:val="2"/>
    </w:pPr>
    <w:rPr>
      <w:sz w:val="27"/>
      <w:szCs w:val="27"/>
    </w:rPr>
  </w:style>
  <w:style w:type="paragraph" w:customStyle="1" w:styleId="400">
    <w:name w:val="heading 4_file_1330"/>
    <w:basedOn w:val="396"/>
    <w:qFormat/>
    <w:uiPriority w:val="9"/>
    <w:pPr>
      <w:outlineLvl w:val="3"/>
    </w:pPr>
  </w:style>
  <w:style w:type="paragraph" w:customStyle="1" w:styleId="401">
    <w:name w:val="heading 5_file_1330"/>
    <w:basedOn w:val="396"/>
    <w:qFormat/>
    <w:uiPriority w:val="9"/>
    <w:pPr>
      <w:outlineLvl w:val="4"/>
    </w:pPr>
    <w:rPr>
      <w:sz w:val="20"/>
      <w:szCs w:val="20"/>
    </w:rPr>
  </w:style>
  <w:style w:type="paragraph" w:customStyle="1" w:styleId="402">
    <w:name w:val="heading 6_file_1330"/>
    <w:basedOn w:val="396"/>
    <w:qFormat/>
    <w:uiPriority w:val="9"/>
    <w:pPr>
      <w:outlineLvl w:val="5"/>
    </w:pPr>
    <w:rPr>
      <w:sz w:val="15"/>
      <w:szCs w:val="15"/>
    </w:rPr>
  </w:style>
  <w:style w:type="character" w:customStyle="1" w:styleId="403">
    <w:name w:val="Default Paragraph Font_file_1330"/>
    <w:semiHidden/>
    <w:unhideWhenUsed/>
    <w:qFormat/>
    <w:uiPriority w:val="1"/>
  </w:style>
  <w:style w:type="table" w:customStyle="1" w:styleId="404">
    <w:name w:val="Normal Table_file_1330"/>
    <w:semiHidden/>
    <w:unhideWhenUsed/>
    <w:qFormat/>
    <w:uiPriority w:val="99"/>
    <w:tblPr>
      <w:tblCellMar>
        <w:top w:w="0" w:type="dxa"/>
        <w:left w:w="108" w:type="dxa"/>
        <w:bottom w:w="0" w:type="dxa"/>
        <w:right w:w="108" w:type="dxa"/>
      </w:tblCellMar>
    </w:tblPr>
  </w:style>
  <w:style w:type="character" w:customStyle="1" w:styleId="405">
    <w:name w:val="Hyperlink_file_1330"/>
    <w:basedOn w:val="403"/>
    <w:semiHidden/>
    <w:unhideWhenUsed/>
    <w:qFormat/>
    <w:uiPriority w:val="99"/>
    <w:rPr>
      <w:color w:val="0782C1"/>
      <w:u w:val="single"/>
    </w:rPr>
  </w:style>
  <w:style w:type="character" w:customStyle="1" w:styleId="406">
    <w:name w:val="FollowedHyperlink_file_1330"/>
    <w:basedOn w:val="403"/>
    <w:semiHidden/>
    <w:unhideWhenUsed/>
    <w:qFormat/>
    <w:uiPriority w:val="99"/>
    <w:rPr>
      <w:color w:val="0782C1"/>
      <w:u w:val="single"/>
    </w:rPr>
  </w:style>
  <w:style w:type="character" w:customStyle="1" w:styleId="407">
    <w:name w:val="标题 1 Char_file_1330"/>
    <w:basedOn w:val="403"/>
    <w:link w:val="5"/>
    <w:qFormat/>
    <w:uiPriority w:val="9"/>
    <w:rPr>
      <w:rFonts w:ascii="宋体" w:hAnsi="宋体" w:eastAsia="宋体" w:cs="宋体"/>
      <w:b/>
      <w:bCs/>
      <w:kern w:val="44"/>
      <w:sz w:val="44"/>
      <w:szCs w:val="44"/>
    </w:rPr>
  </w:style>
  <w:style w:type="character" w:customStyle="1" w:styleId="408">
    <w:name w:val="标题 2 Char_file_1330"/>
    <w:basedOn w:val="403"/>
    <w:link w:val="6"/>
    <w:semiHidden/>
    <w:qFormat/>
    <w:uiPriority w:val="9"/>
    <w:rPr>
      <w:rFonts w:asciiTheme="majorHAnsi" w:hAnsiTheme="majorHAnsi" w:eastAsiaTheme="majorEastAsia" w:cstheme="majorBidi"/>
      <w:b/>
      <w:bCs/>
      <w:sz w:val="32"/>
      <w:szCs w:val="32"/>
    </w:rPr>
  </w:style>
  <w:style w:type="character" w:customStyle="1" w:styleId="409">
    <w:name w:val="标题 3 Char_file_1330"/>
    <w:basedOn w:val="403"/>
    <w:link w:val="7"/>
    <w:semiHidden/>
    <w:qFormat/>
    <w:uiPriority w:val="9"/>
    <w:rPr>
      <w:rFonts w:ascii="宋体" w:hAnsi="宋体" w:eastAsia="宋体" w:cs="宋体"/>
      <w:b/>
      <w:bCs/>
      <w:sz w:val="32"/>
      <w:szCs w:val="32"/>
    </w:rPr>
  </w:style>
  <w:style w:type="character" w:customStyle="1" w:styleId="410">
    <w:name w:val="标题 4 Char_file_1330"/>
    <w:basedOn w:val="403"/>
    <w:link w:val="8"/>
    <w:semiHidden/>
    <w:qFormat/>
    <w:uiPriority w:val="9"/>
    <w:rPr>
      <w:rFonts w:asciiTheme="majorHAnsi" w:hAnsiTheme="majorHAnsi" w:eastAsiaTheme="majorEastAsia" w:cstheme="majorBidi"/>
      <w:b/>
      <w:bCs/>
      <w:sz w:val="28"/>
      <w:szCs w:val="28"/>
    </w:rPr>
  </w:style>
  <w:style w:type="character" w:customStyle="1" w:styleId="411">
    <w:name w:val="标题 5 Char_file_1330"/>
    <w:basedOn w:val="403"/>
    <w:link w:val="9"/>
    <w:semiHidden/>
    <w:qFormat/>
    <w:uiPriority w:val="9"/>
    <w:rPr>
      <w:rFonts w:ascii="宋体" w:hAnsi="宋体" w:eastAsia="宋体" w:cs="宋体"/>
      <w:b/>
      <w:bCs/>
      <w:sz w:val="28"/>
      <w:szCs w:val="28"/>
    </w:rPr>
  </w:style>
  <w:style w:type="character" w:customStyle="1" w:styleId="412">
    <w:name w:val="标题 6 Char_file_1330"/>
    <w:basedOn w:val="403"/>
    <w:link w:val="11"/>
    <w:semiHidden/>
    <w:qFormat/>
    <w:uiPriority w:val="9"/>
    <w:rPr>
      <w:rFonts w:asciiTheme="majorHAnsi" w:hAnsiTheme="majorHAnsi" w:eastAsiaTheme="majorEastAsia" w:cstheme="majorBidi"/>
      <w:b/>
      <w:bCs/>
      <w:sz w:val="24"/>
      <w:szCs w:val="24"/>
    </w:rPr>
  </w:style>
  <w:style w:type="paragraph" w:customStyle="1" w:styleId="413">
    <w:name w:val="cke_editable_file_1330"/>
    <w:basedOn w:val="396"/>
    <w:qFormat/>
    <w:uiPriority w:val="0"/>
    <w:rPr>
      <w:rFonts w:ascii="仿宋_GB2312" w:eastAsia="仿宋_GB2312"/>
    </w:rPr>
  </w:style>
  <w:style w:type="paragraph" w:customStyle="1" w:styleId="414">
    <w:name w:val="marker_file_1330"/>
    <w:basedOn w:val="396"/>
    <w:qFormat/>
    <w:uiPriority w:val="0"/>
    <w:pPr>
      <w:shd w:val="clear" w:color="auto" w:fill="FFFF00"/>
    </w:pPr>
  </w:style>
  <w:style w:type="paragraph" w:customStyle="1" w:styleId="415">
    <w:name w:val="Normal (Web)_file_1330"/>
    <w:basedOn w:val="396"/>
    <w:semiHidden/>
    <w:unhideWhenUsed/>
    <w:qFormat/>
    <w:uiPriority w:val="99"/>
  </w:style>
  <w:style w:type="character" w:customStyle="1" w:styleId="416">
    <w:name w:val="Strong_file_1330"/>
    <w:basedOn w:val="403"/>
    <w:qFormat/>
    <w:uiPriority w:val="22"/>
    <w:rPr>
      <w:b/>
      <w:bCs/>
    </w:rPr>
  </w:style>
  <w:style w:type="paragraph" w:customStyle="1" w:styleId="417">
    <w:name w:val="Normal_file_133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18">
    <w:name w:val="heading 1_file_1331"/>
    <w:basedOn w:val="417"/>
    <w:qFormat/>
    <w:uiPriority w:val="9"/>
    <w:pPr>
      <w:outlineLvl w:val="0"/>
    </w:pPr>
    <w:rPr>
      <w:kern w:val="36"/>
      <w:sz w:val="48"/>
      <w:szCs w:val="48"/>
    </w:rPr>
  </w:style>
  <w:style w:type="paragraph" w:customStyle="1" w:styleId="419">
    <w:name w:val="heading 2_file_1331"/>
    <w:basedOn w:val="417"/>
    <w:qFormat/>
    <w:uiPriority w:val="9"/>
    <w:pPr>
      <w:outlineLvl w:val="1"/>
    </w:pPr>
    <w:rPr>
      <w:sz w:val="36"/>
      <w:szCs w:val="36"/>
    </w:rPr>
  </w:style>
  <w:style w:type="paragraph" w:customStyle="1" w:styleId="420">
    <w:name w:val="heading 3_file_1331"/>
    <w:basedOn w:val="417"/>
    <w:qFormat/>
    <w:uiPriority w:val="9"/>
    <w:pPr>
      <w:outlineLvl w:val="2"/>
    </w:pPr>
    <w:rPr>
      <w:sz w:val="27"/>
      <w:szCs w:val="27"/>
    </w:rPr>
  </w:style>
  <w:style w:type="paragraph" w:customStyle="1" w:styleId="421">
    <w:name w:val="heading 4_file_1331"/>
    <w:basedOn w:val="417"/>
    <w:qFormat/>
    <w:uiPriority w:val="9"/>
    <w:pPr>
      <w:outlineLvl w:val="3"/>
    </w:pPr>
  </w:style>
  <w:style w:type="paragraph" w:customStyle="1" w:styleId="422">
    <w:name w:val="heading 5_file_1331"/>
    <w:basedOn w:val="417"/>
    <w:qFormat/>
    <w:uiPriority w:val="9"/>
    <w:pPr>
      <w:outlineLvl w:val="4"/>
    </w:pPr>
    <w:rPr>
      <w:sz w:val="20"/>
      <w:szCs w:val="20"/>
    </w:rPr>
  </w:style>
  <w:style w:type="paragraph" w:customStyle="1" w:styleId="423">
    <w:name w:val="heading 6_file_1331"/>
    <w:basedOn w:val="417"/>
    <w:qFormat/>
    <w:uiPriority w:val="9"/>
    <w:pPr>
      <w:outlineLvl w:val="5"/>
    </w:pPr>
    <w:rPr>
      <w:sz w:val="15"/>
      <w:szCs w:val="15"/>
    </w:rPr>
  </w:style>
  <w:style w:type="character" w:customStyle="1" w:styleId="424">
    <w:name w:val="Default Paragraph Font_file_1331"/>
    <w:semiHidden/>
    <w:unhideWhenUsed/>
    <w:qFormat/>
    <w:uiPriority w:val="1"/>
  </w:style>
  <w:style w:type="table" w:customStyle="1" w:styleId="425">
    <w:name w:val="Normal Table_file_1331"/>
    <w:semiHidden/>
    <w:unhideWhenUsed/>
    <w:qFormat/>
    <w:uiPriority w:val="99"/>
    <w:tblPr>
      <w:tblCellMar>
        <w:top w:w="0" w:type="dxa"/>
        <w:left w:w="108" w:type="dxa"/>
        <w:bottom w:w="0" w:type="dxa"/>
        <w:right w:w="108" w:type="dxa"/>
      </w:tblCellMar>
    </w:tblPr>
  </w:style>
  <w:style w:type="character" w:customStyle="1" w:styleId="426">
    <w:name w:val="Hyperlink_file_1331"/>
    <w:basedOn w:val="424"/>
    <w:semiHidden/>
    <w:unhideWhenUsed/>
    <w:qFormat/>
    <w:uiPriority w:val="99"/>
    <w:rPr>
      <w:color w:val="0782C1"/>
      <w:u w:val="single"/>
    </w:rPr>
  </w:style>
  <w:style w:type="character" w:customStyle="1" w:styleId="427">
    <w:name w:val="FollowedHyperlink_file_1331"/>
    <w:basedOn w:val="424"/>
    <w:semiHidden/>
    <w:unhideWhenUsed/>
    <w:qFormat/>
    <w:uiPriority w:val="99"/>
    <w:rPr>
      <w:color w:val="0782C1"/>
      <w:u w:val="single"/>
    </w:rPr>
  </w:style>
  <w:style w:type="character" w:customStyle="1" w:styleId="428">
    <w:name w:val="标题 1 Char_file_1331"/>
    <w:basedOn w:val="424"/>
    <w:link w:val="5"/>
    <w:qFormat/>
    <w:uiPriority w:val="9"/>
    <w:rPr>
      <w:rFonts w:ascii="宋体" w:hAnsi="宋体" w:eastAsia="宋体" w:cs="宋体"/>
      <w:b/>
      <w:bCs/>
      <w:kern w:val="44"/>
      <w:sz w:val="44"/>
      <w:szCs w:val="44"/>
    </w:rPr>
  </w:style>
  <w:style w:type="character" w:customStyle="1" w:styleId="429">
    <w:name w:val="标题 2 Char_file_1331"/>
    <w:basedOn w:val="424"/>
    <w:link w:val="6"/>
    <w:semiHidden/>
    <w:qFormat/>
    <w:uiPriority w:val="9"/>
    <w:rPr>
      <w:rFonts w:asciiTheme="majorHAnsi" w:hAnsiTheme="majorHAnsi" w:eastAsiaTheme="majorEastAsia" w:cstheme="majorBidi"/>
      <w:b/>
      <w:bCs/>
      <w:sz w:val="32"/>
      <w:szCs w:val="32"/>
    </w:rPr>
  </w:style>
  <w:style w:type="character" w:customStyle="1" w:styleId="430">
    <w:name w:val="标题 3 Char_file_1331"/>
    <w:basedOn w:val="424"/>
    <w:link w:val="7"/>
    <w:semiHidden/>
    <w:qFormat/>
    <w:uiPriority w:val="9"/>
    <w:rPr>
      <w:rFonts w:ascii="宋体" w:hAnsi="宋体" w:eastAsia="宋体" w:cs="宋体"/>
      <w:b/>
      <w:bCs/>
      <w:sz w:val="32"/>
      <w:szCs w:val="32"/>
    </w:rPr>
  </w:style>
  <w:style w:type="character" w:customStyle="1" w:styleId="431">
    <w:name w:val="标题 4 Char_file_1331"/>
    <w:basedOn w:val="424"/>
    <w:link w:val="8"/>
    <w:semiHidden/>
    <w:qFormat/>
    <w:uiPriority w:val="9"/>
    <w:rPr>
      <w:rFonts w:asciiTheme="majorHAnsi" w:hAnsiTheme="majorHAnsi" w:eastAsiaTheme="majorEastAsia" w:cstheme="majorBidi"/>
      <w:b/>
      <w:bCs/>
      <w:sz w:val="28"/>
      <w:szCs w:val="28"/>
    </w:rPr>
  </w:style>
  <w:style w:type="character" w:customStyle="1" w:styleId="432">
    <w:name w:val="标题 5 Char_file_1331"/>
    <w:basedOn w:val="424"/>
    <w:link w:val="9"/>
    <w:semiHidden/>
    <w:qFormat/>
    <w:uiPriority w:val="9"/>
    <w:rPr>
      <w:rFonts w:ascii="宋体" w:hAnsi="宋体" w:eastAsia="宋体" w:cs="宋体"/>
      <w:b/>
      <w:bCs/>
      <w:sz w:val="28"/>
      <w:szCs w:val="28"/>
    </w:rPr>
  </w:style>
  <w:style w:type="character" w:customStyle="1" w:styleId="433">
    <w:name w:val="标题 6 Char_file_1331"/>
    <w:basedOn w:val="424"/>
    <w:link w:val="11"/>
    <w:semiHidden/>
    <w:qFormat/>
    <w:uiPriority w:val="9"/>
    <w:rPr>
      <w:rFonts w:asciiTheme="majorHAnsi" w:hAnsiTheme="majorHAnsi" w:eastAsiaTheme="majorEastAsia" w:cstheme="majorBidi"/>
      <w:b/>
      <w:bCs/>
      <w:sz w:val="24"/>
      <w:szCs w:val="24"/>
    </w:rPr>
  </w:style>
  <w:style w:type="paragraph" w:customStyle="1" w:styleId="434">
    <w:name w:val="cke_editable_file_1331"/>
    <w:basedOn w:val="417"/>
    <w:qFormat/>
    <w:uiPriority w:val="0"/>
    <w:rPr>
      <w:rFonts w:ascii="仿宋_GB2312" w:eastAsia="仿宋_GB2312"/>
    </w:rPr>
  </w:style>
  <w:style w:type="paragraph" w:customStyle="1" w:styleId="435">
    <w:name w:val="marker_file_1331"/>
    <w:basedOn w:val="417"/>
    <w:qFormat/>
    <w:uiPriority w:val="0"/>
    <w:pPr>
      <w:shd w:val="clear" w:color="auto" w:fill="FFFF00"/>
    </w:pPr>
  </w:style>
  <w:style w:type="paragraph" w:customStyle="1" w:styleId="436">
    <w:name w:val="Normal (Web)_file_1331"/>
    <w:basedOn w:val="417"/>
    <w:semiHidden/>
    <w:unhideWhenUsed/>
    <w:qFormat/>
    <w:uiPriority w:val="99"/>
  </w:style>
  <w:style w:type="paragraph" w:customStyle="1" w:styleId="437">
    <w:name w:val="Normal_file_133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38">
    <w:name w:val="heading 1_file_1332"/>
    <w:basedOn w:val="437"/>
    <w:qFormat/>
    <w:uiPriority w:val="9"/>
    <w:pPr>
      <w:outlineLvl w:val="0"/>
    </w:pPr>
    <w:rPr>
      <w:kern w:val="36"/>
      <w:sz w:val="48"/>
      <w:szCs w:val="48"/>
    </w:rPr>
  </w:style>
  <w:style w:type="paragraph" w:customStyle="1" w:styleId="439">
    <w:name w:val="heading 2_file_1332"/>
    <w:basedOn w:val="437"/>
    <w:qFormat/>
    <w:uiPriority w:val="9"/>
    <w:pPr>
      <w:outlineLvl w:val="1"/>
    </w:pPr>
    <w:rPr>
      <w:sz w:val="36"/>
      <w:szCs w:val="36"/>
    </w:rPr>
  </w:style>
  <w:style w:type="paragraph" w:customStyle="1" w:styleId="440">
    <w:name w:val="heading 3_file_1332"/>
    <w:basedOn w:val="437"/>
    <w:qFormat/>
    <w:uiPriority w:val="9"/>
    <w:pPr>
      <w:outlineLvl w:val="2"/>
    </w:pPr>
    <w:rPr>
      <w:sz w:val="27"/>
      <w:szCs w:val="27"/>
    </w:rPr>
  </w:style>
  <w:style w:type="paragraph" w:customStyle="1" w:styleId="441">
    <w:name w:val="heading 4_file_1332"/>
    <w:basedOn w:val="437"/>
    <w:qFormat/>
    <w:uiPriority w:val="9"/>
    <w:pPr>
      <w:outlineLvl w:val="3"/>
    </w:pPr>
  </w:style>
  <w:style w:type="paragraph" w:customStyle="1" w:styleId="442">
    <w:name w:val="heading 5_file_1332"/>
    <w:basedOn w:val="437"/>
    <w:qFormat/>
    <w:uiPriority w:val="9"/>
    <w:pPr>
      <w:outlineLvl w:val="4"/>
    </w:pPr>
    <w:rPr>
      <w:sz w:val="20"/>
      <w:szCs w:val="20"/>
    </w:rPr>
  </w:style>
  <w:style w:type="paragraph" w:customStyle="1" w:styleId="443">
    <w:name w:val="heading 6_file_1332"/>
    <w:basedOn w:val="437"/>
    <w:qFormat/>
    <w:uiPriority w:val="9"/>
    <w:pPr>
      <w:outlineLvl w:val="5"/>
    </w:pPr>
    <w:rPr>
      <w:sz w:val="15"/>
      <w:szCs w:val="15"/>
    </w:rPr>
  </w:style>
  <w:style w:type="character" w:customStyle="1" w:styleId="444">
    <w:name w:val="Default Paragraph Font_file_1332"/>
    <w:semiHidden/>
    <w:unhideWhenUsed/>
    <w:qFormat/>
    <w:uiPriority w:val="1"/>
  </w:style>
  <w:style w:type="table" w:customStyle="1" w:styleId="445">
    <w:name w:val="Normal Table_file_1332"/>
    <w:semiHidden/>
    <w:unhideWhenUsed/>
    <w:qFormat/>
    <w:uiPriority w:val="99"/>
    <w:tblPr>
      <w:tblCellMar>
        <w:top w:w="0" w:type="dxa"/>
        <w:left w:w="108" w:type="dxa"/>
        <w:bottom w:w="0" w:type="dxa"/>
        <w:right w:w="108" w:type="dxa"/>
      </w:tblCellMar>
    </w:tblPr>
  </w:style>
  <w:style w:type="character" w:customStyle="1" w:styleId="446">
    <w:name w:val="Hyperlink_file_1332"/>
    <w:basedOn w:val="444"/>
    <w:semiHidden/>
    <w:unhideWhenUsed/>
    <w:qFormat/>
    <w:uiPriority w:val="99"/>
    <w:rPr>
      <w:color w:val="0782C1"/>
      <w:u w:val="single"/>
    </w:rPr>
  </w:style>
  <w:style w:type="character" w:customStyle="1" w:styleId="447">
    <w:name w:val="FollowedHyperlink_file_1332"/>
    <w:basedOn w:val="444"/>
    <w:semiHidden/>
    <w:unhideWhenUsed/>
    <w:qFormat/>
    <w:uiPriority w:val="99"/>
    <w:rPr>
      <w:color w:val="0782C1"/>
      <w:u w:val="single"/>
    </w:rPr>
  </w:style>
  <w:style w:type="character" w:customStyle="1" w:styleId="448">
    <w:name w:val="标题 1 Char_file_1332"/>
    <w:basedOn w:val="444"/>
    <w:link w:val="5"/>
    <w:qFormat/>
    <w:uiPriority w:val="9"/>
    <w:rPr>
      <w:rFonts w:ascii="宋体" w:hAnsi="宋体" w:eastAsia="宋体" w:cs="宋体"/>
      <w:b/>
      <w:bCs/>
      <w:kern w:val="44"/>
      <w:sz w:val="44"/>
      <w:szCs w:val="44"/>
    </w:rPr>
  </w:style>
  <w:style w:type="character" w:customStyle="1" w:styleId="449">
    <w:name w:val="标题 2 Char_file_1332"/>
    <w:basedOn w:val="444"/>
    <w:link w:val="6"/>
    <w:semiHidden/>
    <w:qFormat/>
    <w:uiPriority w:val="9"/>
    <w:rPr>
      <w:rFonts w:asciiTheme="majorHAnsi" w:hAnsiTheme="majorHAnsi" w:eastAsiaTheme="majorEastAsia" w:cstheme="majorBidi"/>
      <w:b/>
      <w:bCs/>
      <w:sz w:val="32"/>
      <w:szCs w:val="32"/>
    </w:rPr>
  </w:style>
  <w:style w:type="character" w:customStyle="1" w:styleId="450">
    <w:name w:val="标题 3 Char_file_1332"/>
    <w:basedOn w:val="444"/>
    <w:link w:val="7"/>
    <w:semiHidden/>
    <w:qFormat/>
    <w:uiPriority w:val="9"/>
    <w:rPr>
      <w:rFonts w:ascii="宋体" w:hAnsi="宋体" w:eastAsia="宋体" w:cs="宋体"/>
      <w:b/>
      <w:bCs/>
      <w:sz w:val="32"/>
      <w:szCs w:val="32"/>
    </w:rPr>
  </w:style>
  <w:style w:type="character" w:customStyle="1" w:styleId="451">
    <w:name w:val="标题 4 Char_file_1332"/>
    <w:basedOn w:val="444"/>
    <w:link w:val="8"/>
    <w:semiHidden/>
    <w:qFormat/>
    <w:uiPriority w:val="9"/>
    <w:rPr>
      <w:rFonts w:asciiTheme="majorHAnsi" w:hAnsiTheme="majorHAnsi" w:eastAsiaTheme="majorEastAsia" w:cstheme="majorBidi"/>
      <w:b/>
      <w:bCs/>
      <w:sz w:val="28"/>
      <w:szCs w:val="28"/>
    </w:rPr>
  </w:style>
  <w:style w:type="character" w:customStyle="1" w:styleId="452">
    <w:name w:val="标题 5 Char_file_1332"/>
    <w:basedOn w:val="444"/>
    <w:link w:val="9"/>
    <w:semiHidden/>
    <w:qFormat/>
    <w:uiPriority w:val="9"/>
    <w:rPr>
      <w:rFonts w:ascii="宋体" w:hAnsi="宋体" w:eastAsia="宋体" w:cs="宋体"/>
      <w:b/>
      <w:bCs/>
      <w:sz w:val="28"/>
      <w:szCs w:val="28"/>
    </w:rPr>
  </w:style>
  <w:style w:type="character" w:customStyle="1" w:styleId="453">
    <w:name w:val="标题 6 Char_file_1332"/>
    <w:basedOn w:val="444"/>
    <w:link w:val="11"/>
    <w:semiHidden/>
    <w:qFormat/>
    <w:uiPriority w:val="9"/>
    <w:rPr>
      <w:rFonts w:asciiTheme="majorHAnsi" w:hAnsiTheme="majorHAnsi" w:eastAsiaTheme="majorEastAsia" w:cstheme="majorBidi"/>
      <w:b/>
      <w:bCs/>
      <w:sz w:val="24"/>
      <w:szCs w:val="24"/>
    </w:rPr>
  </w:style>
  <w:style w:type="paragraph" w:customStyle="1" w:styleId="454">
    <w:name w:val="cke_editable_file_1332"/>
    <w:basedOn w:val="437"/>
    <w:qFormat/>
    <w:uiPriority w:val="0"/>
    <w:rPr>
      <w:rFonts w:ascii="仿宋_GB2312" w:eastAsia="仿宋_GB2312"/>
    </w:rPr>
  </w:style>
  <w:style w:type="paragraph" w:customStyle="1" w:styleId="455">
    <w:name w:val="marker_file_1332"/>
    <w:basedOn w:val="437"/>
    <w:qFormat/>
    <w:uiPriority w:val="0"/>
    <w:pPr>
      <w:shd w:val="clear" w:color="auto" w:fill="FFFF00"/>
    </w:pPr>
  </w:style>
  <w:style w:type="paragraph" w:customStyle="1" w:styleId="456">
    <w:name w:val="Normal (Web)_file_1332"/>
    <w:basedOn w:val="437"/>
    <w:semiHidden/>
    <w:unhideWhenUsed/>
    <w:qFormat/>
    <w:uiPriority w:val="99"/>
  </w:style>
  <w:style w:type="character" w:customStyle="1" w:styleId="457">
    <w:name w:val="Strong_file_1332"/>
    <w:basedOn w:val="444"/>
    <w:qFormat/>
    <w:uiPriority w:val="22"/>
    <w:rPr>
      <w:b/>
      <w:bCs/>
    </w:rPr>
  </w:style>
  <w:style w:type="paragraph" w:customStyle="1" w:styleId="458">
    <w:name w:val="Normal_file_133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59">
    <w:name w:val="heading 1_file_1333"/>
    <w:basedOn w:val="458"/>
    <w:qFormat/>
    <w:uiPriority w:val="9"/>
    <w:pPr>
      <w:outlineLvl w:val="0"/>
    </w:pPr>
    <w:rPr>
      <w:kern w:val="36"/>
      <w:sz w:val="48"/>
      <w:szCs w:val="48"/>
    </w:rPr>
  </w:style>
  <w:style w:type="paragraph" w:customStyle="1" w:styleId="460">
    <w:name w:val="heading 2_file_1333"/>
    <w:basedOn w:val="458"/>
    <w:qFormat/>
    <w:uiPriority w:val="9"/>
    <w:pPr>
      <w:outlineLvl w:val="1"/>
    </w:pPr>
    <w:rPr>
      <w:sz w:val="36"/>
      <w:szCs w:val="36"/>
    </w:rPr>
  </w:style>
  <w:style w:type="paragraph" w:customStyle="1" w:styleId="461">
    <w:name w:val="heading 3_file_1333"/>
    <w:basedOn w:val="458"/>
    <w:qFormat/>
    <w:uiPriority w:val="9"/>
    <w:pPr>
      <w:outlineLvl w:val="2"/>
    </w:pPr>
    <w:rPr>
      <w:sz w:val="27"/>
      <w:szCs w:val="27"/>
    </w:rPr>
  </w:style>
  <w:style w:type="paragraph" w:customStyle="1" w:styleId="462">
    <w:name w:val="heading 4_file_1333"/>
    <w:basedOn w:val="458"/>
    <w:qFormat/>
    <w:uiPriority w:val="9"/>
    <w:pPr>
      <w:outlineLvl w:val="3"/>
    </w:pPr>
  </w:style>
  <w:style w:type="paragraph" w:customStyle="1" w:styleId="463">
    <w:name w:val="heading 5_file_1333"/>
    <w:basedOn w:val="458"/>
    <w:qFormat/>
    <w:uiPriority w:val="9"/>
    <w:pPr>
      <w:outlineLvl w:val="4"/>
    </w:pPr>
    <w:rPr>
      <w:sz w:val="20"/>
      <w:szCs w:val="20"/>
    </w:rPr>
  </w:style>
  <w:style w:type="paragraph" w:customStyle="1" w:styleId="464">
    <w:name w:val="heading 6_file_1333"/>
    <w:basedOn w:val="458"/>
    <w:qFormat/>
    <w:uiPriority w:val="9"/>
    <w:pPr>
      <w:outlineLvl w:val="5"/>
    </w:pPr>
    <w:rPr>
      <w:sz w:val="15"/>
      <w:szCs w:val="15"/>
    </w:rPr>
  </w:style>
  <w:style w:type="character" w:customStyle="1" w:styleId="465">
    <w:name w:val="Default Paragraph Font_file_1333"/>
    <w:semiHidden/>
    <w:unhideWhenUsed/>
    <w:qFormat/>
    <w:uiPriority w:val="1"/>
  </w:style>
  <w:style w:type="table" w:customStyle="1" w:styleId="466">
    <w:name w:val="Normal Table_file_1333"/>
    <w:semiHidden/>
    <w:unhideWhenUsed/>
    <w:qFormat/>
    <w:uiPriority w:val="99"/>
    <w:tblPr>
      <w:tblCellMar>
        <w:top w:w="0" w:type="dxa"/>
        <w:left w:w="108" w:type="dxa"/>
        <w:bottom w:w="0" w:type="dxa"/>
        <w:right w:w="108" w:type="dxa"/>
      </w:tblCellMar>
    </w:tblPr>
  </w:style>
  <w:style w:type="character" w:customStyle="1" w:styleId="467">
    <w:name w:val="Hyperlink_file_1333"/>
    <w:basedOn w:val="465"/>
    <w:semiHidden/>
    <w:unhideWhenUsed/>
    <w:qFormat/>
    <w:uiPriority w:val="99"/>
    <w:rPr>
      <w:color w:val="0782C1"/>
      <w:u w:val="single"/>
    </w:rPr>
  </w:style>
  <w:style w:type="character" w:customStyle="1" w:styleId="468">
    <w:name w:val="FollowedHyperlink_file_1333"/>
    <w:basedOn w:val="465"/>
    <w:semiHidden/>
    <w:unhideWhenUsed/>
    <w:qFormat/>
    <w:uiPriority w:val="99"/>
    <w:rPr>
      <w:color w:val="0782C1"/>
      <w:u w:val="single"/>
    </w:rPr>
  </w:style>
  <w:style w:type="character" w:customStyle="1" w:styleId="469">
    <w:name w:val="标题 1 Char_file_1333"/>
    <w:basedOn w:val="465"/>
    <w:link w:val="5"/>
    <w:qFormat/>
    <w:uiPriority w:val="9"/>
    <w:rPr>
      <w:rFonts w:ascii="宋体" w:hAnsi="宋体" w:eastAsia="宋体" w:cs="宋体"/>
      <w:b/>
      <w:bCs/>
      <w:kern w:val="44"/>
      <w:sz w:val="44"/>
      <w:szCs w:val="44"/>
    </w:rPr>
  </w:style>
  <w:style w:type="character" w:customStyle="1" w:styleId="470">
    <w:name w:val="标题 2 Char_file_1333"/>
    <w:basedOn w:val="465"/>
    <w:link w:val="6"/>
    <w:semiHidden/>
    <w:qFormat/>
    <w:uiPriority w:val="9"/>
    <w:rPr>
      <w:rFonts w:asciiTheme="majorHAnsi" w:hAnsiTheme="majorHAnsi" w:eastAsiaTheme="majorEastAsia" w:cstheme="majorBidi"/>
      <w:b/>
      <w:bCs/>
      <w:sz w:val="32"/>
      <w:szCs w:val="32"/>
    </w:rPr>
  </w:style>
  <w:style w:type="character" w:customStyle="1" w:styleId="471">
    <w:name w:val="标题 3 Char_file_1333"/>
    <w:basedOn w:val="465"/>
    <w:link w:val="7"/>
    <w:semiHidden/>
    <w:qFormat/>
    <w:uiPriority w:val="9"/>
    <w:rPr>
      <w:rFonts w:ascii="宋体" w:hAnsi="宋体" w:eastAsia="宋体" w:cs="宋体"/>
      <w:b/>
      <w:bCs/>
      <w:sz w:val="32"/>
      <w:szCs w:val="32"/>
    </w:rPr>
  </w:style>
  <w:style w:type="character" w:customStyle="1" w:styleId="472">
    <w:name w:val="标题 4 Char_file_1333"/>
    <w:basedOn w:val="465"/>
    <w:link w:val="8"/>
    <w:semiHidden/>
    <w:qFormat/>
    <w:uiPriority w:val="9"/>
    <w:rPr>
      <w:rFonts w:asciiTheme="majorHAnsi" w:hAnsiTheme="majorHAnsi" w:eastAsiaTheme="majorEastAsia" w:cstheme="majorBidi"/>
      <w:b/>
      <w:bCs/>
      <w:sz w:val="28"/>
      <w:szCs w:val="28"/>
    </w:rPr>
  </w:style>
  <w:style w:type="character" w:customStyle="1" w:styleId="473">
    <w:name w:val="标题 5 Char_file_1333"/>
    <w:basedOn w:val="465"/>
    <w:link w:val="9"/>
    <w:semiHidden/>
    <w:qFormat/>
    <w:uiPriority w:val="9"/>
    <w:rPr>
      <w:rFonts w:ascii="宋体" w:hAnsi="宋体" w:eastAsia="宋体" w:cs="宋体"/>
      <w:b/>
      <w:bCs/>
      <w:sz w:val="28"/>
      <w:szCs w:val="28"/>
    </w:rPr>
  </w:style>
  <w:style w:type="character" w:customStyle="1" w:styleId="474">
    <w:name w:val="标题 6 Char_file_1333"/>
    <w:basedOn w:val="465"/>
    <w:link w:val="11"/>
    <w:semiHidden/>
    <w:qFormat/>
    <w:uiPriority w:val="9"/>
    <w:rPr>
      <w:rFonts w:asciiTheme="majorHAnsi" w:hAnsiTheme="majorHAnsi" w:eastAsiaTheme="majorEastAsia" w:cstheme="majorBidi"/>
      <w:b/>
      <w:bCs/>
      <w:sz w:val="24"/>
      <w:szCs w:val="24"/>
    </w:rPr>
  </w:style>
  <w:style w:type="paragraph" w:customStyle="1" w:styleId="475">
    <w:name w:val="cke_editable_file_1333"/>
    <w:basedOn w:val="458"/>
    <w:qFormat/>
    <w:uiPriority w:val="0"/>
    <w:rPr>
      <w:rFonts w:ascii="仿宋_GB2312" w:eastAsia="仿宋_GB2312"/>
    </w:rPr>
  </w:style>
  <w:style w:type="paragraph" w:customStyle="1" w:styleId="476">
    <w:name w:val="marker_file_1333"/>
    <w:basedOn w:val="458"/>
    <w:qFormat/>
    <w:uiPriority w:val="0"/>
    <w:pPr>
      <w:shd w:val="clear" w:color="auto" w:fill="FFFF00"/>
    </w:pPr>
  </w:style>
  <w:style w:type="paragraph" w:customStyle="1" w:styleId="477">
    <w:name w:val="Normal (Web)_file_1333"/>
    <w:basedOn w:val="458"/>
    <w:semiHidden/>
    <w:unhideWhenUsed/>
    <w:qFormat/>
    <w:uiPriority w:val="99"/>
  </w:style>
  <w:style w:type="paragraph" w:customStyle="1" w:styleId="478">
    <w:name w:val="Normal_file_133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79">
    <w:name w:val="heading 1_file_1334"/>
    <w:basedOn w:val="478"/>
    <w:qFormat/>
    <w:uiPriority w:val="9"/>
    <w:pPr>
      <w:outlineLvl w:val="0"/>
    </w:pPr>
    <w:rPr>
      <w:kern w:val="36"/>
      <w:sz w:val="48"/>
      <w:szCs w:val="48"/>
    </w:rPr>
  </w:style>
  <w:style w:type="paragraph" w:customStyle="1" w:styleId="480">
    <w:name w:val="heading 2_file_1334"/>
    <w:basedOn w:val="478"/>
    <w:qFormat/>
    <w:uiPriority w:val="9"/>
    <w:pPr>
      <w:outlineLvl w:val="1"/>
    </w:pPr>
    <w:rPr>
      <w:sz w:val="36"/>
      <w:szCs w:val="36"/>
    </w:rPr>
  </w:style>
  <w:style w:type="paragraph" w:customStyle="1" w:styleId="481">
    <w:name w:val="heading 3_file_1334"/>
    <w:basedOn w:val="478"/>
    <w:qFormat/>
    <w:uiPriority w:val="9"/>
    <w:pPr>
      <w:outlineLvl w:val="2"/>
    </w:pPr>
    <w:rPr>
      <w:sz w:val="27"/>
      <w:szCs w:val="27"/>
    </w:rPr>
  </w:style>
  <w:style w:type="paragraph" w:customStyle="1" w:styleId="482">
    <w:name w:val="heading 4_file_1334"/>
    <w:basedOn w:val="478"/>
    <w:qFormat/>
    <w:uiPriority w:val="9"/>
    <w:pPr>
      <w:outlineLvl w:val="3"/>
    </w:pPr>
  </w:style>
  <w:style w:type="paragraph" w:customStyle="1" w:styleId="483">
    <w:name w:val="heading 5_file_1334"/>
    <w:basedOn w:val="478"/>
    <w:qFormat/>
    <w:uiPriority w:val="9"/>
    <w:pPr>
      <w:outlineLvl w:val="4"/>
    </w:pPr>
    <w:rPr>
      <w:sz w:val="20"/>
      <w:szCs w:val="20"/>
    </w:rPr>
  </w:style>
  <w:style w:type="paragraph" w:customStyle="1" w:styleId="484">
    <w:name w:val="heading 6_file_1334"/>
    <w:basedOn w:val="478"/>
    <w:qFormat/>
    <w:uiPriority w:val="9"/>
    <w:pPr>
      <w:outlineLvl w:val="5"/>
    </w:pPr>
    <w:rPr>
      <w:sz w:val="15"/>
      <w:szCs w:val="15"/>
    </w:rPr>
  </w:style>
  <w:style w:type="character" w:customStyle="1" w:styleId="485">
    <w:name w:val="Default Paragraph Font_file_1334"/>
    <w:semiHidden/>
    <w:unhideWhenUsed/>
    <w:qFormat/>
    <w:uiPriority w:val="1"/>
  </w:style>
  <w:style w:type="table" w:customStyle="1" w:styleId="486">
    <w:name w:val="Normal Table_file_1334"/>
    <w:semiHidden/>
    <w:unhideWhenUsed/>
    <w:qFormat/>
    <w:uiPriority w:val="99"/>
    <w:tblPr>
      <w:tblCellMar>
        <w:top w:w="0" w:type="dxa"/>
        <w:left w:w="108" w:type="dxa"/>
        <w:bottom w:w="0" w:type="dxa"/>
        <w:right w:w="108" w:type="dxa"/>
      </w:tblCellMar>
    </w:tblPr>
  </w:style>
  <w:style w:type="character" w:customStyle="1" w:styleId="487">
    <w:name w:val="Hyperlink_file_1334"/>
    <w:basedOn w:val="485"/>
    <w:semiHidden/>
    <w:unhideWhenUsed/>
    <w:qFormat/>
    <w:uiPriority w:val="99"/>
    <w:rPr>
      <w:color w:val="0782C1"/>
      <w:u w:val="single"/>
    </w:rPr>
  </w:style>
  <w:style w:type="character" w:customStyle="1" w:styleId="488">
    <w:name w:val="FollowedHyperlink_file_1334"/>
    <w:basedOn w:val="485"/>
    <w:semiHidden/>
    <w:unhideWhenUsed/>
    <w:qFormat/>
    <w:uiPriority w:val="99"/>
    <w:rPr>
      <w:color w:val="0782C1"/>
      <w:u w:val="single"/>
    </w:rPr>
  </w:style>
  <w:style w:type="character" w:customStyle="1" w:styleId="489">
    <w:name w:val="标题 1 Char_file_1334"/>
    <w:basedOn w:val="485"/>
    <w:link w:val="5"/>
    <w:qFormat/>
    <w:uiPriority w:val="9"/>
    <w:rPr>
      <w:rFonts w:ascii="宋体" w:hAnsi="宋体" w:eastAsia="宋体" w:cs="宋体"/>
      <w:b/>
      <w:bCs/>
      <w:kern w:val="44"/>
      <w:sz w:val="44"/>
      <w:szCs w:val="44"/>
    </w:rPr>
  </w:style>
  <w:style w:type="character" w:customStyle="1" w:styleId="490">
    <w:name w:val="标题 2 Char_file_1334"/>
    <w:basedOn w:val="485"/>
    <w:link w:val="6"/>
    <w:semiHidden/>
    <w:qFormat/>
    <w:uiPriority w:val="9"/>
    <w:rPr>
      <w:rFonts w:asciiTheme="majorHAnsi" w:hAnsiTheme="majorHAnsi" w:eastAsiaTheme="majorEastAsia" w:cstheme="majorBidi"/>
      <w:b/>
      <w:bCs/>
      <w:sz w:val="32"/>
      <w:szCs w:val="32"/>
    </w:rPr>
  </w:style>
  <w:style w:type="character" w:customStyle="1" w:styleId="491">
    <w:name w:val="标题 3 Char_file_1334"/>
    <w:basedOn w:val="485"/>
    <w:link w:val="7"/>
    <w:semiHidden/>
    <w:qFormat/>
    <w:uiPriority w:val="9"/>
    <w:rPr>
      <w:rFonts w:ascii="宋体" w:hAnsi="宋体" w:eastAsia="宋体" w:cs="宋体"/>
      <w:b/>
      <w:bCs/>
      <w:sz w:val="32"/>
      <w:szCs w:val="32"/>
    </w:rPr>
  </w:style>
  <w:style w:type="character" w:customStyle="1" w:styleId="492">
    <w:name w:val="标题 4 Char_file_1334"/>
    <w:basedOn w:val="485"/>
    <w:link w:val="8"/>
    <w:semiHidden/>
    <w:qFormat/>
    <w:uiPriority w:val="9"/>
    <w:rPr>
      <w:rFonts w:asciiTheme="majorHAnsi" w:hAnsiTheme="majorHAnsi" w:eastAsiaTheme="majorEastAsia" w:cstheme="majorBidi"/>
      <w:b/>
      <w:bCs/>
      <w:sz w:val="28"/>
      <w:szCs w:val="28"/>
    </w:rPr>
  </w:style>
  <w:style w:type="character" w:customStyle="1" w:styleId="493">
    <w:name w:val="标题 5 Char_file_1334"/>
    <w:basedOn w:val="485"/>
    <w:link w:val="9"/>
    <w:semiHidden/>
    <w:qFormat/>
    <w:uiPriority w:val="9"/>
    <w:rPr>
      <w:rFonts w:ascii="宋体" w:hAnsi="宋体" w:eastAsia="宋体" w:cs="宋体"/>
      <w:b/>
      <w:bCs/>
      <w:sz w:val="28"/>
      <w:szCs w:val="28"/>
    </w:rPr>
  </w:style>
  <w:style w:type="character" w:customStyle="1" w:styleId="494">
    <w:name w:val="标题 6 Char_file_1334"/>
    <w:basedOn w:val="485"/>
    <w:link w:val="11"/>
    <w:semiHidden/>
    <w:qFormat/>
    <w:uiPriority w:val="9"/>
    <w:rPr>
      <w:rFonts w:asciiTheme="majorHAnsi" w:hAnsiTheme="majorHAnsi" w:eastAsiaTheme="majorEastAsia" w:cstheme="majorBidi"/>
      <w:b/>
      <w:bCs/>
      <w:sz w:val="24"/>
      <w:szCs w:val="24"/>
    </w:rPr>
  </w:style>
  <w:style w:type="paragraph" w:customStyle="1" w:styleId="495">
    <w:name w:val="cke_editable_file_1334"/>
    <w:basedOn w:val="478"/>
    <w:qFormat/>
    <w:uiPriority w:val="0"/>
    <w:rPr>
      <w:rFonts w:ascii="仿宋_GB2312" w:eastAsia="仿宋_GB2312"/>
    </w:rPr>
  </w:style>
  <w:style w:type="paragraph" w:customStyle="1" w:styleId="496">
    <w:name w:val="marker_file_1334"/>
    <w:basedOn w:val="478"/>
    <w:qFormat/>
    <w:uiPriority w:val="0"/>
    <w:pPr>
      <w:shd w:val="clear" w:color="auto" w:fill="FFFF00"/>
    </w:pPr>
  </w:style>
  <w:style w:type="paragraph" w:customStyle="1" w:styleId="497">
    <w:name w:val="Normal (Web)_file_1334"/>
    <w:basedOn w:val="478"/>
    <w:semiHidden/>
    <w:unhideWhenUsed/>
    <w:qFormat/>
    <w:uiPriority w:val="99"/>
  </w:style>
  <w:style w:type="paragraph" w:customStyle="1" w:styleId="498">
    <w:name w:val="Normal_file_133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499">
    <w:name w:val="heading 1_file_1335"/>
    <w:basedOn w:val="498"/>
    <w:qFormat/>
    <w:uiPriority w:val="9"/>
    <w:pPr>
      <w:outlineLvl w:val="0"/>
    </w:pPr>
    <w:rPr>
      <w:kern w:val="36"/>
      <w:sz w:val="48"/>
      <w:szCs w:val="48"/>
    </w:rPr>
  </w:style>
  <w:style w:type="paragraph" w:customStyle="1" w:styleId="500">
    <w:name w:val="heading 2_file_1335"/>
    <w:basedOn w:val="498"/>
    <w:qFormat/>
    <w:uiPriority w:val="9"/>
    <w:pPr>
      <w:outlineLvl w:val="1"/>
    </w:pPr>
    <w:rPr>
      <w:sz w:val="36"/>
      <w:szCs w:val="36"/>
    </w:rPr>
  </w:style>
  <w:style w:type="paragraph" w:customStyle="1" w:styleId="501">
    <w:name w:val="heading 3_file_1335"/>
    <w:basedOn w:val="498"/>
    <w:qFormat/>
    <w:uiPriority w:val="9"/>
    <w:pPr>
      <w:outlineLvl w:val="2"/>
    </w:pPr>
    <w:rPr>
      <w:sz w:val="27"/>
      <w:szCs w:val="27"/>
    </w:rPr>
  </w:style>
  <w:style w:type="paragraph" w:customStyle="1" w:styleId="502">
    <w:name w:val="heading 4_file_1335"/>
    <w:basedOn w:val="498"/>
    <w:qFormat/>
    <w:uiPriority w:val="9"/>
    <w:pPr>
      <w:outlineLvl w:val="3"/>
    </w:pPr>
  </w:style>
  <w:style w:type="paragraph" w:customStyle="1" w:styleId="503">
    <w:name w:val="heading 5_file_1335"/>
    <w:basedOn w:val="498"/>
    <w:qFormat/>
    <w:uiPriority w:val="9"/>
    <w:pPr>
      <w:outlineLvl w:val="4"/>
    </w:pPr>
    <w:rPr>
      <w:sz w:val="20"/>
      <w:szCs w:val="20"/>
    </w:rPr>
  </w:style>
  <w:style w:type="paragraph" w:customStyle="1" w:styleId="504">
    <w:name w:val="heading 6_file_1335"/>
    <w:basedOn w:val="498"/>
    <w:qFormat/>
    <w:uiPriority w:val="9"/>
    <w:pPr>
      <w:outlineLvl w:val="5"/>
    </w:pPr>
    <w:rPr>
      <w:sz w:val="15"/>
      <w:szCs w:val="15"/>
    </w:rPr>
  </w:style>
  <w:style w:type="character" w:customStyle="1" w:styleId="505">
    <w:name w:val="Default Paragraph Font_file_1335"/>
    <w:semiHidden/>
    <w:unhideWhenUsed/>
    <w:qFormat/>
    <w:uiPriority w:val="1"/>
  </w:style>
  <w:style w:type="table" w:customStyle="1" w:styleId="506">
    <w:name w:val="Normal Table_file_1335"/>
    <w:semiHidden/>
    <w:unhideWhenUsed/>
    <w:qFormat/>
    <w:uiPriority w:val="99"/>
    <w:tblPr>
      <w:tblCellMar>
        <w:top w:w="0" w:type="dxa"/>
        <w:left w:w="108" w:type="dxa"/>
        <w:bottom w:w="0" w:type="dxa"/>
        <w:right w:w="108" w:type="dxa"/>
      </w:tblCellMar>
    </w:tblPr>
  </w:style>
  <w:style w:type="character" w:customStyle="1" w:styleId="507">
    <w:name w:val="Hyperlink_file_1335"/>
    <w:basedOn w:val="505"/>
    <w:semiHidden/>
    <w:unhideWhenUsed/>
    <w:qFormat/>
    <w:uiPriority w:val="99"/>
    <w:rPr>
      <w:color w:val="0782C1"/>
      <w:u w:val="single"/>
    </w:rPr>
  </w:style>
  <w:style w:type="character" w:customStyle="1" w:styleId="508">
    <w:name w:val="FollowedHyperlink_file_1335"/>
    <w:basedOn w:val="505"/>
    <w:semiHidden/>
    <w:unhideWhenUsed/>
    <w:qFormat/>
    <w:uiPriority w:val="99"/>
    <w:rPr>
      <w:color w:val="0782C1"/>
      <w:u w:val="single"/>
    </w:rPr>
  </w:style>
  <w:style w:type="character" w:customStyle="1" w:styleId="509">
    <w:name w:val="标题 1 Char_file_1335"/>
    <w:basedOn w:val="505"/>
    <w:link w:val="5"/>
    <w:qFormat/>
    <w:uiPriority w:val="9"/>
    <w:rPr>
      <w:rFonts w:ascii="宋体" w:hAnsi="宋体" w:eastAsia="宋体" w:cs="宋体"/>
      <w:b/>
      <w:bCs/>
      <w:kern w:val="44"/>
      <w:sz w:val="44"/>
      <w:szCs w:val="44"/>
    </w:rPr>
  </w:style>
  <w:style w:type="character" w:customStyle="1" w:styleId="510">
    <w:name w:val="标题 2 Char_file_1335"/>
    <w:basedOn w:val="505"/>
    <w:link w:val="6"/>
    <w:semiHidden/>
    <w:qFormat/>
    <w:uiPriority w:val="9"/>
    <w:rPr>
      <w:rFonts w:asciiTheme="majorHAnsi" w:hAnsiTheme="majorHAnsi" w:eastAsiaTheme="majorEastAsia" w:cstheme="majorBidi"/>
      <w:b/>
      <w:bCs/>
      <w:sz w:val="32"/>
      <w:szCs w:val="32"/>
    </w:rPr>
  </w:style>
  <w:style w:type="character" w:customStyle="1" w:styleId="511">
    <w:name w:val="标题 3 Char_file_1335"/>
    <w:basedOn w:val="505"/>
    <w:link w:val="7"/>
    <w:semiHidden/>
    <w:qFormat/>
    <w:uiPriority w:val="9"/>
    <w:rPr>
      <w:rFonts w:ascii="宋体" w:hAnsi="宋体" w:eastAsia="宋体" w:cs="宋体"/>
      <w:b/>
      <w:bCs/>
      <w:sz w:val="32"/>
      <w:szCs w:val="32"/>
    </w:rPr>
  </w:style>
  <w:style w:type="character" w:customStyle="1" w:styleId="512">
    <w:name w:val="标题 4 Char_file_1335"/>
    <w:basedOn w:val="505"/>
    <w:link w:val="8"/>
    <w:semiHidden/>
    <w:qFormat/>
    <w:uiPriority w:val="9"/>
    <w:rPr>
      <w:rFonts w:asciiTheme="majorHAnsi" w:hAnsiTheme="majorHAnsi" w:eastAsiaTheme="majorEastAsia" w:cstheme="majorBidi"/>
      <w:b/>
      <w:bCs/>
      <w:sz w:val="28"/>
      <w:szCs w:val="28"/>
    </w:rPr>
  </w:style>
  <w:style w:type="character" w:customStyle="1" w:styleId="513">
    <w:name w:val="标题 5 Char_file_1335"/>
    <w:basedOn w:val="505"/>
    <w:link w:val="9"/>
    <w:semiHidden/>
    <w:qFormat/>
    <w:uiPriority w:val="9"/>
    <w:rPr>
      <w:rFonts w:ascii="宋体" w:hAnsi="宋体" w:eastAsia="宋体" w:cs="宋体"/>
      <w:b/>
      <w:bCs/>
      <w:sz w:val="28"/>
      <w:szCs w:val="28"/>
    </w:rPr>
  </w:style>
  <w:style w:type="character" w:customStyle="1" w:styleId="514">
    <w:name w:val="标题 6 Char_file_1335"/>
    <w:basedOn w:val="505"/>
    <w:link w:val="11"/>
    <w:semiHidden/>
    <w:qFormat/>
    <w:uiPriority w:val="9"/>
    <w:rPr>
      <w:rFonts w:asciiTheme="majorHAnsi" w:hAnsiTheme="majorHAnsi" w:eastAsiaTheme="majorEastAsia" w:cstheme="majorBidi"/>
      <w:b/>
      <w:bCs/>
      <w:sz w:val="24"/>
      <w:szCs w:val="24"/>
    </w:rPr>
  </w:style>
  <w:style w:type="paragraph" w:customStyle="1" w:styleId="515">
    <w:name w:val="cke_editable_file_1335"/>
    <w:basedOn w:val="498"/>
    <w:qFormat/>
    <w:uiPriority w:val="0"/>
    <w:rPr>
      <w:rFonts w:ascii="仿宋_GB2312" w:eastAsia="仿宋_GB2312"/>
    </w:rPr>
  </w:style>
  <w:style w:type="paragraph" w:customStyle="1" w:styleId="516">
    <w:name w:val="marker_file_1335"/>
    <w:basedOn w:val="498"/>
    <w:qFormat/>
    <w:uiPriority w:val="0"/>
    <w:pPr>
      <w:shd w:val="clear" w:color="auto" w:fill="FFFF00"/>
    </w:pPr>
  </w:style>
  <w:style w:type="paragraph" w:customStyle="1" w:styleId="517">
    <w:name w:val="Normal (Web)_file_1335"/>
    <w:basedOn w:val="498"/>
    <w:semiHidden/>
    <w:unhideWhenUsed/>
    <w:qFormat/>
    <w:uiPriority w:val="99"/>
  </w:style>
  <w:style w:type="paragraph" w:customStyle="1" w:styleId="518">
    <w:name w:val="Normal_file_13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19">
    <w:name w:val="heading 1_file_1336"/>
    <w:basedOn w:val="518"/>
    <w:qFormat/>
    <w:uiPriority w:val="9"/>
    <w:pPr>
      <w:outlineLvl w:val="0"/>
    </w:pPr>
    <w:rPr>
      <w:kern w:val="36"/>
      <w:sz w:val="48"/>
      <w:szCs w:val="48"/>
    </w:rPr>
  </w:style>
  <w:style w:type="paragraph" w:customStyle="1" w:styleId="520">
    <w:name w:val="heading 2_file_1336"/>
    <w:basedOn w:val="518"/>
    <w:qFormat/>
    <w:uiPriority w:val="9"/>
    <w:pPr>
      <w:outlineLvl w:val="1"/>
    </w:pPr>
    <w:rPr>
      <w:sz w:val="36"/>
      <w:szCs w:val="36"/>
    </w:rPr>
  </w:style>
  <w:style w:type="paragraph" w:customStyle="1" w:styleId="521">
    <w:name w:val="heading 3_file_1336"/>
    <w:basedOn w:val="518"/>
    <w:qFormat/>
    <w:uiPriority w:val="9"/>
    <w:pPr>
      <w:outlineLvl w:val="2"/>
    </w:pPr>
    <w:rPr>
      <w:sz w:val="27"/>
      <w:szCs w:val="27"/>
    </w:rPr>
  </w:style>
  <w:style w:type="paragraph" w:customStyle="1" w:styleId="522">
    <w:name w:val="heading 4_file_1336"/>
    <w:basedOn w:val="518"/>
    <w:qFormat/>
    <w:uiPriority w:val="9"/>
    <w:pPr>
      <w:outlineLvl w:val="3"/>
    </w:pPr>
  </w:style>
  <w:style w:type="paragraph" w:customStyle="1" w:styleId="523">
    <w:name w:val="heading 5_file_1336"/>
    <w:basedOn w:val="518"/>
    <w:qFormat/>
    <w:uiPriority w:val="9"/>
    <w:pPr>
      <w:outlineLvl w:val="4"/>
    </w:pPr>
    <w:rPr>
      <w:sz w:val="20"/>
      <w:szCs w:val="20"/>
    </w:rPr>
  </w:style>
  <w:style w:type="paragraph" w:customStyle="1" w:styleId="524">
    <w:name w:val="heading 6_file_1336"/>
    <w:basedOn w:val="518"/>
    <w:qFormat/>
    <w:uiPriority w:val="9"/>
    <w:pPr>
      <w:outlineLvl w:val="5"/>
    </w:pPr>
    <w:rPr>
      <w:sz w:val="15"/>
      <w:szCs w:val="15"/>
    </w:rPr>
  </w:style>
  <w:style w:type="character" w:customStyle="1" w:styleId="525">
    <w:name w:val="Default Paragraph Font_file_1336"/>
    <w:semiHidden/>
    <w:unhideWhenUsed/>
    <w:qFormat/>
    <w:uiPriority w:val="1"/>
  </w:style>
  <w:style w:type="table" w:customStyle="1" w:styleId="526">
    <w:name w:val="Normal Table_file_1336"/>
    <w:semiHidden/>
    <w:unhideWhenUsed/>
    <w:qFormat/>
    <w:uiPriority w:val="99"/>
    <w:tblPr>
      <w:tblCellMar>
        <w:top w:w="0" w:type="dxa"/>
        <w:left w:w="108" w:type="dxa"/>
        <w:bottom w:w="0" w:type="dxa"/>
        <w:right w:w="108" w:type="dxa"/>
      </w:tblCellMar>
    </w:tblPr>
  </w:style>
  <w:style w:type="character" w:customStyle="1" w:styleId="527">
    <w:name w:val="Hyperlink_file_1336"/>
    <w:basedOn w:val="525"/>
    <w:semiHidden/>
    <w:unhideWhenUsed/>
    <w:qFormat/>
    <w:uiPriority w:val="99"/>
    <w:rPr>
      <w:color w:val="0782C1"/>
      <w:u w:val="single"/>
    </w:rPr>
  </w:style>
  <w:style w:type="character" w:customStyle="1" w:styleId="528">
    <w:name w:val="FollowedHyperlink_file_1336"/>
    <w:basedOn w:val="525"/>
    <w:semiHidden/>
    <w:unhideWhenUsed/>
    <w:qFormat/>
    <w:uiPriority w:val="99"/>
    <w:rPr>
      <w:color w:val="0782C1"/>
      <w:u w:val="single"/>
    </w:rPr>
  </w:style>
  <w:style w:type="character" w:customStyle="1" w:styleId="529">
    <w:name w:val="标题 1 Char_file_1336"/>
    <w:basedOn w:val="525"/>
    <w:link w:val="5"/>
    <w:qFormat/>
    <w:uiPriority w:val="9"/>
    <w:rPr>
      <w:rFonts w:ascii="宋体" w:hAnsi="宋体" w:eastAsia="宋体" w:cs="宋体"/>
      <w:b/>
      <w:bCs/>
      <w:kern w:val="44"/>
      <w:sz w:val="44"/>
      <w:szCs w:val="44"/>
    </w:rPr>
  </w:style>
  <w:style w:type="character" w:customStyle="1" w:styleId="530">
    <w:name w:val="标题 2 Char_file_1336"/>
    <w:basedOn w:val="525"/>
    <w:link w:val="6"/>
    <w:semiHidden/>
    <w:qFormat/>
    <w:uiPriority w:val="9"/>
    <w:rPr>
      <w:rFonts w:asciiTheme="majorHAnsi" w:hAnsiTheme="majorHAnsi" w:eastAsiaTheme="majorEastAsia" w:cstheme="majorBidi"/>
      <w:b/>
      <w:bCs/>
      <w:sz w:val="32"/>
      <w:szCs w:val="32"/>
    </w:rPr>
  </w:style>
  <w:style w:type="character" w:customStyle="1" w:styleId="531">
    <w:name w:val="标题 3 Char_file_1336"/>
    <w:basedOn w:val="525"/>
    <w:link w:val="7"/>
    <w:semiHidden/>
    <w:qFormat/>
    <w:uiPriority w:val="9"/>
    <w:rPr>
      <w:rFonts w:ascii="宋体" w:hAnsi="宋体" w:eastAsia="宋体" w:cs="宋体"/>
      <w:b/>
      <w:bCs/>
      <w:sz w:val="32"/>
      <w:szCs w:val="32"/>
    </w:rPr>
  </w:style>
  <w:style w:type="character" w:customStyle="1" w:styleId="532">
    <w:name w:val="标题 4 Char_file_1336"/>
    <w:basedOn w:val="525"/>
    <w:link w:val="8"/>
    <w:semiHidden/>
    <w:qFormat/>
    <w:uiPriority w:val="9"/>
    <w:rPr>
      <w:rFonts w:asciiTheme="majorHAnsi" w:hAnsiTheme="majorHAnsi" w:eastAsiaTheme="majorEastAsia" w:cstheme="majorBidi"/>
      <w:b/>
      <w:bCs/>
      <w:sz w:val="28"/>
      <w:szCs w:val="28"/>
    </w:rPr>
  </w:style>
  <w:style w:type="character" w:customStyle="1" w:styleId="533">
    <w:name w:val="标题 5 Char_file_1336"/>
    <w:basedOn w:val="525"/>
    <w:link w:val="9"/>
    <w:semiHidden/>
    <w:qFormat/>
    <w:uiPriority w:val="9"/>
    <w:rPr>
      <w:rFonts w:ascii="宋体" w:hAnsi="宋体" w:eastAsia="宋体" w:cs="宋体"/>
      <w:b/>
      <w:bCs/>
      <w:sz w:val="28"/>
      <w:szCs w:val="28"/>
    </w:rPr>
  </w:style>
  <w:style w:type="character" w:customStyle="1" w:styleId="534">
    <w:name w:val="标题 6 Char_file_1336"/>
    <w:basedOn w:val="525"/>
    <w:link w:val="11"/>
    <w:semiHidden/>
    <w:qFormat/>
    <w:uiPriority w:val="9"/>
    <w:rPr>
      <w:rFonts w:asciiTheme="majorHAnsi" w:hAnsiTheme="majorHAnsi" w:eastAsiaTheme="majorEastAsia" w:cstheme="majorBidi"/>
      <w:b/>
      <w:bCs/>
      <w:sz w:val="24"/>
      <w:szCs w:val="24"/>
    </w:rPr>
  </w:style>
  <w:style w:type="paragraph" w:customStyle="1" w:styleId="535">
    <w:name w:val="cke_editable_file_1336"/>
    <w:basedOn w:val="518"/>
    <w:qFormat/>
    <w:uiPriority w:val="0"/>
    <w:rPr>
      <w:rFonts w:ascii="仿宋_GB2312" w:eastAsia="仿宋_GB2312"/>
    </w:rPr>
  </w:style>
  <w:style w:type="paragraph" w:customStyle="1" w:styleId="536">
    <w:name w:val="marker_file_1336"/>
    <w:basedOn w:val="518"/>
    <w:qFormat/>
    <w:uiPriority w:val="0"/>
    <w:pPr>
      <w:shd w:val="clear" w:color="auto" w:fill="FFFF00"/>
    </w:pPr>
  </w:style>
  <w:style w:type="paragraph" w:customStyle="1" w:styleId="537">
    <w:name w:val="Normal (Web)_file_1336"/>
    <w:basedOn w:val="518"/>
    <w:semiHidden/>
    <w:unhideWhenUsed/>
    <w:qFormat/>
    <w:uiPriority w:val="99"/>
  </w:style>
  <w:style w:type="paragraph" w:customStyle="1" w:styleId="538">
    <w:name w:val="Normal_file_1337"/>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39">
    <w:name w:val="heading 1_file_1337"/>
    <w:basedOn w:val="538"/>
    <w:qFormat/>
    <w:uiPriority w:val="9"/>
    <w:pPr>
      <w:outlineLvl w:val="0"/>
    </w:pPr>
    <w:rPr>
      <w:kern w:val="36"/>
      <w:sz w:val="48"/>
      <w:szCs w:val="48"/>
    </w:rPr>
  </w:style>
  <w:style w:type="paragraph" w:customStyle="1" w:styleId="540">
    <w:name w:val="heading 2_file_1337"/>
    <w:basedOn w:val="538"/>
    <w:qFormat/>
    <w:uiPriority w:val="9"/>
    <w:pPr>
      <w:outlineLvl w:val="1"/>
    </w:pPr>
    <w:rPr>
      <w:sz w:val="36"/>
      <w:szCs w:val="36"/>
    </w:rPr>
  </w:style>
  <w:style w:type="paragraph" w:customStyle="1" w:styleId="541">
    <w:name w:val="heading 3_file_1337"/>
    <w:basedOn w:val="538"/>
    <w:qFormat/>
    <w:uiPriority w:val="9"/>
    <w:pPr>
      <w:outlineLvl w:val="2"/>
    </w:pPr>
    <w:rPr>
      <w:sz w:val="27"/>
      <w:szCs w:val="27"/>
    </w:rPr>
  </w:style>
  <w:style w:type="paragraph" w:customStyle="1" w:styleId="542">
    <w:name w:val="heading 4_file_1337"/>
    <w:basedOn w:val="538"/>
    <w:qFormat/>
    <w:uiPriority w:val="9"/>
    <w:pPr>
      <w:outlineLvl w:val="3"/>
    </w:pPr>
  </w:style>
  <w:style w:type="paragraph" w:customStyle="1" w:styleId="543">
    <w:name w:val="heading 5_file_1337"/>
    <w:basedOn w:val="538"/>
    <w:qFormat/>
    <w:uiPriority w:val="9"/>
    <w:pPr>
      <w:outlineLvl w:val="4"/>
    </w:pPr>
    <w:rPr>
      <w:sz w:val="20"/>
      <w:szCs w:val="20"/>
    </w:rPr>
  </w:style>
  <w:style w:type="paragraph" w:customStyle="1" w:styleId="544">
    <w:name w:val="heading 6_file_1337"/>
    <w:basedOn w:val="538"/>
    <w:qFormat/>
    <w:uiPriority w:val="9"/>
    <w:pPr>
      <w:outlineLvl w:val="5"/>
    </w:pPr>
    <w:rPr>
      <w:sz w:val="15"/>
      <w:szCs w:val="15"/>
    </w:rPr>
  </w:style>
  <w:style w:type="character" w:customStyle="1" w:styleId="545">
    <w:name w:val="Default Paragraph Font_file_1337"/>
    <w:semiHidden/>
    <w:unhideWhenUsed/>
    <w:qFormat/>
    <w:uiPriority w:val="1"/>
  </w:style>
  <w:style w:type="table" w:customStyle="1" w:styleId="546">
    <w:name w:val="Normal Table_file_1337"/>
    <w:semiHidden/>
    <w:unhideWhenUsed/>
    <w:qFormat/>
    <w:uiPriority w:val="99"/>
    <w:tblPr>
      <w:tblCellMar>
        <w:top w:w="0" w:type="dxa"/>
        <w:left w:w="108" w:type="dxa"/>
        <w:bottom w:w="0" w:type="dxa"/>
        <w:right w:w="108" w:type="dxa"/>
      </w:tblCellMar>
    </w:tblPr>
  </w:style>
  <w:style w:type="character" w:customStyle="1" w:styleId="547">
    <w:name w:val="Hyperlink_file_1337"/>
    <w:basedOn w:val="545"/>
    <w:semiHidden/>
    <w:unhideWhenUsed/>
    <w:qFormat/>
    <w:uiPriority w:val="99"/>
    <w:rPr>
      <w:color w:val="0782C1"/>
      <w:u w:val="single"/>
    </w:rPr>
  </w:style>
  <w:style w:type="character" w:customStyle="1" w:styleId="548">
    <w:name w:val="FollowedHyperlink_file_1337"/>
    <w:basedOn w:val="545"/>
    <w:semiHidden/>
    <w:unhideWhenUsed/>
    <w:qFormat/>
    <w:uiPriority w:val="99"/>
    <w:rPr>
      <w:color w:val="0782C1"/>
      <w:u w:val="single"/>
    </w:rPr>
  </w:style>
  <w:style w:type="character" w:customStyle="1" w:styleId="549">
    <w:name w:val="标题 1 Char_file_1337"/>
    <w:basedOn w:val="545"/>
    <w:link w:val="5"/>
    <w:qFormat/>
    <w:uiPriority w:val="9"/>
    <w:rPr>
      <w:rFonts w:ascii="宋体" w:hAnsi="宋体" w:eastAsia="宋体" w:cs="宋体"/>
      <w:b/>
      <w:bCs/>
      <w:kern w:val="44"/>
      <w:sz w:val="44"/>
      <w:szCs w:val="44"/>
    </w:rPr>
  </w:style>
  <w:style w:type="character" w:customStyle="1" w:styleId="550">
    <w:name w:val="标题 2 Char_file_1337"/>
    <w:basedOn w:val="545"/>
    <w:link w:val="6"/>
    <w:semiHidden/>
    <w:qFormat/>
    <w:uiPriority w:val="9"/>
    <w:rPr>
      <w:rFonts w:asciiTheme="majorHAnsi" w:hAnsiTheme="majorHAnsi" w:eastAsiaTheme="majorEastAsia" w:cstheme="majorBidi"/>
      <w:b/>
      <w:bCs/>
      <w:sz w:val="32"/>
      <w:szCs w:val="32"/>
    </w:rPr>
  </w:style>
  <w:style w:type="character" w:customStyle="1" w:styleId="551">
    <w:name w:val="标题 3 Char_file_1337"/>
    <w:basedOn w:val="545"/>
    <w:link w:val="7"/>
    <w:semiHidden/>
    <w:qFormat/>
    <w:uiPriority w:val="9"/>
    <w:rPr>
      <w:rFonts w:ascii="宋体" w:hAnsi="宋体" w:eastAsia="宋体" w:cs="宋体"/>
      <w:b/>
      <w:bCs/>
      <w:sz w:val="32"/>
      <w:szCs w:val="32"/>
    </w:rPr>
  </w:style>
  <w:style w:type="character" w:customStyle="1" w:styleId="552">
    <w:name w:val="标题 4 Char_file_1337"/>
    <w:basedOn w:val="545"/>
    <w:link w:val="8"/>
    <w:semiHidden/>
    <w:qFormat/>
    <w:uiPriority w:val="9"/>
    <w:rPr>
      <w:rFonts w:asciiTheme="majorHAnsi" w:hAnsiTheme="majorHAnsi" w:eastAsiaTheme="majorEastAsia" w:cstheme="majorBidi"/>
      <w:b/>
      <w:bCs/>
      <w:sz w:val="28"/>
      <w:szCs w:val="28"/>
    </w:rPr>
  </w:style>
  <w:style w:type="character" w:customStyle="1" w:styleId="553">
    <w:name w:val="标题 5 Char_file_1337"/>
    <w:basedOn w:val="545"/>
    <w:link w:val="9"/>
    <w:semiHidden/>
    <w:qFormat/>
    <w:uiPriority w:val="9"/>
    <w:rPr>
      <w:rFonts w:ascii="宋体" w:hAnsi="宋体" w:eastAsia="宋体" w:cs="宋体"/>
      <w:b/>
      <w:bCs/>
      <w:sz w:val="28"/>
      <w:szCs w:val="28"/>
    </w:rPr>
  </w:style>
  <w:style w:type="character" w:customStyle="1" w:styleId="554">
    <w:name w:val="标题 6 Char_file_1337"/>
    <w:basedOn w:val="545"/>
    <w:link w:val="11"/>
    <w:semiHidden/>
    <w:qFormat/>
    <w:uiPriority w:val="9"/>
    <w:rPr>
      <w:rFonts w:asciiTheme="majorHAnsi" w:hAnsiTheme="majorHAnsi" w:eastAsiaTheme="majorEastAsia" w:cstheme="majorBidi"/>
      <w:b/>
      <w:bCs/>
      <w:sz w:val="24"/>
      <w:szCs w:val="24"/>
    </w:rPr>
  </w:style>
  <w:style w:type="paragraph" w:customStyle="1" w:styleId="555">
    <w:name w:val="cke_editable_file_1337"/>
    <w:basedOn w:val="538"/>
    <w:qFormat/>
    <w:uiPriority w:val="0"/>
    <w:rPr>
      <w:rFonts w:ascii="仿宋_GB2312" w:eastAsia="仿宋_GB2312"/>
    </w:rPr>
  </w:style>
  <w:style w:type="paragraph" w:customStyle="1" w:styleId="556">
    <w:name w:val="marker_file_1337"/>
    <w:basedOn w:val="538"/>
    <w:qFormat/>
    <w:uiPriority w:val="0"/>
    <w:pPr>
      <w:shd w:val="clear" w:color="auto" w:fill="FFFF00"/>
    </w:pPr>
  </w:style>
  <w:style w:type="paragraph" w:customStyle="1" w:styleId="557">
    <w:name w:val="Normal (Web)_file_1337"/>
    <w:basedOn w:val="538"/>
    <w:semiHidden/>
    <w:unhideWhenUsed/>
    <w:qFormat/>
    <w:uiPriority w:val="99"/>
  </w:style>
  <w:style w:type="paragraph" w:customStyle="1" w:styleId="558">
    <w:name w:val="Normal_file_1338"/>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59">
    <w:name w:val="heading 1_file_1338"/>
    <w:basedOn w:val="558"/>
    <w:qFormat/>
    <w:uiPriority w:val="9"/>
    <w:pPr>
      <w:outlineLvl w:val="0"/>
    </w:pPr>
    <w:rPr>
      <w:kern w:val="36"/>
      <w:sz w:val="48"/>
      <w:szCs w:val="48"/>
    </w:rPr>
  </w:style>
  <w:style w:type="paragraph" w:customStyle="1" w:styleId="560">
    <w:name w:val="heading 2_file_1338"/>
    <w:basedOn w:val="558"/>
    <w:qFormat/>
    <w:uiPriority w:val="9"/>
    <w:pPr>
      <w:outlineLvl w:val="1"/>
    </w:pPr>
    <w:rPr>
      <w:sz w:val="36"/>
      <w:szCs w:val="36"/>
    </w:rPr>
  </w:style>
  <w:style w:type="paragraph" w:customStyle="1" w:styleId="561">
    <w:name w:val="heading 3_file_1338"/>
    <w:basedOn w:val="558"/>
    <w:qFormat/>
    <w:uiPriority w:val="9"/>
    <w:pPr>
      <w:outlineLvl w:val="2"/>
    </w:pPr>
    <w:rPr>
      <w:sz w:val="27"/>
      <w:szCs w:val="27"/>
    </w:rPr>
  </w:style>
  <w:style w:type="paragraph" w:customStyle="1" w:styleId="562">
    <w:name w:val="heading 4_file_1338"/>
    <w:basedOn w:val="558"/>
    <w:qFormat/>
    <w:uiPriority w:val="9"/>
    <w:pPr>
      <w:outlineLvl w:val="3"/>
    </w:pPr>
  </w:style>
  <w:style w:type="paragraph" w:customStyle="1" w:styleId="563">
    <w:name w:val="heading 5_file_1338"/>
    <w:basedOn w:val="558"/>
    <w:qFormat/>
    <w:uiPriority w:val="9"/>
    <w:pPr>
      <w:outlineLvl w:val="4"/>
    </w:pPr>
    <w:rPr>
      <w:sz w:val="20"/>
      <w:szCs w:val="20"/>
    </w:rPr>
  </w:style>
  <w:style w:type="paragraph" w:customStyle="1" w:styleId="564">
    <w:name w:val="heading 6_file_1338"/>
    <w:basedOn w:val="558"/>
    <w:qFormat/>
    <w:uiPriority w:val="9"/>
    <w:pPr>
      <w:outlineLvl w:val="5"/>
    </w:pPr>
    <w:rPr>
      <w:sz w:val="15"/>
      <w:szCs w:val="15"/>
    </w:rPr>
  </w:style>
  <w:style w:type="character" w:customStyle="1" w:styleId="565">
    <w:name w:val="Default Paragraph Font_file_1338"/>
    <w:semiHidden/>
    <w:unhideWhenUsed/>
    <w:qFormat/>
    <w:uiPriority w:val="1"/>
  </w:style>
  <w:style w:type="table" w:customStyle="1" w:styleId="566">
    <w:name w:val="Normal Table_file_1338"/>
    <w:semiHidden/>
    <w:unhideWhenUsed/>
    <w:qFormat/>
    <w:uiPriority w:val="99"/>
    <w:tblPr>
      <w:tblCellMar>
        <w:top w:w="0" w:type="dxa"/>
        <w:left w:w="108" w:type="dxa"/>
        <w:bottom w:w="0" w:type="dxa"/>
        <w:right w:w="108" w:type="dxa"/>
      </w:tblCellMar>
    </w:tblPr>
  </w:style>
  <w:style w:type="character" w:customStyle="1" w:styleId="567">
    <w:name w:val="Hyperlink_file_1338"/>
    <w:basedOn w:val="565"/>
    <w:semiHidden/>
    <w:unhideWhenUsed/>
    <w:qFormat/>
    <w:uiPriority w:val="99"/>
    <w:rPr>
      <w:color w:val="0782C1"/>
      <w:u w:val="single"/>
    </w:rPr>
  </w:style>
  <w:style w:type="character" w:customStyle="1" w:styleId="568">
    <w:name w:val="FollowedHyperlink_file_1338"/>
    <w:basedOn w:val="565"/>
    <w:semiHidden/>
    <w:unhideWhenUsed/>
    <w:qFormat/>
    <w:uiPriority w:val="99"/>
    <w:rPr>
      <w:color w:val="0782C1"/>
      <w:u w:val="single"/>
    </w:rPr>
  </w:style>
  <w:style w:type="character" w:customStyle="1" w:styleId="569">
    <w:name w:val="标题 1 Char_file_1338"/>
    <w:basedOn w:val="565"/>
    <w:link w:val="5"/>
    <w:qFormat/>
    <w:uiPriority w:val="9"/>
    <w:rPr>
      <w:rFonts w:ascii="宋体" w:hAnsi="宋体" w:eastAsia="宋体" w:cs="宋体"/>
      <w:b/>
      <w:bCs/>
      <w:kern w:val="44"/>
      <w:sz w:val="44"/>
      <w:szCs w:val="44"/>
    </w:rPr>
  </w:style>
  <w:style w:type="character" w:customStyle="1" w:styleId="570">
    <w:name w:val="标题 2 Char_file_1338"/>
    <w:basedOn w:val="565"/>
    <w:link w:val="6"/>
    <w:semiHidden/>
    <w:qFormat/>
    <w:uiPriority w:val="9"/>
    <w:rPr>
      <w:rFonts w:asciiTheme="majorHAnsi" w:hAnsiTheme="majorHAnsi" w:eastAsiaTheme="majorEastAsia" w:cstheme="majorBidi"/>
      <w:b/>
      <w:bCs/>
      <w:sz w:val="32"/>
      <w:szCs w:val="32"/>
    </w:rPr>
  </w:style>
  <w:style w:type="character" w:customStyle="1" w:styleId="571">
    <w:name w:val="标题 3 Char_file_1338"/>
    <w:basedOn w:val="565"/>
    <w:link w:val="7"/>
    <w:semiHidden/>
    <w:qFormat/>
    <w:uiPriority w:val="9"/>
    <w:rPr>
      <w:rFonts w:ascii="宋体" w:hAnsi="宋体" w:eastAsia="宋体" w:cs="宋体"/>
      <w:b/>
      <w:bCs/>
      <w:sz w:val="32"/>
      <w:szCs w:val="32"/>
    </w:rPr>
  </w:style>
  <w:style w:type="character" w:customStyle="1" w:styleId="572">
    <w:name w:val="标题 4 Char_file_1338"/>
    <w:basedOn w:val="565"/>
    <w:link w:val="8"/>
    <w:semiHidden/>
    <w:qFormat/>
    <w:uiPriority w:val="9"/>
    <w:rPr>
      <w:rFonts w:asciiTheme="majorHAnsi" w:hAnsiTheme="majorHAnsi" w:eastAsiaTheme="majorEastAsia" w:cstheme="majorBidi"/>
      <w:b/>
      <w:bCs/>
      <w:sz w:val="28"/>
      <w:szCs w:val="28"/>
    </w:rPr>
  </w:style>
  <w:style w:type="character" w:customStyle="1" w:styleId="573">
    <w:name w:val="标题 5 Char_file_1338"/>
    <w:basedOn w:val="565"/>
    <w:link w:val="9"/>
    <w:semiHidden/>
    <w:qFormat/>
    <w:uiPriority w:val="9"/>
    <w:rPr>
      <w:rFonts w:ascii="宋体" w:hAnsi="宋体" w:eastAsia="宋体" w:cs="宋体"/>
      <w:b/>
      <w:bCs/>
      <w:sz w:val="28"/>
      <w:szCs w:val="28"/>
    </w:rPr>
  </w:style>
  <w:style w:type="character" w:customStyle="1" w:styleId="574">
    <w:name w:val="标题 6 Char_file_1338"/>
    <w:basedOn w:val="565"/>
    <w:link w:val="11"/>
    <w:semiHidden/>
    <w:qFormat/>
    <w:uiPriority w:val="9"/>
    <w:rPr>
      <w:rFonts w:asciiTheme="majorHAnsi" w:hAnsiTheme="majorHAnsi" w:eastAsiaTheme="majorEastAsia" w:cstheme="majorBidi"/>
      <w:b/>
      <w:bCs/>
      <w:sz w:val="24"/>
      <w:szCs w:val="24"/>
    </w:rPr>
  </w:style>
  <w:style w:type="paragraph" w:customStyle="1" w:styleId="575">
    <w:name w:val="cke_editable_file_1338"/>
    <w:basedOn w:val="558"/>
    <w:qFormat/>
    <w:uiPriority w:val="0"/>
    <w:rPr>
      <w:rFonts w:ascii="仿宋_GB2312" w:eastAsia="仿宋_GB2312"/>
    </w:rPr>
  </w:style>
  <w:style w:type="paragraph" w:customStyle="1" w:styleId="576">
    <w:name w:val="marker_file_1338"/>
    <w:basedOn w:val="558"/>
    <w:qFormat/>
    <w:uiPriority w:val="0"/>
    <w:pPr>
      <w:shd w:val="clear" w:color="auto" w:fill="FFFF00"/>
    </w:pPr>
  </w:style>
  <w:style w:type="paragraph" w:customStyle="1" w:styleId="577">
    <w:name w:val="Normal (Web)_file_1338"/>
    <w:basedOn w:val="558"/>
    <w:semiHidden/>
    <w:unhideWhenUsed/>
    <w:qFormat/>
    <w:uiPriority w:val="99"/>
  </w:style>
  <w:style w:type="character" w:customStyle="1" w:styleId="578">
    <w:name w:val="Strong_file_1338"/>
    <w:basedOn w:val="565"/>
    <w:qFormat/>
    <w:uiPriority w:val="22"/>
    <w:rPr>
      <w:b/>
      <w:bCs/>
    </w:rPr>
  </w:style>
  <w:style w:type="paragraph" w:customStyle="1" w:styleId="579">
    <w:name w:val="Normal_file_1339"/>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580">
    <w:name w:val="heading 1_file_1339"/>
    <w:basedOn w:val="579"/>
    <w:qFormat/>
    <w:uiPriority w:val="9"/>
    <w:pPr>
      <w:outlineLvl w:val="0"/>
    </w:pPr>
    <w:rPr>
      <w:kern w:val="36"/>
      <w:sz w:val="48"/>
      <w:szCs w:val="48"/>
    </w:rPr>
  </w:style>
  <w:style w:type="paragraph" w:customStyle="1" w:styleId="581">
    <w:name w:val="heading 2_file_1339"/>
    <w:basedOn w:val="579"/>
    <w:qFormat/>
    <w:uiPriority w:val="9"/>
    <w:pPr>
      <w:outlineLvl w:val="1"/>
    </w:pPr>
    <w:rPr>
      <w:sz w:val="36"/>
      <w:szCs w:val="36"/>
    </w:rPr>
  </w:style>
  <w:style w:type="paragraph" w:customStyle="1" w:styleId="582">
    <w:name w:val="heading 3_file_1339"/>
    <w:basedOn w:val="579"/>
    <w:qFormat/>
    <w:uiPriority w:val="9"/>
    <w:pPr>
      <w:outlineLvl w:val="2"/>
    </w:pPr>
    <w:rPr>
      <w:sz w:val="27"/>
      <w:szCs w:val="27"/>
    </w:rPr>
  </w:style>
  <w:style w:type="paragraph" w:customStyle="1" w:styleId="583">
    <w:name w:val="heading 4_file_1339"/>
    <w:basedOn w:val="579"/>
    <w:qFormat/>
    <w:uiPriority w:val="9"/>
    <w:pPr>
      <w:outlineLvl w:val="3"/>
    </w:pPr>
  </w:style>
  <w:style w:type="paragraph" w:customStyle="1" w:styleId="584">
    <w:name w:val="heading 5_file_1339"/>
    <w:basedOn w:val="579"/>
    <w:qFormat/>
    <w:uiPriority w:val="9"/>
    <w:pPr>
      <w:outlineLvl w:val="4"/>
    </w:pPr>
    <w:rPr>
      <w:sz w:val="20"/>
      <w:szCs w:val="20"/>
    </w:rPr>
  </w:style>
  <w:style w:type="paragraph" w:customStyle="1" w:styleId="585">
    <w:name w:val="heading 6_file_1339"/>
    <w:basedOn w:val="579"/>
    <w:qFormat/>
    <w:uiPriority w:val="9"/>
    <w:pPr>
      <w:outlineLvl w:val="5"/>
    </w:pPr>
    <w:rPr>
      <w:sz w:val="15"/>
      <w:szCs w:val="15"/>
    </w:rPr>
  </w:style>
  <w:style w:type="character" w:customStyle="1" w:styleId="586">
    <w:name w:val="Default Paragraph Font_file_1339"/>
    <w:semiHidden/>
    <w:unhideWhenUsed/>
    <w:qFormat/>
    <w:uiPriority w:val="1"/>
  </w:style>
  <w:style w:type="table" w:customStyle="1" w:styleId="587">
    <w:name w:val="Normal Table_file_1339"/>
    <w:semiHidden/>
    <w:unhideWhenUsed/>
    <w:qFormat/>
    <w:uiPriority w:val="99"/>
    <w:tblPr>
      <w:tblCellMar>
        <w:top w:w="0" w:type="dxa"/>
        <w:left w:w="108" w:type="dxa"/>
        <w:bottom w:w="0" w:type="dxa"/>
        <w:right w:w="108" w:type="dxa"/>
      </w:tblCellMar>
    </w:tblPr>
  </w:style>
  <w:style w:type="character" w:customStyle="1" w:styleId="588">
    <w:name w:val="Hyperlink_file_1339"/>
    <w:basedOn w:val="586"/>
    <w:semiHidden/>
    <w:unhideWhenUsed/>
    <w:qFormat/>
    <w:uiPriority w:val="99"/>
    <w:rPr>
      <w:color w:val="0782C1"/>
      <w:u w:val="single"/>
    </w:rPr>
  </w:style>
  <w:style w:type="character" w:customStyle="1" w:styleId="589">
    <w:name w:val="FollowedHyperlink_file_1339"/>
    <w:basedOn w:val="586"/>
    <w:semiHidden/>
    <w:unhideWhenUsed/>
    <w:qFormat/>
    <w:uiPriority w:val="99"/>
    <w:rPr>
      <w:color w:val="0782C1"/>
      <w:u w:val="single"/>
    </w:rPr>
  </w:style>
  <w:style w:type="character" w:customStyle="1" w:styleId="590">
    <w:name w:val="标题 1 Char_file_1339"/>
    <w:basedOn w:val="586"/>
    <w:link w:val="5"/>
    <w:qFormat/>
    <w:uiPriority w:val="9"/>
    <w:rPr>
      <w:rFonts w:ascii="宋体" w:hAnsi="宋体" w:eastAsia="宋体" w:cs="宋体"/>
      <w:b/>
      <w:bCs/>
      <w:kern w:val="44"/>
      <w:sz w:val="44"/>
      <w:szCs w:val="44"/>
    </w:rPr>
  </w:style>
  <w:style w:type="character" w:customStyle="1" w:styleId="591">
    <w:name w:val="标题 2 Char_file_1339"/>
    <w:basedOn w:val="586"/>
    <w:link w:val="6"/>
    <w:semiHidden/>
    <w:qFormat/>
    <w:uiPriority w:val="9"/>
    <w:rPr>
      <w:rFonts w:asciiTheme="majorHAnsi" w:hAnsiTheme="majorHAnsi" w:eastAsiaTheme="majorEastAsia" w:cstheme="majorBidi"/>
      <w:b/>
      <w:bCs/>
      <w:sz w:val="32"/>
      <w:szCs w:val="32"/>
    </w:rPr>
  </w:style>
  <w:style w:type="character" w:customStyle="1" w:styleId="592">
    <w:name w:val="标题 3 Char_file_1339"/>
    <w:basedOn w:val="586"/>
    <w:link w:val="7"/>
    <w:semiHidden/>
    <w:qFormat/>
    <w:uiPriority w:val="9"/>
    <w:rPr>
      <w:rFonts w:ascii="宋体" w:hAnsi="宋体" w:eastAsia="宋体" w:cs="宋体"/>
      <w:b/>
      <w:bCs/>
      <w:sz w:val="32"/>
      <w:szCs w:val="32"/>
    </w:rPr>
  </w:style>
  <w:style w:type="character" w:customStyle="1" w:styleId="593">
    <w:name w:val="标题 4 Char_file_1339"/>
    <w:basedOn w:val="586"/>
    <w:link w:val="8"/>
    <w:semiHidden/>
    <w:qFormat/>
    <w:uiPriority w:val="9"/>
    <w:rPr>
      <w:rFonts w:asciiTheme="majorHAnsi" w:hAnsiTheme="majorHAnsi" w:eastAsiaTheme="majorEastAsia" w:cstheme="majorBidi"/>
      <w:b/>
      <w:bCs/>
      <w:sz w:val="28"/>
      <w:szCs w:val="28"/>
    </w:rPr>
  </w:style>
  <w:style w:type="character" w:customStyle="1" w:styleId="594">
    <w:name w:val="标题 5 Char_file_1339"/>
    <w:basedOn w:val="586"/>
    <w:link w:val="9"/>
    <w:semiHidden/>
    <w:qFormat/>
    <w:uiPriority w:val="9"/>
    <w:rPr>
      <w:rFonts w:ascii="宋体" w:hAnsi="宋体" w:eastAsia="宋体" w:cs="宋体"/>
      <w:b/>
      <w:bCs/>
      <w:sz w:val="28"/>
      <w:szCs w:val="28"/>
    </w:rPr>
  </w:style>
  <w:style w:type="character" w:customStyle="1" w:styleId="595">
    <w:name w:val="标题 6 Char_file_1339"/>
    <w:basedOn w:val="586"/>
    <w:link w:val="11"/>
    <w:semiHidden/>
    <w:qFormat/>
    <w:uiPriority w:val="9"/>
    <w:rPr>
      <w:rFonts w:asciiTheme="majorHAnsi" w:hAnsiTheme="majorHAnsi" w:eastAsiaTheme="majorEastAsia" w:cstheme="majorBidi"/>
      <w:b/>
      <w:bCs/>
      <w:sz w:val="24"/>
      <w:szCs w:val="24"/>
    </w:rPr>
  </w:style>
  <w:style w:type="paragraph" w:customStyle="1" w:styleId="596">
    <w:name w:val="cke_editable_file_1339"/>
    <w:basedOn w:val="579"/>
    <w:qFormat/>
    <w:uiPriority w:val="0"/>
    <w:rPr>
      <w:rFonts w:ascii="仿宋_GB2312" w:eastAsia="仿宋_GB2312"/>
    </w:rPr>
  </w:style>
  <w:style w:type="paragraph" w:customStyle="1" w:styleId="597">
    <w:name w:val="marker_file_1339"/>
    <w:basedOn w:val="579"/>
    <w:qFormat/>
    <w:uiPriority w:val="0"/>
    <w:pPr>
      <w:shd w:val="clear" w:color="auto" w:fill="FFFF00"/>
    </w:pPr>
  </w:style>
  <w:style w:type="paragraph" w:customStyle="1" w:styleId="598">
    <w:name w:val="Normal (Web)_file_1339"/>
    <w:basedOn w:val="579"/>
    <w:semiHidden/>
    <w:unhideWhenUsed/>
    <w:qFormat/>
    <w:uiPriority w:val="99"/>
  </w:style>
  <w:style w:type="character" w:customStyle="1" w:styleId="599">
    <w:name w:val="Strong_file_1339"/>
    <w:basedOn w:val="586"/>
    <w:qFormat/>
    <w:uiPriority w:val="22"/>
    <w:rPr>
      <w:b/>
      <w:bCs/>
    </w:rPr>
  </w:style>
  <w:style w:type="paragraph" w:customStyle="1" w:styleId="600">
    <w:name w:val="Normal_file_1340"/>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01">
    <w:name w:val="heading 1_file_1340"/>
    <w:basedOn w:val="600"/>
    <w:qFormat/>
    <w:uiPriority w:val="9"/>
    <w:pPr>
      <w:outlineLvl w:val="0"/>
    </w:pPr>
    <w:rPr>
      <w:kern w:val="36"/>
      <w:sz w:val="48"/>
      <w:szCs w:val="48"/>
    </w:rPr>
  </w:style>
  <w:style w:type="paragraph" w:customStyle="1" w:styleId="602">
    <w:name w:val="heading 2_file_1340"/>
    <w:basedOn w:val="600"/>
    <w:qFormat/>
    <w:uiPriority w:val="9"/>
    <w:pPr>
      <w:outlineLvl w:val="1"/>
    </w:pPr>
    <w:rPr>
      <w:sz w:val="36"/>
      <w:szCs w:val="36"/>
    </w:rPr>
  </w:style>
  <w:style w:type="paragraph" w:customStyle="1" w:styleId="603">
    <w:name w:val="heading 3_file_1340"/>
    <w:basedOn w:val="600"/>
    <w:qFormat/>
    <w:uiPriority w:val="9"/>
    <w:pPr>
      <w:outlineLvl w:val="2"/>
    </w:pPr>
    <w:rPr>
      <w:sz w:val="27"/>
      <w:szCs w:val="27"/>
    </w:rPr>
  </w:style>
  <w:style w:type="paragraph" w:customStyle="1" w:styleId="604">
    <w:name w:val="heading 4_file_1340"/>
    <w:basedOn w:val="600"/>
    <w:qFormat/>
    <w:uiPriority w:val="9"/>
    <w:pPr>
      <w:outlineLvl w:val="3"/>
    </w:pPr>
  </w:style>
  <w:style w:type="paragraph" w:customStyle="1" w:styleId="605">
    <w:name w:val="heading 5_file_1340"/>
    <w:basedOn w:val="600"/>
    <w:qFormat/>
    <w:uiPriority w:val="9"/>
    <w:pPr>
      <w:outlineLvl w:val="4"/>
    </w:pPr>
    <w:rPr>
      <w:sz w:val="20"/>
      <w:szCs w:val="20"/>
    </w:rPr>
  </w:style>
  <w:style w:type="paragraph" w:customStyle="1" w:styleId="606">
    <w:name w:val="heading 6_file_1340"/>
    <w:basedOn w:val="600"/>
    <w:qFormat/>
    <w:uiPriority w:val="9"/>
    <w:pPr>
      <w:outlineLvl w:val="5"/>
    </w:pPr>
    <w:rPr>
      <w:sz w:val="15"/>
      <w:szCs w:val="15"/>
    </w:rPr>
  </w:style>
  <w:style w:type="character" w:customStyle="1" w:styleId="607">
    <w:name w:val="Default Paragraph Font_file_1340"/>
    <w:semiHidden/>
    <w:unhideWhenUsed/>
    <w:qFormat/>
    <w:uiPriority w:val="1"/>
  </w:style>
  <w:style w:type="table" w:customStyle="1" w:styleId="608">
    <w:name w:val="Normal Table_file_1340"/>
    <w:semiHidden/>
    <w:unhideWhenUsed/>
    <w:qFormat/>
    <w:uiPriority w:val="99"/>
    <w:tblPr>
      <w:tblCellMar>
        <w:top w:w="0" w:type="dxa"/>
        <w:left w:w="108" w:type="dxa"/>
        <w:bottom w:w="0" w:type="dxa"/>
        <w:right w:w="108" w:type="dxa"/>
      </w:tblCellMar>
    </w:tblPr>
  </w:style>
  <w:style w:type="character" w:customStyle="1" w:styleId="609">
    <w:name w:val="Hyperlink_file_1340"/>
    <w:basedOn w:val="607"/>
    <w:semiHidden/>
    <w:unhideWhenUsed/>
    <w:qFormat/>
    <w:uiPriority w:val="99"/>
    <w:rPr>
      <w:color w:val="0782C1"/>
      <w:u w:val="single"/>
    </w:rPr>
  </w:style>
  <w:style w:type="character" w:customStyle="1" w:styleId="610">
    <w:name w:val="FollowedHyperlink_file_1340"/>
    <w:basedOn w:val="607"/>
    <w:semiHidden/>
    <w:unhideWhenUsed/>
    <w:qFormat/>
    <w:uiPriority w:val="99"/>
    <w:rPr>
      <w:color w:val="0782C1"/>
      <w:u w:val="single"/>
    </w:rPr>
  </w:style>
  <w:style w:type="character" w:customStyle="1" w:styleId="611">
    <w:name w:val="标题 1 Char_file_1340"/>
    <w:basedOn w:val="607"/>
    <w:link w:val="5"/>
    <w:qFormat/>
    <w:uiPriority w:val="9"/>
    <w:rPr>
      <w:rFonts w:ascii="宋体" w:hAnsi="宋体" w:eastAsia="宋体" w:cs="宋体"/>
      <w:b/>
      <w:bCs/>
      <w:kern w:val="44"/>
      <w:sz w:val="44"/>
      <w:szCs w:val="44"/>
    </w:rPr>
  </w:style>
  <w:style w:type="character" w:customStyle="1" w:styleId="612">
    <w:name w:val="标题 2 Char_file_1340"/>
    <w:basedOn w:val="607"/>
    <w:link w:val="6"/>
    <w:semiHidden/>
    <w:qFormat/>
    <w:uiPriority w:val="9"/>
    <w:rPr>
      <w:rFonts w:asciiTheme="majorHAnsi" w:hAnsiTheme="majorHAnsi" w:eastAsiaTheme="majorEastAsia" w:cstheme="majorBidi"/>
      <w:b/>
      <w:bCs/>
      <w:sz w:val="32"/>
      <w:szCs w:val="32"/>
    </w:rPr>
  </w:style>
  <w:style w:type="character" w:customStyle="1" w:styleId="613">
    <w:name w:val="标题 3 Char_file_1340"/>
    <w:basedOn w:val="607"/>
    <w:link w:val="7"/>
    <w:semiHidden/>
    <w:qFormat/>
    <w:uiPriority w:val="9"/>
    <w:rPr>
      <w:rFonts w:ascii="宋体" w:hAnsi="宋体" w:eastAsia="宋体" w:cs="宋体"/>
      <w:b/>
      <w:bCs/>
      <w:sz w:val="32"/>
      <w:szCs w:val="32"/>
    </w:rPr>
  </w:style>
  <w:style w:type="character" w:customStyle="1" w:styleId="614">
    <w:name w:val="标题 4 Char_file_1340"/>
    <w:basedOn w:val="607"/>
    <w:link w:val="8"/>
    <w:semiHidden/>
    <w:qFormat/>
    <w:uiPriority w:val="9"/>
    <w:rPr>
      <w:rFonts w:asciiTheme="majorHAnsi" w:hAnsiTheme="majorHAnsi" w:eastAsiaTheme="majorEastAsia" w:cstheme="majorBidi"/>
      <w:b/>
      <w:bCs/>
      <w:sz w:val="28"/>
      <w:szCs w:val="28"/>
    </w:rPr>
  </w:style>
  <w:style w:type="character" w:customStyle="1" w:styleId="615">
    <w:name w:val="标题 5 Char_file_1340"/>
    <w:basedOn w:val="607"/>
    <w:link w:val="9"/>
    <w:semiHidden/>
    <w:qFormat/>
    <w:uiPriority w:val="9"/>
    <w:rPr>
      <w:rFonts w:ascii="宋体" w:hAnsi="宋体" w:eastAsia="宋体" w:cs="宋体"/>
      <w:b/>
      <w:bCs/>
      <w:sz w:val="28"/>
      <w:szCs w:val="28"/>
    </w:rPr>
  </w:style>
  <w:style w:type="character" w:customStyle="1" w:styleId="616">
    <w:name w:val="标题 6 Char_file_1340"/>
    <w:basedOn w:val="607"/>
    <w:link w:val="11"/>
    <w:semiHidden/>
    <w:qFormat/>
    <w:uiPriority w:val="9"/>
    <w:rPr>
      <w:rFonts w:asciiTheme="majorHAnsi" w:hAnsiTheme="majorHAnsi" w:eastAsiaTheme="majorEastAsia" w:cstheme="majorBidi"/>
      <w:b/>
      <w:bCs/>
      <w:sz w:val="24"/>
      <w:szCs w:val="24"/>
    </w:rPr>
  </w:style>
  <w:style w:type="paragraph" w:customStyle="1" w:styleId="617">
    <w:name w:val="cke_editable_file_1340"/>
    <w:basedOn w:val="600"/>
    <w:qFormat/>
    <w:uiPriority w:val="0"/>
    <w:rPr>
      <w:rFonts w:ascii="仿宋_GB2312" w:eastAsia="仿宋_GB2312"/>
    </w:rPr>
  </w:style>
  <w:style w:type="paragraph" w:customStyle="1" w:styleId="618">
    <w:name w:val="marker_file_1340"/>
    <w:basedOn w:val="600"/>
    <w:qFormat/>
    <w:uiPriority w:val="0"/>
    <w:pPr>
      <w:shd w:val="clear" w:color="auto" w:fill="FFFF00"/>
    </w:pPr>
  </w:style>
  <w:style w:type="paragraph" w:customStyle="1" w:styleId="619">
    <w:name w:val="Normal (Web)_file_1340"/>
    <w:basedOn w:val="600"/>
    <w:semiHidden/>
    <w:unhideWhenUsed/>
    <w:qFormat/>
    <w:uiPriority w:val="99"/>
  </w:style>
  <w:style w:type="character" w:customStyle="1" w:styleId="620">
    <w:name w:val="Strong_file_1340"/>
    <w:basedOn w:val="607"/>
    <w:qFormat/>
    <w:uiPriority w:val="22"/>
    <w:rPr>
      <w:b/>
      <w:bCs/>
    </w:rPr>
  </w:style>
  <w:style w:type="paragraph" w:customStyle="1" w:styleId="621">
    <w:name w:val="Normal_file_13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22">
    <w:name w:val="heading 1_file_1341"/>
    <w:basedOn w:val="621"/>
    <w:qFormat/>
    <w:uiPriority w:val="9"/>
    <w:pPr>
      <w:outlineLvl w:val="0"/>
    </w:pPr>
    <w:rPr>
      <w:kern w:val="36"/>
      <w:sz w:val="48"/>
      <w:szCs w:val="48"/>
    </w:rPr>
  </w:style>
  <w:style w:type="paragraph" w:customStyle="1" w:styleId="623">
    <w:name w:val="heading 2_file_1341"/>
    <w:basedOn w:val="621"/>
    <w:qFormat/>
    <w:uiPriority w:val="9"/>
    <w:pPr>
      <w:outlineLvl w:val="1"/>
    </w:pPr>
    <w:rPr>
      <w:sz w:val="36"/>
      <w:szCs w:val="36"/>
    </w:rPr>
  </w:style>
  <w:style w:type="paragraph" w:customStyle="1" w:styleId="624">
    <w:name w:val="heading 3_file_1341"/>
    <w:basedOn w:val="621"/>
    <w:qFormat/>
    <w:uiPriority w:val="9"/>
    <w:pPr>
      <w:outlineLvl w:val="2"/>
    </w:pPr>
    <w:rPr>
      <w:sz w:val="27"/>
      <w:szCs w:val="27"/>
    </w:rPr>
  </w:style>
  <w:style w:type="paragraph" w:customStyle="1" w:styleId="625">
    <w:name w:val="heading 4_file_1341"/>
    <w:basedOn w:val="621"/>
    <w:qFormat/>
    <w:uiPriority w:val="9"/>
    <w:pPr>
      <w:outlineLvl w:val="3"/>
    </w:pPr>
  </w:style>
  <w:style w:type="paragraph" w:customStyle="1" w:styleId="626">
    <w:name w:val="heading 5_file_1341"/>
    <w:basedOn w:val="621"/>
    <w:qFormat/>
    <w:uiPriority w:val="9"/>
    <w:pPr>
      <w:outlineLvl w:val="4"/>
    </w:pPr>
    <w:rPr>
      <w:sz w:val="20"/>
      <w:szCs w:val="20"/>
    </w:rPr>
  </w:style>
  <w:style w:type="paragraph" w:customStyle="1" w:styleId="627">
    <w:name w:val="heading 6_file_1341"/>
    <w:basedOn w:val="621"/>
    <w:qFormat/>
    <w:uiPriority w:val="9"/>
    <w:pPr>
      <w:outlineLvl w:val="5"/>
    </w:pPr>
    <w:rPr>
      <w:sz w:val="15"/>
      <w:szCs w:val="15"/>
    </w:rPr>
  </w:style>
  <w:style w:type="character" w:customStyle="1" w:styleId="628">
    <w:name w:val="Default Paragraph Font_file_1341"/>
    <w:semiHidden/>
    <w:unhideWhenUsed/>
    <w:qFormat/>
    <w:uiPriority w:val="1"/>
  </w:style>
  <w:style w:type="table" w:customStyle="1" w:styleId="629">
    <w:name w:val="Normal Table_file_1341"/>
    <w:semiHidden/>
    <w:unhideWhenUsed/>
    <w:qFormat/>
    <w:uiPriority w:val="99"/>
    <w:tblPr>
      <w:tblCellMar>
        <w:top w:w="0" w:type="dxa"/>
        <w:left w:w="108" w:type="dxa"/>
        <w:bottom w:w="0" w:type="dxa"/>
        <w:right w:w="108" w:type="dxa"/>
      </w:tblCellMar>
    </w:tblPr>
  </w:style>
  <w:style w:type="character" w:customStyle="1" w:styleId="630">
    <w:name w:val="Hyperlink_file_1341"/>
    <w:basedOn w:val="628"/>
    <w:semiHidden/>
    <w:unhideWhenUsed/>
    <w:qFormat/>
    <w:uiPriority w:val="99"/>
    <w:rPr>
      <w:color w:val="0782C1"/>
      <w:u w:val="single"/>
    </w:rPr>
  </w:style>
  <w:style w:type="character" w:customStyle="1" w:styleId="631">
    <w:name w:val="FollowedHyperlink_file_1341"/>
    <w:basedOn w:val="628"/>
    <w:semiHidden/>
    <w:unhideWhenUsed/>
    <w:qFormat/>
    <w:uiPriority w:val="99"/>
    <w:rPr>
      <w:color w:val="0782C1"/>
      <w:u w:val="single"/>
    </w:rPr>
  </w:style>
  <w:style w:type="character" w:customStyle="1" w:styleId="632">
    <w:name w:val="标题 1 Char_file_1341"/>
    <w:basedOn w:val="628"/>
    <w:link w:val="5"/>
    <w:qFormat/>
    <w:uiPriority w:val="9"/>
    <w:rPr>
      <w:rFonts w:ascii="宋体" w:hAnsi="宋体" w:eastAsia="宋体" w:cs="宋体"/>
      <w:b/>
      <w:bCs/>
      <w:kern w:val="44"/>
      <w:sz w:val="44"/>
      <w:szCs w:val="44"/>
    </w:rPr>
  </w:style>
  <w:style w:type="character" w:customStyle="1" w:styleId="633">
    <w:name w:val="标题 2 Char_file_1341"/>
    <w:basedOn w:val="628"/>
    <w:link w:val="6"/>
    <w:semiHidden/>
    <w:qFormat/>
    <w:uiPriority w:val="9"/>
    <w:rPr>
      <w:rFonts w:asciiTheme="majorHAnsi" w:hAnsiTheme="majorHAnsi" w:eastAsiaTheme="majorEastAsia" w:cstheme="majorBidi"/>
      <w:b/>
      <w:bCs/>
      <w:sz w:val="32"/>
      <w:szCs w:val="32"/>
    </w:rPr>
  </w:style>
  <w:style w:type="character" w:customStyle="1" w:styleId="634">
    <w:name w:val="标题 3 Char_file_1341"/>
    <w:basedOn w:val="628"/>
    <w:link w:val="7"/>
    <w:semiHidden/>
    <w:qFormat/>
    <w:uiPriority w:val="9"/>
    <w:rPr>
      <w:rFonts w:ascii="宋体" w:hAnsi="宋体" w:eastAsia="宋体" w:cs="宋体"/>
      <w:b/>
      <w:bCs/>
      <w:sz w:val="32"/>
      <w:szCs w:val="32"/>
    </w:rPr>
  </w:style>
  <w:style w:type="character" w:customStyle="1" w:styleId="635">
    <w:name w:val="标题 4 Char_file_1341"/>
    <w:basedOn w:val="628"/>
    <w:link w:val="8"/>
    <w:semiHidden/>
    <w:qFormat/>
    <w:uiPriority w:val="9"/>
    <w:rPr>
      <w:rFonts w:asciiTheme="majorHAnsi" w:hAnsiTheme="majorHAnsi" w:eastAsiaTheme="majorEastAsia" w:cstheme="majorBidi"/>
      <w:b/>
      <w:bCs/>
      <w:sz w:val="28"/>
      <w:szCs w:val="28"/>
    </w:rPr>
  </w:style>
  <w:style w:type="character" w:customStyle="1" w:styleId="636">
    <w:name w:val="标题 5 Char_file_1341"/>
    <w:basedOn w:val="628"/>
    <w:link w:val="9"/>
    <w:semiHidden/>
    <w:qFormat/>
    <w:uiPriority w:val="9"/>
    <w:rPr>
      <w:rFonts w:ascii="宋体" w:hAnsi="宋体" w:eastAsia="宋体" w:cs="宋体"/>
      <w:b/>
      <w:bCs/>
      <w:sz w:val="28"/>
      <w:szCs w:val="28"/>
    </w:rPr>
  </w:style>
  <w:style w:type="character" w:customStyle="1" w:styleId="637">
    <w:name w:val="标题 6 Char_file_1341"/>
    <w:basedOn w:val="628"/>
    <w:link w:val="11"/>
    <w:semiHidden/>
    <w:qFormat/>
    <w:uiPriority w:val="9"/>
    <w:rPr>
      <w:rFonts w:asciiTheme="majorHAnsi" w:hAnsiTheme="majorHAnsi" w:eastAsiaTheme="majorEastAsia" w:cstheme="majorBidi"/>
      <w:b/>
      <w:bCs/>
      <w:sz w:val="24"/>
      <w:szCs w:val="24"/>
    </w:rPr>
  </w:style>
  <w:style w:type="paragraph" w:customStyle="1" w:styleId="638">
    <w:name w:val="cke_editable_file_1341"/>
    <w:basedOn w:val="621"/>
    <w:qFormat/>
    <w:uiPriority w:val="0"/>
    <w:rPr>
      <w:rFonts w:ascii="仿宋_GB2312" w:eastAsia="仿宋_GB2312"/>
    </w:rPr>
  </w:style>
  <w:style w:type="paragraph" w:customStyle="1" w:styleId="639">
    <w:name w:val="marker_file_1341"/>
    <w:basedOn w:val="621"/>
    <w:qFormat/>
    <w:uiPriority w:val="0"/>
    <w:pPr>
      <w:shd w:val="clear" w:color="auto" w:fill="FFFF00"/>
    </w:pPr>
  </w:style>
  <w:style w:type="paragraph" w:customStyle="1" w:styleId="640">
    <w:name w:val="Normal (Web)_file_1341"/>
    <w:basedOn w:val="621"/>
    <w:semiHidden/>
    <w:unhideWhenUsed/>
    <w:qFormat/>
    <w:uiPriority w:val="99"/>
  </w:style>
  <w:style w:type="paragraph" w:customStyle="1" w:styleId="641">
    <w:name w:val="Normal_file_13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42">
    <w:name w:val="heading 1_file_1342"/>
    <w:basedOn w:val="641"/>
    <w:qFormat/>
    <w:uiPriority w:val="9"/>
    <w:pPr>
      <w:outlineLvl w:val="0"/>
    </w:pPr>
    <w:rPr>
      <w:kern w:val="36"/>
      <w:sz w:val="48"/>
      <w:szCs w:val="48"/>
    </w:rPr>
  </w:style>
  <w:style w:type="paragraph" w:customStyle="1" w:styleId="643">
    <w:name w:val="heading 2_file_1342"/>
    <w:basedOn w:val="641"/>
    <w:qFormat/>
    <w:uiPriority w:val="9"/>
    <w:pPr>
      <w:outlineLvl w:val="1"/>
    </w:pPr>
    <w:rPr>
      <w:sz w:val="36"/>
      <w:szCs w:val="36"/>
    </w:rPr>
  </w:style>
  <w:style w:type="paragraph" w:customStyle="1" w:styleId="644">
    <w:name w:val="heading 3_file_1342"/>
    <w:basedOn w:val="641"/>
    <w:qFormat/>
    <w:uiPriority w:val="9"/>
    <w:pPr>
      <w:outlineLvl w:val="2"/>
    </w:pPr>
    <w:rPr>
      <w:sz w:val="27"/>
      <w:szCs w:val="27"/>
    </w:rPr>
  </w:style>
  <w:style w:type="paragraph" w:customStyle="1" w:styleId="645">
    <w:name w:val="heading 4_file_1342"/>
    <w:basedOn w:val="641"/>
    <w:qFormat/>
    <w:uiPriority w:val="9"/>
    <w:pPr>
      <w:outlineLvl w:val="3"/>
    </w:pPr>
  </w:style>
  <w:style w:type="paragraph" w:customStyle="1" w:styleId="646">
    <w:name w:val="heading 5_file_1342"/>
    <w:basedOn w:val="641"/>
    <w:qFormat/>
    <w:uiPriority w:val="9"/>
    <w:pPr>
      <w:outlineLvl w:val="4"/>
    </w:pPr>
    <w:rPr>
      <w:sz w:val="20"/>
      <w:szCs w:val="20"/>
    </w:rPr>
  </w:style>
  <w:style w:type="paragraph" w:customStyle="1" w:styleId="647">
    <w:name w:val="heading 6_file_1342"/>
    <w:basedOn w:val="641"/>
    <w:qFormat/>
    <w:uiPriority w:val="9"/>
    <w:pPr>
      <w:outlineLvl w:val="5"/>
    </w:pPr>
    <w:rPr>
      <w:sz w:val="15"/>
      <w:szCs w:val="15"/>
    </w:rPr>
  </w:style>
  <w:style w:type="character" w:customStyle="1" w:styleId="648">
    <w:name w:val="Default Paragraph Font_file_1342"/>
    <w:semiHidden/>
    <w:unhideWhenUsed/>
    <w:qFormat/>
    <w:uiPriority w:val="1"/>
  </w:style>
  <w:style w:type="table" w:customStyle="1" w:styleId="649">
    <w:name w:val="Normal Table_file_1342"/>
    <w:semiHidden/>
    <w:unhideWhenUsed/>
    <w:qFormat/>
    <w:uiPriority w:val="99"/>
    <w:tblPr>
      <w:tblCellMar>
        <w:top w:w="0" w:type="dxa"/>
        <w:left w:w="108" w:type="dxa"/>
        <w:bottom w:w="0" w:type="dxa"/>
        <w:right w:w="108" w:type="dxa"/>
      </w:tblCellMar>
    </w:tblPr>
  </w:style>
  <w:style w:type="character" w:customStyle="1" w:styleId="650">
    <w:name w:val="Hyperlink_file_1342"/>
    <w:basedOn w:val="648"/>
    <w:semiHidden/>
    <w:unhideWhenUsed/>
    <w:qFormat/>
    <w:uiPriority w:val="99"/>
    <w:rPr>
      <w:color w:val="0782C1"/>
      <w:u w:val="single"/>
    </w:rPr>
  </w:style>
  <w:style w:type="character" w:customStyle="1" w:styleId="651">
    <w:name w:val="FollowedHyperlink_file_1342"/>
    <w:basedOn w:val="648"/>
    <w:semiHidden/>
    <w:unhideWhenUsed/>
    <w:qFormat/>
    <w:uiPriority w:val="99"/>
    <w:rPr>
      <w:color w:val="0782C1"/>
      <w:u w:val="single"/>
    </w:rPr>
  </w:style>
  <w:style w:type="character" w:customStyle="1" w:styleId="652">
    <w:name w:val="标题 1 Char_file_1342"/>
    <w:basedOn w:val="648"/>
    <w:link w:val="5"/>
    <w:qFormat/>
    <w:uiPriority w:val="9"/>
    <w:rPr>
      <w:rFonts w:ascii="宋体" w:hAnsi="宋体" w:eastAsia="宋体" w:cs="宋体"/>
      <w:b/>
      <w:bCs/>
      <w:kern w:val="44"/>
      <w:sz w:val="44"/>
      <w:szCs w:val="44"/>
    </w:rPr>
  </w:style>
  <w:style w:type="character" w:customStyle="1" w:styleId="653">
    <w:name w:val="标题 2 Char_file_1342"/>
    <w:basedOn w:val="648"/>
    <w:link w:val="6"/>
    <w:semiHidden/>
    <w:qFormat/>
    <w:uiPriority w:val="9"/>
    <w:rPr>
      <w:rFonts w:asciiTheme="majorHAnsi" w:hAnsiTheme="majorHAnsi" w:eastAsiaTheme="majorEastAsia" w:cstheme="majorBidi"/>
      <w:b/>
      <w:bCs/>
      <w:sz w:val="32"/>
      <w:szCs w:val="32"/>
    </w:rPr>
  </w:style>
  <w:style w:type="character" w:customStyle="1" w:styleId="654">
    <w:name w:val="标题 3 Char_file_1342"/>
    <w:basedOn w:val="648"/>
    <w:link w:val="7"/>
    <w:semiHidden/>
    <w:qFormat/>
    <w:uiPriority w:val="9"/>
    <w:rPr>
      <w:rFonts w:ascii="宋体" w:hAnsi="宋体" w:eastAsia="宋体" w:cs="宋体"/>
      <w:b/>
      <w:bCs/>
      <w:sz w:val="32"/>
      <w:szCs w:val="32"/>
    </w:rPr>
  </w:style>
  <w:style w:type="character" w:customStyle="1" w:styleId="655">
    <w:name w:val="标题 4 Char_file_1342"/>
    <w:basedOn w:val="648"/>
    <w:link w:val="8"/>
    <w:semiHidden/>
    <w:qFormat/>
    <w:uiPriority w:val="9"/>
    <w:rPr>
      <w:rFonts w:asciiTheme="majorHAnsi" w:hAnsiTheme="majorHAnsi" w:eastAsiaTheme="majorEastAsia" w:cstheme="majorBidi"/>
      <w:b/>
      <w:bCs/>
      <w:sz w:val="28"/>
      <w:szCs w:val="28"/>
    </w:rPr>
  </w:style>
  <w:style w:type="character" w:customStyle="1" w:styleId="656">
    <w:name w:val="标题 5 Char_file_1342"/>
    <w:basedOn w:val="648"/>
    <w:link w:val="9"/>
    <w:semiHidden/>
    <w:qFormat/>
    <w:uiPriority w:val="9"/>
    <w:rPr>
      <w:rFonts w:ascii="宋体" w:hAnsi="宋体" w:eastAsia="宋体" w:cs="宋体"/>
      <w:b/>
      <w:bCs/>
      <w:sz w:val="28"/>
      <w:szCs w:val="28"/>
    </w:rPr>
  </w:style>
  <w:style w:type="character" w:customStyle="1" w:styleId="657">
    <w:name w:val="标题 6 Char_file_1342"/>
    <w:basedOn w:val="648"/>
    <w:link w:val="11"/>
    <w:semiHidden/>
    <w:qFormat/>
    <w:uiPriority w:val="9"/>
    <w:rPr>
      <w:rFonts w:asciiTheme="majorHAnsi" w:hAnsiTheme="majorHAnsi" w:eastAsiaTheme="majorEastAsia" w:cstheme="majorBidi"/>
      <w:b/>
      <w:bCs/>
      <w:sz w:val="24"/>
      <w:szCs w:val="24"/>
    </w:rPr>
  </w:style>
  <w:style w:type="paragraph" w:customStyle="1" w:styleId="658">
    <w:name w:val="cke_editable_file_1342"/>
    <w:basedOn w:val="641"/>
    <w:qFormat/>
    <w:uiPriority w:val="0"/>
    <w:rPr>
      <w:rFonts w:ascii="仿宋_GB2312" w:eastAsia="仿宋_GB2312"/>
    </w:rPr>
  </w:style>
  <w:style w:type="paragraph" w:customStyle="1" w:styleId="659">
    <w:name w:val="marker_file_1342"/>
    <w:basedOn w:val="641"/>
    <w:qFormat/>
    <w:uiPriority w:val="0"/>
    <w:pPr>
      <w:shd w:val="clear" w:color="auto" w:fill="FFFF00"/>
    </w:pPr>
  </w:style>
  <w:style w:type="paragraph" w:customStyle="1" w:styleId="660">
    <w:name w:val="Normal (Web)_file_1342"/>
    <w:basedOn w:val="641"/>
    <w:semiHidden/>
    <w:unhideWhenUsed/>
    <w:qFormat/>
    <w:uiPriority w:val="99"/>
  </w:style>
  <w:style w:type="paragraph" w:customStyle="1" w:styleId="661">
    <w:name w:val="Normal_file_1343"/>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62">
    <w:name w:val="heading 1_file_1343"/>
    <w:basedOn w:val="661"/>
    <w:qFormat/>
    <w:uiPriority w:val="9"/>
    <w:pPr>
      <w:outlineLvl w:val="0"/>
    </w:pPr>
    <w:rPr>
      <w:kern w:val="36"/>
      <w:sz w:val="48"/>
      <w:szCs w:val="48"/>
    </w:rPr>
  </w:style>
  <w:style w:type="paragraph" w:customStyle="1" w:styleId="663">
    <w:name w:val="heading 2_file_1343"/>
    <w:basedOn w:val="661"/>
    <w:qFormat/>
    <w:uiPriority w:val="9"/>
    <w:pPr>
      <w:outlineLvl w:val="1"/>
    </w:pPr>
    <w:rPr>
      <w:sz w:val="36"/>
      <w:szCs w:val="36"/>
    </w:rPr>
  </w:style>
  <w:style w:type="paragraph" w:customStyle="1" w:styleId="664">
    <w:name w:val="heading 3_file_1343"/>
    <w:basedOn w:val="661"/>
    <w:qFormat/>
    <w:uiPriority w:val="9"/>
    <w:pPr>
      <w:outlineLvl w:val="2"/>
    </w:pPr>
    <w:rPr>
      <w:sz w:val="27"/>
      <w:szCs w:val="27"/>
    </w:rPr>
  </w:style>
  <w:style w:type="paragraph" w:customStyle="1" w:styleId="665">
    <w:name w:val="heading 4_file_1343"/>
    <w:basedOn w:val="661"/>
    <w:qFormat/>
    <w:uiPriority w:val="9"/>
    <w:pPr>
      <w:outlineLvl w:val="3"/>
    </w:pPr>
  </w:style>
  <w:style w:type="paragraph" w:customStyle="1" w:styleId="666">
    <w:name w:val="heading 5_file_1343"/>
    <w:basedOn w:val="661"/>
    <w:qFormat/>
    <w:uiPriority w:val="9"/>
    <w:pPr>
      <w:outlineLvl w:val="4"/>
    </w:pPr>
    <w:rPr>
      <w:sz w:val="20"/>
      <w:szCs w:val="20"/>
    </w:rPr>
  </w:style>
  <w:style w:type="paragraph" w:customStyle="1" w:styleId="667">
    <w:name w:val="heading 6_file_1343"/>
    <w:basedOn w:val="661"/>
    <w:qFormat/>
    <w:uiPriority w:val="9"/>
    <w:pPr>
      <w:outlineLvl w:val="5"/>
    </w:pPr>
    <w:rPr>
      <w:sz w:val="15"/>
      <w:szCs w:val="15"/>
    </w:rPr>
  </w:style>
  <w:style w:type="character" w:customStyle="1" w:styleId="668">
    <w:name w:val="Default Paragraph Font_file_1343"/>
    <w:semiHidden/>
    <w:unhideWhenUsed/>
    <w:qFormat/>
    <w:uiPriority w:val="1"/>
  </w:style>
  <w:style w:type="table" w:customStyle="1" w:styleId="669">
    <w:name w:val="Normal Table_file_1343"/>
    <w:semiHidden/>
    <w:unhideWhenUsed/>
    <w:qFormat/>
    <w:uiPriority w:val="99"/>
    <w:tblPr>
      <w:tblCellMar>
        <w:top w:w="0" w:type="dxa"/>
        <w:left w:w="108" w:type="dxa"/>
        <w:bottom w:w="0" w:type="dxa"/>
        <w:right w:w="108" w:type="dxa"/>
      </w:tblCellMar>
    </w:tblPr>
  </w:style>
  <w:style w:type="character" w:customStyle="1" w:styleId="670">
    <w:name w:val="Hyperlink_file_1343"/>
    <w:basedOn w:val="668"/>
    <w:semiHidden/>
    <w:unhideWhenUsed/>
    <w:qFormat/>
    <w:uiPriority w:val="99"/>
    <w:rPr>
      <w:color w:val="0782C1"/>
      <w:u w:val="single"/>
    </w:rPr>
  </w:style>
  <w:style w:type="character" w:customStyle="1" w:styleId="671">
    <w:name w:val="FollowedHyperlink_file_1343"/>
    <w:basedOn w:val="668"/>
    <w:semiHidden/>
    <w:unhideWhenUsed/>
    <w:qFormat/>
    <w:uiPriority w:val="99"/>
    <w:rPr>
      <w:color w:val="0782C1"/>
      <w:u w:val="single"/>
    </w:rPr>
  </w:style>
  <w:style w:type="character" w:customStyle="1" w:styleId="672">
    <w:name w:val="标题 1 Char_file_1343"/>
    <w:basedOn w:val="668"/>
    <w:link w:val="5"/>
    <w:qFormat/>
    <w:uiPriority w:val="9"/>
    <w:rPr>
      <w:rFonts w:ascii="宋体" w:hAnsi="宋体" w:eastAsia="宋体" w:cs="宋体"/>
      <w:b/>
      <w:bCs/>
      <w:kern w:val="44"/>
      <w:sz w:val="44"/>
      <w:szCs w:val="44"/>
    </w:rPr>
  </w:style>
  <w:style w:type="character" w:customStyle="1" w:styleId="673">
    <w:name w:val="标题 2 Char_file_1343"/>
    <w:basedOn w:val="668"/>
    <w:link w:val="6"/>
    <w:semiHidden/>
    <w:qFormat/>
    <w:uiPriority w:val="9"/>
    <w:rPr>
      <w:rFonts w:asciiTheme="majorHAnsi" w:hAnsiTheme="majorHAnsi" w:eastAsiaTheme="majorEastAsia" w:cstheme="majorBidi"/>
      <w:b/>
      <w:bCs/>
      <w:sz w:val="32"/>
      <w:szCs w:val="32"/>
    </w:rPr>
  </w:style>
  <w:style w:type="character" w:customStyle="1" w:styleId="674">
    <w:name w:val="标题 3 Char_file_1343"/>
    <w:basedOn w:val="668"/>
    <w:link w:val="7"/>
    <w:semiHidden/>
    <w:qFormat/>
    <w:uiPriority w:val="9"/>
    <w:rPr>
      <w:rFonts w:ascii="宋体" w:hAnsi="宋体" w:eastAsia="宋体" w:cs="宋体"/>
      <w:b/>
      <w:bCs/>
      <w:sz w:val="32"/>
      <w:szCs w:val="32"/>
    </w:rPr>
  </w:style>
  <w:style w:type="character" w:customStyle="1" w:styleId="675">
    <w:name w:val="标题 4 Char_file_1343"/>
    <w:basedOn w:val="668"/>
    <w:link w:val="8"/>
    <w:semiHidden/>
    <w:qFormat/>
    <w:uiPriority w:val="9"/>
    <w:rPr>
      <w:rFonts w:asciiTheme="majorHAnsi" w:hAnsiTheme="majorHAnsi" w:eastAsiaTheme="majorEastAsia" w:cstheme="majorBidi"/>
      <w:b/>
      <w:bCs/>
      <w:sz w:val="28"/>
      <w:szCs w:val="28"/>
    </w:rPr>
  </w:style>
  <w:style w:type="character" w:customStyle="1" w:styleId="676">
    <w:name w:val="标题 5 Char_file_1343"/>
    <w:basedOn w:val="668"/>
    <w:link w:val="9"/>
    <w:semiHidden/>
    <w:qFormat/>
    <w:uiPriority w:val="9"/>
    <w:rPr>
      <w:rFonts w:ascii="宋体" w:hAnsi="宋体" w:eastAsia="宋体" w:cs="宋体"/>
      <w:b/>
      <w:bCs/>
      <w:sz w:val="28"/>
      <w:szCs w:val="28"/>
    </w:rPr>
  </w:style>
  <w:style w:type="character" w:customStyle="1" w:styleId="677">
    <w:name w:val="标题 6 Char_file_1343"/>
    <w:basedOn w:val="668"/>
    <w:link w:val="11"/>
    <w:semiHidden/>
    <w:qFormat/>
    <w:uiPriority w:val="9"/>
    <w:rPr>
      <w:rFonts w:asciiTheme="majorHAnsi" w:hAnsiTheme="majorHAnsi" w:eastAsiaTheme="majorEastAsia" w:cstheme="majorBidi"/>
      <w:b/>
      <w:bCs/>
      <w:sz w:val="24"/>
      <w:szCs w:val="24"/>
    </w:rPr>
  </w:style>
  <w:style w:type="paragraph" w:customStyle="1" w:styleId="678">
    <w:name w:val="cke_editable_file_1343"/>
    <w:basedOn w:val="661"/>
    <w:qFormat/>
    <w:uiPriority w:val="0"/>
    <w:rPr>
      <w:rFonts w:ascii="仿宋_GB2312" w:eastAsia="仿宋_GB2312"/>
    </w:rPr>
  </w:style>
  <w:style w:type="paragraph" w:customStyle="1" w:styleId="679">
    <w:name w:val="marker_file_1343"/>
    <w:basedOn w:val="661"/>
    <w:qFormat/>
    <w:uiPriority w:val="0"/>
    <w:pPr>
      <w:shd w:val="clear" w:color="auto" w:fill="FFFF00"/>
    </w:pPr>
  </w:style>
  <w:style w:type="paragraph" w:customStyle="1" w:styleId="680">
    <w:name w:val="Normal (Web)_file_1343"/>
    <w:basedOn w:val="661"/>
    <w:semiHidden/>
    <w:unhideWhenUsed/>
    <w:qFormat/>
    <w:uiPriority w:val="99"/>
  </w:style>
  <w:style w:type="paragraph" w:customStyle="1" w:styleId="681">
    <w:name w:val="Normal_file_13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682">
    <w:name w:val="heading 1_file_1344"/>
    <w:basedOn w:val="681"/>
    <w:qFormat/>
    <w:uiPriority w:val="9"/>
    <w:pPr>
      <w:outlineLvl w:val="0"/>
    </w:pPr>
    <w:rPr>
      <w:kern w:val="36"/>
      <w:sz w:val="48"/>
      <w:szCs w:val="48"/>
    </w:rPr>
  </w:style>
  <w:style w:type="paragraph" w:customStyle="1" w:styleId="683">
    <w:name w:val="heading 2_file_1344"/>
    <w:basedOn w:val="681"/>
    <w:qFormat/>
    <w:uiPriority w:val="9"/>
    <w:pPr>
      <w:outlineLvl w:val="1"/>
    </w:pPr>
    <w:rPr>
      <w:sz w:val="36"/>
      <w:szCs w:val="36"/>
    </w:rPr>
  </w:style>
  <w:style w:type="paragraph" w:customStyle="1" w:styleId="684">
    <w:name w:val="heading 3_file_1344"/>
    <w:basedOn w:val="681"/>
    <w:qFormat/>
    <w:uiPriority w:val="9"/>
    <w:pPr>
      <w:outlineLvl w:val="2"/>
    </w:pPr>
    <w:rPr>
      <w:sz w:val="27"/>
      <w:szCs w:val="27"/>
    </w:rPr>
  </w:style>
  <w:style w:type="paragraph" w:customStyle="1" w:styleId="685">
    <w:name w:val="heading 4_file_1344"/>
    <w:basedOn w:val="681"/>
    <w:qFormat/>
    <w:uiPriority w:val="9"/>
    <w:pPr>
      <w:outlineLvl w:val="3"/>
    </w:pPr>
  </w:style>
  <w:style w:type="paragraph" w:customStyle="1" w:styleId="686">
    <w:name w:val="heading 5_file_1344"/>
    <w:basedOn w:val="681"/>
    <w:qFormat/>
    <w:uiPriority w:val="9"/>
    <w:pPr>
      <w:outlineLvl w:val="4"/>
    </w:pPr>
    <w:rPr>
      <w:sz w:val="20"/>
      <w:szCs w:val="20"/>
    </w:rPr>
  </w:style>
  <w:style w:type="paragraph" w:customStyle="1" w:styleId="687">
    <w:name w:val="heading 6_file_1344"/>
    <w:basedOn w:val="681"/>
    <w:qFormat/>
    <w:uiPriority w:val="9"/>
    <w:pPr>
      <w:outlineLvl w:val="5"/>
    </w:pPr>
    <w:rPr>
      <w:sz w:val="15"/>
      <w:szCs w:val="15"/>
    </w:rPr>
  </w:style>
  <w:style w:type="character" w:customStyle="1" w:styleId="688">
    <w:name w:val="Default Paragraph Font_file_1344"/>
    <w:semiHidden/>
    <w:unhideWhenUsed/>
    <w:qFormat/>
    <w:uiPriority w:val="1"/>
  </w:style>
  <w:style w:type="table" w:customStyle="1" w:styleId="689">
    <w:name w:val="Normal Table_file_1344"/>
    <w:semiHidden/>
    <w:unhideWhenUsed/>
    <w:qFormat/>
    <w:uiPriority w:val="99"/>
    <w:tblPr>
      <w:tblCellMar>
        <w:top w:w="0" w:type="dxa"/>
        <w:left w:w="108" w:type="dxa"/>
        <w:bottom w:w="0" w:type="dxa"/>
        <w:right w:w="108" w:type="dxa"/>
      </w:tblCellMar>
    </w:tblPr>
  </w:style>
  <w:style w:type="character" w:customStyle="1" w:styleId="690">
    <w:name w:val="Hyperlink_file_1344"/>
    <w:basedOn w:val="688"/>
    <w:semiHidden/>
    <w:unhideWhenUsed/>
    <w:qFormat/>
    <w:uiPriority w:val="99"/>
    <w:rPr>
      <w:color w:val="0782C1"/>
      <w:u w:val="single"/>
    </w:rPr>
  </w:style>
  <w:style w:type="character" w:customStyle="1" w:styleId="691">
    <w:name w:val="FollowedHyperlink_file_1344"/>
    <w:basedOn w:val="688"/>
    <w:semiHidden/>
    <w:unhideWhenUsed/>
    <w:qFormat/>
    <w:uiPriority w:val="99"/>
    <w:rPr>
      <w:color w:val="0782C1"/>
      <w:u w:val="single"/>
    </w:rPr>
  </w:style>
  <w:style w:type="character" w:customStyle="1" w:styleId="692">
    <w:name w:val="标题 1 Char_file_1344"/>
    <w:basedOn w:val="688"/>
    <w:link w:val="5"/>
    <w:qFormat/>
    <w:uiPriority w:val="9"/>
    <w:rPr>
      <w:rFonts w:ascii="宋体" w:hAnsi="宋体" w:eastAsia="宋体" w:cs="宋体"/>
      <w:b/>
      <w:bCs/>
      <w:kern w:val="44"/>
      <w:sz w:val="44"/>
      <w:szCs w:val="44"/>
    </w:rPr>
  </w:style>
  <w:style w:type="character" w:customStyle="1" w:styleId="693">
    <w:name w:val="标题 2 Char_file_1344"/>
    <w:basedOn w:val="688"/>
    <w:link w:val="6"/>
    <w:semiHidden/>
    <w:qFormat/>
    <w:uiPriority w:val="9"/>
    <w:rPr>
      <w:rFonts w:asciiTheme="majorHAnsi" w:hAnsiTheme="majorHAnsi" w:eastAsiaTheme="majorEastAsia" w:cstheme="majorBidi"/>
      <w:b/>
      <w:bCs/>
      <w:sz w:val="32"/>
      <w:szCs w:val="32"/>
    </w:rPr>
  </w:style>
  <w:style w:type="character" w:customStyle="1" w:styleId="694">
    <w:name w:val="标题 3 Char_file_1344"/>
    <w:basedOn w:val="688"/>
    <w:link w:val="7"/>
    <w:semiHidden/>
    <w:qFormat/>
    <w:uiPriority w:val="9"/>
    <w:rPr>
      <w:rFonts w:ascii="宋体" w:hAnsi="宋体" w:eastAsia="宋体" w:cs="宋体"/>
      <w:b/>
      <w:bCs/>
      <w:sz w:val="32"/>
      <w:szCs w:val="32"/>
    </w:rPr>
  </w:style>
  <w:style w:type="character" w:customStyle="1" w:styleId="695">
    <w:name w:val="标题 4 Char_file_1344"/>
    <w:basedOn w:val="688"/>
    <w:link w:val="8"/>
    <w:semiHidden/>
    <w:qFormat/>
    <w:uiPriority w:val="9"/>
    <w:rPr>
      <w:rFonts w:asciiTheme="majorHAnsi" w:hAnsiTheme="majorHAnsi" w:eastAsiaTheme="majorEastAsia" w:cstheme="majorBidi"/>
      <w:b/>
      <w:bCs/>
      <w:sz w:val="28"/>
      <w:szCs w:val="28"/>
    </w:rPr>
  </w:style>
  <w:style w:type="character" w:customStyle="1" w:styleId="696">
    <w:name w:val="标题 5 Char_file_1344"/>
    <w:basedOn w:val="688"/>
    <w:link w:val="9"/>
    <w:semiHidden/>
    <w:qFormat/>
    <w:uiPriority w:val="9"/>
    <w:rPr>
      <w:rFonts w:ascii="宋体" w:hAnsi="宋体" w:eastAsia="宋体" w:cs="宋体"/>
      <w:b/>
      <w:bCs/>
      <w:sz w:val="28"/>
      <w:szCs w:val="28"/>
    </w:rPr>
  </w:style>
  <w:style w:type="character" w:customStyle="1" w:styleId="697">
    <w:name w:val="标题 6 Char_file_1344"/>
    <w:basedOn w:val="688"/>
    <w:link w:val="11"/>
    <w:semiHidden/>
    <w:qFormat/>
    <w:uiPriority w:val="9"/>
    <w:rPr>
      <w:rFonts w:asciiTheme="majorHAnsi" w:hAnsiTheme="majorHAnsi" w:eastAsiaTheme="majorEastAsia" w:cstheme="majorBidi"/>
      <w:b/>
      <w:bCs/>
      <w:sz w:val="24"/>
      <w:szCs w:val="24"/>
    </w:rPr>
  </w:style>
  <w:style w:type="paragraph" w:customStyle="1" w:styleId="698">
    <w:name w:val="cke_editable_file_1344"/>
    <w:basedOn w:val="681"/>
    <w:qFormat/>
    <w:uiPriority w:val="0"/>
    <w:rPr>
      <w:rFonts w:ascii="仿宋_GB2312" w:eastAsia="仿宋_GB2312"/>
    </w:rPr>
  </w:style>
  <w:style w:type="paragraph" w:customStyle="1" w:styleId="699">
    <w:name w:val="marker_file_1344"/>
    <w:basedOn w:val="681"/>
    <w:qFormat/>
    <w:uiPriority w:val="0"/>
    <w:pPr>
      <w:shd w:val="clear" w:color="auto" w:fill="FFFF00"/>
    </w:pPr>
  </w:style>
  <w:style w:type="paragraph" w:customStyle="1" w:styleId="700">
    <w:name w:val="Normal (Web)_file_1344"/>
    <w:basedOn w:val="681"/>
    <w:semiHidden/>
    <w:unhideWhenUsed/>
    <w:qFormat/>
    <w:uiPriority w:val="99"/>
  </w:style>
  <w:style w:type="character" w:customStyle="1" w:styleId="701">
    <w:name w:val="font61"/>
    <w:basedOn w:val="50"/>
    <w:qFormat/>
    <w:uiPriority w:val="0"/>
    <w:rPr>
      <w:rFonts w:ascii="Calibri" w:hAnsi="Calibri" w:cs="Calibri"/>
      <w:color w:val="000000"/>
      <w:sz w:val="20"/>
      <w:szCs w:val="20"/>
      <w:u w:val="none"/>
    </w:rPr>
  </w:style>
  <w:style w:type="paragraph" w:customStyle="1" w:styleId="702">
    <w:name w:val="Normal (Web)_file_336"/>
    <w:basedOn w:val="703"/>
    <w:unhideWhenUsed/>
    <w:qFormat/>
    <w:uiPriority w:val="99"/>
  </w:style>
  <w:style w:type="paragraph" w:customStyle="1" w:styleId="703">
    <w:name w:val="Normal_file_33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4">
    <w:name w:val="Normal (Web)_file_341"/>
    <w:basedOn w:val="705"/>
    <w:unhideWhenUsed/>
    <w:qFormat/>
    <w:uiPriority w:val="99"/>
  </w:style>
  <w:style w:type="paragraph" w:customStyle="1" w:styleId="705">
    <w:name w:val="Normal_file_341"/>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6">
    <w:name w:val="Normal (Web)_file_334_file_342"/>
    <w:basedOn w:val="707"/>
    <w:unhideWhenUsed/>
    <w:qFormat/>
    <w:uiPriority w:val="99"/>
  </w:style>
  <w:style w:type="paragraph" w:customStyle="1" w:styleId="707">
    <w:name w:val="Normal_file_334_file_342"/>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08">
    <w:name w:val="Normal (Web)_file_1666"/>
    <w:basedOn w:val="709"/>
    <w:semiHidden/>
    <w:unhideWhenUsed/>
    <w:qFormat/>
    <w:uiPriority w:val="99"/>
  </w:style>
  <w:style w:type="paragraph" w:customStyle="1" w:styleId="709">
    <w:name w:val="Normal_file_1666"/>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0">
    <w:name w:val="Normal (Web)_file_344"/>
    <w:basedOn w:val="711"/>
    <w:unhideWhenUsed/>
    <w:qFormat/>
    <w:uiPriority w:val="99"/>
  </w:style>
  <w:style w:type="paragraph" w:customStyle="1" w:styleId="711">
    <w:name w:val="Normal_file_344"/>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12">
    <w:name w:val="Normal (Web)_file_343"/>
    <w:basedOn w:val="713"/>
    <w:unhideWhenUsed/>
    <w:qFormat/>
    <w:uiPriority w:val="99"/>
  </w:style>
  <w:style w:type="paragraph" w:customStyle="1" w:styleId="713">
    <w:name w:val="Normal_file_343"/>
    <w:qFormat/>
    <w:uiPriority w:val="0"/>
    <w:pPr>
      <w:spacing w:before="100" w:beforeAutospacing="1" w:after="100" w:afterAutospacing="1"/>
    </w:pPr>
    <w:rPr>
      <w:rFonts w:ascii="宋体" w:hAnsi="宋体" w:eastAsia="宋体" w:cs="宋体"/>
      <w:sz w:val="24"/>
      <w:szCs w:val="24"/>
      <w:lang w:val="en-US" w:eastAsia="zh-CN" w:bidi="ar-SA"/>
    </w:rPr>
  </w:style>
  <w:style w:type="table" w:customStyle="1" w:styleId="714">
    <w:name w:val="Normal Table_file_592_file_509_file_669_file_674_file_222"/>
    <w:semiHidden/>
    <w:qFormat/>
    <w:uiPriority w:val="0"/>
    <w:tblPr>
      <w:tblCellMar>
        <w:top w:w="0" w:type="dxa"/>
        <w:left w:w="108" w:type="dxa"/>
        <w:bottom w:w="0" w:type="dxa"/>
        <w:right w:w="108" w:type="dxa"/>
      </w:tblCellMar>
    </w:tblPr>
  </w:style>
  <w:style w:type="paragraph" w:customStyle="1" w:styleId="715">
    <w:name w:val="Plain Text_file_592_file_509_file_669_file_674_file_222"/>
    <w:basedOn w:val="716"/>
    <w:qFormat/>
    <w:uiPriority w:val="0"/>
    <w:rPr>
      <w:rFonts w:ascii="宋体" w:hAnsi="Courier New" w:cs="Courier New"/>
      <w:szCs w:val="21"/>
    </w:rPr>
  </w:style>
  <w:style w:type="paragraph" w:customStyle="1" w:styleId="716">
    <w:name w:val="Normal_file_592_file_509_file_669_file_674_file_2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7">
    <w:name w:val="表格文字_file_592_file_509_file_457_file_528_file_222"/>
    <w:basedOn w:val="718"/>
    <w:qFormat/>
    <w:uiPriority w:val="99"/>
    <w:pPr>
      <w:spacing w:before="25" w:after="25"/>
      <w:jc w:val="left"/>
    </w:pPr>
    <w:rPr>
      <w:bCs/>
      <w:spacing w:val="10"/>
      <w:kern w:val="0"/>
      <w:sz w:val="24"/>
    </w:rPr>
  </w:style>
  <w:style w:type="paragraph" w:customStyle="1" w:styleId="718">
    <w:name w:val="Normal_file_592_file_509_file_457_file_528_file_222"/>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19">
    <w:name w:val="表格文字_file_457_file_528_file_222"/>
    <w:basedOn w:val="720"/>
    <w:qFormat/>
    <w:uiPriority w:val="99"/>
    <w:pPr>
      <w:spacing w:before="25" w:after="25"/>
      <w:jc w:val="left"/>
    </w:pPr>
    <w:rPr>
      <w:bCs/>
      <w:spacing w:val="10"/>
      <w:kern w:val="0"/>
      <w:sz w:val="24"/>
    </w:rPr>
  </w:style>
  <w:style w:type="paragraph" w:customStyle="1" w:styleId="720">
    <w:name w:val="Normal_file_457_file_528_file_222"/>
    <w:next w:val="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1">
    <w:name w:val="Plain Text_file_457_file_528_file_222"/>
    <w:basedOn w:val="720"/>
    <w:next w:val="8"/>
    <w:qFormat/>
    <w:uiPriority w:val="0"/>
    <w:rPr>
      <w:rFonts w:ascii="宋体" w:hAnsi="Courier New" w:cs="Courier New"/>
      <w:szCs w:val="21"/>
    </w:rPr>
  </w:style>
  <w:style w:type="paragraph" w:customStyle="1" w:styleId="722">
    <w:name w:val="Plain Text_file_222"/>
    <w:basedOn w:val="723"/>
    <w:next w:val="8"/>
    <w:qFormat/>
    <w:uiPriority w:val="0"/>
    <w:rPr>
      <w:rFonts w:ascii="宋体" w:hAnsi="Courier New" w:cs="Courier New"/>
      <w:szCs w:val="21"/>
    </w:rPr>
  </w:style>
  <w:style w:type="paragraph" w:customStyle="1" w:styleId="723">
    <w:name w:val="Normal_file_222"/>
    <w:next w:val="6"/>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4">
    <w:name w:val="Plain Text_file_372_file_669_file_674_file_222"/>
    <w:basedOn w:val="725"/>
    <w:qFormat/>
    <w:uiPriority w:val="0"/>
    <w:rPr>
      <w:rFonts w:ascii="宋体" w:hAnsi="Courier New" w:cs="Courier New"/>
      <w:szCs w:val="21"/>
    </w:rPr>
  </w:style>
  <w:style w:type="paragraph" w:customStyle="1" w:styleId="725">
    <w:name w:val="Normal_file_372_file_669_file_674_file_222"/>
    <w:next w:val="7"/>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26">
    <w:name w:val="Normal (Web)_file_325"/>
    <w:basedOn w:val="727"/>
    <w:unhideWhenUsed/>
    <w:qFormat/>
    <w:uiPriority w:val="99"/>
  </w:style>
  <w:style w:type="paragraph" w:customStyle="1" w:styleId="727">
    <w:name w:val="Normal_file_325"/>
    <w:qFormat/>
    <w:uiPriority w:val="0"/>
    <w:pPr>
      <w:spacing w:before="100" w:beforeAutospacing="1" w:after="100" w:afterAutospacing="1"/>
    </w:pPr>
    <w:rPr>
      <w:rFonts w:ascii="宋体" w:hAnsi="宋体" w:eastAsia="宋体" w:cs="宋体"/>
      <w:sz w:val="24"/>
      <w:szCs w:val="24"/>
      <w:lang w:val="en-US" w:eastAsia="zh-CN" w:bidi="ar-SA"/>
    </w:rPr>
  </w:style>
  <w:style w:type="paragraph" w:customStyle="1" w:styleId="728">
    <w:name w:val="石墨文档正文"/>
    <w:qFormat/>
    <w:uiPriority w:val="0"/>
    <w:rPr>
      <w:rFonts w:ascii="Arial Unicode MS" w:hAnsi="Arial Unicode MS" w:cs="Arial Unicode MS" w:eastAsiaTheme="minorEastAsia"/>
      <w:sz w:val="22"/>
      <w:szCs w:val="22"/>
      <w:lang w:val="en-US" w:eastAsia="zh-CN" w:bidi="ar-SA"/>
    </w:rPr>
  </w:style>
  <w:style w:type="table" w:customStyle="1" w:styleId="729">
    <w:name w:val="Normal Table_file_592_file_509_file_669_file_674_file_104"/>
    <w:semiHidden/>
    <w:qFormat/>
    <w:uiPriority w:val="0"/>
    <w:tblPr>
      <w:tblCellMar>
        <w:top w:w="0" w:type="dxa"/>
        <w:left w:w="108" w:type="dxa"/>
        <w:bottom w:w="0" w:type="dxa"/>
        <w:right w:w="108" w:type="dxa"/>
      </w:tblCellMar>
    </w:tblPr>
  </w:style>
  <w:style w:type="paragraph" w:customStyle="1" w:styleId="730">
    <w:name w:val="表格文字_file_372_file_669_file_674_file_104"/>
    <w:basedOn w:val="731"/>
    <w:qFormat/>
    <w:uiPriority w:val="99"/>
    <w:pPr>
      <w:spacing w:before="25" w:after="25"/>
      <w:jc w:val="left"/>
    </w:pPr>
    <w:rPr>
      <w:bCs/>
      <w:spacing w:val="10"/>
      <w:kern w:val="0"/>
      <w:sz w:val="24"/>
    </w:rPr>
  </w:style>
  <w:style w:type="paragraph" w:customStyle="1" w:styleId="731">
    <w:name w:val="Normal_file_372_file_669_file_674_file_104"/>
    <w:next w:val="9"/>
    <w:qFormat/>
    <w:uiPriority w:val="0"/>
    <w:pPr>
      <w:widowControl w:val="0"/>
      <w:jc w:val="both"/>
    </w:pPr>
    <w:rPr>
      <w:rFonts w:ascii="Times New Roman" w:hAnsi="Times New Roman" w:eastAsia="宋体" w:cs="Times New Roman"/>
      <w:kern w:val="2"/>
      <w:sz w:val="21"/>
      <w:szCs w:val="24"/>
      <w:lang w:val="en-US" w:eastAsia="zh-CN" w:bidi="ar-SA"/>
    </w:rPr>
  </w:style>
  <w:style w:type="paragraph" w:customStyle="1" w:styleId="732">
    <w:name w:val="Table Text"/>
    <w:basedOn w:val="1"/>
    <w:semiHidden/>
    <w:qFormat/>
    <w:uiPriority w:val="0"/>
    <w:rPr>
      <w:rFonts w:ascii="宋体" w:hAnsi="宋体" w:cs="宋体"/>
      <w:sz w:val="19"/>
      <w:szCs w:val="19"/>
      <w:lang w:eastAsia="en-US"/>
    </w:rPr>
  </w:style>
  <w:style w:type="table" w:customStyle="1" w:styleId="733">
    <w:name w:val="Table Normal"/>
    <w:semiHidden/>
    <w:unhideWhenUsed/>
    <w:qFormat/>
    <w:uiPriority w:val="0"/>
    <w:tblPr>
      <w:tblCellMar>
        <w:top w:w="0" w:type="dxa"/>
        <w:left w:w="0" w:type="dxa"/>
        <w:bottom w:w="0" w:type="dxa"/>
        <w:right w:w="0" w:type="dxa"/>
      </w:tblCellMar>
    </w:tbl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1.xml"/><Relationship Id="rId8" Type="http://schemas.openxmlformats.org/officeDocument/2006/relationships/theme" Target="theme/theme1.xml"/><Relationship Id="rId7" Type="http://schemas.openxmlformats.org/officeDocument/2006/relationships/footer" Target="footer4.xml"/><Relationship Id="rId6" Type="http://schemas.openxmlformats.org/officeDocument/2006/relationships/footer" Target="footer3.xml"/><Relationship Id="rId5" Type="http://schemas.openxmlformats.org/officeDocument/2006/relationships/footer" Target="footer2.xml"/><Relationship Id="rId4" Type="http://schemas.openxmlformats.org/officeDocument/2006/relationships/footer" Target="footer1.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customXml" Target="../customXml/item2.xml"/><Relationship Id="rId10" Type="http://schemas.openxmlformats.org/officeDocument/2006/relationships/numbering" Target="numbering.xml"/><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9" Type="http://schemas.openxmlformats.org/officeDocument/2006/relationships/font" Target="fonts/font9.odttf"/><Relationship Id="rId8" Type="http://schemas.openxmlformats.org/officeDocument/2006/relationships/font" Target="fonts/font8.odttf"/><Relationship Id="rId7" Type="http://schemas.openxmlformats.org/officeDocument/2006/relationships/font" Target="fonts/font7.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4" Type="http://schemas.openxmlformats.org/officeDocument/2006/relationships/font" Target="fonts/font14.odttf"/><Relationship Id="rId13" Type="http://schemas.openxmlformats.org/officeDocument/2006/relationships/font" Target="fonts/font13.odttf"/><Relationship Id="rId12" Type="http://schemas.openxmlformats.org/officeDocument/2006/relationships/font" Target="fonts/font12.odttf"/><Relationship Id="rId11" Type="http://schemas.openxmlformats.org/officeDocument/2006/relationships/font" Target="fonts/font11.odttf"/><Relationship Id="rId10" Type="http://schemas.openxmlformats.org/officeDocument/2006/relationships/font" Target="fonts/font10.odttf"/><Relationship Id="rId1" Type="http://schemas.openxmlformats.org/officeDocument/2006/relationships/font" Target="fonts/font1.odttf"/></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http://schemas.openxmlformats.org/officeDocument/2006/bibliography" xmlns:b="http://schemas.openxmlformats.org/officeDocument/2006/bibliography" SelectedStyle="\APASixthEditionOfficeOnline.xsl" Version="6"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7517AA-3234-4880-A4E2-7F788C3853ED}">
  <ds:schemaRefs/>
</ds:datastoreItem>
</file>

<file path=docProps/app.xml><?xml version="1.0" encoding="utf-8"?>
<Properties xmlns="http://schemas.openxmlformats.org/officeDocument/2006/extended-properties" xmlns:vt="http://schemas.openxmlformats.org/officeDocument/2006/docPropsVTypes">
  <Template>Normal.dotm</Template>
  <Company>微软公司</Company>
  <Pages>229</Pages>
  <Words>51466</Words>
  <Characters>61936</Characters>
  <Lines>879</Lines>
  <Paragraphs>750</Paragraphs>
  <TotalTime>10</TotalTime>
  <ScaleCrop>false</ScaleCrop>
  <LinksUpToDate>false</LinksUpToDate>
  <CharactersWithSpaces>63321</CharactersWithSpaces>
  <Application>WPS Office_12.1.0.23542_F1E327BC-269C-435d-A152-05C5408002CA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2024-06-12T00:45:00Z</dcterms:created>
  <dc:creator>柳州市政府集中采购中心</dc:creator>
  <cp:lastModifiedBy>小潘潘</cp:lastModifiedBy>
  <cp:lastPrinted>2018-11-29T23:27:00Z</cp:lastPrinted>
  <dcterms:modified xsi:type="dcterms:W3CDTF">2025-11-10T09:16:55Z</dcterms:modified>
  <dc:title>询价通知书</dc:title>
  <cp:revision>12</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2052-12.1.0.23542</vt:lpwstr>
  </property>
  <property fmtid="{D5CDD505-2E9C-101B-9397-08002B2CF9AE}" pid="3" name="KSOTemplateDocerSaveRecord">
    <vt:lpwstr>eyJoZGlkIjoiNzA5MWM5ZWQxNGIyMjQyNTFkMDEwM2Q1NzE4NTlhZjAiLCJ1c2VySWQiOiIyMzYzNDM0MDUifQ==</vt:lpwstr>
  </property>
  <property fmtid="{D5CDD505-2E9C-101B-9397-08002B2CF9AE}" pid="4" name="ICV">
    <vt:lpwstr>560107AEC0C1461C87FD883E8700BCAC_13</vt:lpwstr>
  </property>
</Properties>
</file>