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等线" w:hAnsi="等线" w:eastAsia="仿宋_GB2312"/>
          <w:sz w:val="44"/>
          <w:szCs w:val="44"/>
          <w:lang w:val="en-GB"/>
        </w:rPr>
      </w:pPr>
    </w:p>
    <w:p>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pPr>
        <w:spacing w:line="360" w:lineRule="auto"/>
        <w:jc w:val="center"/>
        <w:rPr>
          <w:b/>
          <w:sz w:val="52"/>
          <w:szCs w:val="52"/>
        </w:rPr>
      </w:pPr>
      <w:r>
        <w:rPr>
          <w:rFonts w:hint="eastAsia" w:ascii="黑体" w:hAnsi="黑体" w:eastAsia="黑体"/>
          <w:sz w:val="72"/>
          <w:szCs w:val="72"/>
        </w:rPr>
        <mc:AlternateContent>
          <mc:Choice Requires="wps">
            <w:drawing>
              <wp:anchor distT="0" distB="0" distL="0" distR="0" simplePos="0" relativeHeight="251659264" behindDoc="0" locked="0" layoutInCell="1" allowOverlap="1">
                <wp:simplePos x="0" y="0"/>
                <wp:positionH relativeFrom="column">
                  <wp:posOffset>212725</wp:posOffset>
                </wp:positionH>
                <wp:positionV relativeFrom="paragraph">
                  <wp:posOffset>12700</wp:posOffset>
                </wp:positionV>
                <wp:extent cx="5306060" cy="0"/>
                <wp:effectExtent l="12700" t="18415" r="15240" b="10160"/>
                <wp:wrapNone/>
                <wp:docPr id="1026" name="自选图形 14"/>
                <wp:cNvGraphicFramePr/>
                <a:graphic xmlns:a="http://schemas.openxmlformats.org/drawingml/2006/main">
                  <a:graphicData uri="http://schemas.microsoft.com/office/word/2010/wordprocessingShape">
                    <wps:wsp>
                      <wps:cNvCnPr/>
                      <wps:spPr>
                        <a:xfrm>
                          <a:off x="0" y="0"/>
                          <a:ext cx="5306060" cy="0"/>
                        </a:xfrm>
                        <a:prstGeom prst="straightConnector1">
                          <a:avLst/>
                        </a:prstGeom>
                        <a:ln w="19050" cap="flat" cmpd="sng">
                          <a:solidFill>
                            <a:srgbClr val="000000"/>
                          </a:solidFill>
                          <a:prstDash val="solid"/>
                          <a:round/>
                        </a:ln>
                      </wps:spPr>
                      <wps:bodyPr/>
                    </wps:wsp>
                  </a:graphicData>
                </a:graphic>
              </wp:anchor>
            </w:drawing>
          </mc:Choice>
          <mc:Fallback>
            <w:pict>
              <v:shape id="自选图形 14" o:spid="_x0000_s1026" o:spt="32" type="#_x0000_t32" style="position:absolute;left:0pt;margin-left:16.75pt;margin-top:1pt;height:0pt;width:417.8pt;z-index:251659264;mso-width-relative:page;mso-height-relative:page;" filled="f" stroked="t" coordsize="21600,21600" o:gfxdata="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muRd5dEAAAAGAQAADwAAAAAAAAABACAA&#10;AAAiAAAAZHJzL2Rvd25yZXYueG1sUEsBAhQAFAAAAAgAh07iQN7ixyrbAQAAngMAAA4AAAAAAAAA&#10;AQAgAAAAIAEAAGRycy9lMm9Eb2MueG1sUEsFBgAAAAAGAAYAWQEAAG0FAAAAAA==&#10;">
                <v:fill on="f" focussize="0,0"/>
                <v:stroke weight="1.5pt" color="#000000" joinstyle="round"/>
                <v:imagedata o:title=""/>
                <o:lock v:ext="edit" aspectratio="f"/>
              </v:shape>
            </w:pict>
          </mc:Fallback>
        </mc:AlternateContent>
      </w:r>
    </w:p>
    <w:p>
      <w:pPr>
        <w:spacing w:line="800" w:lineRule="exact"/>
        <w:jc w:val="center"/>
        <w:rPr>
          <w:rFonts w:hint="eastAsia" w:ascii="华文中宋" w:hAnsi="华文中宋" w:eastAsia="华文中宋"/>
          <w:b/>
          <w:spacing w:val="200"/>
          <w:sz w:val="84"/>
          <w:szCs w:val="84"/>
        </w:rPr>
      </w:pPr>
    </w:p>
    <w:p>
      <w:pPr>
        <w:jc w:val="center"/>
        <w:rPr>
          <w:rFonts w:hint="eastAsia" w:ascii="华文中宋" w:hAnsi="华文中宋" w:eastAsia="华文中宋"/>
          <w:b/>
          <w:spacing w:val="200"/>
          <w:sz w:val="144"/>
          <w:szCs w:val="144"/>
        </w:rPr>
      </w:pPr>
      <w:r>
        <w:rPr>
          <w:rFonts w:hint="eastAsia" w:ascii="华文中宋" w:hAnsi="华文中宋" w:eastAsia="华文中宋"/>
          <w:b/>
          <w:spacing w:val="200"/>
          <w:sz w:val="144"/>
          <w:szCs w:val="144"/>
        </w:rPr>
        <w:t>招标文件</w:t>
      </w:r>
    </w:p>
    <w:p>
      <w:pPr>
        <w:spacing w:line="600" w:lineRule="exact"/>
        <w:jc w:val="center"/>
        <w:rPr>
          <w:b/>
          <w:sz w:val="44"/>
          <w:szCs w:val="44"/>
        </w:rPr>
      </w:pPr>
    </w:p>
    <w:p>
      <w:pPr>
        <w:spacing w:line="600" w:lineRule="exact"/>
        <w:rPr>
          <w:b/>
          <w:sz w:val="44"/>
          <w:szCs w:val="44"/>
        </w:rPr>
      </w:pPr>
    </w:p>
    <w:p>
      <w:pPr>
        <w:spacing w:line="800" w:lineRule="exact"/>
        <w:ind w:left="907" w:leftChars="432"/>
        <w:rPr>
          <w:rFonts w:hint="eastAsia" w:ascii="楷体" w:hAnsi="楷体" w:eastAsia="楷体"/>
          <w:b/>
          <w:sz w:val="44"/>
          <w:szCs w:val="44"/>
          <w:lang w:val="en-GB"/>
        </w:rPr>
      </w:pPr>
      <w:r>
        <w:rPr>
          <w:rFonts w:hint="eastAsia" w:ascii="楷体" w:hAnsi="楷体" w:eastAsia="楷体"/>
          <w:b/>
          <w:sz w:val="44"/>
          <w:szCs w:val="44"/>
        </w:rPr>
        <w:t>项目名称：</w:t>
      </w:r>
      <w:bookmarkStart w:id="0" w:name="OLE_LINK14"/>
      <w:r>
        <w:rPr>
          <w:rFonts w:hint="eastAsia" w:ascii="楷体" w:hAnsi="楷体" w:eastAsia="楷体"/>
          <w:b/>
          <w:sz w:val="44"/>
          <w:szCs w:val="44"/>
        </w:rPr>
        <w:t>柳州市大数据发展局</w:t>
      </w:r>
      <w:r>
        <w:rPr>
          <w:rFonts w:hint="eastAsia" w:ascii="楷体" w:hAnsi="楷体" w:eastAsia="楷体"/>
          <w:b/>
          <w:sz w:val="44"/>
          <w:szCs w:val="44"/>
          <w:lang w:val="en-US" w:eastAsia="zh-CN"/>
        </w:rPr>
        <w:t>计算机设备及软件</w:t>
      </w:r>
      <w:r>
        <w:rPr>
          <w:rFonts w:ascii="楷体" w:hAnsi="楷体" w:eastAsia="楷体"/>
          <w:b/>
          <w:color w:val="000000"/>
          <w:sz w:val="44"/>
          <w:szCs w:val="44"/>
        </w:rPr>
        <w:t>采购</w:t>
      </w:r>
      <w:bookmarkEnd w:id="0"/>
    </w:p>
    <w:p>
      <w:pPr>
        <w:spacing w:line="800" w:lineRule="exact"/>
        <w:ind w:left="907" w:leftChars="432"/>
        <w:rPr>
          <w:rFonts w:hint="eastAsia" w:ascii="楷体" w:hAnsi="楷体" w:eastAsia="楷体"/>
          <w:b/>
          <w:sz w:val="44"/>
          <w:szCs w:val="44"/>
          <w:lang w:val="en-GB"/>
        </w:rPr>
      </w:pPr>
      <w:r>
        <w:rPr>
          <w:rFonts w:hint="eastAsia" w:ascii="楷体" w:hAnsi="楷体" w:eastAsia="楷体"/>
          <w:b/>
          <w:sz w:val="44"/>
          <w:szCs w:val="44"/>
        </w:rPr>
        <w:t>项目编号：LZZC2025-G1-990573-LZSZ</w:t>
      </w:r>
    </w:p>
    <w:p>
      <w:pPr>
        <w:spacing w:line="800" w:lineRule="exact"/>
        <w:rPr>
          <w:rFonts w:hint="eastAsia" w:ascii="楷体" w:hAnsi="楷体" w:eastAsia="楷体"/>
          <w:b/>
          <w:sz w:val="44"/>
          <w:szCs w:val="44"/>
        </w:rPr>
      </w:pPr>
    </w:p>
    <w:p>
      <w:pPr>
        <w:spacing w:line="800" w:lineRule="exact"/>
        <w:ind w:firstLine="663" w:firstLineChars="150"/>
        <w:jc w:val="center"/>
        <w:rPr>
          <w:rFonts w:hint="eastAsia" w:ascii="楷体" w:hAnsi="楷体" w:eastAsia="楷体"/>
          <w:b/>
          <w:sz w:val="44"/>
          <w:szCs w:val="44"/>
          <w:lang w:val="en-GB"/>
        </w:rPr>
      </w:pPr>
      <w:r>
        <w:rPr>
          <w:rFonts w:hint="eastAsia" w:ascii="楷体" w:hAnsi="楷体" w:eastAsia="楷体"/>
          <w:b/>
          <w:sz w:val="44"/>
          <w:szCs w:val="44"/>
        </w:rPr>
        <w:t>采购人：柳州市大数据发展局</w:t>
      </w:r>
    </w:p>
    <w:p>
      <w:pPr>
        <w:spacing w:line="800" w:lineRule="exact"/>
        <w:ind w:firstLine="658" w:firstLineChars="149"/>
        <w:rPr>
          <w:rFonts w:hint="eastAsia" w:ascii="楷体" w:hAnsi="楷体" w:eastAsia="楷体"/>
          <w:b/>
          <w:sz w:val="44"/>
          <w:szCs w:val="44"/>
        </w:rPr>
      </w:pPr>
      <w:r>
        <w:rPr>
          <w:rFonts w:hint="eastAsia" w:ascii="楷体" w:hAnsi="楷体" w:eastAsia="楷体"/>
          <w:b/>
          <w:sz w:val="44"/>
          <w:szCs w:val="44"/>
        </w:rPr>
        <w:t>采购代理机构：柳州市政府集中采购中心</w:t>
      </w:r>
    </w:p>
    <w:p>
      <w:pPr>
        <w:spacing w:line="600" w:lineRule="exact"/>
        <w:jc w:val="center"/>
        <w:rPr>
          <w:rFonts w:hint="eastAsia" w:ascii="楷体" w:hAnsi="楷体" w:eastAsia="楷体"/>
          <w:b/>
          <w:sz w:val="44"/>
          <w:szCs w:val="44"/>
        </w:rPr>
      </w:pPr>
    </w:p>
    <w:p>
      <w:pPr>
        <w:spacing w:line="600" w:lineRule="exact"/>
        <w:jc w:val="center"/>
        <w:rPr>
          <w:rFonts w:hint="eastAsia" w:ascii="楷体" w:hAnsi="楷体" w:eastAsia="楷体"/>
          <w:b/>
          <w:sz w:val="44"/>
          <w:szCs w:val="44"/>
        </w:rPr>
      </w:pPr>
      <w:r>
        <w:rPr>
          <w:rFonts w:ascii="楷体" w:hAnsi="楷体" w:eastAsia="楷体"/>
          <w:b/>
          <w:sz w:val="44"/>
          <w:szCs w:val="44"/>
        </w:rPr>
        <w:t>2025年XX月XX日</w:t>
      </w:r>
    </w:p>
    <w:p>
      <w:pPr>
        <w:widowControl/>
        <w:jc w:val="left"/>
        <w:rPr>
          <w:rFonts w:hint="eastAsia" w:ascii="楷体" w:hAnsi="楷体" w:eastAsia="楷体"/>
          <w:b/>
          <w:sz w:val="44"/>
          <w:szCs w:val="44"/>
        </w:rPr>
      </w:pPr>
      <w:r>
        <w:rPr>
          <w:rFonts w:ascii="楷体" w:hAnsi="楷体" w:eastAsia="楷体"/>
          <w:b/>
          <w:sz w:val="44"/>
          <w:szCs w:val="44"/>
        </w:rPr>
        <w:br w:type="page"/>
      </w:r>
    </w:p>
    <w:p>
      <w:pPr>
        <w:spacing w:line="600" w:lineRule="exact"/>
        <w:jc w:val="center"/>
        <w:rPr>
          <w:rFonts w:hint="eastAsia" w:ascii="楷体" w:hAnsi="楷体" w:eastAsia="楷体"/>
          <w:b/>
          <w:sz w:val="44"/>
          <w:szCs w:val="44"/>
        </w:rPr>
      </w:pPr>
    </w:p>
    <w:p>
      <w:pPr>
        <w:spacing w:line="360" w:lineRule="auto"/>
        <w:rPr>
          <w:b/>
          <w:sz w:val="52"/>
          <w:szCs w:val="52"/>
        </w:rPr>
        <w:sectPr>
          <w:headerReference r:id="rId3" w:type="first"/>
          <w:footerReference r:id="rId4" w:type="even"/>
          <w:pgSz w:w="11906" w:h="16838"/>
          <w:pgMar w:top="1440" w:right="1440" w:bottom="1440" w:left="1440" w:header="851" w:footer="992" w:gutter="0"/>
          <w:cols w:space="720" w:num="1"/>
          <w:docGrid w:type="lines" w:linePitch="312" w:charSpace="0"/>
        </w:sectPr>
      </w:pPr>
    </w:p>
    <w:p>
      <w:pPr>
        <w:spacing w:line="360" w:lineRule="auto"/>
        <w:jc w:val="center"/>
        <w:rPr>
          <w:b/>
          <w:sz w:val="52"/>
          <w:szCs w:val="52"/>
        </w:rPr>
      </w:pPr>
    </w:p>
    <w:p>
      <w:pPr>
        <w:spacing w:line="360" w:lineRule="auto"/>
        <w:jc w:val="center"/>
        <w:rPr>
          <w:b/>
          <w:sz w:val="52"/>
          <w:szCs w:val="52"/>
        </w:rPr>
      </w:pPr>
      <w:r>
        <w:rPr>
          <w:rFonts w:hint="eastAsia"/>
          <w:b/>
          <w:sz w:val="52"/>
          <w:szCs w:val="52"/>
        </w:rPr>
        <w:t>目  录</w:t>
      </w:r>
    </w:p>
    <w:p>
      <w:pPr>
        <w:spacing w:line="360" w:lineRule="auto"/>
        <w:jc w:val="center"/>
        <w:rPr>
          <w:b/>
          <w:sz w:val="52"/>
          <w:szCs w:val="52"/>
        </w:rPr>
      </w:pPr>
    </w:p>
    <w:p>
      <w:pPr>
        <w:pStyle w:val="33"/>
        <w:tabs>
          <w:tab w:val="right" w:leader="dot" w:pos="974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fldChar w:fldCharType="begin"/>
      </w:r>
      <w:r>
        <w:instrText xml:space="preserve"> HYPERLINK \l "_Toc29306" </w:instrText>
      </w:r>
      <w:r>
        <w:fldChar w:fldCharType="separate"/>
      </w:r>
      <w:r>
        <w:rPr>
          <w:rFonts w:hint="eastAsia" w:ascii="仿宋_GB2312" w:hAnsi="仿宋_GB2312" w:eastAsia="仿宋_GB2312" w:cs="仿宋_GB2312"/>
          <w:sz w:val="32"/>
          <w:szCs w:val="32"/>
        </w:rPr>
        <w:t>第一章 公开招标公告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_Toc29306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746"/>
        </w:tabs>
        <w:spacing w:line="360" w:lineRule="auto"/>
        <w:rPr>
          <w:rFonts w:hint="eastAsia" w:ascii="仿宋_GB2312" w:hAnsi="仿宋_GB2312" w:eastAsia="仿宋_GB2312" w:cs="仿宋_GB2312"/>
          <w:sz w:val="32"/>
          <w:szCs w:val="32"/>
        </w:rPr>
      </w:pPr>
      <w:r>
        <w:fldChar w:fldCharType="begin"/>
      </w:r>
      <w:r>
        <w:instrText xml:space="preserve"> HYPERLINK \l "_Toc13541" </w:instrText>
      </w:r>
      <w:r>
        <w:fldChar w:fldCharType="separate"/>
      </w:r>
      <w:r>
        <w:rPr>
          <w:rFonts w:hint="eastAsia" w:ascii="仿宋_GB2312" w:hAnsi="仿宋_GB2312" w:eastAsia="仿宋_GB2312" w:cs="仿宋_GB2312"/>
          <w:sz w:val="32"/>
          <w:szCs w:val="32"/>
        </w:rPr>
        <w:t>第二章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_Toc13541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746"/>
        </w:tabs>
        <w:spacing w:line="360" w:lineRule="auto"/>
        <w:rPr>
          <w:rFonts w:hint="eastAsia" w:ascii="仿宋_GB2312" w:hAnsi="仿宋_GB2312" w:eastAsia="仿宋_GB2312" w:cs="仿宋_GB2312"/>
          <w:sz w:val="32"/>
          <w:szCs w:val="32"/>
        </w:rPr>
      </w:pPr>
      <w:r>
        <w:fldChar w:fldCharType="begin"/>
      </w:r>
      <w:r>
        <w:instrText xml:space="preserve"> HYPERLINK \l "_Toc29711" </w:instrText>
      </w:r>
      <w:r>
        <w:fldChar w:fldCharType="separate"/>
      </w:r>
      <w:r>
        <w:rPr>
          <w:rFonts w:hint="eastAsia" w:ascii="仿宋_GB2312" w:hAnsi="仿宋_GB2312" w:eastAsia="仿宋_GB2312" w:cs="仿宋_GB2312"/>
          <w:sz w:val="32"/>
          <w:szCs w:val="32"/>
        </w:rPr>
        <w:t>第三章 投标人须知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_Toc29711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746"/>
        </w:tabs>
        <w:spacing w:line="360" w:lineRule="auto"/>
        <w:rPr>
          <w:rFonts w:hint="eastAsia" w:ascii="仿宋_GB2312" w:hAnsi="仿宋_GB2312" w:eastAsia="仿宋_GB2312" w:cs="仿宋_GB2312"/>
          <w:sz w:val="32"/>
          <w:szCs w:val="32"/>
        </w:rPr>
      </w:pPr>
      <w:r>
        <w:fldChar w:fldCharType="begin"/>
      </w:r>
      <w:r>
        <w:instrText xml:space="preserve"> HYPERLINK \l "_Toc27328" </w:instrText>
      </w:r>
      <w:r>
        <w:fldChar w:fldCharType="separate"/>
      </w:r>
      <w:r>
        <w:rPr>
          <w:rFonts w:hint="eastAsia" w:ascii="仿宋_GB2312" w:hAnsi="仿宋_GB2312" w:eastAsia="仿宋_GB2312" w:cs="仿宋_GB2312"/>
          <w:sz w:val="32"/>
          <w:szCs w:val="32"/>
        </w:rPr>
        <w:t>第四章 评标方法及评标标准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_Toc27328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746"/>
        </w:tabs>
        <w:spacing w:line="360" w:lineRule="auto"/>
        <w:rPr>
          <w:rFonts w:hint="eastAsia" w:ascii="仿宋_GB2312" w:hAnsi="仿宋_GB2312" w:eastAsia="仿宋_GB2312" w:cs="仿宋_GB2312"/>
          <w:sz w:val="32"/>
          <w:szCs w:val="32"/>
          <w:lang w:eastAsia="zh-CN"/>
        </w:rPr>
      </w:pPr>
      <w:r>
        <w:fldChar w:fldCharType="begin"/>
      </w:r>
      <w:r>
        <w:instrText xml:space="preserve"> HYPERLINK \l "_Toc21458" </w:instrText>
      </w:r>
      <w:r>
        <w:fldChar w:fldCharType="separate"/>
      </w:r>
      <w:r>
        <w:rPr>
          <w:rFonts w:hint="eastAsia" w:ascii="仿宋_GB2312" w:hAnsi="仿宋_GB2312" w:eastAsia="仿宋_GB2312" w:cs="仿宋_GB2312"/>
          <w:sz w:val="32"/>
          <w:szCs w:val="32"/>
        </w:rPr>
        <w:t>第五章 合同主要条款格式及广西壮族自治区政府采购项目合同验收书格式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_Toc21458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0</w:t>
      </w:r>
    </w:p>
    <w:p>
      <w:pPr>
        <w:pStyle w:val="33"/>
        <w:tabs>
          <w:tab w:val="right" w:leader="dot" w:pos="9746"/>
        </w:tabs>
        <w:spacing w:line="360" w:lineRule="auto"/>
        <w:rPr>
          <w:rFonts w:hint="eastAsia" w:ascii="仿宋_GB2312" w:hAnsi="仿宋_GB2312" w:eastAsia="仿宋_GB2312" w:cs="仿宋_GB2312"/>
          <w:sz w:val="32"/>
          <w:szCs w:val="32"/>
          <w:lang w:eastAsia="zh-CN"/>
        </w:rPr>
      </w:pPr>
    </w:p>
    <w:p>
      <w:pPr>
        <w:pStyle w:val="33"/>
        <w:tabs>
          <w:tab w:val="right" w:leader="dot" w:pos="9016"/>
        </w:tabs>
        <w:spacing w:line="360" w:lineRule="auto"/>
        <w:rPr>
          <w:rFonts w:hint="eastAsia" w:ascii="仿宋_GB2312" w:hAnsi="宋体" w:eastAsia="仿宋_GB2312"/>
          <w:b w:val="0"/>
          <w:bCs w:val="0"/>
          <w:caps w:val="0"/>
          <w:sz w:val="32"/>
          <w:szCs w:val="32"/>
        </w:rPr>
      </w:pPr>
      <w:r>
        <w:rPr>
          <w:rFonts w:hint="eastAsia" w:ascii="仿宋_GB2312" w:hAnsi="仿宋_GB2312" w:eastAsia="仿宋_GB2312" w:cs="仿宋_GB2312"/>
          <w:sz w:val="32"/>
          <w:szCs w:val="32"/>
        </w:rPr>
        <w:fldChar w:fldCharType="end"/>
      </w:r>
      <w:r>
        <w:rPr>
          <w:rFonts w:hint="eastAsia" w:ascii="仿宋_GB2312" w:hAnsi="宋体" w:eastAsia="仿宋_GB2312"/>
          <w:b w:val="0"/>
          <w:bCs w:val="0"/>
          <w:caps w:val="0"/>
          <w:sz w:val="32"/>
          <w:szCs w:val="32"/>
        </w:rPr>
        <w:t xml:space="preserve"> </w:t>
      </w:r>
    </w:p>
    <w:p/>
    <w:p/>
    <w:p/>
    <w:p/>
    <w:p/>
    <w:p/>
    <w:p/>
    <w:p/>
    <w:p/>
    <w:p/>
    <w:p/>
    <w:p>
      <w:pPr>
        <w:widowControl/>
        <w:jc w:val="left"/>
      </w:pPr>
      <w:r>
        <w:br w:type="page"/>
      </w:r>
    </w:p>
    <w:p/>
    <w:p/>
    <w:p>
      <w:pPr>
        <w:sectPr>
          <w:headerReference r:id="rId5" w:type="default"/>
          <w:footerReference r:id="rId6" w:type="default"/>
          <w:pgSz w:w="11906" w:h="16838"/>
          <w:pgMar w:top="1440" w:right="1440" w:bottom="1440" w:left="1440" w:header="851" w:footer="992" w:gutter="0"/>
          <w:cols w:space="720" w:num="1"/>
          <w:docGrid w:linePitch="312" w:charSpace="0"/>
        </w:sectPr>
      </w:pPr>
    </w:p>
    <w:p>
      <w:pPr>
        <w:rPr>
          <w:lang w:val="en-GB"/>
        </w:rPr>
      </w:pPr>
    </w:p>
    <w:p>
      <w:pPr>
        <w:pStyle w:val="4"/>
        <w:spacing w:line="276" w:lineRule="auto"/>
        <w:jc w:val="center"/>
        <w:rPr>
          <w:sz w:val="32"/>
          <w:szCs w:val="32"/>
        </w:rPr>
      </w:pPr>
      <w:bookmarkStart w:id="1" w:name="_Toc29306"/>
      <w:r>
        <w:rPr>
          <w:rFonts w:hint="eastAsia"/>
          <w:sz w:val="32"/>
          <w:szCs w:val="32"/>
        </w:rPr>
        <w:t>第一章 公开招标公告</w:t>
      </w:r>
    </w:p>
    <w:p>
      <w:pPr>
        <w:pStyle w:val="5"/>
        <w:spacing w:line="240" w:lineRule="auto"/>
        <w:ind w:right="-21" w:rightChars="-10"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pPr>
        <w:spacing w:line="400" w:lineRule="exact"/>
        <w:ind w:right="-21" w:rightChars="-10" w:firstLine="555"/>
        <w:rPr>
          <w:rFonts w:ascii="仿宋_GB2312" w:eastAsia="仿宋_GB2312"/>
          <w:sz w:val="28"/>
          <w:szCs w:val="28"/>
          <w:u w:val="single"/>
        </w:rPr>
      </w:pPr>
      <w:bookmarkStart w:id="2" w:name="_Hlk50568865"/>
      <w:r>
        <w:rPr>
          <w:rFonts w:hint="eastAsia" w:ascii="仿宋_GB2312" w:eastAsia="仿宋_GB2312"/>
          <w:sz w:val="28"/>
          <w:szCs w:val="28"/>
        </w:rPr>
        <w:t>柳州市大数据发展局计算机设备</w:t>
      </w:r>
      <w:r>
        <w:rPr>
          <w:rFonts w:hint="eastAsia" w:ascii="仿宋_GB2312" w:eastAsia="仿宋_GB2312"/>
          <w:sz w:val="28"/>
          <w:szCs w:val="28"/>
          <w:lang w:val="en-US" w:eastAsia="zh-CN"/>
        </w:rPr>
        <w:t>及软件</w:t>
      </w:r>
      <w:r>
        <w:rPr>
          <w:rFonts w:hint="eastAsia" w:ascii="仿宋_GB2312" w:eastAsia="仿宋_GB2312"/>
          <w:sz w:val="28"/>
          <w:szCs w:val="28"/>
        </w:rPr>
        <w:t>采购项目的潜在</w:t>
      </w:r>
      <w:bookmarkStart w:id="3" w:name="_Hlk93681477"/>
      <w:r>
        <w:rPr>
          <w:rFonts w:hint="eastAsia" w:ascii="仿宋_GB2312" w:eastAsia="仿宋_GB2312"/>
          <w:sz w:val="28"/>
          <w:szCs w:val="28"/>
        </w:rPr>
        <w:t>投标人应在广西政府采购云平台（https://www.gcy.zfcg.gxzf.gov.cn/）获取招标文件，并于</w:t>
      </w:r>
      <w:r>
        <w:rPr>
          <w:rFonts w:ascii="仿宋_GB2312" w:eastAsia="仿宋_GB2312"/>
          <w:sz w:val="28"/>
          <w:szCs w:val="28"/>
        </w:rPr>
        <w:t>2025年XX月XX日 09:20</w:t>
      </w:r>
      <w:r>
        <w:rPr>
          <w:rFonts w:hint="eastAsia" w:ascii="仿宋_GB2312" w:eastAsia="仿宋_GB2312"/>
          <w:sz w:val="28"/>
          <w:szCs w:val="28"/>
        </w:rPr>
        <w:t>（北京时间）前</w:t>
      </w:r>
      <w:r>
        <w:rPr>
          <w:rFonts w:hint="eastAsia" w:ascii="仿宋_GB2312" w:hAnsi="仿宋_GB2312" w:eastAsia="仿宋_GB2312" w:cs="仿宋_GB2312"/>
          <w:sz w:val="28"/>
          <w:szCs w:val="28"/>
        </w:rPr>
        <w:t>在线提交投标文件</w:t>
      </w:r>
      <w:r>
        <w:rPr>
          <w:rFonts w:hint="eastAsia" w:ascii="仿宋_GB2312" w:eastAsia="仿宋_GB2312"/>
          <w:sz w:val="28"/>
          <w:szCs w:val="28"/>
        </w:rPr>
        <w:t>。</w:t>
      </w:r>
    </w:p>
    <w:p>
      <w:pPr>
        <w:spacing w:line="400" w:lineRule="exact"/>
        <w:ind w:right="-21" w:rightChars="-10" w:firstLine="562" w:firstLineChars="200"/>
        <w:rPr>
          <w:rFonts w:hint="eastAsia" w:ascii="黑体" w:hAnsi="黑体" w:eastAsia="黑体" w:cs="黑体"/>
          <w:b/>
          <w:bCs/>
          <w:sz w:val="28"/>
          <w:szCs w:val="28"/>
        </w:rPr>
      </w:pPr>
      <w:bookmarkStart w:id="4" w:name="_Hlk53504521"/>
      <w:r>
        <w:rPr>
          <w:rFonts w:hint="eastAsia" w:ascii="黑体" w:hAnsi="黑体" w:eastAsia="黑体" w:cs="黑体"/>
          <w:b/>
          <w:bCs/>
          <w:sz w:val="28"/>
          <w:szCs w:val="28"/>
        </w:rPr>
        <w:t>一、项目基本情况</w:t>
      </w:r>
    </w:p>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项目编号：LZZC2025-G1-990573-LZSZ</w:t>
      </w:r>
    </w:p>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项目名称：柳州市大数据发展局计算机设备</w:t>
      </w:r>
      <w:r>
        <w:rPr>
          <w:rFonts w:hint="eastAsia" w:ascii="仿宋_GB2312" w:eastAsia="仿宋_GB2312"/>
          <w:sz w:val="28"/>
          <w:szCs w:val="28"/>
          <w:lang w:val="en-US" w:eastAsia="zh-CN"/>
        </w:rPr>
        <w:t>及软件</w:t>
      </w:r>
      <w:r>
        <w:rPr>
          <w:rFonts w:hint="eastAsia" w:ascii="仿宋_GB2312" w:eastAsia="仿宋_GB2312"/>
          <w:sz w:val="28"/>
          <w:szCs w:val="28"/>
        </w:rPr>
        <w:t>采购</w:t>
      </w:r>
    </w:p>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预算总金额</w:t>
      </w:r>
      <w:bookmarkStart w:id="5" w:name="_Hlk50568912"/>
      <w:r>
        <w:rPr>
          <w:rFonts w:hint="eastAsia" w:ascii="仿宋_GB2312" w:eastAsia="仿宋_GB2312"/>
          <w:sz w:val="28"/>
          <w:szCs w:val="28"/>
        </w:rPr>
        <w:t>（元）：</w:t>
      </w:r>
      <w:r>
        <w:rPr>
          <w:rFonts w:ascii="仿宋_GB2312" w:hAnsi="Times New Roman" w:eastAsia="仿宋_GB2312"/>
          <w:sz w:val="28"/>
          <w:szCs w:val="28"/>
        </w:rPr>
        <w:t>12445200</w:t>
      </w:r>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采购需求：</w:t>
      </w:r>
    </w:p>
    <w:p>
      <w:pPr>
        <w:spacing w:line="400" w:lineRule="exact"/>
        <w:ind w:right="-21" w:rightChars="-10"/>
        <w:rPr>
          <w:rFonts w:ascii="仿宋_GB2312" w:eastAsia="仿宋_GB2312"/>
          <w:b/>
          <w:sz w:val="28"/>
          <w:szCs w:val="28"/>
        </w:rPr>
      </w:pPr>
      <w:r>
        <w:rPr>
          <w:rFonts w:ascii="仿宋" w:hAnsi="仿宋" w:eastAsia="仿宋"/>
          <w:bCs/>
          <w:sz w:val="24"/>
        </w:rPr>
        <w:t>标项名称：</w:t>
      </w:r>
      <w:r>
        <w:rPr>
          <w:rFonts w:hint="eastAsia" w:ascii="仿宋" w:hAnsi="仿宋" w:eastAsia="仿宋"/>
          <w:bCs/>
          <w:sz w:val="24"/>
        </w:rPr>
        <w:t>柳州市大数据发展局计算机设备</w:t>
      </w:r>
      <w:r>
        <w:rPr>
          <w:rFonts w:hint="eastAsia" w:ascii="仿宋" w:hAnsi="仿宋" w:eastAsia="仿宋"/>
          <w:bCs/>
          <w:sz w:val="24"/>
          <w:lang w:val="en-US" w:eastAsia="zh-CN"/>
        </w:rPr>
        <w:t>及软件</w:t>
      </w:r>
      <w:r>
        <w:rPr>
          <w:rFonts w:hint="eastAsia" w:ascii="仿宋" w:hAnsi="仿宋" w:eastAsia="仿宋"/>
          <w:bCs/>
          <w:sz w:val="24"/>
        </w:rPr>
        <w:t>采购</w:t>
      </w:r>
      <w:r>
        <w:rPr>
          <w:rFonts w:ascii="仿宋" w:hAnsi="仿宋" w:eastAsia="仿宋"/>
          <w:bCs/>
          <w:sz w:val="24"/>
        </w:rPr>
        <w:t>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预算金额（元）：12445200
</w:t>
      </w:r>
      <w:r>
        <w:rPr>
          <w:rFonts w:ascii="仿宋" w:hAnsi="仿宋" w:eastAsia="仿宋"/>
          <w:bCs/>
          <w:sz w:val="24"/>
        </w:rPr>
        <w:cr/>
      </w:r>
      <w:r>
        <w:rPr>
          <w:rFonts w:ascii="仿宋" w:hAnsi="仿宋" w:eastAsia="仿宋"/>
          <w:bCs/>
          <w:sz w:val="24"/>
        </w:rPr>
        <w:t>简要规格描述或项目基本概况介绍、用途：</w:t>
      </w:r>
      <w:r>
        <w:rPr>
          <w:rFonts w:hint="eastAsia" w:ascii="仿宋" w:hAnsi="仿宋" w:eastAsia="仿宋"/>
          <w:bCs/>
          <w:sz w:val="24"/>
        </w:rPr>
        <w:t>柳州市大数据发展局计算机设备</w:t>
      </w:r>
      <w:r>
        <w:rPr>
          <w:rFonts w:hint="eastAsia" w:ascii="仿宋" w:hAnsi="仿宋" w:eastAsia="仿宋"/>
          <w:bCs/>
          <w:sz w:val="24"/>
          <w:lang w:val="en-US" w:eastAsia="zh-CN"/>
        </w:rPr>
        <w:t>及软件</w:t>
      </w:r>
      <w:r>
        <w:rPr>
          <w:rFonts w:hint="eastAsia" w:ascii="仿宋" w:hAnsi="仿宋" w:eastAsia="仿宋"/>
          <w:bCs/>
          <w:sz w:val="24"/>
        </w:rPr>
        <w:t>采购</w:t>
      </w:r>
      <w:r>
        <w:rPr>
          <w:rFonts w:ascii="仿宋" w:hAnsi="仿宋" w:eastAsia="仿宋"/>
          <w:bCs/>
          <w:sz w:val="24"/>
        </w:rPr>
        <w:t>（具体内容详见招标文件第二章《采购需求》）
</w:t>
      </w:r>
      <w:r>
        <w:rPr>
          <w:rFonts w:ascii="仿宋" w:hAnsi="仿宋" w:eastAsia="仿宋"/>
          <w:bCs/>
          <w:sz w:val="24"/>
        </w:rPr>
        <w:cr/>
      </w:r>
      <w:r>
        <w:rPr>
          <w:rFonts w:ascii="仿宋" w:hAnsi="仿宋" w:eastAsia="仿宋"/>
          <w:bCs/>
          <w:sz w:val="24"/>
        </w:rPr>
        <w:t>最高限价（如有）：12445200
</w:t>
      </w:r>
      <w:r>
        <w:rPr>
          <w:rFonts w:ascii="仿宋" w:hAnsi="仿宋" w:eastAsia="仿宋"/>
          <w:bCs/>
          <w:sz w:val="24"/>
        </w:rPr>
        <w:cr/>
      </w:r>
      <w:r>
        <w:rPr>
          <w:rFonts w:ascii="仿宋" w:hAnsi="仿宋" w:eastAsia="仿宋"/>
          <w:bCs/>
          <w:sz w:val="24"/>
        </w:rPr>
        <w:t>合同履约期限：</w:t>
      </w:r>
      <w:r>
        <w:rPr>
          <w:rFonts w:hint="eastAsia" w:ascii="仿宋" w:hAnsi="仿宋" w:eastAsia="仿宋"/>
          <w:bCs/>
          <w:sz w:val="24"/>
        </w:rPr>
        <w:t>自中标人收到预付款之日起90日内供货配送完毕，验收合格并交付使用</w:t>
      </w:r>
      <w:r>
        <w:rPr>
          <w:rFonts w:ascii="仿宋" w:hAnsi="仿宋" w:eastAsia="仿宋"/>
          <w:bCs/>
          <w:sz w:val="24"/>
        </w:rPr>
        <w:t>。 
</w:t>
      </w:r>
      <w:r>
        <w:rPr>
          <w:rFonts w:ascii="仿宋" w:hAnsi="仿宋" w:eastAsia="仿宋"/>
          <w:bCs/>
          <w:sz w:val="24"/>
        </w:rPr>
        <w:cr/>
      </w:r>
      <w:r>
        <w:rPr>
          <w:rFonts w:hint="eastAsia" w:ascii="仿宋" w:hAnsi="仿宋" w:eastAsia="仿宋"/>
          <w:b/>
          <w:bCs w:val="0"/>
          <w:sz w:val="24"/>
        </w:rPr>
        <w:t>本标项（是）接受联合体投</w:t>
      </w:r>
      <w:r>
        <w:rPr>
          <w:rFonts w:ascii="仿宋" w:hAnsi="仿宋" w:eastAsia="仿宋"/>
          <w:b/>
          <w:bCs w:val="0"/>
          <w:sz w:val="24"/>
        </w:rPr>
        <w:t>标</w:t>
      </w:r>
      <w:r>
        <w:rPr>
          <w:rFonts w:ascii="仿宋" w:hAnsi="仿宋" w:eastAsia="仿宋"/>
          <w:bCs/>
          <w:sz w:val="24"/>
        </w:rPr>
        <w:t>
</w:t>
      </w:r>
      <w:r>
        <w:rPr>
          <w:rFonts w:ascii="仿宋" w:hAnsi="仿宋" w:eastAsia="仿宋"/>
          <w:bCs/>
          <w:sz w:val="24"/>
        </w:rPr>
        <w:cr/>
      </w:r>
      <w:r>
        <w:rPr>
          <w:rFonts w:ascii="仿宋" w:hAnsi="仿宋" w:eastAsia="仿宋"/>
          <w:bCs/>
          <w:sz w:val="24"/>
        </w:rPr>
        <w:t>备注：本项目为线上电子招标项目，</w:t>
      </w:r>
      <w:r>
        <w:rPr>
          <w:rFonts w:ascii="仿宋" w:hAnsi="仿宋" w:eastAsia="仿宋"/>
          <w:b/>
          <w:bCs w:val="0"/>
          <w:sz w:val="24"/>
        </w:rPr>
        <w:t>采用远程异地评标</w:t>
      </w:r>
      <w:r>
        <w:rPr>
          <w:rFonts w:ascii="仿宋" w:hAnsi="仿宋" w:eastAsia="仿宋"/>
          <w:bCs/>
          <w:sz w:val="24"/>
        </w:rPr>
        <w:t>，有意向参与本项目的供应商应当做好参与全流程电子招投标交易的充分准备。</w:t>
      </w:r>
    </w:p>
    <w:p>
      <w:pPr>
        <w:pStyle w:val="5"/>
        <w:spacing w:line="400" w:lineRule="exact"/>
        <w:ind w:right="-21" w:rightChars="-10" w:firstLine="562" w:firstLineChars="200"/>
        <w:jc w:val="both"/>
        <w:rPr>
          <w:rFonts w:hint="eastAsia" w:ascii="黑体" w:hAnsi="黑体" w:eastAsia="黑体" w:cs="黑体"/>
          <w:bCs/>
          <w:sz w:val="28"/>
          <w:szCs w:val="28"/>
          <w:lang w:val="en-US" w:eastAsia="zh-CN"/>
        </w:rPr>
      </w:pPr>
      <w:bookmarkStart w:id="6" w:name="_Hlk53504529"/>
      <w:r>
        <w:rPr>
          <w:rFonts w:hint="eastAsia" w:ascii="黑体" w:hAnsi="黑体" w:eastAsia="黑体" w:cs="黑体"/>
          <w:bCs/>
          <w:sz w:val="28"/>
          <w:szCs w:val="28"/>
        </w:rPr>
        <w:t>二、申请人的资格要求</w:t>
      </w:r>
    </w:p>
    <w:p>
      <w:pPr>
        <w:pStyle w:val="73"/>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pPr>
        <w:pStyle w:val="73"/>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sz w:val="28"/>
          <w:szCs w:val="28"/>
        </w:rPr>
        <w:t>无；</w:t>
      </w:r>
    </w:p>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pPr>
        <w:pStyle w:val="5"/>
        <w:spacing w:line="400" w:lineRule="exact"/>
        <w:ind w:right="-21" w:rightChars="-10" w:firstLine="562" w:firstLineChars="200"/>
        <w:jc w:val="both"/>
        <w:rPr>
          <w:rFonts w:hint="eastAsia" w:ascii="黑体" w:hAnsi="黑体" w:eastAsia="黑体" w:cs="黑体"/>
          <w:bCs/>
          <w:sz w:val="28"/>
          <w:szCs w:val="28"/>
        </w:rPr>
      </w:pPr>
      <w:bookmarkStart w:id="7" w:name="_Toc35393623"/>
      <w:bookmarkStart w:id="8" w:name="_Toc35393792"/>
      <w:r>
        <w:rPr>
          <w:rFonts w:hint="eastAsia" w:ascii="黑体" w:hAnsi="黑体" w:eastAsia="黑体" w:cs="黑体"/>
          <w:bCs/>
          <w:sz w:val="28"/>
          <w:szCs w:val="28"/>
        </w:rPr>
        <w:t>三、获取招标文件</w:t>
      </w:r>
    </w:p>
    <w:p>
      <w:pPr>
        <w:spacing w:line="400" w:lineRule="exact"/>
        <w:ind w:right="-21" w:rightChars="-10"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lang w:val="en-US" w:eastAsia="zh-CN"/>
        </w:rPr>
        <w:t>2025</w:t>
      </w:r>
      <w:r>
        <w:rPr>
          <w:rFonts w:hint="eastAsia" w:ascii="仿宋_GB2312" w:hAnsi="Calibri" w:eastAsia="仿宋_GB2312"/>
          <w:sz w:val="28"/>
          <w:szCs w:val="28"/>
        </w:rPr>
        <w:t>年XX月XX日</w:t>
      </w:r>
      <w:r>
        <w:rPr>
          <w:rFonts w:hint="eastAsia" w:ascii="仿宋_GB2312" w:eastAsia="仿宋_GB2312"/>
          <w:sz w:val="28"/>
          <w:szCs w:val="28"/>
        </w:rPr>
        <w:t>至</w:t>
      </w:r>
      <w:r>
        <w:rPr>
          <w:rFonts w:hint="eastAsia" w:ascii="仿宋_GB2312" w:hAnsi="Calibri" w:eastAsia="仿宋_GB2312"/>
          <w:sz w:val="28"/>
          <w:szCs w:val="28"/>
          <w:lang w:val="en-US" w:eastAsia="zh-CN"/>
        </w:rPr>
        <w:t>2025</w:t>
      </w:r>
      <w:r>
        <w:rPr>
          <w:rFonts w:ascii="仿宋_GB2312" w:hAnsi="Calibri" w:eastAsia="仿宋_GB2312"/>
          <w:sz w:val="28"/>
          <w:szCs w:val="28"/>
        </w:rPr>
        <w:t>年XX月XX日</w:t>
      </w:r>
      <w:r>
        <w:rPr>
          <w:rFonts w:hint="eastAsia" w:ascii="仿宋_GB2312" w:hAnsi="仿宋_GB2312" w:eastAsia="仿宋_GB2312" w:cs="仿宋_GB2312"/>
          <w:color w:val="000000"/>
          <w:sz w:val="28"/>
          <w:szCs w:val="28"/>
        </w:rPr>
        <w:t>，每天上午08:00至12:00，下午12:00至</w:t>
      </w:r>
      <w:r>
        <w:rPr>
          <w:rFonts w:hint="eastAsia" w:ascii="仿宋_GB2312" w:hAnsi="仿宋_GB2312" w:eastAsia="仿宋_GB2312" w:cs="仿宋_GB2312"/>
          <w:sz w:val="28"/>
          <w:szCs w:val="28"/>
        </w:rPr>
        <w:t>21:00</w:t>
      </w:r>
      <w:r>
        <w:rPr>
          <w:rFonts w:hint="eastAsia" w:ascii="仿宋_GB2312" w:hAnsi="仿宋_GB2312" w:eastAsia="仿宋_GB2312" w:cs="仿宋_GB2312"/>
          <w:color w:val="000000"/>
          <w:sz w:val="28"/>
          <w:szCs w:val="28"/>
        </w:rPr>
        <w:t>（北京时间，法定节假日除外）</w:t>
      </w:r>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地点（网址）：</w:t>
      </w:r>
      <w:r>
        <w:rPr>
          <w:rFonts w:hint="eastAsia" w:ascii="仿宋_GB2312" w:hAnsi="仿宋_GB2312" w:eastAsia="仿宋_GB2312" w:cs="仿宋_GB2312"/>
          <w:sz w:val="28"/>
          <w:szCs w:val="28"/>
        </w:rPr>
        <w:t>广西政府采购云平台（https://www.gcy.zfcg.gxzf.gov.cn/）</w:t>
      </w:r>
    </w:p>
    <w:p>
      <w:pPr>
        <w:spacing w:line="480" w:lineRule="exact"/>
        <w:ind w:right="-21" w:rightChars="-10" w:firstLine="560" w:firstLineChars="200"/>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方式：</w:t>
      </w:r>
      <w:r>
        <w:rPr>
          <w:rFonts w:hint="eastAsia" w:ascii="仿宋_GB2312" w:hAnsi="仿宋_GB2312" w:eastAsia="仿宋_GB2312" w:cs="仿宋_GB2312"/>
          <w:sz w:val="28"/>
          <w:szCs w:val="28"/>
        </w:rPr>
        <w:t>线上获取。登录广西政府采购云平台（https://www.gcy.zfcg.gxzf.gov.cn/），在“工作台”—“项目采购”—“获取采购文件”选择本项目，点击“申请获取采购文件”进行申请提交后，在已申请栏中选择下载本项目招标文件。提示：1.未注册的供应商可在广西政府采购云平台完成注册后再行获取招标文件。2.供应商只有在“广西政府采购云平台”完成获取招标文件申请并下载了招标文件后才视作依法获取招标文件（法律法规所指的供应商获取招标文件时间以供应商完成获取招标文件申请后下载招标文件的时间为准）。3.已获取招标文件的投标人不等于符合本项目的投标人资格。</w:t>
      </w:r>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pPr>
        <w:pStyle w:val="5"/>
        <w:spacing w:line="400" w:lineRule="exact"/>
        <w:ind w:right="-21" w:rightChars="-10" w:firstLine="562" w:firstLineChars="200"/>
        <w:jc w:val="both"/>
        <w:rPr>
          <w:rFonts w:hint="eastAsia" w:ascii="黑体" w:hAnsi="黑体" w:eastAsia="黑体" w:cs="黑体"/>
          <w:bCs/>
          <w:sz w:val="28"/>
          <w:szCs w:val="28"/>
        </w:rPr>
      </w:pPr>
      <w:bookmarkStart w:id="9" w:name="_Toc35393624"/>
      <w:bookmarkStart w:id="10" w:name="_Toc28359005"/>
      <w:bookmarkStart w:id="11" w:name="_Toc28359082"/>
      <w:bookmarkStart w:id="12" w:name="_Toc35393793"/>
      <w:r>
        <w:rPr>
          <w:rFonts w:hint="eastAsia" w:ascii="黑体" w:hAnsi="黑体" w:eastAsia="黑体" w:cs="黑体"/>
          <w:bCs/>
          <w:sz w:val="28"/>
          <w:szCs w:val="28"/>
        </w:rPr>
        <w:t>四、</w:t>
      </w:r>
      <w:r>
        <w:rPr>
          <w:rFonts w:hint="eastAsia" w:ascii="黑体" w:hAnsi="黑体" w:eastAsia="黑体" w:cs="黑体"/>
          <w:bCs/>
          <w:color w:val="000000"/>
          <w:sz w:val="28"/>
          <w:szCs w:val="28"/>
        </w:rPr>
        <w:t>提交投标文件截止时间、开标时间和地点</w:t>
      </w:r>
    </w:p>
    <w:p>
      <w:pPr>
        <w:spacing w:line="400" w:lineRule="exact"/>
        <w:ind w:right="-21" w:rightChars="-10" w:firstLine="560" w:firstLineChars="200"/>
        <w:rPr>
          <w:rFonts w:hint="eastAsia" w:ascii="仿宋" w:hAnsi="仿宋" w:eastAsia="仿宋"/>
          <w:bCs/>
          <w:sz w:val="28"/>
          <w:szCs w:val="28"/>
          <w:u w:val="single"/>
        </w:rPr>
      </w:pPr>
      <w:r>
        <w:rPr>
          <w:rFonts w:hint="eastAsia" w:ascii="仿宋_GB2312" w:hAnsi="仿宋_GB2312" w:eastAsia="仿宋_GB2312" w:cs="仿宋_GB2312"/>
          <w:color w:val="000000"/>
          <w:sz w:val="28"/>
          <w:szCs w:val="28"/>
        </w:rPr>
        <w:t>提交投标文件截止时间：</w:t>
      </w:r>
      <w:r>
        <w:rPr>
          <w:rFonts w:ascii="仿宋_GB2312" w:hAnsi="仿宋_GB2312" w:eastAsia="仿宋_GB2312" w:cs="仿宋_GB2312"/>
          <w:bCs/>
          <w:sz w:val="28"/>
          <w:szCs w:val="28"/>
        </w:rPr>
        <w:t>2025年XX月XX日 09:20</w:t>
      </w:r>
      <w:r>
        <w:rPr>
          <w:rFonts w:hint="eastAsia" w:ascii="仿宋_GB2312" w:eastAsia="仿宋_GB2312"/>
          <w:sz w:val="28"/>
          <w:szCs w:val="28"/>
        </w:rPr>
        <w:t>（北京时间）</w:t>
      </w:r>
    </w:p>
    <w:p>
      <w:pPr>
        <w:spacing w:line="480" w:lineRule="exact"/>
        <w:ind w:right="-21" w:rightChars="-10" w:firstLine="560" w:firstLineChars="200"/>
        <w:rPr>
          <w:rFonts w:hint="eastAsia" w:ascii="仿宋_GB2312" w:hAnsi="仿宋_GB2312" w:eastAsia="仿宋_GB2312" w:cs="仿宋_GB2312"/>
          <w:bCs/>
          <w:color w:val="000000"/>
          <w:sz w:val="28"/>
          <w:szCs w:val="28"/>
        </w:rPr>
      </w:pPr>
      <w:r>
        <w:rPr>
          <w:rFonts w:hint="eastAsia" w:ascii="仿宋_GB2312" w:hAnsi="仿宋_GB2312" w:eastAsia="仿宋_GB2312" w:cs="仿宋_GB2312"/>
          <w:color w:val="000000"/>
          <w:sz w:val="28"/>
          <w:szCs w:val="28"/>
        </w:rPr>
        <w:t>投标地点（网址）：</w:t>
      </w:r>
      <w:r>
        <w:rPr>
          <w:rFonts w:hint="eastAsia" w:ascii="仿宋_GB2312" w:hAnsi="仿宋_GB2312" w:eastAsia="仿宋_GB2312" w:cs="仿宋_GB2312"/>
          <w:sz w:val="28"/>
          <w:szCs w:val="28"/>
        </w:rPr>
        <w:t>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w:t>
      </w:r>
      <w:r>
        <w:rPr>
          <w:rFonts w:hint="eastAsia" w:ascii="仿宋_GB2312" w:hAnsi="仿宋_GB2312" w:eastAsia="仿宋_GB2312" w:cs="仿宋_GB2312"/>
          <w:sz w:val="28"/>
          <w:szCs w:val="28"/>
        </w:rPr>
        <w:t>未按规定编制并加密的电子投标文件，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开标时间：</w:t>
      </w:r>
      <w:r>
        <w:rPr>
          <w:rFonts w:ascii="仿宋_GB2312" w:eastAsia="仿宋_GB2312"/>
          <w:bCs/>
          <w:sz w:val="28"/>
          <w:szCs w:val="28"/>
        </w:rPr>
        <w:t>2025年XX月XX日 09:20</w:t>
      </w:r>
    </w:p>
    <w:p>
      <w:pPr>
        <w:spacing w:line="480" w:lineRule="exact"/>
        <w:ind w:right="-21" w:rightChars="-1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 开标地点：</w:t>
      </w:r>
      <w:r>
        <w:rPr>
          <w:rFonts w:hint="eastAsia" w:ascii="仿宋_GB2312" w:hAnsi="仿宋_GB2312" w:eastAsia="仿宋_GB2312" w:cs="仿宋_GB2312"/>
          <w:sz w:val="28"/>
          <w:szCs w:val="28"/>
        </w:rPr>
        <w:t>广西政府采购云平台（https://www.gcy.zfcg.gxzf.gov.cn/）</w:t>
      </w:r>
    </w:p>
    <w:p>
      <w:pPr>
        <w:pStyle w:val="5"/>
        <w:spacing w:line="400" w:lineRule="exact"/>
        <w:ind w:right="-21" w:rightChars="-10" w:firstLine="562" w:firstLineChars="200"/>
        <w:jc w:val="both"/>
        <w:rPr>
          <w:rFonts w:hint="eastAsia" w:ascii="黑体" w:hAnsi="黑体" w:eastAsia="黑体" w:cs="黑体"/>
          <w:bCs/>
          <w:sz w:val="28"/>
          <w:szCs w:val="28"/>
        </w:rPr>
      </w:pPr>
      <w:bookmarkStart w:id="13" w:name="_Toc28359084"/>
      <w:bookmarkStart w:id="14" w:name="_Toc35393794"/>
      <w:bookmarkStart w:id="15" w:name="_Toc28359007"/>
      <w:bookmarkStart w:id="16" w:name="_Toc35393625"/>
      <w:r>
        <w:rPr>
          <w:rFonts w:hint="eastAsia" w:ascii="黑体" w:hAnsi="黑体" w:eastAsia="黑体" w:cs="黑体"/>
          <w:bCs/>
          <w:sz w:val="28"/>
          <w:szCs w:val="28"/>
        </w:rPr>
        <w:t>五、公告期限</w:t>
      </w:r>
      <w:bookmarkEnd w:id="13"/>
      <w:bookmarkEnd w:id="14"/>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pPr>
        <w:pStyle w:val="5"/>
        <w:spacing w:line="400" w:lineRule="exact"/>
        <w:ind w:right="-21" w:rightChars="-10" w:firstLine="562" w:firstLineChars="200"/>
        <w:jc w:val="both"/>
        <w:rPr>
          <w:rFonts w:hint="eastAsia" w:ascii="仿宋_GB2312" w:hAnsi="仿宋_GB2312" w:eastAsia="仿宋_GB2312" w:cs="仿宋_GB2312"/>
          <w:bCs/>
          <w:sz w:val="28"/>
          <w:szCs w:val="28"/>
        </w:rPr>
      </w:pPr>
      <w:bookmarkStart w:id="17" w:name="_Toc35393626"/>
      <w:bookmarkStart w:id="18" w:name="_Toc35393795"/>
      <w:r>
        <w:rPr>
          <w:rFonts w:hint="eastAsia" w:ascii="黑体" w:hAnsi="黑体" w:eastAsia="黑体" w:cs="黑体"/>
          <w:bCs/>
          <w:sz w:val="28"/>
          <w:szCs w:val="28"/>
        </w:rPr>
        <w:t>六、其他补充事宜</w:t>
      </w:r>
      <w:bookmarkEnd w:id="17"/>
      <w:bookmarkEnd w:id="18"/>
    </w:p>
    <w:p>
      <w:pPr>
        <w:pStyle w:val="73"/>
        <w:spacing w:line="400" w:lineRule="exact"/>
        <w:ind w:right="-21" w:rightChars="-10"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（一）是否专门面向中小微企业采购：否</w:t>
      </w:r>
      <w:r>
        <w:rPr>
          <w:rFonts w:hint="eastAsia" w:ascii="仿宋_GB2312" w:hAnsi="仿宋_GB2312" w:eastAsia="仿宋_GB2312" w:cs="仿宋_GB2312"/>
          <w:b/>
          <w:bCs/>
          <w:sz w:val="28"/>
          <w:szCs w:val="28"/>
        </w:rPr>
        <w:cr/>
      </w:r>
      <w:r>
        <w:rPr>
          <w:rFonts w:hint="eastAsia" w:ascii="仿宋_GB2312" w:hAnsi="仿宋_GB2312" w:eastAsia="仿宋_GB2312" w:cs="仿宋_GB2312"/>
          <w:b/>
          <w:bCs/>
          <w:sz w:val="28"/>
          <w:szCs w:val="28"/>
        </w:rPr>
        <w:t xml:space="preserve">    </w:t>
      </w:r>
      <w:bookmarkStart w:id="19" w:name="_Hlk102729449"/>
      <w:r>
        <w:rPr>
          <w:rFonts w:hint="eastAsia" w:ascii="仿宋_GB2312" w:hAnsi="仿宋_GB2312" w:eastAsia="仿宋_GB2312" w:cs="仿宋_GB2312"/>
          <w:b/>
          <w:bCs/>
          <w:sz w:val="28"/>
          <w:szCs w:val="28"/>
        </w:rPr>
        <w:t>（二）</w:t>
      </w:r>
      <w:bookmarkEnd w:id="19"/>
      <w:r>
        <w:rPr>
          <w:rFonts w:hint="eastAsia" w:ascii="仿宋_GB2312" w:hAnsi="仿宋_GB2312" w:eastAsia="仿宋_GB2312" w:cs="仿宋_GB2312"/>
          <w:b/>
          <w:bCs/>
          <w:sz w:val="28"/>
          <w:szCs w:val="28"/>
        </w:rPr>
        <w:t>投标保证金：</w:t>
      </w:r>
      <w:r>
        <w:rPr>
          <w:rFonts w:hint="eastAsia" w:ascii="仿宋_GB2312" w:hAnsi="仿宋_GB2312" w:eastAsia="仿宋_GB2312" w:cs="仿宋_GB2312"/>
          <w:sz w:val="28"/>
          <w:szCs w:val="28"/>
        </w:rPr>
        <w:t>本项目无须提交投标保证金。</w:t>
      </w:r>
    </w:p>
    <w:p>
      <w:pPr>
        <w:pStyle w:val="73"/>
        <w:spacing w:line="420" w:lineRule="exact"/>
        <w:ind w:firstLine="562"/>
        <w:rPr>
          <w:rFonts w:hint="eastAsia" w:ascii="仿宋_GB2312" w:hAnsi="仿宋_GB2312" w:eastAsia="仿宋_GB2312" w:cs="仿宋_GB2312"/>
          <w:sz w:val="28"/>
          <w:szCs w:val="28"/>
        </w:rPr>
      </w:pPr>
      <w:bookmarkStart w:id="20" w:name="_Hlk102729456"/>
      <w:r>
        <w:rPr>
          <w:rFonts w:hint="eastAsia" w:ascii="仿宋_GB2312" w:hAnsi="仿宋_GB2312" w:eastAsia="仿宋_GB2312" w:cs="仿宋_GB2312"/>
          <w:b/>
          <w:bCs/>
          <w:sz w:val="28"/>
          <w:szCs w:val="28"/>
        </w:rPr>
        <w:t>（三）</w:t>
      </w:r>
      <w:bookmarkEnd w:id="20"/>
      <w:r>
        <w:rPr>
          <w:rFonts w:hint="eastAsia" w:ascii="仿宋_GB2312" w:hAnsi="仿宋_GB2312" w:eastAsia="仿宋_GB2312" w:cs="仿宋_GB2312"/>
          <w:b/>
          <w:bCs/>
          <w:sz w:val="28"/>
          <w:szCs w:val="28"/>
        </w:rPr>
        <w:t>发布媒体：</w:t>
      </w:r>
      <w:r>
        <w:rPr>
          <w:rFonts w:hint="eastAsia" w:ascii="仿宋_GB2312" w:hAnsi="仿宋_GB2312" w:eastAsia="仿宋_GB2312" w:cs="仿宋_GB2312"/>
          <w:sz w:val="28"/>
          <w:szCs w:val="28"/>
        </w:rPr>
        <w:t>中国政府采购网（www.ccgp.gov.cn）、广西壮族自治区政府采购网（zfcg.gxzf.gov.cn）、柳州市政府采购网（zfcg.lzscz.liuzhou.gov.cn）。</w:t>
      </w:r>
    </w:p>
    <w:p>
      <w:pPr>
        <w:pStyle w:val="73"/>
        <w:spacing w:line="420" w:lineRule="exact"/>
        <w:ind w:firstLine="560"/>
        <w:rPr>
          <w:rFonts w:hint="eastAsia" w:ascii="仿宋_GB2312" w:hAnsi="仿宋_GB2312" w:eastAsia="仿宋_GB2312" w:cs="仿宋_GB2312"/>
          <w:sz w:val="28"/>
          <w:szCs w:val="28"/>
        </w:rPr>
      </w:pPr>
      <w:bookmarkStart w:id="21" w:name="_Hlk102729465"/>
      <w:bookmarkStart w:id="22" w:name="_Hlk93681467"/>
      <w:r>
        <w:rPr>
          <w:rFonts w:hint="eastAsia" w:ascii="仿宋_GB2312" w:hAnsi="仿宋_GB2312" w:eastAsia="仿宋_GB2312" w:cs="仿宋_GB2312"/>
          <w:sz w:val="28"/>
          <w:szCs w:val="28"/>
        </w:rPr>
        <w:t>（四）</w:t>
      </w:r>
      <w:bookmarkEnd w:id="21"/>
      <w:r>
        <w:rPr>
          <w:rFonts w:ascii="仿宋_GB2312" w:hAnsi="仿宋_GB2312" w:eastAsia="仿宋_GB2312" w:cs="仿宋_GB2312"/>
          <w:sz w:val="28"/>
          <w:szCs w:val="28"/>
        </w:rPr>
        <w:t>本项目需要落实的政府采购政策：</w:t>
      </w:r>
      <w:r>
        <w:rPr>
          <w:rFonts w:hint="eastAsia" w:ascii="仿宋_GB2312" w:hAnsi="仿宋_GB2312" w:eastAsia="仿宋_GB2312" w:cs="仿宋_GB2312"/>
          <w:sz w:val="28"/>
          <w:szCs w:val="28"/>
        </w:rPr>
        <w:t>落实强制采购的节能产品、鼓励节能政策、鼓励环保政策、促进中小企业发展政策、支持监狱企业发展政策、促进残疾人就业政府采购政策。如需进一步了解详细内容，详见公开招标文件第二章《采购需求》及第四章《评标方法及评标标准》。</w:t>
      </w:r>
    </w:p>
    <w:bookmarkEnd w:id="22"/>
    <w:p>
      <w:pPr>
        <w:spacing w:line="420" w:lineRule="exact"/>
        <w:ind w:firstLine="560" w:firstLineChars="200"/>
        <w:rPr>
          <w:rFonts w:hint="eastAsia" w:ascii="仿宋_GB2312" w:hAnsi="仿宋_GB2312" w:eastAsia="仿宋_GB2312" w:cs="仿宋_GB2312"/>
          <w:sz w:val="28"/>
          <w:szCs w:val="28"/>
        </w:rPr>
      </w:pPr>
      <w:bookmarkStart w:id="23" w:name="_Hlk102729471"/>
      <w:r>
        <w:rPr>
          <w:rFonts w:hint="eastAsia" w:ascii="仿宋_GB2312" w:hAnsi="仿宋_GB2312" w:eastAsia="仿宋_GB2312" w:cs="仿宋_GB2312"/>
          <w:sz w:val="28"/>
          <w:szCs w:val="28"/>
        </w:rPr>
        <w:t>（五）</w:t>
      </w:r>
      <w:bookmarkEnd w:id="23"/>
      <w:r>
        <w:rPr>
          <w:rFonts w:hint="eastAsia" w:ascii="仿宋_GB2312" w:hAnsi="仿宋_GB2312" w:eastAsia="仿宋_GB2312" w:cs="仿宋_GB2312"/>
          <w:sz w:val="28"/>
          <w:szCs w:val="28"/>
        </w:rPr>
        <w:t>对在“信用中国”网站(www.creditchina.gov.cn)、中国政府采购网(www.ccgp.gov.cn)等渠道列入失信被执行人、重大税收违法案件当事人名单、政府采购严重违法失信行为记录名单的投标人，不得参与政府采购活动。</w:t>
      </w:r>
      <w:r>
        <w:rPr>
          <w:rFonts w:hint="eastAsia" w:ascii="仿宋_GB2312" w:hAnsi="仿宋_GB2312" w:eastAsia="仿宋_GB2312" w:cs="仿宋_GB2312"/>
          <w:color w:val="auto"/>
          <w:sz w:val="28"/>
          <w:szCs w:val="28"/>
          <w:highlight w:val="none"/>
        </w:rPr>
        <w:t>两个以上的自然人、法人或者其他组织组成一个联合体，以一个</w:t>
      </w:r>
      <w:r>
        <w:rPr>
          <w:rFonts w:hint="eastAsia" w:ascii="仿宋_GB2312" w:hAnsi="仿宋_GB2312" w:eastAsia="仿宋_GB2312" w:cs="仿宋_GB2312"/>
          <w:color w:val="auto"/>
          <w:sz w:val="28"/>
          <w:szCs w:val="28"/>
          <w:highlight w:val="none"/>
          <w:lang w:val="en-US" w:eastAsia="zh-CN"/>
        </w:rPr>
        <w:t>投标人</w:t>
      </w:r>
      <w:r>
        <w:rPr>
          <w:rFonts w:hint="eastAsia" w:ascii="仿宋_GB2312" w:hAnsi="仿宋_GB2312" w:eastAsia="仿宋_GB2312" w:cs="仿宋_GB2312"/>
          <w:color w:val="auto"/>
          <w:sz w:val="28"/>
          <w:szCs w:val="28"/>
          <w:highlight w:val="none"/>
        </w:rPr>
        <w:t>的身份共同参加政府采购活动的，应当对所有联合体成员进行信用记录查询，联合体成员存在不良信用记录的，视同联合体存在不良信用记录</w:t>
      </w:r>
      <w:r>
        <w:rPr>
          <w:rFonts w:hint="eastAsia" w:ascii="仿宋_GB2312" w:hAnsi="仿宋_GB2312" w:eastAsia="仿宋_GB2312" w:cs="仿宋_GB2312"/>
          <w:color w:val="auto"/>
          <w:sz w:val="28"/>
          <w:szCs w:val="28"/>
          <w:highlight w:val="none"/>
          <w:lang w:eastAsia="zh-CN"/>
        </w:rPr>
        <w:t>。</w:t>
      </w:r>
    </w:p>
    <w:p>
      <w:pPr>
        <w:spacing w:line="42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（六）根据《柳州市财政局 人民银行柳州市中心支行 关于进一步做好线上“政采贷”融资工作的通知》（柳财采〔2022〕19号），供应商可凭中标通知书、政府采购合同，通过中征应收账款融资服务平台向银行在线申请“政采贷”融资。</w:t>
      </w:r>
    </w:p>
    <w:p>
      <w:pPr>
        <w:spacing w:line="42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（七）投标人参与电子投标特别说明</w:t>
      </w:r>
    </w:p>
    <w:p>
      <w:pPr>
        <w:pStyle w:val="73"/>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1.本项目通过广西政府采购云平台实行电子投标，投标人应按照本项目公开招标文件和广西政府采购云平台的要求，通过“广西政府采购云平台客户端”编制、加密并提交电子投标文件。</w:t>
      </w:r>
    </w:p>
    <w:p>
      <w:pPr>
        <w:pStyle w:val="73"/>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2.参与电子标的投标人必须为广西政府采购云平台的正式供应商且申领CA证书，</w:t>
      </w:r>
      <w:r>
        <w:rPr>
          <w:rFonts w:hint="eastAsia" w:ascii="仿宋_GB2312" w:hAnsi="仿宋_GB2312" w:eastAsia="仿宋_GB2312" w:cs="仿宋_GB2312"/>
          <w:b/>
          <w:bCs/>
          <w:sz w:val="28"/>
          <w:szCs w:val="28"/>
        </w:rPr>
        <w:t>各投标人应在开标前及时完成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pPr>
        <w:pStyle w:val="73"/>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投标人应及时熟悉掌握电子标系统操作指南（见广西政府采购云平台电子卖场首页—服务中心—帮助中心—项目采购）</w:t>
      </w:r>
    </w:p>
    <w:p>
      <w:pPr>
        <w:pStyle w:val="73"/>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w:t>
      </w:r>
      <w:r>
        <w:rPr>
          <w:rFonts w:ascii="仿宋_GB2312" w:hAnsi="仿宋_GB2312" w:eastAsia="仿宋_GB2312" w:cs="仿宋_GB2312"/>
          <w:sz w:val="28"/>
          <w:szCs w:val="28"/>
        </w:rPr>
        <w:t>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pPr>
        <w:pStyle w:val="73"/>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pPr>
        <w:pStyle w:val="73"/>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各投标人通过新平台参与政府采购项目投标需下载使用新版客户端，广西政府采购云平台客户端</w:t>
      </w:r>
      <w:r>
        <w:rPr>
          <w:rFonts w:hint="eastAsia" w:ascii="仿宋_GB2312" w:hAnsi="仿宋_GB2312" w:eastAsia="仿宋_GB2312" w:cs="仿宋_GB2312"/>
          <w:sz w:val="28"/>
          <w:szCs w:val="28"/>
        </w:rPr>
        <w:t>软件请投标人自行前往下载并安装：</w:t>
      </w:r>
    </w:p>
    <w:p>
      <w:pPr>
        <w:pStyle w:val="73"/>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投标人到现场，但投标人应派法定代表人或委托代理人准时在线出席电子开评标会议，随时关注开评标进度，如在开评标过程中有电子询标，应在规定的时间内对电子询标函进行澄清回复。</w:t>
      </w:r>
    </w:p>
    <w:p>
      <w:pPr>
        <w:pStyle w:val="73"/>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4.因未注册广西政府采购云平台、未办理CA证书、CA证书故障、操作不当等原因造成无法投标或投标失败等后果由投标人自行承担；</w:t>
      </w:r>
    </w:p>
    <w:p>
      <w:pPr>
        <w:pStyle w:val="73"/>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5.投标人在使用广西政府采购云平台参与投标过程中遇到涉及平台使用的任何问题，可致电广西政府采购云平台技术支持热线咨询，联系方式：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pPr>
        <w:pStyle w:val="5"/>
        <w:spacing w:line="400" w:lineRule="exact"/>
        <w:ind w:right="-21" w:rightChars="-10" w:firstLine="562" w:firstLineChars="200"/>
        <w:jc w:val="both"/>
        <w:rPr>
          <w:rFonts w:hint="eastAsia" w:ascii="黑体" w:hAnsi="黑体" w:eastAsia="黑体" w:cs="黑体"/>
          <w:b w:val="0"/>
          <w:sz w:val="28"/>
          <w:szCs w:val="28"/>
        </w:rPr>
      </w:pPr>
      <w:bookmarkStart w:id="24" w:name="_Toc28359085"/>
      <w:bookmarkStart w:id="25" w:name="_Toc35393796"/>
      <w:bookmarkStart w:id="26" w:name="_Toc28359008"/>
      <w:bookmarkStart w:id="27" w:name="_Toc35393627"/>
      <w:bookmarkStart w:id="28" w:name="_Hlk50569036"/>
      <w:r>
        <w:rPr>
          <w:rFonts w:hint="eastAsia" w:ascii="黑体" w:hAnsi="黑体" w:eastAsia="黑体" w:cs="黑体"/>
          <w:bCs/>
          <w:sz w:val="28"/>
          <w:szCs w:val="28"/>
        </w:rPr>
        <w:t>七、对本次招标提出询问，请按以下方式联系</w:t>
      </w:r>
      <w:bookmarkEnd w:id="24"/>
      <w:bookmarkEnd w:id="25"/>
      <w:bookmarkEnd w:id="26"/>
      <w:bookmarkEnd w:id="27"/>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1.采购人信息</w:t>
      </w:r>
    </w:p>
    <w:p>
      <w:pPr>
        <w:tabs>
          <w:tab w:val="left" w:pos="851"/>
        </w:tabs>
        <w:spacing w:line="400" w:lineRule="exact"/>
        <w:ind w:right="-21" w:rightChars="-10" w:firstLine="560" w:firstLineChars="200"/>
        <w:rPr>
          <w:rFonts w:ascii="仿宋_GB2312" w:eastAsia="仿宋_GB2312"/>
          <w:color w:val="FF0000"/>
          <w:sz w:val="28"/>
          <w:szCs w:val="28"/>
        </w:rPr>
      </w:pPr>
      <w:r>
        <w:rPr>
          <w:rFonts w:hint="eastAsia" w:ascii="仿宋_GB2312" w:eastAsia="仿宋_GB2312"/>
          <w:sz w:val="28"/>
          <w:szCs w:val="28"/>
        </w:rPr>
        <w:t>名 称：</w:t>
      </w:r>
      <w:r>
        <w:rPr>
          <w:rFonts w:hint="eastAsia" w:ascii="仿宋_GB2312" w:eastAsia="仿宋_GB2312"/>
          <w:sz w:val="28"/>
          <w:szCs w:val="28"/>
          <w:lang w:val="en-US" w:eastAsia="zh-CN"/>
        </w:rPr>
        <w:t>柳州市</w:t>
      </w:r>
      <w:r>
        <w:rPr>
          <w:rFonts w:ascii="仿宋_GB2312" w:eastAsia="仿宋_GB2312"/>
          <w:sz w:val="28"/>
          <w:szCs w:val="28"/>
        </w:rPr>
        <w:t>大数据发展局</w:t>
      </w:r>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广西柳州市三中路66号</w:t>
      </w:r>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项目联系人：潘郑州</w:t>
      </w:r>
    </w:p>
    <w:p>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0772-2860226</w:t>
      </w:r>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2.采购代理机构信息</w:t>
      </w:r>
    </w:p>
    <w:p>
      <w:pPr>
        <w:tabs>
          <w:tab w:val="left" w:pos="851"/>
        </w:tabs>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pPr>
        <w:spacing w:line="400" w:lineRule="exact"/>
        <w:ind w:left="2100" w:right="-21" w:rightChars="-10"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李群</w:t>
      </w:r>
    </w:p>
    <w:p>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0772-2992005</w:t>
      </w:r>
      <w:bookmarkEnd w:id="28"/>
    </w:p>
    <w:p>
      <w:pPr>
        <w:spacing w:line="400" w:lineRule="exact"/>
        <w:ind w:right="560"/>
        <w:rPr>
          <w:rFonts w:ascii="仿宋_GB2312" w:eastAsia="仿宋_GB2312"/>
          <w:sz w:val="28"/>
          <w:szCs w:val="28"/>
        </w:rPr>
        <w:sectPr>
          <w:footerReference r:id="rId7" w:type="default"/>
          <w:pgSz w:w="11906" w:h="16838"/>
          <w:pgMar w:top="1440" w:right="991" w:bottom="1440" w:left="1440" w:header="851" w:footer="992" w:gutter="0"/>
          <w:pgNumType w:start="1"/>
          <w:cols w:space="720" w:num="1"/>
          <w:docGrid w:linePitch="312" w:charSpace="0"/>
        </w:sectPr>
      </w:pPr>
    </w:p>
    <w:p>
      <w:pPr>
        <w:pStyle w:val="4"/>
        <w:spacing w:line="276" w:lineRule="auto"/>
        <w:jc w:val="center"/>
        <w:rPr>
          <w:rFonts w:hint="eastAsia" w:ascii="宋体" w:hAnsi="宋体"/>
          <w:sz w:val="32"/>
          <w:szCs w:val="32"/>
        </w:rPr>
      </w:pPr>
      <w:bookmarkStart w:id="29" w:name="_Toc13541"/>
      <w:r>
        <w:rPr>
          <w:rFonts w:hint="eastAsia" w:ascii="宋体" w:hAnsi="宋体"/>
          <w:sz w:val="32"/>
          <w:szCs w:val="32"/>
        </w:rPr>
        <w:t>第二章 采购需求</w:t>
      </w:r>
      <w:bookmarkEnd w:id="29"/>
    </w:p>
    <w:p>
      <w:pPr>
        <w:spacing w:line="276" w:lineRule="auto"/>
        <w:ind w:right="-330" w:rightChars="-157" w:firstLine="482" w:firstLineChars="200"/>
        <w:rPr>
          <w:rFonts w:ascii="仿宋_GB2312" w:eastAsia="仿宋_GB2312"/>
          <w:b/>
          <w:bCs/>
          <w:sz w:val="24"/>
        </w:rPr>
      </w:pPr>
      <w:bookmarkStart w:id="30" w:name="_Hlk50569056"/>
      <w:r>
        <w:rPr>
          <w:rFonts w:hint="eastAsia" w:ascii="仿宋_GB2312" w:eastAsia="仿宋_GB2312"/>
          <w:b/>
          <w:bCs/>
          <w:sz w:val="24"/>
        </w:rPr>
        <w:t>说明：</w:t>
      </w:r>
    </w:p>
    <w:bookmarkEnd w:id="30"/>
    <w:p>
      <w:pPr>
        <w:spacing w:line="380" w:lineRule="exact"/>
        <w:ind w:right="-330" w:rightChars="-157" w:firstLine="482" w:firstLineChars="200"/>
        <w:rPr>
          <w:rFonts w:ascii="仿宋_GB2312" w:eastAsia="仿宋_GB2312"/>
          <w:b/>
          <w:bCs/>
          <w:color w:val="000000"/>
          <w:sz w:val="24"/>
        </w:rPr>
      </w:pPr>
      <w:bookmarkStart w:id="31" w:name="_Hlk93675025"/>
      <w:r>
        <w:rPr>
          <w:rFonts w:hint="eastAsia" w:ascii="仿宋_GB2312" w:eastAsia="仿宋_GB2312"/>
          <w:b/>
          <w:bCs/>
          <w:color w:val="000000"/>
          <w:sz w:val="24"/>
        </w:rPr>
        <w:t>（一）本一览表中的品牌、型号仅起参考作用，投标人可选用其他品牌型号替代，但这些替代的产品要实质上满足或优于参考品牌、型号及其技术参数性能（配置）要求。</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（二）本一览表中参考品牌、型号及技术参数性能（配置）不明确或有误的，或投标人选用其他品牌型号替代的，请说明品牌型号和详细、正确的技术参数性能（配置）同时填写投标报价明细表和技术响应表。</w:t>
      </w:r>
    </w:p>
    <w:p>
      <w:pPr>
        <w:spacing w:line="380" w:lineRule="exact"/>
        <w:ind w:right="-330" w:rightChars="-157" w:firstLine="482" w:firstLineChars="200"/>
        <w:rPr>
          <w:rFonts w:ascii="仿宋_GB2312" w:eastAsia="仿宋_GB2312"/>
          <w:b/>
          <w:bCs/>
          <w:color w:val="000000"/>
          <w:sz w:val="24"/>
        </w:rPr>
      </w:pPr>
      <w:r>
        <w:rPr>
          <w:rFonts w:ascii="仿宋_GB2312" w:eastAsia="仿宋_GB2312"/>
          <w:b/>
          <w:bCs/>
          <w:color w:val="000000"/>
          <w:sz w:val="24"/>
        </w:rPr>
        <w:t>（三）标记“★”符号的为实质性响应内容，该内容仅限于“第二章 采购需求”，评审时投标人的响应内容发生负偏离一项以上的，视为投标无效。</w:t>
      </w:r>
      <w:r>
        <w:rPr>
          <w:rFonts w:hint="eastAsia" w:ascii="仿宋_GB2312" w:eastAsia="仿宋_GB2312"/>
          <w:b/>
          <w:bCs/>
          <w:color w:val="000000"/>
          <w:sz w:val="24"/>
          <w:lang w:val="en-US" w:eastAsia="zh-CN"/>
        </w:rPr>
        <w:t>没有</w:t>
      </w:r>
      <w:r>
        <w:rPr>
          <w:rFonts w:ascii="仿宋_GB2312" w:eastAsia="仿宋_GB2312"/>
          <w:b/>
          <w:bCs/>
          <w:color w:val="000000"/>
          <w:sz w:val="24"/>
        </w:rPr>
        <w:t>标记“★”符号的技术参数要求，评审时投标人的响应内容发生负偏离</w:t>
      </w:r>
      <w:r>
        <w:rPr>
          <w:rFonts w:hint="eastAsia" w:ascii="仿宋_GB2312" w:eastAsia="仿宋_GB2312"/>
          <w:b/>
          <w:bCs/>
          <w:color w:val="000000"/>
          <w:sz w:val="24"/>
          <w:lang w:val="en-US" w:eastAsia="zh-CN"/>
        </w:rPr>
        <w:t>五</w:t>
      </w:r>
      <w:r>
        <w:rPr>
          <w:rFonts w:ascii="仿宋_GB2312" w:eastAsia="仿宋_GB2312"/>
          <w:b/>
          <w:bCs/>
          <w:color w:val="000000"/>
          <w:sz w:val="24"/>
        </w:rPr>
        <w:t>项以上的，视为投标无效。关于“项数”的规定，凡标有最低一级序号的指标项即为一项技术条款，无论是否隶属于上一级编号</w:t>
      </w:r>
      <w:r>
        <w:rPr>
          <w:rFonts w:ascii="仿宋_GB2312" w:eastAsia="仿宋_GB2312"/>
          <w:b/>
          <w:bCs/>
          <w:color w:val="auto"/>
          <w:sz w:val="24"/>
        </w:rPr>
        <w:t>（有特别说明的除外）</w:t>
      </w:r>
      <w:r>
        <w:rPr>
          <w:rFonts w:ascii="仿宋_GB2312" w:eastAsia="仿宋_GB2312"/>
          <w:b/>
          <w:bCs/>
          <w:color w:val="000000"/>
          <w:sz w:val="24"/>
        </w:rPr>
        <w:t>。</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四）评审时，评审委员会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投标人提供虚假材料、串通等违法违规行为的，要及时向采购人或采购代理机构报告。</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五）提供相同品牌产品且通过资格审查、符合性审查的不同投标人参加同一合同项下的投标，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非单一产品采购项目中，多家投标人提供的核心产品品牌相同的，视为提供相同品牌产品，核心产品的名称在招标文件第二章“采购需求”用“▲”标明。</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（六）本项目包括以下设备，根据财办库〔2008〕248号文件有关规定，本项目不允许进口产品参加报价。</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七）投标人必须为其响应产品侵犯其他投标人或专利人的专利成果承担相应法律责任；同时，具有产品专利的投标人应在其投标文件中提供与其自有产品专利相关的有效证明材料，否则，不能就其产品的专利在本项目响应过程中被侵权问题提出异议。</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（八）若采购货物属于</w:t>
      </w:r>
      <w:r>
        <w:fldChar w:fldCharType="begin"/>
      </w:r>
      <w:r>
        <w:instrText xml:space="preserve"> HYPERLINK "http://gks.mof.gov.cn/zhengfucaigouguanli/201904/P020190402638613799126.pdf" </w:instrText>
      </w:r>
      <w:r>
        <w:fldChar w:fldCharType="separate"/>
      </w:r>
      <w:r>
        <w:rPr>
          <w:rFonts w:hint="eastAsia" w:ascii="仿宋_GB2312" w:eastAsia="仿宋_GB2312"/>
          <w:b/>
          <w:bCs/>
          <w:color w:val="000000"/>
          <w:sz w:val="24"/>
        </w:rPr>
        <w:t>节能产品政府采购品目清单</w:t>
      </w:r>
      <w:r>
        <w:rPr>
          <w:rFonts w:hint="eastAsia" w:ascii="仿宋_GB2312" w:eastAsia="仿宋_GB2312"/>
          <w:b/>
          <w:bCs/>
          <w:color w:val="000000"/>
          <w:sz w:val="24"/>
        </w:rPr>
        <w:fldChar w:fldCharType="end"/>
      </w:r>
      <w:r>
        <w:rPr>
          <w:rFonts w:hint="eastAsia" w:ascii="仿宋_GB2312" w:eastAsia="仿宋_GB2312"/>
          <w:b/>
          <w:bCs/>
          <w:color w:val="000000"/>
          <w:sz w:val="24"/>
        </w:rPr>
        <w:t>范围的，投标人的投标货物必须使用政府强制采购的节能产品，品目清单请从中国政府采购网（www.ccgp.gov.cn）查询下载，有属于政府强制节能产品的，必须提供所投产品的证明材料（国家确定的认证机构出具的、处于有效期之内的节能产品认证证书材料，加盖投标人CA电子签章），否则其投标无效。</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（九）本货物需求一览表的技术参数要求中未特别列明的技术要求参照国家相关技术标准执行，如有最新标准，按最新标准执行。</w:t>
      </w:r>
    </w:p>
    <w:bookmarkEnd w:id="31"/>
    <w:tbl>
      <w:tblPr>
        <w:tblStyle w:val="244"/>
        <w:tblW w:w="90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969"/>
        <w:gridCol w:w="6586"/>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25"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rPr>
              <w:t>一、项目技术规格参数及要求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450" w:type="dxa"/>
            <w:tcBorders>
              <w:top w:val="single" w:color="auto" w:sz="4" w:space="0"/>
              <w:left w:val="single" w:color="auto" w:sz="4" w:space="0"/>
              <w:bottom w:val="single" w:color="auto" w:sz="4" w:space="0"/>
              <w:right w:val="single" w:color="auto" w:sz="4" w:space="0"/>
            </w:tcBorders>
            <w:vAlign w:val="center"/>
          </w:tcPr>
          <w:p>
            <w:pPr>
              <w:pStyle w:val="245"/>
              <w:snapToGrid w:val="0"/>
              <w:spacing w:line="36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序号</w:t>
            </w:r>
          </w:p>
        </w:tc>
        <w:tc>
          <w:tcPr>
            <w:tcW w:w="969" w:type="dxa"/>
            <w:tcBorders>
              <w:top w:val="single" w:color="auto" w:sz="4" w:space="0"/>
              <w:left w:val="single" w:color="auto" w:sz="4" w:space="0"/>
              <w:bottom w:val="single" w:color="auto" w:sz="4" w:space="0"/>
              <w:right w:val="single" w:color="auto" w:sz="4" w:space="0"/>
            </w:tcBorders>
            <w:vAlign w:val="center"/>
          </w:tcPr>
          <w:p>
            <w:pPr>
              <w:pStyle w:val="245"/>
              <w:snapToGrid w:val="0"/>
              <w:spacing w:line="36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标的名称</w:t>
            </w:r>
          </w:p>
        </w:tc>
        <w:tc>
          <w:tcPr>
            <w:tcW w:w="6586" w:type="dxa"/>
            <w:tcBorders>
              <w:top w:val="single" w:color="auto" w:sz="4" w:space="0"/>
              <w:left w:val="single" w:color="auto" w:sz="4" w:space="0"/>
              <w:bottom w:val="single" w:color="auto" w:sz="4" w:space="0"/>
              <w:right w:val="single" w:color="auto" w:sz="4" w:space="0"/>
            </w:tcBorders>
            <w:vAlign w:val="center"/>
          </w:tcPr>
          <w:p>
            <w:pPr>
              <w:pStyle w:val="245"/>
              <w:snapToGrid w:val="0"/>
              <w:spacing w:line="36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技术参数</w:t>
            </w:r>
          </w:p>
        </w:tc>
        <w:tc>
          <w:tcPr>
            <w:tcW w:w="1020" w:type="dxa"/>
            <w:tcBorders>
              <w:top w:val="single" w:color="auto" w:sz="4" w:space="0"/>
              <w:left w:val="single" w:color="auto" w:sz="4" w:space="0"/>
              <w:bottom w:val="single" w:color="auto" w:sz="4" w:space="0"/>
              <w:right w:val="single" w:color="auto" w:sz="4" w:space="0"/>
            </w:tcBorders>
            <w:vAlign w:val="center"/>
          </w:tcPr>
          <w:p>
            <w:pPr>
              <w:pStyle w:val="245"/>
              <w:snapToGrid w:val="0"/>
              <w:spacing w:line="36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025" w:type="dxa"/>
            <w:gridSpan w:val="4"/>
            <w:tcBorders>
              <w:top w:val="single" w:color="auto" w:sz="4" w:space="0"/>
              <w:left w:val="single" w:color="auto" w:sz="4" w:space="0"/>
              <w:bottom w:val="single" w:color="auto" w:sz="4" w:space="0"/>
              <w:right w:val="single" w:color="auto" w:sz="4" w:space="0"/>
            </w:tcBorders>
            <w:vAlign w:val="center"/>
          </w:tcPr>
          <w:p>
            <w:pPr>
              <w:pStyle w:val="245"/>
              <w:snapToGrid w:val="0"/>
              <w:spacing w:line="360" w:lineRule="exact"/>
              <w:jc w:val="both"/>
              <w:rPr>
                <w:rFonts w:hint="default" w:ascii="仿宋_GB2312" w:hAnsi="仿宋_GB2312" w:eastAsia="仿宋_GB2312" w:cs="仿宋_GB2312"/>
                <w:b/>
                <w:bCs/>
                <w:color w:val="auto"/>
                <w:sz w:val="24"/>
                <w:szCs w:val="24"/>
                <w:highlight w:val="none"/>
                <w:lang w:val="en-US"/>
              </w:rPr>
            </w:pPr>
            <w:r>
              <w:rPr>
                <w:rFonts w:hint="eastAsia" w:ascii="仿宋_GB2312" w:hAnsi="仿宋_GB2312" w:eastAsia="仿宋_GB2312" w:cs="仿宋_GB2312"/>
                <w:b/>
                <w:bCs w:val="0"/>
                <w:i w:val="0"/>
                <w:iCs w:val="0"/>
                <w:color w:val="auto"/>
                <w:kern w:val="0"/>
                <w:sz w:val="24"/>
                <w:szCs w:val="24"/>
                <w:highlight w:val="none"/>
                <w:u w:val="none"/>
                <w:lang w:val="en-US" w:eastAsia="zh-CN" w:bidi="ar-SA"/>
              </w:rPr>
              <w:t>（一）终端设备采购及供货配送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0" w:type="dxa"/>
            <w:tcBorders>
              <w:top w:val="single" w:color="auto" w:sz="4" w:space="0"/>
              <w:left w:val="single" w:color="auto" w:sz="4" w:space="0"/>
              <w:bottom w:val="single" w:color="auto" w:sz="4" w:space="0"/>
              <w:right w:val="single" w:color="auto" w:sz="4" w:space="0"/>
            </w:tcBorders>
            <w:vAlign w:val="center"/>
          </w:tcPr>
          <w:p>
            <w:pPr>
              <w:pStyle w:val="245"/>
              <w:snapToGrid w:val="0"/>
              <w:spacing w:line="36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969" w:type="dxa"/>
            <w:tcBorders>
              <w:top w:val="single" w:color="auto" w:sz="4" w:space="0"/>
              <w:left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台式</w:t>
            </w:r>
          </w:p>
          <w:p>
            <w:pPr>
              <w:widowControl/>
              <w:spacing w:line="36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计算机</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b/>
                <w:bCs/>
                <w:color w:val="auto"/>
                <w:sz w:val="24"/>
                <w:szCs w:val="24"/>
                <w:highlight w:val="none"/>
              </w:rPr>
              <w:t>（强制采购节能产品，详见采购需求说明第八点）</w:t>
            </w:r>
          </w:p>
        </w:tc>
        <w:tc>
          <w:tcPr>
            <w:tcW w:w="6586" w:type="dxa"/>
            <w:tcBorders>
              <w:top w:val="single" w:color="auto" w:sz="4" w:space="0"/>
              <w:left w:val="single" w:color="auto" w:sz="4" w:space="0"/>
              <w:bottom w:val="single" w:color="auto" w:sz="4" w:space="0"/>
              <w:right w:val="single" w:color="auto" w:sz="4" w:space="0"/>
            </w:tcBorders>
            <w:vAlign w:val="center"/>
          </w:tcPr>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一、产品规格要求</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一</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CPU规格</w:t>
            </w:r>
          </w:p>
          <w:p>
            <w:pPr>
              <w:pStyle w:val="247"/>
              <w:kinsoku w:val="0"/>
              <w:overflowPunct w:val="0"/>
              <w:spacing w:before="0" w:line="360" w:lineRule="exact"/>
              <w:ind w:firstLine="240" w:firstLineChars="10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1.CPU：≥</w:t>
            </w:r>
            <w:r>
              <w:rPr>
                <w:rFonts w:hint="eastAsia" w:ascii="仿宋_GB2312" w:hAnsi="仿宋_GB2312" w:eastAsia="仿宋_GB2312" w:cs="仿宋_GB2312"/>
                <w:color w:val="auto"/>
                <w:sz w:val="24"/>
                <w:szCs w:val="24"/>
                <w:highlight w:val="none"/>
                <w:lang w:val="en-US" w:eastAsia="zh-CN"/>
              </w:rPr>
              <w:t>8</w:t>
            </w:r>
            <w:r>
              <w:rPr>
                <w:rFonts w:hint="eastAsia" w:ascii="仿宋_GB2312" w:hAnsi="仿宋_GB2312" w:eastAsia="仿宋_GB2312" w:cs="仿宋_GB2312"/>
                <w:color w:val="auto"/>
                <w:sz w:val="24"/>
                <w:szCs w:val="24"/>
                <w:highlight w:val="none"/>
              </w:rPr>
              <w:t>核</w:t>
            </w:r>
            <w:r>
              <w:rPr>
                <w:rFonts w:hint="eastAsia" w:ascii="仿宋_GB2312" w:hAnsi="仿宋_GB2312" w:eastAsia="仿宋_GB2312" w:cs="仿宋_GB2312"/>
                <w:color w:val="auto"/>
                <w:sz w:val="24"/>
                <w:szCs w:val="24"/>
                <w:highlight w:val="none"/>
                <w:lang w:val="en-US" w:eastAsia="zh-CN"/>
              </w:rPr>
              <w:t>12线程</w:t>
            </w:r>
            <w:r>
              <w:rPr>
                <w:rFonts w:hint="eastAsia" w:ascii="仿宋_GB2312" w:hAnsi="仿宋_GB2312" w:eastAsia="仿宋_GB2312" w:cs="仿宋_GB2312"/>
                <w:color w:val="auto"/>
                <w:sz w:val="24"/>
                <w:szCs w:val="24"/>
                <w:highlight w:val="none"/>
              </w:rPr>
              <w:t>，主频≥2.</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GHz</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末级缓存≥2M，</w:t>
            </w:r>
            <w:r>
              <w:rPr>
                <w:rFonts w:hint="eastAsia" w:ascii="仿宋_GB2312" w:hAnsi="仿宋_GB2312" w:eastAsia="仿宋_GB2312" w:cs="仿宋_GB2312"/>
                <w:color w:val="auto"/>
                <w:sz w:val="24"/>
                <w:szCs w:val="24"/>
                <w:highlight w:val="none"/>
                <w:lang w:val="en-US" w:eastAsia="zh-CN"/>
              </w:rPr>
              <w:t>CPU</w:t>
            </w:r>
            <w:r>
              <w:rPr>
                <w:rFonts w:hint="eastAsia" w:ascii="仿宋_GB2312" w:hAnsi="仿宋_GB2312" w:eastAsia="仿宋_GB2312" w:cs="仿宋_GB2312"/>
                <w:color w:val="auto"/>
                <w:sz w:val="24"/>
                <w:szCs w:val="24"/>
                <w:highlight w:val="none"/>
              </w:rPr>
              <w:t>内存≥</w:t>
            </w:r>
            <w:r>
              <w:rPr>
                <w:rFonts w:hint="eastAsia" w:ascii="仿宋_GB2312" w:hAnsi="仿宋_GB2312" w:eastAsia="仿宋_GB2312" w:cs="仿宋_GB2312"/>
                <w:color w:val="auto"/>
                <w:sz w:val="24"/>
                <w:szCs w:val="24"/>
                <w:highlight w:val="none"/>
                <w:lang w:val="en-US" w:eastAsia="zh-CN"/>
              </w:rPr>
              <w:t>双通道</w:t>
            </w:r>
            <w:r>
              <w:rPr>
                <w:rFonts w:hint="eastAsia" w:ascii="仿宋_GB2312" w:hAnsi="仿宋_GB2312" w:eastAsia="仿宋_GB2312" w:cs="仿宋_GB2312"/>
                <w:color w:val="auto"/>
                <w:sz w:val="24"/>
                <w:szCs w:val="24"/>
                <w:highlight w:val="none"/>
              </w:rPr>
              <w:t>DDR4-2666MT/s</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热</w:t>
            </w:r>
            <w:r>
              <w:rPr>
                <w:rFonts w:hint="eastAsia" w:ascii="仿宋_GB2312" w:hAnsi="仿宋_GB2312" w:eastAsia="仿宋_GB2312" w:cs="仿宋_GB2312"/>
                <w:color w:val="auto"/>
                <w:kern w:val="2"/>
                <w:sz w:val="24"/>
                <w:szCs w:val="24"/>
                <w:highlight w:val="none"/>
                <w:lang w:val="en-US" w:eastAsia="zh-CN" w:bidi="ar-SA"/>
              </w:rPr>
              <w:t>设计功耗</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kern w:val="2"/>
                <w:sz w:val="24"/>
                <w:szCs w:val="24"/>
                <w:highlight w:val="none"/>
                <w:lang w:val="en-US" w:eastAsia="zh-CN" w:bidi="ar-SA"/>
              </w:rPr>
              <w:t>40W，位宽≥64位；</w:t>
            </w:r>
            <w:bookmarkEnd w:id="2"/>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二</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内存规格</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1.内存配置容量：≥16GB；</w:t>
            </w:r>
          </w:p>
          <w:p>
            <w:pPr>
              <w:pStyle w:val="247"/>
              <w:kinsoku w:val="0"/>
              <w:overflowPunct w:val="0"/>
              <w:spacing w:line="360" w:lineRule="exact"/>
              <w:ind w:firstLine="240" w:firstLineChars="1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2.内存条配置数量(板载内存不涉及)≥</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lang w:eastAsia="zh-CN"/>
              </w:rPr>
              <w:t>；</w:t>
            </w:r>
          </w:p>
          <w:p>
            <w:pPr>
              <w:pStyle w:val="247"/>
              <w:kinsoku w:val="0"/>
              <w:overflowPunct w:val="0"/>
              <w:spacing w:line="360" w:lineRule="exact"/>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3.支持DDR4/LPDDR4/LPDDR4X及以上内存类型。</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三</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主板规格</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1.主板集成模块：集成资源扩展模块、计算处理模块、音频扩展模块等，主板的互联拓扑可通过处理器或交换电路实现；</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2.主板支持的CPU和内存情况：CPU≥8核</w:t>
            </w:r>
            <w:r>
              <w:rPr>
                <w:rFonts w:hint="eastAsia" w:ascii="仿宋_GB2312" w:hAnsi="仿宋_GB2312" w:eastAsia="仿宋_GB2312" w:cs="仿宋_GB2312"/>
                <w:color w:val="auto"/>
                <w:sz w:val="24"/>
                <w:szCs w:val="24"/>
                <w:highlight w:val="none"/>
                <w:lang w:val="en-US" w:eastAsia="zh-CN"/>
              </w:rPr>
              <w:t>12</w:t>
            </w:r>
            <w:r>
              <w:rPr>
                <w:rFonts w:hint="eastAsia" w:ascii="仿宋_GB2312" w:hAnsi="仿宋_GB2312" w:eastAsia="仿宋_GB2312" w:cs="仿宋_GB2312"/>
                <w:color w:val="auto"/>
                <w:sz w:val="24"/>
                <w:szCs w:val="24"/>
                <w:highlight w:val="none"/>
              </w:rPr>
              <w:t>线程，主频≥2.</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GHz，</w:t>
            </w:r>
            <w:r>
              <w:rPr>
                <w:rFonts w:hint="eastAsia" w:ascii="仿宋_GB2312" w:hAnsi="仿宋_GB2312" w:eastAsia="仿宋_GB2312" w:cs="仿宋_GB2312"/>
                <w:color w:val="auto"/>
                <w:sz w:val="24"/>
                <w:szCs w:val="24"/>
                <w:highlight w:val="none"/>
                <w:lang w:val="en-US" w:eastAsia="zh-CN"/>
              </w:rPr>
              <w:t>末级</w:t>
            </w:r>
            <w:r>
              <w:rPr>
                <w:rFonts w:hint="eastAsia" w:ascii="仿宋_GB2312" w:hAnsi="仿宋_GB2312" w:eastAsia="仿宋_GB2312" w:cs="仿宋_GB2312"/>
                <w:color w:val="auto"/>
                <w:sz w:val="24"/>
                <w:szCs w:val="24"/>
                <w:highlight w:val="none"/>
              </w:rPr>
              <w:t>缓存≥2M，内存≥双通道DDR4-2666MT/s，内存条数量≥1</w:t>
            </w:r>
            <w:r>
              <w:rPr>
                <w:rFonts w:hint="eastAsia" w:ascii="仿宋_GB2312" w:hAnsi="仿宋_GB2312" w:eastAsia="仿宋_GB2312" w:cs="仿宋_GB2312"/>
              </w:rPr>
              <w:t>(板载内存不涉及)</w:t>
            </w:r>
            <w:r>
              <w:rPr>
                <w:rFonts w:hint="eastAsia" w:ascii="仿宋_GB2312" w:hAnsi="仿宋_GB2312" w:eastAsia="仿宋_GB2312" w:cs="仿宋_GB2312"/>
                <w:color w:val="auto"/>
                <w:sz w:val="24"/>
                <w:szCs w:val="24"/>
                <w:highlight w:val="none"/>
              </w:rPr>
              <w:t>；</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3.主板其他内置接口：≥SATA接口*</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，≥USB接口*</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，固态硬盘占用M.2接口*1，机械硬盘占用SATA接口*1</w:t>
            </w:r>
            <w:r>
              <w:rPr>
                <w:rFonts w:hint="eastAsia" w:ascii="仿宋_GB2312" w:hAnsi="仿宋_GB2312" w:eastAsia="仿宋_GB2312" w:cs="仿宋_GB2312"/>
                <w:color w:val="auto"/>
                <w:sz w:val="24"/>
                <w:szCs w:val="24"/>
                <w:highlight w:val="none"/>
                <w:lang w:eastAsia="zh-CN"/>
              </w:rPr>
              <w:t>；</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单内存插槽最大可支持容量（板载内存不涉及）：≥8GB；</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.内存插槽满配时提供的最高内存总容量：≥</w:t>
            </w:r>
            <w:r>
              <w:rPr>
                <w:rFonts w:hint="eastAsia" w:ascii="仿宋_GB2312" w:hAnsi="仿宋_GB2312" w:eastAsia="仿宋_GB2312" w:cs="仿宋_GB2312"/>
                <w:color w:val="auto"/>
                <w:sz w:val="24"/>
                <w:szCs w:val="24"/>
                <w:highlight w:val="none"/>
                <w:lang w:val="en-US" w:eastAsia="zh-CN"/>
              </w:rPr>
              <w:t>16</w:t>
            </w:r>
            <w:r>
              <w:rPr>
                <w:rFonts w:hint="eastAsia" w:ascii="仿宋_GB2312" w:hAnsi="仿宋_GB2312" w:eastAsia="仿宋_GB2312" w:cs="仿宋_GB2312"/>
                <w:color w:val="auto"/>
                <w:sz w:val="24"/>
                <w:szCs w:val="24"/>
                <w:highlight w:val="none"/>
              </w:rPr>
              <w:t>GB</w:t>
            </w:r>
            <w:r>
              <w:rPr>
                <w:rFonts w:hint="eastAsia" w:ascii="仿宋_GB2312" w:hAnsi="仿宋_GB2312" w:eastAsia="仿宋_GB2312" w:cs="仿宋_GB2312"/>
                <w:color w:val="auto"/>
                <w:sz w:val="24"/>
                <w:szCs w:val="24"/>
                <w:highlight w:val="none"/>
                <w:lang w:eastAsia="zh-CN"/>
              </w:rPr>
              <w:t>。</w:t>
            </w:r>
          </w:p>
          <w:p>
            <w:pPr>
              <w:pStyle w:val="247"/>
              <w:kinsoku w:val="0"/>
              <w:overflowPunct w:val="0"/>
              <w:spacing w:line="360" w:lineRule="exact"/>
              <w:ind w:firstLine="24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lang w:val="en-US" w:eastAsia="zh-CN"/>
              </w:rPr>
              <w:t>四</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存储设备规格</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1.固态盘数量：≥1个；</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2.固态存储容量：≥</w:t>
            </w:r>
            <w:r>
              <w:rPr>
                <w:rFonts w:hint="eastAsia" w:ascii="仿宋_GB2312" w:hAnsi="仿宋_GB2312" w:eastAsia="仿宋_GB2312" w:cs="仿宋_GB2312"/>
                <w:color w:val="auto"/>
                <w:sz w:val="24"/>
                <w:szCs w:val="24"/>
                <w:highlight w:val="none"/>
                <w:lang w:val="en-US" w:eastAsia="zh-CN"/>
              </w:rPr>
              <w:t>256</w:t>
            </w:r>
            <w:r>
              <w:rPr>
                <w:rFonts w:hint="eastAsia" w:ascii="仿宋_GB2312" w:hAnsi="仿宋_GB2312" w:eastAsia="仿宋_GB2312" w:cs="仿宋_GB2312"/>
                <w:color w:val="auto"/>
                <w:sz w:val="24"/>
                <w:szCs w:val="24"/>
                <w:highlight w:val="none"/>
              </w:rPr>
              <w:t>GB；</w:t>
            </w:r>
          </w:p>
          <w:p>
            <w:pPr>
              <w:pStyle w:val="247"/>
              <w:kinsoku w:val="0"/>
              <w:overflowPunct w:val="0"/>
              <w:spacing w:before="0" w:line="360" w:lineRule="exact"/>
              <w:ind w:left="239" w:leftChars="114"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3.机械硬盘数量：≥1个；</w:t>
            </w:r>
            <w:r>
              <w:rPr>
                <w:rFonts w:hint="eastAsia" w:ascii="仿宋_GB2312" w:hAnsi="仿宋_GB2312" w:eastAsia="仿宋_GB2312" w:cs="仿宋_GB2312"/>
                <w:color w:val="auto"/>
                <w:sz w:val="24"/>
                <w:szCs w:val="24"/>
                <w:highlight w:val="none"/>
              </w:rPr>
              <w:cr/>
            </w:r>
            <w:r>
              <w:rPr>
                <w:rFonts w:hint="eastAsia" w:ascii="仿宋_GB2312" w:hAnsi="仿宋_GB2312" w:eastAsia="仿宋_GB2312" w:cs="仿宋_GB2312"/>
                <w:color w:val="auto"/>
                <w:sz w:val="24"/>
                <w:szCs w:val="24"/>
                <w:highlight w:val="none"/>
              </w:rPr>
              <w:t>4.机械硬盘总容量：≥1TB；</w:t>
            </w:r>
          </w:p>
          <w:p>
            <w:pPr>
              <w:pStyle w:val="247"/>
              <w:kinsoku w:val="0"/>
              <w:overflowPunct w:val="0"/>
              <w:spacing w:before="0" w:line="360" w:lineRule="exact"/>
              <w:ind w:left="0" w:leftChars="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5.机械硬盘转速：≥5400rpm；</w:t>
            </w:r>
          </w:p>
          <w:p>
            <w:pPr>
              <w:pStyle w:val="247"/>
              <w:kinsoku w:val="0"/>
              <w:overflowPunct w:val="0"/>
              <w:spacing w:before="0" w:line="360" w:lineRule="exact"/>
              <w:ind w:left="0" w:leftChars="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6.机械硬盘形态：3.5英寸；</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7.固态存储形态：采用插卡或板载等形态，可选用符合M.2或2.5寸SATA或mSATA等标准的插卡形态；</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8.存储设备其他参数要求：a)固态盘应符合SJ/T11654相关规定；b)机械硬盘准备时间应不大于30s；侧面固定螺丝孔数量可为4孔或6孔；工作状态环境温度应满足5℃</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55℃；其它参数应符合GB/T12628相关规定</w:t>
            </w:r>
            <w:r>
              <w:rPr>
                <w:rFonts w:hint="eastAsia" w:ascii="仿宋_GB2312" w:hAnsi="仿宋_GB2312" w:eastAsia="仿宋_GB2312" w:cs="仿宋_GB2312"/>
                <w:color w:val="auto"/>
                <w:sz w:val="24"/>
                <w:szCs w:val="24"/>
                <w:highlight w:val="none"/>
                <w:lang w:eastAsia="zh-CN"/>
              </w:rPr>
              <w:t>。</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五</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显卡规格</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1.显卡类型：独立显卡</w:t>
            </w:r>
            <w:bookmarkEnd w:id="3"/>
            <w:r>
              <w:rPr>
                <w:rFonts w:hint="eastAsia" w:ascii="仿宋_GB2312" w:hAnsi="仿宋_GB2312" w:eastAsia="仿宋_GB2312" w:cs="仿宋_GB2312"/>
                <w:color w:val="auto"/>
                <w:sz w:val="24"/>
                <w:szCs w:val="24"/>
                <w:highlight w:val="none"/>
                <w:lang w:val="en-US" w:eastAsia="zh-CN"/>
              </w:rPr>
              <w:t>或集成显卡</w:t>
            </w:r>
            <w:r>
              <w:rPr>
                <w:rFonts w:hint="eastAsia" w:ascii="仿宋_GB2312" w:hAnsi="仿宋_GB2312" w:eastAsia="仿宋_GB2312" w:cs="仿宋_GB2312"/>
                <w:color w:val="auto"/>
                <w:sz w:val="24"/>
                <w:szCs w:val="24"/>
                <w:highlight w:val="none"/>
              </w:rPr>
              <w:t>；</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.独立显卡</w:t>
            </w:r>
            <w:r>
              <w:rPr>
                <w:rFonts w:hint="eastAsia" w:ascii="仿宋_GB2312" w:hAnsi="仿宋_GB2312" w:eastAsia="仿宋_GB2312" w:cs="仿宋_GB2312"/>
                <w:color w:val="auto"/>
                <w:sz w:val="24"/>
                <w:szCs w:val="24"/>
                <w:highlight w:val="none"/>
                <w:lang w:val="en-US" w:eastAsia="zh-CN"/>
              </w:rPr>
              <w:t>（集成显卡不涉及）</w:t>
            </w:r>
            <w:r>
              <w:rPr>
                <w:rFonts w:hint="eastAsia" w:ascii="仿宋_GB2312" w:hAnsi="仿宋_GB2312" w:eastAsia="仿宋_GB2312" w:cs="仿宋_GB2312"/>
                <w:color w:val="auto"/>
                <w:sz w:val="24"/>
                <w:szCs w:val="24"/>
                <w:highlight w:val="none"/>
              </w:rPr>
              <w:t>：显存容量≥1GB；</w:t>
            </w:r>
          </w:p>
          <w:p>
            <w:pPr>
              <w:pStyle w:val="247"/>
              <w:kinsoku w:val="0"/>
              <w:wordWrap/>
              <w:overflowPunct w:val="0"/>
              <w:spacing w:before="0" w:line="360" w:lineRule="exact"/>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3.独立显卡显存类型（集成显卡不涉及）：显存类型应为DDR3/DDR4/GDDR5/GDDR6/LPDDR4；</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4.独立显卡显存位宽（集成显卡不涉及）：显存位宽≥16位。</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六</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显示设备规格</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1.显示屏屏占比：≥80%；</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2.显示屏分辨率：≥1920x1080；</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3.显示屏尺寸：≥</w:t>
            </w:r>
            <w:r>
              <w:rPr>
                <w:rFonts w:hint="eastAsia" w:ascii="仿宋_GB2312" w:hAnsi="仿宋_GB2312" w:eastAsia="仿宋_GB2312" w:cs="仿宋_GB2312"/>
                <w:color w:val="auto"/>
                <w:sz w:val="24"/>
                <w:szCs w:val="24"/>
                <w:highlight w:val="none"/>
                <w:lang w:val="en-US" w:eastAsia="zh-CN"/>
              </w:rPr>
              <w:t>23</w:t>
            </w:r>
            <w:r>
              <w:rPr>
                <w:rFonts w:hint="eastAsia" w:ascii="仿宋_GB2312" w:hAnsi="仿宋_GB2312" w:eastAsia="仿宋_GB2312" w:cs="仿宋_GB2312"/>
                <w:color w:val="auto"/>
                <w:sz w:val="24"/>
                <w:szCs w:val="24"/>
                <w:highlight w:val="none"/>
              </w:rPr>
              <w:t>英寸；</w:t>
            </w:r>
          </w:p>
          <w:p>
            <w:pPr>
              <w:pStyle w:val="247"/>
              <w:kinsoku w:val="0"/>
              <w:overflowPunct w:val="0"/>
              <w:spacing w:before="0" w:line="360" w:lineRule="exact"/>
              <w:ind w:left="239" w:leftChars="114"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4.显示屏屏幕比例：16:9/3:2/21:9/16:10等</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cr/>
            </w:r>
            <w:r>
              <w:rPr>
                <w:rFonts w:hint="eastAsia" w:ascii="仿宋_GB2312" w:hAnsi="仿宋_GB2312" w:eastAsia="仿宋_GB2312" w:cs="仿宋_GB2312"/>
                <w:color w:val="auto"/>
                <w:sz w:val="24"/>
                <w:szCs w:val="24"/>
                <w:highlight w:val="none"/>
              </w:rPr>
              <w:t>5.显示器外观颜色：</w:t>
            </w:r>
            <w:r>
              <w:rPr>
                <w:rFonts w:hint="eastAsia" w:ascii="仿宋_GB2312" w:hAnsi="仿宋_GB2312" w:eastAsia="仿宋_GB2312" w:cs="仿宋_GB2312"/>
                <w:color w:val="auto"/>
                <w:kern w:val="0"/>
                <w:sz w:val="24"/>
                <w:szCs w:val="24"/>
                <w:highlight w:val="none"/>
                <w:lang w:val="en-US" w:eastAsia="zh-CN" w:bidi="ar-SA"/>
              </w:rPr>
              <w:t>黑色/白色/银色等商务色系</w:t>
            </w:r>
            <w:r>
              <w:rPr>
                <w:rFonts w:hint="eastAsia" w:ascii="仿宋_GB2312" w:hAnsi="仿宋_GB2312" w:eastAsia="仿宋_GB2312" w:cs="仿宋_GB2312"/>
                <w:color w:val="auto"/>
                <w:sz w:val="24"/>
                <w:szCs w:val="24"/>
                <w:highlight w:val="none"/>
              </w:rPr>
              <w:t>；</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6.显示屏防蓝光：支持防蓝光模式，蓝光加权辐射亮度比应≤0.0012W/(·cd·sr)（瓦每坎特拉每球面度）；</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7.显示屏低频闪：显示屏应支持低频闪≤-35dB；</w:t>
            </w:r>
          </w:p>
          <w:p>
            <w:pPr>
              <w:pStyle w:val="247"/>
              <w:kinsoku w:val="0"/>
              <w:overflowPunct w:val="0"/>
              <w:spacing w:before="0" w:line="360" w:lineRule="exact"/>
              <w:ind w:left="0" w:leftChars="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8.显示屏防炫目：显示屏镜面反射率≤10%</w:t>
            </w:r>
            <w:r>
              <w:rPr>
                <w:rFonts w:hint="eastAsia" w:ascii="仿宋_GB2312" w:hAnsi="仿宋_GB2312" w:eastAsia="仿宋_GB2312" w:cs="仿宋_GB2312"/>
                <w:color w:val="auto"/>
                <w:sz w:val="24"/>
                <w:szCs w:val="24"/>
                <w:highlight w:val="none"/>
                <w:lang w:eastAsia="zh-CN"/>
              </w:rPr>
              <w:t>。</w:t>
            </w:r>
          </w:p>
          <w:p>
            <w:pPr>
              <w:pStyle w:val="247"/>
              <w:kinsoku w:val="0"/>
              <w:overflowPunct w:val="0"/>
              <w:spacing w:before="0" w:line="360" w:lineRule="exact"/>
              <w:ind w:left="0" w:leftChars="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w:t>
            </w:r>
            <w:r>
              <w:rPr>
                <w:rFonts w:hint="eastAsia" w:ascii="仿宋_GB2312" w:hAnsi="仿宋_GB2312" w:eastAsia="仿宋_GB2312" w:cs="仿宋_GB2312"/>
                <w:color w:val="auto"/>
                <w:sz w:val="24"/>
                <w:szCs w:val="24"/>
                <w:highlight w:val="none"/>
                <w:lang w:eastAsia="zh-CN"/>
              </w:rPr>
              <w:t>显示器需配置HDMI线一条</w:t>
            </w:r>
            <w:r>
              <w:rPr>
                <w:rFonts w:hint="eastAsia" w:ascii="仿宋_GB2312" w:hAnsi="仿宋_GB2312" w:eastAsia="仿宋_GB2312" w:cs="仿宋_GB2312"/>
                <w:color w:val="auto"/>
                <w:sz w:val="24"/>
                <w:szCs w:val="24"/>
                <w:highlight w:val="none"/>
                <w:lang w:val="en-US" w:eastAsia="zh-CN"/>
              </w:rPr>
              <w:t>。</w:t>
            </w:r>
          </w:p>
          <w:p>
            <w:pPr>
              <w:pStyle w:val="247"/>
              <w:kinsoku w:val="0"/>
              <w:overflowPunct w:val="0"/>
              <w:spacing w:line="360" w:lineRule="exact"/>
              <w:ind w:firstLine="24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七</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外设规格</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1.鼠标数量：≥1个；</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2.键盘数量：≥1个；</w:t>
            </w:r>
          </w:p>
          <w:p>
            <w:pPr>
              <w:pStyle w:val="247"/>
              <w:kinsoku w:val="0"/>
              <w:overflowPunct w:val="0"/>
              <w:spacing w:before="0" w:line="360" w:lineRule="exact"/>
              <w:ind w:left="0" w:leftChars="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3.键盘按键数目：</w:t>
            </w:r>
            <w:r>
              <w:rPr>
                <w:rFonts w:hint="eastAsia" w:ascii="宋体" w:hAnsi="宋体" w:eastAsia="宋体" w:cs="宋体"/>
                <w:color w:val="auto"/>
                <w:sz w:val="24"/>
                <w:szCs w:val="24"/>
                <w:highlight w:val="none"/>
                <w:lang w:val="en-US" w:eastAsia="zh-CN"/>
              </w:rPr>
              <w:t>≥</w:t>
            </w:r>
            <w:r>
              <w:rPr>
                <w:rFonts w:hint="eastAsia" w:ascii="仿宋_GB2312" w:hAnsi="仿宋_GB2312" w:eastAsia="仿宋_GB2312" w:cs="仿宋_GB2312"/>
                <w:color w:val="auto"/>
                <w:sz w:val="24"/>
                <w:szCs w:val="24"/>
                <w:highlight w:val="none"/>
                <w:lang w:val="en-US" w:eastAsia="zh-CN"/>
              </w:rPr>
              <w:t>61键；</w:t>
            </w:r>
          </w:p>
          <w:p>
            <w:pPr>
              <w:pStyle w:val="247"/>
              <w:kinsoku w:val="0"/>
              <w:overflowPunct w:val="0"/>
              <w:spacing w:before="0" w:line="360" w:lineRule="exact"/>
              <w:ind w:left="0" w:leftChars="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.键盘连接方式：</w:t>
            </w:r>
            <w:r>
              <w:rPr>
                <w:rFonts w:hint="eastAsia" w:ascii="仿宋_GB2312" w:hAnsi="仿宋_GB2312" w:eastAsia="仿宋_GB2312" w:cs="仿宋_GB2312"/>
                <w:color w:val="auto"/>
                <w:sz w:val="24"/>
                <w:szCs w:val="24"/>
                <w:highlight w:val="none"/>
                <w:lang w:val="en-US" w:eastAsia="zh-CN"/>
              </w:rPr>
              <w:t>有线；</w:t>
            </w:r>
          </w:p>
          <w:p>
            <w:pPr>
              <w:pStyle w:val="247"/>
              <w:kinsoku w:val="0"/>
              <w:overflowPunct w:val="0"/>
              <w:spacing w:before="0" w:line="360" w:lineRule="exact"/>
              <w:ind w:left="0" w:leftChars="0" w:firstLine="240" w:firstLineChars="100"/>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lang w:val="en-US" w:eastAsia="zh-CN"/>
              </w:rPr>
              <w:t>5.键盘键程：2.3mm-4.0mm；</w:t>
            </w:r>
          </w:p>
          <w:p>
            <w:pPr>
              <w:pStyle w:val="247"/>
              <w:kinsoku w:val="0"/>
              <w:overflowPunct w:val="0"/>
              <w:spacing w:before="0" w:line="360" w:lineRule="exact"/>
              <w:ind w:left="0" w:leftChars="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6.键盘按键压力：按键压力应在0.54N±0.14N；</w:t>
            </w:r>
          </w:p>
          <w:p>
            <w:pPr>
              <w:pStyle w:val="247"/>
              <w:kinsoku w:val="0"/>
              <w:overflowPunct w:val="0"/>
              <w:spacing w:before="0" w:line="360" w:lineRule="exact"/>
              <w:ind w:left="0" w:leftChars="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7.有线键盘连接线：≥1.5米；</w:t>
            </w:r>
          </w:p>
          <w:p>
            <w:pPr>
              <w:pStyle w:val="247"/>
              <w:kinsoku w:val="0"/>
              <w:overflowPunct w:val="0"/>
              <w:spacing w:before="0" w:line="360" w:lineRule="exact"/>
              <w:ind w:left="0" w:leftChars="0" w:firstLine="240" w:firstLineChars="100"/>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lang w:val="en-US" w:eastAsia="zh-CN"/>
              </w:rPr>
              <w:t>8.键盘颜色：黑色；</w:t>
            </w:r>
          </w:p>
          <w:p>
            <w:pPr>
              <w:pStyle w:val="247"/>
              <w:kinsoku w:val="0"/>
              <w:overflowPunct w:val="0"/>
              <w:spacing w:before="0" w:line="360" w:lineRule="exact"/>
              <w:ind w:left="0" w:leftChars="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9.鼠标连接方式:有线；</w:t>
            </w:r>
          </w:p>
          <w:p>
            <w:pPr>
              <w:pStyle w:val="247"/>
              <w:kinsoku w:val="0"/>
              <w:overflowPunct w:val="0"/>
              <w:spacing w:before="0" w:line="360" w:lineRule="exact"/>
              <w:ind w:left="0" w:leftChars="0" w:firstLine="240" w:firstLineChars="100"/>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lang w:val="en-US" w:eastAsia="zh-CN"/>
              </w:rPr>
              <w:t>10.有线鼠标连接线：≥1.5米；</w:t>
            </w:r>
          </w:p>
          <w:p>
            <w:pPr>
              <w:pStyle w:val="247"/>
              <w:kinsoku w:val="0"/>
              <w:overflowPunct w:val="0"/>
              <w:spacing w:before="0" w:line="360" w:lineRule="exact"/>
              <w:ind w:left="0" w:leftChars="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11.鼠标DPI分辨率：800-1600；</w:t>
            </w:r>
          </w:p>
          <w:p>
            <w:pPr>
              <w:pStyle w:val="247"/>
              <w:kinsoku w:val="0"/>
              <w:overflowPunct w:val="0"/>
              <w:spacing w:before="0" w:line="360" w:lineRule="exact"/>
              <w:ind w:left="0" w:leftChars="0" w:firstLine="240" w:firstLineChars="100"/>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lang w:val="en-US" w:eastAsia="zh-CN"/>
              </w:rPr>
              <w:t>12.鼠标颜色：黑色；</w:t>
            </w:r>
          </w:p>
          <w:p>
            <w:pPr>
              <w:pStyle w:val="247"/>
              <w:kinsoku w:val="0"/>
              <w:overflowPunct w:val="0"/>
              <w:spacing w:before="0" w:line="360" w:lineRule="exact"/>
              <w:ind w:left="0" w:leftChars="0" w:firstLine="240" w:firstLineChars="100"/>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sz w:val="24"/>
                <w:szCs w:val="24"/>
                <w:highlight w:val="none"/>
                <w:lang w:val="en-US" w:eastAsia="zh-CN"/>
              </w:rPr>
              <w:t>13.鼠标其他要求：其它参数应符合GB/T26245的相关规定；</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14.</w:t>
            </w:r>
            <w:r>
              <w:rPr>
                <w:rFonts w:hint="eastAsia" w:ascii="仿宋_GB2312" w:hAnsi="仿宋_GB2312" w:eastAsia="仿宋_GB2312" w:cs="仿宋_GB2312"/>
                <w:i w:val="0"/>
                <w:color w:val="auto"/>
                <w:kern w:val="0"/>
                <w:sz w:val="24"/>
                <w:szCs w:val="24"/>
                <w:highlight w:val="none"/>
                <w:u w:val="none"/>
                <w:lang w:eastAsia="zh-CN"/>
              </w:rPr>
              <w:t>光驱数量</w:t>
            </w:r>
            <w:r>
              <w:rPr>
                <w:rFonts w:hint="eastAsia" w:ascii="仿宋_GB2312" w:hAnsi="仿宋_GB2312" w:eastAsia="仿宋_GB2312" w:cs="仿宋_GB2312"/>
                <w:color w:val="auto"/>
                <w:sz w:val="24"/>
                <w:szCs w:val="24"/>
                <w:highlight w:val="none"/>
              </w:rPr>
              <w:t>：≥1个；</w:t>
            </w:r>
            <w:r>
              <w:rPr>
                <w:rFonts w:hint="eastAsia" w:ascii="仿宋_GB2312" w:hAnsi="仿宋_GB2312" w:eastAsia="仿宋_GB2312" w:cs="仿宋_GB2312"/>
                <w:i w:val="0"/>
                <w:color w:val="auto"/>
                <w:kern w:val="0"/>
                <w:sz w:val="24"/>
                <w:szCs w:val="24"/>
                <w:highlight w:val="none"/>
                <w:u w:val="none"/>
                <w:lang w:eastAsia="zh-CN"/>
              </w:rPr>
              <w:t>内置或外置DVD光驱。</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八</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网络设备规格</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有线网卡数量：≥1</w:t>
            </w:r>
            <w:r>
              <w:rPr>
                <w:rFonts w:hint="eastAsia" w:ascii="仿宋_GB2312" w:hAnsi="仿宋_GB2312" w:eastAsia="仿宋_GB2312" w:cs="仿宋_GB2312"/>
                <w:color w:val="auto"/>
                <w:sz w:val="24"/>
                <w:szCs w:val="24"/>
                <w:highlight w:val="none"/>
                <w:lang w:eastAsia="zh-CN"/>
              </w:rPr>
              <w:t>。</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九</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外部接口规格</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USB接口数量：≥</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个，至少包含</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个USB3.0及以上标准接口；</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2.视频接口数量：≥1；</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3.音频接口数量：≥1</w:t>
            </w:r>
            <w:r>
              <w:rPr>
                <w:rFonts w:hint="eastAsia" w:ascii="仿宋_GB2312" w:hAnsi="仿宋_GB2312" w:eastAsia="仿宋_GB2312" w:cs="仿宋_GB2312"/>
                <w:color w:val="auto"/>
                <w:sz w:val="24"/>
                <w:szCs w:val="24"/>
                <w:highlight w:val="none"/>
                <w:lang w:eastAsia="zh-CN"/>
              </w:rPr>
              <w:t>。</w:t>
            </w:r>
          </w:p>
          <w:p>
            <w:pPr>
              <w:pStyle w:val="247"/>
              <w:kinsoku w:val="0"/>
              <w:overflowPunct w:val="0"/>
              <w:spacing w:before="0" w:line="360" w:lineRule="exact"/>
              <w:ind w:firstLine="241" w:firstLineChars="10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lang w:val="en-US" w:eastAsia="zh-CN"/>
              </w:rPr>
              <w:t>十</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i w:val="0"/>
                <w:color w:val="auto"/>
                <w:kern w:val="0"/>
                <w:sz w:val="24"/>
                <w:szCs w:val="24"/>
                <w:highlight w:val="none"/>
                <w:u w:val="none"/>
                <w:lang w:val="en-US" w:eastAsia="zh-CN"/>
              </w:rPr>
              <w:t>整机基础规格</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整机外观：a)产品表面不应有凹痕、划伤、裂缝、变形和污染等。表面涂层均匀，不应起泡、龟裂、脱落和磨损，金属零部件无锈蚀及其它机械损伤；b)产品表面说明功能的文字、符号、标志，应清晰、端正、牢固；</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2.状态指示灯：在产品显著位置提供状态指示功能；</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整机结构：a)机箱应符合GB/T4208、GB/T26246的相关规定；b)产品内部结构应符合通用部件的安装需求；c)所有输入输出接口应符合相关国家或行业标准；d)产品零部件应紧固无松动，可插拔部件应可靠连接，开关、按钮和其它控制部件应灵活可靠，布局应方便使用；e)所有I/O连接器及需插接线缆的部位应预留采购人操作空间，方便插拔解锁与插拔线缆；f)可插拔板卡插槽部位应预留安装、拆卸或更换板卡空间；g)拆装可能接触到的金属剪口或金属尖角部位应做防划伤处理，以保证安全；h)整机内部走线应规整，固线结构和位置要合理可靠并做防割线处理，需便于理线和插拔操作，走线应不影响系统各主要部件组装和拆卸；i)如需通过孔走线，过线孔应做防割线处理；j)各插头位置和插拔方向应合理，应做到插拔无障碍设计，具备防呆设计，有效避免误操作；k)各主要部件拆装无障碍，使用常规工具拆装，无特殊拆装工具需求；l)各主要部件拆装步骤要少，各自拆装需避免相互干扰；m)对于整机或零部件外表面为高亮面的，应粘贴保护膜，保护膜需粘贴牢固，运输、组装等过程不易脱落，撕下无残留；n)其它要求应符合GB/T9813.1的相关规定；</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4.机箱防护要求：机箱应符合GB/T4208中IP20防护要求；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5.整机噪音：产品工作在空闲状态下，产品的声功率级应不超过4.5Bel；</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整机散热：在环境温度25℃及处理器满载情况下，产品表面温度应符合如下要求：a)出风口在机箱后面板情况下，出风口温度不高于55℃；b)可触及面温度不高于45℃；c)显示器表面温度：显示屏不高于38℃，显示屏上下灯带位置温度（如涉及）不高于40℃，出风口温度不高于45℃；</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7.整机能效限定值：产品能效限定值应达到GB28380-2012标准中能效等级2级及以上；</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8.机身材质：</w:t>
            </w:r>
            <w:r>
              <w:rPr>
                <w:rFonts w:hint="eastAsia" w:ascii="仿宋_GB2312" w:hAnsi="仿宋_GB2312" w:eastAsia="仿宋_GB2312" w:cs="仿宋_GB2312"/>
                <w:color w:val="auto"/>
                <w:kern w:val="0"/>
                <w:sz w:val="24"/>
                <w:szCs w:val="24"/>
                <w:highlight w:val="none"/>
                <w:lang w:val="en-US" w:eastAsia="zh-CN" w:bidi="ar-SA"/>
              </w:rPr>
              <w:t>塑料/金属等</w:t>
            </w:r>
            <w:r>
              <w:rPr>
                <w:rFonts w:hint="eastAsia" w:ascii="仿宋_GB2312" w:hAnsi="仿宋_GB2312" w:eastAsia="仿宋_GB2312" w:cs="仿宋_GB2312"/>
                <w:color w:val="auto"/>
                <w:sz w:val="24"/>
                <w:szCs w:val="24"/>
                <w:highlight w:val="none"/>
                <w:lang w:val="en-US" w:eastAsia="zh-CN"/>
              </w:rPr>
              <w:t>；</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9.机身颜色：</w:t>
            </w:r>
            <w:r>
              <w:rPr>
                <w:rFonts w:hint="eastAsia" w:ascii="仿宋_GB2312" w:hAnsi="仿宋_GB2312" w:eastAsia="仿宋_GB2312" w:cs="仿宋_GB2312"/>
                <w:color w:val="auto"/>
                <w:kern w:val="0"/>
                <w:sz w:val="24"/>
                <w:szCs w:val="24"/>
                <w:highlight w:val="none"/>
                <w:lang w:val="en-US" w:eastAsia="zh-CN" w:bidi="ar-SA"/>
              </w:rPr>
              <w:t>灰色/黑色等商务色系</w:t>
            </w:r>
            <w:r>
              <w:rPr>
                <w:rFonts w:hint="eastAsia" w:ascii="仿宋_GB2312" w:hAnsi="仿宋_GB2312" w:eastAsia="仿宋_GB2312" w:cs="仿宋_GB2312"/>
                <w:color w:val="auto"/>
                <w:sz w:val="24"/>
                <w:szCs w:val="24"/>
                <w:highlight w:val="none"/>
                <w:lang w:val="en-US" w:eastAsia="zh-CN"/>
              </w:rPr>
              <w:t>；</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10.机箱尺寸容量：机箱体积应不大于30L。</w:t>
            </w:r>
          </w:p>
          <w:p>
            <w:pPr>
              <w:pStyle w:val="247"/>
              <w:kinsoku w:val="0"/>
              <w:overflowPunct w:val="0"/>
              <w:spacing w:before="0" w:line="360" w:lineRule="exact"/>
              <w:ind w:firstLine="241" w:firstLineChars="10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二、产品性能要求</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lang w:val="en-US" w:eastAsia="zh-CN"/>
              </w:rPr>
              <w:t>一</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CPU性能</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1.CPU物理核数：≥8；</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2.CPU主频：≥2.</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GHz；</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3.CPU末级缓存容量≥2MB；</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4.CPU支持的内存最高速率≥2666MT/s。</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二</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内存性能</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内存读写速率：≥2666MT/s；</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三</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显卡性能</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1.显示分辨率：≥1920*1080；</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2.显卡显示芯片核心频率：≥300MHz；</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3.显存等效频率：≥1000MT/s；</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4.显卡可支持多屏同时显示数量：显卡应支持2块屏幕同时显示，分辨率应不低于1920×1080。</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四</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显示设备性能</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1.显示屏刷新率：≥75Hz；</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2.显示屏位深：≥8位；</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3.显示屏色域：≥99%sRGB；</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4.显示屏色准：△E≤4；</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5.显示屏响应时间：≤8ms；</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6.显示屏亮度：≥250尼特；</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7.显示屏亮度一致性：≥70%；</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8.显示屏对比度：≥500：1；</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9.显示屏其他参数：其它参数应符合SJ/T11292的相关规定。</w:t>
            </w:r>
          </w:p>
          <w:p>
            <w:pPr>
              <w:pStyle w:val="247"/>
              <w:kinsoku w:val="0"/>
              <w:overflowPunct w:val="0"/>
              <w:spacing w:before="0" w:line="360" w:lineRule="exact"/>
              <w:ind w:firstLine="241"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五</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网络设备性能</w:t>
            </w:r>
          </w:p>
          <w:p>
            <w:pPr>
              <w:pStyle w:val="247"/>
              <w:keepNext w:val="0"/>
              <w:keepLines w:val="0"/>
              <w:pageBreakBefore w:val="0"/>
              <w:widowControl/>
              <w:kinsoku w:val="0"/>
              <w:wordWrap/>
              <w:overflowPunct w:val="0"/>
              <w:topLinePunct w:val="0"/>
              <w:autoSpaceDE/>
              <w:autoSpaceDN/>
              <w:bidi w:val="0"/>
              <w:adjustRightInd/>
              <w:snapToGrid/>
              <w:spacing w:before="0" w:line="360" w:lineRule="exact"/>
              <w:ind w:firstLine="240" w:firstLineChars="1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有线网卡速率：最高速率应不低于1000Mbps，应支持10Mbps、100Mbps、1000Mbps速率自适应</w:t>
            </w:r>
            <w:r>
              <w:rPr>
                <w:rFonts w:hint="eastAsia" w:ascii="仿宋_GB2312" w:hAnsi="仿宋_GB2312" w:eastAsia="仿宋_GB2312" w:cs="仿宋_GB2312"/>
                <w:color w:val="auto"/>
                <w:sz w:val="24"/>
                <w:szCs w:val="24"/>
                <w:highlight w:val="none"/>
                <w:lang w:eastAsia="zh-CN"/>
              </w:rPr>
              <w:t>。</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val="en-US" w:eastAsia="zh-CN"/>
              </w:rPr>
              <w:t>三、产品功能要求</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lang w:val="en-US" w:eastAsia="zh-CN"/>
              </w:rPr>
              <w:t>一</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主板功能</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1.内存扩展接口(板载内存不涉及)：≥</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个；</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2.主板USB瞬间过流保护：支持有瞬间过流保护功能；</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3.主板防静电保护：支持防静电保护功能；</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I/O接口功能：提供基于标准USB接口外设连接功能、基于音频输入输出接口的音频扩展功能、基于PCIe接口板卡扩展功能、基于HDMI或VGA或Type-C或DVI或DP等接口外接显示器扩展功能、基于存储接口对产品进行增容功能等。产品I/O接口，应具备外接标准USB设备、显示器、音频设备等内外部设备能力。</w:t>
            </w:r>
          </w:p>
          <w:p>
            <w:pPr>
              <w:pStyle w:val="247"/>
              <w:kinsoku w:val="0"/>
              <w:overflowPunct w:val="0"/>
              <w:spacing w:before="0" w:line="360" w:lineRule="exact"/>
              <w:ind w:left="0" w:firstLine="241"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lang w:val="en-US" w:eastAsia="zh-CN"/>
              </w:rPr>
              <w:t>二</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显</w:t>
            </w:r>
            <w:r>
              <w:rPr>
                <w:rFonts w:hint="eastAsia" w:ascii="仿宋_GB2312" w:hAnsi="仿宋_GB2312" w:eastAsia="仿宋_GB2312" w:cs="仿宋_GB2312"/>
                <w:b/>
                <w:bCs/>
                <w:color w:val="auto"/>
                <w:sz w:val="24"/>
                <w:szCs w:val="24"/>
                <w:highlight w:val="none"/>
                <w:lang w:val="en-US" w:eastAsia="zh-CN"/>
              </w:rPr>
              <w:t>卡</w:t>
            </w:r>
            <w:r>
              <w:rPr>
                <w:rFonts w:hint="eastAsia" w:ascii="仿宋_GB2312" w:hAnsi="仿宋_GB2312" w:eastAsia="仿宋_GB2312" w:cs="仿宋_GB2312"/>
                <w:b/>
                <w:bCs/>
                <w:color w:val="auto"/>
                <w:sz w:val="24"/>
                <w:szCs w:val="24"/>
                <w:highlight w:val="none"/>
              </w:rPr>
              <w:t>功能</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显卡外接显示接口：至少支持VGA、HDMI、DVI、DP、Type-C中1种显示接口，并与显示器接口相匹配。</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lang w:val="en-US" w:eastAsia="zh-CN"/>
              </w:rPr>
              <w:t>三</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显示设备功能</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1.显示器接口：显示器应与显卡外接显示接口匹配；</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2.显示器支架：显示器应提供显示器支架，根据采购人需求支持屏幕旋转、升降等</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3.显示器参数调节：a)提供OSD选单按钮用于调节色彩、模式等；b)支持色温、亮度、对比度调节。</w:t>
            </w:r>
          </w:p>
          <w:p>
            <w:pPr>
              <w:pStyle w:val="247"/>
              <w:kinsoku w:val="0"/>
              <w:overflowPunct w:val="0"/>
              <w:spacing w:before="0" w:line="360" w:lineRule="exact"/>
              <w:ind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i w:val="0"/>
                <w:color w:val="auto"/>
                <w:kern w:val="0"/>
                <w:sz w:val="24"/>
                <w:szCs w:val="24"/>
                <w:highlight w:val="none"/>
                <w:u w:val="none"/>
                <w:lang w:eastAsia="zh-CN"/>
              </w:rPr>
              <w:t>（</w:t>
            </w:r>
            <w:r>
              <w:rPr>
                <w:rFonts w:hint="eastAsia" w:ascii="仿宋_GB2312" w:hAnsi="仿宋_GB2312" w:eastAsia="仿宋_GB2312" w:cs="仿宋_GB2312"/>
                <w:b/>
                <w:bCs/>
                <w:i w:val="0"/>
                <w:color w:val="auto"/>
                <w:kern w:val="0"/>
                <w:sz w:val="24"/>
                <w:szCs w:val="24"/>
                <w:highlight w:val="none"/>
                <w:u w:val="none"/>
                <w:lang w:val="en-US" w:eastAsia="zh-CN"/>
              </w:rPr>
              <w:t>四</w:t>
            </w:r>
            <w:r>
              <w:rPr>
                <w:rFonts w:hint="eastAsia" w:ascii="仿宋_GB2312" w:hAnsi="仿宋_GB2312" w:eastAsia="仿宋_GB2312" w:cs="仿宋_GB2312"/>
                <w:b/>
                <w:bCs/>
                <w:i w:val="0"/>
                <w:color w:val="auto"/>
                <w:kern w:val="0"/>
                <w:sz w:val="24"/>
                <w:szCs w:val="24"/>
                <w:highlight w:val="none"/>
                <w:u w:val="none"/>
                <w:lang w:eastAsia="zh-CN"/>
              </w:rPr>
              <w:t>）光驱功能</w:t>
            </w:r>
          </w:p>
          <w:p>
            <w:pPr>
              <w:pStyle w:val="247"/>
              <w:keepNext w:val="0"/>
              <w:keepLines w:val="0"/>
              <w:pageBreakBefore w:val="0"/>
              <w:widowControl w:val="0"/>
              <w:kinsoku w:val="0"/>
              <w:wordWrap w:val="0"/>
              <w:overflowPunct w:val="0"/>
              <w:topLinePunct w:val="0"/>
              <w:autoSpaceDE w:val="0"/>
              <w:autoSpaceDN w:val="0"/>
              <w:bidi w:val="0"/>
              <w:adjustRightInd w:val="0"/>
              <w:snapToGrid/>
              <w:spacing w:before="0" w:line="360" w:lineRule="exact"/>
              <w:ind w:left="0" w:firstLine="240" w:firstLineChars="100"/>
              <w:textAlignment w:val="auto"/>
              <w:rPr>
                <w:rFonts w:hint="eastAsia" w:ascii="仿宋_GB2312" w:hAnsi="仿宋_GB2312" w:eastAsia="仿宋_GB2312" w:cs="仿宋_GB2312"/>
                <w:i w:val="0"/>
                <w:color w:val="auto"/>
                <w:kern w:val="0"/>
                <w:sz w:val="24"/>
                <w:szCs w:val="24"/>
                <w:highlight w:val="none"/>
                <w:u w:val="none"/>
                <w:lang w:val="en-US" w:eastAsia="zh-CN"/>
              </w:rPr>
            </w:pPr>
            <w:r>
              <w:rPr>
                <w:rFonts w:hint="eastAsia" w:ascii="仿宋_GB2312" w:hAnsi="仿宋_GB2312" w:eastAsia="仿宋_GB2312" w:cs="仿宋_GB2312"/>
                <w:i w:val="0"/>
                <w:color w:val="auto"/>
                <w:kern w:val="0"/>
                <w:sz w:val="24"/>
                <w:szCs w:val="24"/>
                <w:highlight w:val="none"/>
                <w:u w:val="none"/>
                <w:lang w:val="en-US" w:eastAsia="zh-CN"/>
              </w:rPr>
              <w:t>光驱应支持只读、刻录等类型；最大读取速度CD不低于24×150KB/s；最大读取速度DVD不低于8×358KB/s；最大刻录速度CD不低于24×150KB/s；最大刻录速度DVD不低于6×1358KB/s；兼容光盘类型包含只读光盘、可读写光盘、可擦写光盘等。</w:t>
            </w:r>
          </w:p>
          <w:p>
            <w:pPr>
              <w:pStyle w:val="247"/>
              <w:kinsoku w:val="0"/>
              <w:overflowPunct w:val="0"/>
              <w:spacing w:before="0" w:line="360" w:lineRule="exact"/>
              <w:ind w:firstLine="241" w:firstLineChars="100"/>
              <w:rPr>
                <w:rFonts w:hint="eastAsia" w:ascii="仿宋_GB2312" w:hAnsi="仿宋_GB2312" w:eastAsia="仿宋_GB2312" w:cs="仿宋_GB2312"/>
                <w:b/>
                <w:bCs/>
                <w:i w:val="0"/>
                <w:color w:val="auto"/>
                <w:kern w:val="0"/>
                <w:sz w:val="24"/>
                <w:szCs w:val="24"/>
                <w:highlight w:val="none"/>
                <w:u w:val="none"/>
                <w:lang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i w:val="0"/>
                <w:color w:val="auto"/>
                <w:kern w:val="0"/>
                <w:sz w:val="24"/>
                <w:szCs w:val="24"/>
                <w:highlight w:val="none"/>
                <w:u w:val="none"/>
                <w:lang w:val="en-US" w:eastAsia="zh-CN"/>
              </w:rPr>
              <w:t>（五）存储功能</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存储功能：通过SATA固态存储/PCIe固态存储/UFS固态存储/SATA硬磁盘等存储部件提供存储功能。</w:t>
            </w:r>
          </w:p>
          <w:p>
            <w:pPr>
              <w:pStyle w:val="247"/>
              <w:kinsoku w:val="0"/>
              <w:overflowPunct w:val="0"/>
              <w:spacing w:before="0" w:line="360" w:lineRule="exact"/>
              <w:ind w:firstLine="241" w:firstLineChars="100"/>
              <w:rPr>
                <w:rFonts w:hint="eastAsia" w:ascii="仿宋_GB2312" w:hAnsi="仿宋_GB2312" w:eastAsia="仿宋_GB2312" w:cs="仿宋_GB2312"/>
                <w:b/>
                <w:bCs/>
                <w:i w:val="0"/>
                <w:color w:val="auto"/>
                <w:kern w:val="0"/>
                <w:sz w:val="24"/>
                <w:szCs w:val="24"/>
                <w:highlight w:val="none"/>
                <w:u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i w:val="0"/>
                <w:color w:val="auto"/>
                <w:kern w:val="0"/>
                <w:sz w:val="24"/>
                <w:szCs w:val="24"/>
                <w:highlight w:val="none"/>
                <w:u w:val="none"/>
                <w:lang w:eastAsia="zh-CN"/>
              </w:rPr>
              <w:t>（</w:t>
            </w:r>
            <w:r>
              <w:rPr>
                <w:rFonts w:hint="eastAsia" w:ascii="仿宋_GB2312" w:hAnsi="仿宋_GB2312" w:eastAsia="仿宋_GB2312" w:cs="仿宋_GB2312"/>
                <w:b/>
                <w:bCs/>
                <w:i w:val="0"/>
                <w:color w:val="auto"/>
                <w:kern w:val="0"/>
                <w:sz w:val="24"/>
                <w:szCs w:val="24"/>
                <w:highlight w:val="none"/>
                <w:u w:val="none"/>
                <w:lang w:val="en-US" w:eastAsia="zh-CN"/>
              </w:rPr>
              <w:t>六</w:t>
            </w:r>
            <w:r>
              <w:rPr>
                <w:rFonts w:hint="eastAsia" w:ascii="仿宋_GB2312" w:hAnsi="仿宋_GB2312" w:eastAsia="仿宋_GB2312" w:cs="仿宋_GB2312"/>
                <w:b/>
                <w:bCs/>
                <w:i w:val="0"/>
                <w:color w:val="auto"/>
                <w:kern w:val="0"/>
                <w:sz w:val="24"/>
                <w:szCs w:val="24"/>
                <w:highlight w:val="none"/>
                <w:u w:val="none"/>
                <w:lang w:eastAsia="zh-CN"/>
              </w:rPr>
              <w:t>）</w:t>
            </w:r>
            <w:r>
              <w:rPr>
                <w:rFonts w:hint="eastAsia" w:ascii="仿宋_GB2312" w:hAnsi="仿宋_GB2312" w:eastAsia="仿宋_GB2312" w:cs="仿宋_GB2312"/>
                <w:b/>
                <w:bCs/>
                <w:i w:val="0"/>
                <w:color w:val="auto"/>
                <w:kern w:val="0"/>
                <w:sz w:val="24"/>
                <w:szCs w:val="24"/>
                <w:highlight w:val="none"/>
                <w:u w:val="none"/>
                <w:lang w:val="en-US" w:eastAsia="zh-CN"/>
              </w:rPr>
              <w:t>网络设备功能</w:t>
            </w:r>
          </w:p>
          <w:p>
            <w:pPr>
              <w:pStyle w:val="247"/>
              <w:kinsoku w:val="0"/>
              <w:overflowPunct w:val="0"/>
              <w:spacing w:line="360" w:lineRule="exact"/>
              <w:ind w:firstLine="240" w:firstLineChars="100"/>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1.网络功能：a)支持网络连接、网络开启/关闭功能；b)支持访问网络和数据交换功能；</w:t>
            </w:r>
          </w:p>
          <w:p>
            <w:pPr>
              <w:pStyle w:val="247"/>
              <w:kinsoku w:val="0"/>
              <w:overflowPunct w:val="0"/>
              <w:spacing w:line="360" w:lineRule="exact"/>
              <w:ind w:firstLine="240" w:firstLineChars="100"/>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2.数据传输：支持数据传输能力，并提供数据流量和异常日志记录功能；</w:t>
            </w:r>
          </w:p>
          <w:p>
            <w:pPr>
              <w:pStyle w:val="247"/>
              <w:kinsoku w:val="0"/>
              <w:overflowPunct w:val="0"/>
              <w:spacing w:line="360" w:lineRule="exact"/>
              <w:ind w:firstLine="240" w:firstLineChars="100"/>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3.有线网卡接口类型：支持RJ45接口；</w:t>
            </w:r>
          </w:p>
          <w:p>
            <w:pPr>
              <w:pStyle w:val="247"/>
              <w:kinsoku w:val="0"/>
              <w:overflowPunct w:val="0"/>
              <w:spacing w:line="360" w:lineRule="exact"/>
              <w:ind w:firstLine="240" w:firstLineChars="100"/>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4.网络设备拆装：网络设备支持物理拆装，包括无线网卡和蓝牙模块等。</w:t>
            </w:r>
          </w:p>
          <w:p>
            <w:pPr>
              <w:pStyle w:val="247"/>
              <w:kinsoku w:val="0"/>
              <w:overflowPunct w:val="0"/>
              <w:spacing w:before="0" w:line="360" w:lineRule="exact"/>
              <w:ind w:firstLine="241" w:firstLineChars="100"/>
              <w:rPr>
                <w:rFonts w:hint="eastAsia" w:ascii="仿宋_GB2312" w:hAnsi="仿宋_GB2312" w:eastAsia="仿宋_GB2312" w:cs="仿宋_GB2312"/>
                <w:b/>
                <w:bCs/>
                <w:i w:val="0"/>
                <w:color w:val="auto"/>
                <w:kern w:val="0"/>
                <w:sz w:val="24"/>
                <w:szCs w:val="24"/>
                <w:highlight w:val="none"/>
                <w:u w:val="none"/>
                <w:lang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i w:val="0"/>
                <w:color w:val="auto"/>
                <w:kern w:val="0"/>
                <w:sz w:val="24"/>
                <w:szCs w:val="24"/>
                <w:highlight w:val="none"/>
                <w:u w:val="none"/>
                <w:lang w:val="en-US" w:eastAsia="zh-CN"/>
              </w:rPr>
              <w:t>（七）外部接口功能</w:t>
            </w:r>
          </w:p>
          <w:p>
            <w:pPr>
              <w:pStyle w:val="247"/>
              <w:kinsoku w:val="0"/>
              <w:overflowPunct w:val="0"/>
              <w:spacing w:line="360" w:lineRule="exact"/>
              <w:ind w:firstLine="240" w:firstLineChars="100"/>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1.音频接口类型：支持3.5mm孔径3段式或4段式接口；</w:t>
            </w:r>
          </w:p>
          <w:p>
            <w:pPr>
              <w:pStyle w:val="247"/>
              <w:kinsoku w:val="0"/>
              <w:overflowPunct w:val="0"/>
              <w:spacing w:line="360" w:lineRule="exact"/>
              <w:ind w:firstLine="240" w:firstLineChars="100"/>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2.视频接口类型：至少支持VGA、HDMI、DVI、DP、Type-C中1种显示接口；</w:t>
            </w:r>
          </w:p>
          <w:p>
            <w:pPr>
              <w:pStyle w:val="247"/>
              <w:kinsoku w:val="0"/>
              <w:overflowPunct w:val="0"/>
              <w:spacing w:line="360" w:lineRule="exact"/>
              <w:ind w:firstLine="240" w:firstLineChars="100"/>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3.HDMI、DP、Type-C显示接口要求：若提供HDMI或DP或Type-C作为显示接口，应支持音频和视频同步输出。</w:t>
            </w:r>
          </w:p>
          <w:p>
            <w:pPr>
              <w:pStyle w:val="247"/>
              <w:kinsoku w:val="0"/>
              <w:overflowPunct w:val="0"/>
              <w:spacing w:before="0" w:line="360" w:lineRule="exact"/>
              <w:ind w:firstLine="241" w:firstLineChars="100"/>
              <w:rPr>
                <w:rFonts w:hint="eastAsia" w:ascii="仿宋_GB2312" w:hAnsi="仿宋_GB2312" w:eastAsia="仿宋_GB2312" w:cs="仿宋_GB2312"/>
                <w:b/>
                <w:bCs/>
                <w:i w:val="0"/>
                <w:color w:val="auto"/>
                <w:kern w:val="0"/>
                <w:sz w:val="24"/>
                <w:szCs w:val="24"/>
                <w:highlight w:val="none"/>
                <w:u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i w:val="0"/>
                <w:color w:val="auto"/>
                <w:kern w:val="0"/>
                <w:sz w:val="24"/>
                <w:szCs w:val="24"/>
                <w:highlight w:val="none"/>
                <w:u w:val="none"/>
                <w:lang w:val="en-US" w:eastAsia="zh-CN"/>
              </w:rPr>
              <w:t>（八）电源功能</w:t>
            </w:r>
          </w:p>
          <w:p>
            <w:pPr>
              <w:pStyle w:val="247"/>
              <w:kinsoku w:val="0"/>
              <w:overflowPunct w:val="0"/>
              <w:spacing w:line="360" w:lineRule="exact"/>
              <w:ind w:firstLine="240" w:firstLineChars="100"/>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电源线适配能力：电源适配器电线组件应符合GB/T15934的要求，可拆线的插头和连接器可以不做要求。</w:t>
            </w:r>
          </w:p>
          <w:p>
            <w:pPr>
              <w:pStyle w:val="247"/>
              <w:kinsoku w:val="0"/>
              <w:overflowPunct w:val="0"/>
              <w:spacing w:before="0" w:line="360" w:lineRule="exact"/>
              <w:ind w:firstLine="241" w:firstLineChars="100"/>
              <w:rPr>
                <w:rFonts w:hint="eastAsia" w:ascii="仿宋_GB2312" w:hAnsi="仿宋_GB2312" w:eastAsia="仿宋_GB2312" w:cs="仿宋_GB2312"/>
                <w:b/>
                <w:bCs/>
                <w:i w:val="0"/>
                <w:color w:val="auto"/>
                <w:kern w:val="0"/>
                <w:sz w:val="24"/>
                <w:szCs w:val="24"/>
                <w:highlight w:val="none"/>
                <w:u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i w:val="0"/>
                <w:color w:val="auto"/>
                <w:kern w:val="0"/>
                <w:sz w:val="24"/>
                <w:szCs w:val="24"/>
                <w:highlight w:val="none"/>
                <w:u w:val="none"/>
                <w:lang w:val="en-US" w:eastAsia="zh-CN"/>
              </w:rPr>
              <w:t>（九）操作系统及软件功能</w:t>
            </w:r>
          </w:p>
          <w:p>
            <w:pPr>
              <w:pStyle w:val="247"/>
              <w:kinsoku w:val="0"/>
              <w:overflowPunct w:val="0"/>
              <w:spacing w:line="360" w:lineRule="exact"/>
              <w:ind w:firstLine="240" w:firstLineChars="100"/>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1.中文信息处理要求：符合GB18030的相关规定；</w:t>
            </w:r>
          </w:p>
          <w:p>
            <w:pPr>
              <w:pStyle w:val="247"/>
              <w:kinsoku w:val="0"/>
              <w:overflowPunct w:val="0"/>
              <w:spacing w:line="360" w:lineRule="exact"/>
              <w:ind w:firstLine="240" w:firstLineChars="100"/>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2.操作系统备份及还原功能：支持操作系统备份及还原功能；</w:t>
            </w:r>
          </w:p>
          <w:p>
            <w:pPr>
              <w:pStyle w:val="247"/>
              <w:kinsoku w:val="0"/>
              <w:overflowPunct w:val="0"/>
              <w:spacing w:line="360" w:lineRule="exact"/>
              <w:ind w:firstLine="240" w:firstLineChars="100"/>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3.固件备份还原能力：支持备份及还原固件的功能；</w:t>
            </w:r>
          </w:p>
          <w:p>
            <w:pPr>
              <w:pStyle w:val="247"/>
              <w:kinsoku w:val="0"/>
              <w:overflowPunct w:val="0"/>
              <w:spacing w:line="360" w:lineRule="exact"/>
              <w:ind w:firstLine="240" w:firstLineChars="100"/>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4.操作系统及驱动升级：支持通过网络、闪存盘等方式对操作系统、驱动进行升级；</w:t>
            </w:r>
          </w:p>
          <w:p>
            <w:pPr>
              <w:pStyle w:val="247"/>
              <w:kinsoku w:val="0"/>
              <w:overflowPunct w:val="0"/>
              <w:spacing w:line="360" w:lineRule="exact"/>
              <w:ind w:firstLine="240" w:firstLineChars="100"/>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5.固件升级：支持通过网络、闪存盘等方式对固件进行升级；</w:t>
            </w:r>
          </w:p>
          <w:p>
            <w:pPr>
              <w:pStyle w:val="247"/>
              <w:kinsoku w:val="0"/>
              <w:overflowPunct w:val="0"/>
              <w:spacing w:line="360" w:lineRule="exact"/>
              <w:ind w:firstLine="240" w:firstLineChars="100"/>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6.BIOS支持关闭通讯接口：支持BIOS关闭以太网及USB接口功能；</w:t>
            </w:r>
          </w:p>
          <w:p>
            <w:pPr>
              <w:pStyle w:val="247"/>
              <w:kinsoku w:val="0"/>
              <w:overflowPunct w:val="0"/>
              <w:spacing w:line="360" w:lineRule="exact"/>
              <w:ind w:firstLine="240" w:firstLineChars="100"/>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7.固件查看信息：支持查看固件版本、内存信息、主板信息、处理器信息和系统时间信息等功能；</w:t>
            </w:r>
          </w:p>
          <w:p>
            <w:pPr>
              <w:pStyle w:val="247"/>
              <w:kinsoku w:val="0"/>
              <w:overflowPunct w:val="0"/>
              <w:spacing w:line="360" w:lineRule="exact"/>
              <w:ind w:firstLine="240" w:firstLineChars="100"/>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8.固件设置启动顺序：支持设置启动顺序功能，并按照设置的启动顺序启动；</w:t>
            </w:r>
          </w:p>
          <w:p>
            <w:pPr>
              <w:pStyle w:val="247"/>
              <w:kinsoku w:val="0"/>
              <w:overflowPunct w:val="0"/>
              <w:spacing w:line="360" w:lineRule="exact"/>
              <w:ind w:firstLine="240" w:firstLineChars="100"/>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9.固件设置口令：支持设置口令、修改口令、验证口令功能；</w:t>
            </w:r>
          </w:p>
          <w:p>
            <w:pPr>
              <w:pStyle w:val="247"/>
              <w:kinsoku w:val="0"/>
              <w:overflowPunct w:val="0"/>
              <w:spacing w:line="360" w:lineRule="exact"/>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bidi="ar-SA"/>
              </w:rPr>
              <w:t>10.固件设置网络引导：支持网络引导启动和关闭功能；</w:t>
            </w:r>
          </w:p>
          <w:p>
            <w:pPr>
              <w:pStyle w:val="247"/>
              <w:kinsoku w:val="0"/>
              <w:overflowPunct w:val="0"/>
              <w:spacing w:before="0" w:line="360" w:lineRule="exact"/>
              <w:ind w:firstLine="241" w:firstLineChars="10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四、存储设备可靠性要求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1.固态存储寿命：TBW≥80TB（条件：256GB硬盘容量）；</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2.机械硬盘寿命：通电时间≥5万小时。</w:t>
            </w:r>
          </w:p>
          <w:p>
            <w:pPr>
              <w:pStyle w:val="247"/>
              <w:kinsoku w:val="0"/>
              <w:overflowPunct w:val="0"/>
              <w:spacing w:before="0" w:line="360" w:lineRule="exact"/>
              <w:ind w:firstLine="241" w:firstLineChars="10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五、显示设备可靠性要求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显示屏屏幕失效点：符合GB/T9813.2的要求。</w:t>
            </w:r>
          </w:p>
          <w:p>
            <w:pPr>
              <w:pStyle w:val="247"/>
              <w:kinsoku w:val="0"/>
              <w:overflowPunct w:val="0"/>
              <w:spacing w:before="0" w:line="360" w:lineRule="exact"/>
              <w:ind w:firstLine="241" w:firstLineChars="10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六、外设可靠性要求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1.键盘按键寿命：≥1000万次；</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2.鼠标按键寿命：≥500万次；</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3.键盘鼠标线材寿命：键盘鼠标所用线材经±60°弯折不低于3000次，功能、外观完好；</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4.风扇寿命：≥4万小时。</w:t>
            </w:r>
          </w:p>
          <w:p>
            <w:pPr>
              <w:pStyle w:val="247"/>
              <w:kinsoku w:val="0"/>
              <w:overflowPunct w:val="0"/>
              <w:spacing w:before="0" w:line="360" w:lineRule="exact"/>
              <w:ind w:firstLine="241" w:firstLineChars="10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七、整机可靠性要求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1.电磁兼容性要求的抗扰度：符合GB/T9254.2的规定；</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2.环境条件要求的气候环境适应性：符合GB/T9813.1中规定；</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3.环境条件要求的振动适应性：符合GB/T9813.1中规定；</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4.环境条件要求的冲击适应性：符合GB/T9813.1中规定；</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5.环境条件要求的碰撞适应性：符合GB/T9813.1中规定；</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6.环境条件要求的运输包装件跌落适应性：符合GB/T9813.1中规定；</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7.MTBF测试：MTBF(m1)≥3万小时。</w:t>
            </w:r>
          </w:p>
          <w:p>
            <w:pPr>
              <w:pStyle w:val="247"/>
              <w:kinsoku w:val="0"/>
              <w:overflowPunct w:val="0"/>
              <w:spacing w:before="0" w:line="360" w:lineRule="exact"/>
              <w:ind w:firstLine="241" w:firstLineChars="10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八、兼容要求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1.常用软件兼容：支持流式软件、版式软件、浏览器、邮件采购人端、解压软件、多媒体、图形图像处理等常用软件；</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2.数据库兼容：兼容3个及以上厂商的数据库产品；</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3.中间件兼容：兼容3个及以上厂商中间件产品；</w:t>
            </w:r>
          </w:p>
          <w:p>
            <w:pPr>
              <w:pStyle w:val="247"/>
              <w:kinsoku w:val="0"/>
              <w:overflowPunct w:val="0"/>
              <w:spacing w:before="0" w:line="360" w:lineRule="exact"/>
              <w:ind w:left="239" w:leftChars="114" w:firstLine="0" w:firstLineChars="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4.平台软件兼容：兼容3个及以上厂商云计算及大数据平台。</w:t>
            </w:r>
            <w:r>
              <w:rPr>
                <w:rFonts w:hint="eastAsia" w:ascii="仿宋_GB2312" w:hAnsi="仿宋_GB2312" w:eastAsia="仿宋_GB2312" w:cs="仿宋_GB2312"/>
                <w:color w:val="auto"/>
                <w:sz w:val="24"/>
                <w:szCs w:val="24"/>
                <w:highlight w:val="none"/>
                <w:lang w:val="en-US" w:eastAsia="zh-CN"/>
              </w:rPr>
              <w:cr/>
            </w: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九、包装及运输要求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标志、包装、运输和贮存：符合GB/T9813.1和商品包装政府采购需求标准的相关规定。</w:t>
            </w:r>
          </w:p>
          <w:p>
            <w:pPr>
              <w:pStyle w:val="247"/>
              <w:kinsoku w:val="0"/>
              <w:overflowPunct w:val="0"/>
              <w:spacing w:before="0" w:line="360" w:lineRule="exact"/>
              <w:ind w:firstLine="241" w:firstLineChars="10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十、服务要求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1.配置检查工具：供应商提供自检测试工具；</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服务响应：a)供应商提供电话、电子邮件、远程连接等多种形式服务；b)供应商提供同城4h、异地12h技术响应服务，2个工作日解决问题，对于未能解决的问题和故障应提供可行的升级方案，并提供周转设备或更换设备；c)建立全国技术服务体系和服务团体，符合专业服务体系标准要求，提供原厂中文服务；d)服务周期内提供产品的维修、换件和升级服务；</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3.服务周期：a)设备停产后应继续提供质量保障服务（含备品备件），服务终止时间与最后一批设备交付时间间隔不低于6年；b)产品停止服务时间应提前1年告知；c)应明确产品发布日期；</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预装操作系统：预装符合桌面操作系统政府采购需求标准的正版操作系统；预装的操作系统符合《操作系统政府采购需求标准》中加*指标要求（财政部工业和信息化部关于印发《操作系统政府采购需求标准（2023年版）》的通知）；</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5.培训服务：供应商提供培训材料、产品手册、培训视频等培训相关内容；</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6.典型问题解决手册：供应商提供典型问题解决说明文档或视频；</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7.厂家升级软件与扩容服务：供应商提供上门升级部件/软件与扩容的增值服务；</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8.整机质量服务要求：免费服务周期（含换件和维修）应不小于3年；</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9.合格证书要求：供应商提供产品合格证；</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10.开箱组装/使用指导要求：供应商提供开箱组装/使用指导；</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11.驱动下载服务要求：供应商提供驱动光盘或下载方式；</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12.兼容适配软件下载服务要求：供应商提供兼容适配软件下载渠道（光盘、网站）。</w:t>
            </w:r>
          </w:p>
          <w:p>
            <w:pPr>
              <w:pStyle w:val="247"/>
              <w:kinsoku w:val="0"/>
              <w:overflowPunct w:val="0"/>
              <w:spacing w:before="0" w:line="360" w:lineRule="exact"/>
              <w:ind w:firstLine="241" w:firstLineChars="10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十一、供应链合规性要求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产品部件保障：供应商保障产品主要部件，提供6年的备件服务能力（自购买之日起），或提供可兼容原设备的升级换代产品。</w:t>
            </w:r>
          </w:p>
          <w:p>
            <w:pPr>
              <w:pStyle w:val="247"/>
              <w:kinsoku w:val="0"/>
              <w:overflowPunct w:val="0"/>
              <w:spacing w:before="0" w:line="360" w:lineRule="exact"/>
              <w:ind w:firstLine="241" w:firstLineChars="10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十二、供应链质量要求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1.抗干扰性：当产品部件出现供应风险时，供应商应通知采购人并提供风险应对方案确保产品的服务保障；</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2.供应能力证明：供应商承诺提供稳定的供应链，确保产品的部件在产品服务周期内稳定供货。</w:t>
            </w:r>
          </w:p>
          <w:p>
            <w:pPr>
              <w:pStyle w:val="247"/>
              <w:kinsoku w:val="0"/>
              <w:overflowPunct w:val="0"/>
              <w:spacing w:before="0" w:line="360" w:lineRule="exact"/>
              <w:ind w:firstLine="241" w:firstLineChars="10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十三、关键部件安全要求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rPr>
              <w:t>1</w:t>
            </w:r>
            <w:r>
              <w:rPr>
                <w:rFonts w:ascii="仿宋_GB2312" w:hAnsi="仿宋_GB2312" w:eastAsia="仿宋_GB2312" w:cs="仿宋_GB2312"/>
              </w:rPr>
              <w:t>.</w:t>
            </w:r>
            <w:r>
              <w:rPr>
                <w:rFonts w:hint="eastAsia" w:ascii="仿宋_GB2312" w:hAnsi="仿宋_GB2312" w:eastAsia="仿宋_GB2312" w:cs="仿宋_GB2312"/>
                <w:color w:val="auto"/>
                <w:sz w:val="24"/>
                <w:szCs w:val="24"/>
                <w:highlight w:val="none"/>
                <w:lang w:val="en-US" w:eastAsia="zh-CN"/>
              </w:rPr>
              <w:t>关键部件安全要求：CPU和操作系统等关键部件应当符合安全可靠测评要求，通过政府有关部门指定的中国信息安全测评中心和国家保密科技测评中心网站查看安全可靠测评结果。</w:t>
            </w:r>
          </w:p>
          <w:p>
            <w:pPr>
              <w:pStyle w:val="247"/>
              <w:kinsoku w:val="0"/>
              <w:overflowPunct w:val="0"/>
              <w:spacing w:before="0" w:line="360" w:lineRule="exact"/>
              <w:ind w:left="0" w:firstLine="240" w:firstLineChars="100"/>
              <w:rPr>
                <w:rFonts w:hint="eastAsia" w:ascii="仿宋_GB2312" w:hAnsi="仿宋_GB2312" w:eastAsia="仿宋_GB2312" w:cs="仿宋_GB2312"/>
              </w:rPr>
            </w:pPr>
            <w:r>
              <w:rPr>
                <w:rFonts w:hint="eastAsia" w:ascii="仿宋_GB2312" w:hAnsi="仿宋_GB2312" w:eastAsia="仿宋_GB2312" w:cs="仿宋_GB2312"/>
              </w:rPr>
              <w:t>2. CPU芯片在中国信息安全测评中心公布的《安全可靠测评结果公告》中评定为II级。</w:t>
            </w:r>
          </w:p>
          <w:p>
            <w:pPr>
              <w:pStyle w:val="247"/>
              <w:kinsoku w:val="0"/>
              <w:overflowPunct w:val="0"/>
              <w:spacing w:before="0" w:line="360" w:lineRule="exact"/>
              <w:ind w:left="0" w:firstLine="241"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000000"/>
                <w:sz w:val="24"/>
                <w:szCs w:val="24"/>
                <w:highlight w:val="none"/>
                <w:lang w:eastAsia="zh-CN"/>
              </w:rPr>
              <w:t>注：投标人在填写《技术响应表》时，在“投标</w:t>
            </w:r>
            <w:r>
              <w:rPr>
                <w:rFonts w:hint="eastAsia" w:ascii="仿宋_GB2312" w:hAnsi="仿宋_GB2312" w:eastAsia="仿宋_GB2312" w:cs="仿宋_GB2312"/>
                <w:b/>
                <w:bCs/>
                <w:color w:val="000000"/>
                <w:sz w:val="24"/>
                <w:szCs w:val="24"/>
                <w:highlight w:val="none"/>
                <w:lang w:val="en-US" w:eastAsia="zh-CN"/>
              </w:rPr>
              <w:t>文件</w:t>
            </w:r>
            <w:r>
              <w:rPr>
                <w:rFonts w:hint="eastAsia" w:ascii="仿宋_GB2312" w:hAnsi="仿宋_GB2312" w:eastAsia="仿宋_GB2312" w:cs="仿宋_GB2312"/>
                <w:b/>
                <w:bCs/>
                <w:color w:val="000000"/>
                <w:sz w:val="24"/>
                <w:szCs w:val="24"/>
                <w:highlight w:val="none"/>
                <w:lang w:eastAsia="zh-CN"/>
              </w:rPr>
              <w:t>响应技术参数”明确给出所投</w:t>
            </w:r>
            <w:r>
              <w:rPr>
                <w:rFonts w:hint="eastAsia" w:ascii="仿宋_GB2312" w:hAnsi="仿宋_GB2312" w:eastAsia="仿宋_GB2312" w:cs="仿宋_GB2312"/>
                <w:b/>
                <w:bCs/>
                <w:color w:val="000000"/>
                <w:sz w:val="24"/>
                <w:szCs w:val="24"/>
                <w:highlight w:val="none"/>
                <w:lang w:val="en-US" w:eastAsia="zh-CN"/>
              </w:rPr>
              <w:t>台式</w:t>
            </w:r>
            <w:r>
              <w:rPr>
                <w:rFonts w:hint="eastAsia" w:ascii="仿宋_GB2312" w:hAnsi="仿宋_GB2312" w:eastAsia="仿宋_GB2312" w:cs="仿宋_GB2312"/>
                <w:b/>
                <w:bCs/>
                <w:color w:val="000000"/>
                <w:sz w:val="24"/>
                <w:szCs w:val="24"/>
                <w:highlight w:val="none"/>
                <w:lang w:eastAsia="zh-CN"/>
              </w:rPr>
              <w:t>计算机</w:t>
            </w:r>
            <w:r>
              <w:rPr>
                <w:rFonts w:hint="eastAsia" w:ascii="仿宋_GB2312" w:hAnsi="仿宋_GB2312" w:eastAsia="仿宋_GB2312" w:cs="仿宋_GB2312"/>
                <w:b/>
                <w:bCs/>
                <w:color w:val="000000"/>
                <w:sz w:val="24"/>
                <w:szCs w:val="24"/>
                <w:highlight w:val="none"/>
                <w:lang w:val="en-US" w:eastAsia="zh-CN"/>
              </w:rPr>
              <w:t>1</w:t>
            </w:r>
            <w:r>
              <w:rPr>
                <w:rFonts w:hint="eastAsia" w:ascii="仿宋_GB2312" w:hAnsi="仿宋_GB2312" w:eastAsia="仿宋_GB2312" w:cs="仿宋_GB2312"/>
                <w:b/>
                <w:bCs/>
                <w:color w:val="000000"/>
                <w:sz w:val="24"/>
                <w:szCs w:val="24"/>
                <w:highlight w:val="none"/>
                <w:lang w:eastAsia="zh-CN"/>
              </w:rPr>
              <w:t>“</w:t>
            </w:r>
            <w:r>
              <w:rPr>
                <w:rFonts w:hint="eastAsia" w:ascii="仿宋_GB2312" w:hAnsi="仿宋_GB2312" w:eastAsia="仿宋_GB2312" w:cs="仿宋_GB2312"/>
                <w:b/>
                <w:bCs/>
                <w:color w:val="000000"/>
                <w:sz w:val="24"/>
                <w:szCs w:val="24"/>
                <w:highlight w:val="none"/>
                <w:lang w:val="en-US" w:eastAsia="zh-CN"/>
              </w:rPr>
              <w:t>CPU型号</w:t>
            </w:r>
            <w:r>
              <w:rPr>
                <w:rFonts w:hint="eastAsia" w:ascii="仿宋_GB2312" w:hAnsi="仿宋_GB2312" w:eastAsia="仿宋_GB2312" w:cs="仿宋_GB2312"/>
                <w:b/>
                <w:bCs/>
                <w:color w:val="000000"/>
                <w:sz w:val="24"/>
                <w:szCs w:val="24"/>
                <w:highlight w:val="none"/>
                <w:lang w:eastAsia="zh-CN"/>
              </w:rPr>
              <w:t>”</w:t>
            </w:r>
            <w:r>
              <w:rPr>
                <w:rFonts w:hint="eastAsia" w:ascii="仿宋_GB2312" w:hAnsi="仿宋_GB2312" w:eastAsia="仿宋_GB2312" w:cs="仿宋_GB2312"/>
                <w:b/>
                <w:bCs/>
                <w:color w:val="000000"/>
                <w:sz w:val="24"/>
                <w:szCs w:val="24"/>
                <w:highlight w:val="none"/>
                <w:lang w:val="en-US" w:eastAsia="zh-CN"/>
              </w:rPr>
              <w:t>及“</w:t>
            </w:r>
            <w:r>
              <w:rPr>
                <w:rFonts w:hint="eastAsia" w:ascii="仿宋_GB2312" w:hAnsi="仿宋_GB2312" w:eastAsia="仿宋_GB2312" w:cs="仿宋_GB2312"/>
                <w:b/>
                <w:bCs/>
                <w:color w:val="000000"/>
                <w:sz w:val="24"/>
                <w:szCs w:val="24"/>
                <w:highlight w:val="none"/>
                <w:lang w:eastAsia="zh-CN"/>
              </w:rPr>
              <w:t>操作系统</w:t>
            </w:r>
            <w:r>
              <w:rPr>
                <w:rFonts w:hint="eastAsia" w:ascii="仿宋_GB2312" w:hAnsi="仿宋_GB2312" w:eastAsia="仿宋_GB2312" w:cs="仿宋_GB2312"/>
                <w:b/>
                <w:bCs/>
                <w:color w:val="000000"/>
                <w:sz w:val="24"/>
                <w:szCs w:val="24"/>
                <w:highlight w:val="none"/>
                <w:lang w:val="en-US" w:eastAsia="zh-CN"/>
              </w:rPr>
              <w:t>”</w:t>
            </w:r>
            <w:r>
              <w:rPr>
                <w:rFonts w:hint="eastAsia" w:ascii="仿宋_GB2312" w:hAnsi="仿宋_GB2312" w:eastAsia="仿宋_GB2312" w:cs="仿宋_GB2312"/>
                <w:b/>
                <w:bCs/>
                <w:color w:val="000000"/>
                <w:sz w:val="24"/>
                <w:szCs w:val="24"/>
                <w:highlight w:val="none"/>
                <w:lang w:eastAsia="zh-CN"/>
              </w:rPr>
              <w:t>名称，否则视为投标无效。</w:t>
            </w:r>
          </w:p>
          <w:p>
            <w:pPr>
              <w:pStyle w:val="247"/>
              <w:kinsoku w:val="0"/>
              <w:overflowPunct w:val="0"/>
              <w:spacing w:before="0" w:line="360" w:lineRule="exact"/>
              <w:ind w:firstLine="241" w:firstLineChars="100"/>
              <w:rPr>
                <w:rFonts w:hint="eastAsia" w:ascii="仿宋_GB2312" w:hAnsi="仿宋_GB2312" w:eastAsia="仿宋_GB2312" w:cs="仿宋_GB2312"/>
                <w:b/>
                <w:bCs/>
                <w:color w:val="auto"/>
                <w:sz w:val="24"/>
                <w:szCs w:val="24"/>
                <w:highlight w:val="none"/>
                <w:lang w:val="en-US" w:eastAsia="zh-CN"/>
              </w:rPr>
            </w:pPr>
            <w:bookmarkStart w:id="32" w:name="OLE_LINK6"/>
            <w:r>
              <w:rPr>
                <w:rFonts w:hint="eastAsia" w:ascii="仿宋_GB2312" w:hAnsi="仿宋_GB2312" w:eastAsia="仿宋_GB2312" w:cs="仿宋_GB2312"/>
                <w:b/>
                <w:bCs/>
                <w:color w:val="auto"/>
                <w:sz w:val="24"/>
                <w:szCs w:val="24"/>
                <w:highlight w:val="none"/>
              </w:rPr>
              <w:t>★</w:t>
            </w:r>
            <w:bookmarkEnd w:id="32"/>
            <w:r>
              <w:rPr>
                <w:rFonts w:hint="eastAsia" w:ascii="仿宋_GB2312" w:hAnsi="仿宋_GB2312" w:eastAsia="仿宋_GB2312" w:cs="仿宋_GB2312"/>
                <w:b/>
                <w:bCs/>
                <w:color w:val="auto"/>
                <w:sz w:val="24"/>
                <w:szCs w:val="24"/>
                <w:highlight w:val="none"/>
                <w:lang w:val="en-US" w:eastAsia="zh-CN"/>
              </w:rPr>
              <w:t>十四、整机安全性要求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1.密码算法实现：CPU芯片应符合GM/T0008的相关规定，或芯片密码模块应符合GB/T37092或GM/T0028的相关规定，通过商用密码检测机构检测并经商用密码认证机构认证合格；</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信息安全基本要求：a)产品应符合GB/T39276的5.2的规定；b)生产厂商应建立漏洞跟踪表，保证产品版本涉及到的漏洞(如驱动程序等)可查看；c)产品不得包含已知的恶意代码或漏洞，不存在未声明的指令、功能、接口；</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3.固件安全启动：支持固件安全启动功能，固件启动过程中只有通过启动校验才能正常启动；</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4.限用物质的限量要求：符合GB/T26572中规定。</w:t>
            </w:r>
          </w:p>
          <w:p>
            <w:pPr>
              <w:pStyle w:val="247"/>
              <w:kinsoku w:val="0"/>
              <w:overflowPunct w:val="0"/>
              <w:spacing w:before="0" w:line="360" w:lineRule="exac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十五、其他要求：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1.适配服务要求：投标人须提供与广西自治区综合办公平台适配的台式计算机产品</w:t>
            </w:r>
            <w:r>
              <w:rPr>
                <w:rFonts w:hint="eastAsia" w:ascii="仿宋_GB2312" w:hAnsi="仿宋_GB2312" w:eastAsia="仿宋_GB2312" w:cs="仿宋_GB2312"/>
                <w:b/>
                <w:bCs/>
                <w:color w:val="auto"/>
                <w:sz w:val="24"/>
                <w:szCs w:val="24"/>
                <w:highlight w:val="none"/>
                <w:lang w:val="en-US" w:eastAsia="zh-CN"/>
              </w:rPr>
              <w:t>（采购人将设置现场踏勘，以便投标人了解适配情况）</w:t>
            </w:r>
            <w:r>
              <w:rPr>
                <w:rFonts w:hint="eastAsia" w:ascii="仿宋_GB2312" w:hAnsi="仿宋_GB2312" w:eastAsia="仿宋_GB2312" w:cs="仿宋_GB2312"/>
                <w:color w:val="auto"/>
                <w:sz w:val="24"/>
                <w:szCs w:val="24"/>
                <w:highlight w:val="none"/>
                <w:lang w:val="en-US" w:eastAsia="zh-CN"/>
              </w:rPr>
              <w:t>；</w:t>
            </w:r>
          </w:p>
          <w:p>
            <w:pPr>
              <w:pStyle w:val="247"/>
              <w:kinsoku w:val="0"/>
              <w:overflowPunct w:val="0"/>
              <w:spacing w:before="0" w:line="360" w:lineRule="exact"/>
              <w:ind w:left="0" w:firstLine="241" w:firstLineChars="100"/>
              <w:rPr>
                <w:rFonts w:hint="default" w:ascii="仿宋_GB2312" w:hAnsi="仿宋_GB2312" w:eastAsia="仿宋_GB2312" w:cs="仿宋_GB2312"/>
                <w:b w:val="0"/>
                <w:bCs w:val="0"/>
                <w:i w:val="0"/>
                <w:color w:val="auto"/>
                <w:kern w:val="0"/>
                <w:sz w:val="24"/>
                <w:szCs w:val="24"/>
                <w:highlight w:val="none"/>
                <w:u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2.供货服务要求：投标人需具备足够宽敞的仓库，在送给使用单位前办理完到货验收手续；按照采购人提出供货要求制定合理、科学的分配方案，制定合理的送货计划和办理交接手续，确保供货及时和货物到场上桌规范。本项目涉及多家使用单位，要求投标人具备有专业的实施保障能力和专业的售后服务能力，合理配置相关技术人员</w:t>
            </w:r>
            <w:r>
              <w:rPr>
                <w:rFonts w:hint="eastAsia" w:ascii="仿宋_GB2312" w:hAnsi="仿宋_GB2312" w:eastAsia="仿宋_GB2312" w:cs="仿宋_GB2312"/>
                <w:b w:val="0"/>
                <w:bCs w:val="0"/>
                <w:i w:val="0"/>
                <w:color w:val="auto"/>
                <w:kern w:val="0"/>
                <w:sz w:val="24"/>
                <w:szCs w:val="24"/>
                <w:highlight w:val="none"/>
                <w:u w:val="none"/>
                <w:lang w:val="en-US" w:eastAsia="zh-CN"/>
              </w:rPr>
              <w:t>。</w:t>
            </w:r>
          </w:p>
        </w:tc>
        <w:tc>
          <w:tcPr>
            <w:tcW w:w="1020" w:type="dxa"/>
            <w:tcBorders>
              <w:top w:val="single" w:color="auto" w:sz="4" w:space="0"/>
              <w:left w:val="single" w:color="auto" w:sz="4" w:space="0"/>
              <w:right w:val="single" w:color="auto" w:sz="4" w:space="0"/>
            </w:tcBorders>
            <w:vAlign w:val="center"/>
          </w:tcPr>
          <w:p>
            <w:pPr>
              <w:spacing w:line="360" w:lineRule="exact"/>
              <w:ind w:left="420" w:hanging="42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1000</w:t>
            </w:r>
            <w:r>
              <w:rPr>
                <w:rFonts w:hint="eastAsia" w:ascii="仿宋_GB2312" w:hAnsi="仿宋_GB2312" w:eastAsia="仿宋_GB2312" w:cs="仿宋_GB2312"/>
                <w:color w:val="auto"/>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0" w:type="dxa"/>
            <w:tcBorders>
              <w:top w:val="single" w:color="auto" w:sz="4" w:space="0"/>
              <w:left w:val="single" w:color="auto" w:sz="4" w:space="0"/>
              <w:bottom w:val="single" w:color="auto" w:sz="4" w:space="0"/>
              <w:right w:val="single" w:color="auto" w:sz="4" w:space="0"/>
            </w:tcBorders>
            <w:vAlign w:val="center"/>
          </w:tcPr>
          <w:p>
            <w:pPr>
              <w:pStyle w:val="245"/>
              <w:snapToGrid w:val="0"/>
              <w:spacing w:line="36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w:t>
            </w:r>
          </w:p>
        </w:tc>
        <w:tc>
          <w:tcPr>
            <w:tcW w:w="969" w:type="dxa"/>
            <w:tcBorders>
              <w:top w:val="single" w:color="auto" w:sz="4" w:space="0"/>
              <w:left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台式</w:t>
            </w:r>
          </w:p>
          <w:p>
            <w:pPr>
              <w:widowControl/>
              <w:spacing w:line="36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计算机</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b/>
                <w:bCs/>
                <w:color w:val="auto"/>
                <w:sz w:val="24"/>
                <w:szCs w:val="24"/>
                <w:highlight w:val="none"/>
              </w:rPr>
              <w:t>（强制采购节能产品，详见采购需求说明第八点）</w:t>
            </w:r>
          </w:p>
        </w:tc>
        <w:tc>
          <w:tcPr>
            <w:tcW w:w="6586" w:type="dxa"/>
            <w:tcBorders>
              <w:top w:val="single" w:color="auto" w:sz="4" w:space="0"/>
              <w:left w:val="single" w:color="auto" w:sz="4" w:space="0"/>
              <w:bottom w:val="single" w:color="auto" w:sz="4" w:space="0"/>
              <w:right w:val="single" w:color="auto" w:sz="4" w:space="0"/>
            </w:tcBorders>
            <w:vAlign w:val="center"/>
          </w:tcPr>
          <w:p>
            <w:pPr>
              <w:pStyle w:val="247"/>
              <w:kinsoku w:val="0"/>
              <w:overflowPunct w:val="0"/>
              <w:spacing w:before="0" w:line="360" w:lineRule="exact"/>
              <w:ind w:left="0" w:firstLine="0" w:firstLineChars="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一、产品规格要求</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一</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CPU规格</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1.CPU：≥8核8线程，主频≥2.</w:t>
            </w:r>
            <w:r>
              <w:rPr>
                <w:rFonts w:hint="eastAsia"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rPr>
              <w:t>GHz</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末级缓存≥2M，</w:t>
            </w:r>
            <w:r>
              <w:rPr>
                <w:rFonts w:hint="eastAsia" w:ascii="仿宋_GB2312" w:hAnsi="仿宋_GB2312" w:eastAsia="仿宋_GB2312" w:cs="仿宋_GB2312"/>
                <w:color w:val="auto"/>
                <w:sz w:val="24"/>
                <w:szCs w:val="24"/>
                <w:highlight w:val="none"/>
                <w:lang w:val="en-US" w:eastAsia="zh-CN"/>
              </w:rPr>
              <w:t>CPU</w:t>
            </w:r>
            <w:r>
              <w:rPr>
                <w:rFonts w:hint="eastAsia" w:ascii="仿宋_GB2312" w:hAnsi="仿宋_GB2312" w:eastAsia="仿宋_GB2312" w:cs="仿宋_GB2312"/>
                <w:color w:val="auto"/>
                <w:sz w:val="24"/>
                <w:szCs w:val="24"/>
                <w:highlight w:val="none"/>
              </w:rPr>
              <w:t>内存≥双通道DDR4-2666MT/s</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热</w:t>
            </w:r>
            <w:r>
              <w:rPr>
                <w:rFonts w:hint="eastAsia" w:ascii="仿宋_GB2312" w:hAnsi="仿宋_GB2312" w:eastAsia="仿宋_GB2312" w:cs="仿宋_GB2312"/>
                <w:color w:val="auto"/>
                <w:kern w:val="2"/>
                <w:sz w:val="24"/>
                <w:szCs w:val="24"/>
                <w:highlight w:val="none"/>
                <w:lang w:val="en-US" w:eastAsia="zh-CN" w:bidi="ar-SA"/>
              </w:rPr>
              <w:t>设计功耗</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kern w:val="2"/>
                <w:sz w:val="24"/>
                <w:szCs w:val="24"/>
                <w:highlight w:val="none"/>
                <w:lang w:val="en-US" w:eastAsia="zh-CN" w:bidi="ar-SA"/>
              </w:rPr>
              <w:t>80W，位宽≥64位；</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二</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内存规格</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1.内存配置容量：≥16GB；</w:t>
            </w:r>
          </w:p>
          <w:p>
            <w:pPr>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2.内存条配置数量(板载内存不涉及)≥</w:t>
            </w:r>
            <w:r>
              <w:rPr>
                <w:rFonts w:hint="eastAsia" w:ascii="仿宋_GB2312" w:hAnsi="仿宋_GB2312" w:eastAsia="仿宋_GB2312" w:cs="仿宋_GB2312"/>
                <w:color w:val="auto"/>
                <w:sz w:val="24"/>
                <w:szCs w:val="24"/>
                <w:highlight w:val="none"/>
                <w:lang w:val="en-US" w:eastAsia="zh-CN"/>
              </w:rPr>
              <w:t>1；</w:t>
            </w:r>
          </w:p>
          <w:p>
            <w:pPr>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3.支持DDR4/LPDDR4/LPDDR4X及以上内存类型。</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三</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主板规格</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1.主板集成模块：集成资源扩展模块、计算处理模块、音频扩展模块等，主板的互联拓扑可通过处理器或交换电路实现；</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2.主板支持的CPU和内存情况：CPU≥8核8线程，主频≥2.</w:t>
            </w:r>
            <w:r>
              <w:rPr>
                <w:rFonts w:hint="eastAsia"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rPr>
              <w:t>GHz，</w:t>
            </w:r>
            <w:r>
              <w:rPr>
                <w:rFonts w:hint="eastAsia" w:ascii="仿宋_GB2312" w:hAnsi="仿宋_GB2312" w:eastAsia="仿宋_GB2312" w:cs="仿宋_GB2312"/>
                <w:color w:val="auto"/>
                <w:sz w:val="24"/>
                <w:szCs w:val="24"/>
                <w:highlight w:val="none"/>
                <w:lang w:val="en-US" w:eastAsia="zh-CN"/>
              </w:rPr>
              <w:t>末级</w:t>
            </w:r>
            <w:r>
              <w:rPr>
                <w:rFonts w:hint="eastAsia" w:ascii="仿宋_GB2312" w:hAnsi="仿宋_GB2312" w:eastAsia="仿宋_GB2312" w:cs="仿宋_GB2312"/>
                <w:color w:val="auto"/>
                <w:sz w:val="24"/>
                <w:szCs w:val="24"/>
                <w:highlight w:val="none"/>
              </w:rPr>
              <w:t>缓存≥2M，内存≥</w:t>
            </w:r>
            <w:r>
              <w:rPr>
                <w:rFonts w:hint="eastAsia" w:ascii="仿宋_GB2312" w:hAnsi="仿宋_GB2312" w:eastAsia="仿宋_GB2312" w:cs="仿宋_GB2312"/>
                <w:color w:val="auto"/>
                <w:sz w:val="24"/>
                <w:szCs w:val="24"/>
                <w:highlight w:val="none"/>
                <w:lang w:val="en-US" w:eastAsia="zh-CN"/>
              </w:rPr>
              <w:t>双</w:t>
            </w:r>
            <w:r>
              <w:rPr>
                <w:rFonts w:hint="eastAsia" w:ascii="仿宋_GB2312" w:hAnsi="仿宋_GB2312" w:eastAsia="仿宋_GB2312" w:cs="仿宋_GB2312"/>
                <w:color w:val="auto"/>
                <w:sz w:val="24"/>
                <w:szCs w:val="24"/>
                <w:highlight w:val="none"/>
              </w:rPr>
              <w:t>通道DDR4-2666MT/s，内存条数量≥1；</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3.主板其他内置接口：≥SATA接口*</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，≥USB接口*</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，固态硬盘占用M.2接口*1，机械硬盘占用SATA接口*1</w:t>
            </w:r>
            <w:r>
              <w:rPr>
                <w:rFonts w:hint="eastAsia" w:ascii="仿宋_GB2312" w:hAnsi="仿宋_GB2312" w:eastAsia="仿宋_GB2312" w:cs="仿宋_GB2312"/>
                <w:color w:val="auto"/>
                <w:sz w:val="24"/>
                <w:szCs w:val="24"/>
                <w:highlight w:val="none"/>
                <w:lang w:eastAsia="zh-CN"/>
              </w:rPr>
              <w:t>；</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单内存插槽最大可支持容量（板载内存不涉及）：≥8GB；</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.内存插槽满配时提供的最高内存总容量：≥</w:t>
            </w:r>
            <w:r>
              <w:rPr>
                <w:rFonts w:hint="eastAsia" w:ascii="仿宋_GB2312" w:hAnsi="仿宋_GB2312" w:eastAsia="仿宋_GB2312" w:cs="仿宋_GB2312"/>
                <w:color w:val="auto"/>
                <w:sz w:val="24"/>
                <w:szCs w:val="24"/>
                <w:highlight w:val="none"/>
                <w:lang w:val="en-US" w:eastAsia="zh-CN"/>
              </w:rPr>
              <w:t>16</w:t>
            </w:r>
            <w:r>
              <w:rPr>
                <w:rFonts w:hint="eastAsia" w:ascii="仿宋_GB2312" w:hAnsi="仿宋_GB2312" w:eastAsia="仿宋_GB2312" w:cs="仿宋_GB2312"/>
                <w:color w:val="auto"/>
                <w:sz w:val="24"/>
                <w:szCs w:val="24"/>
                <w:highlight w:val="none"/>
              </w:rPr>
              <w:t>GB</w:t>
            </w:r>
            <w:r>
              <w:rPr>
                <w:rFonts w:hint="eastAsia" w:ascii="仿宋_GB2312" w:hAnsi="仿宋_GB2312" w:eastAsia="仿宋_GB2312" w:cs="仿宋_GB2312"/>
                <w:color w:val="auto"/>
                <w:sz w:val="24"/>
                <w:szCs w:val="24"/>
                <w:highlight w:val="none"/>
                <w:lang w:eastAsia="zh-CN"/>
              </w:rPr>
              <w:t>。</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lang w:val="en-US" w:eastAsia="zh-CN"/>
              </w:rPr>
              <w:t>四</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存储设备规格</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1.固态盘数量：≥1个；</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2.固态存储容量：≥2</w:t>
            </w:r>
            <w:r>
              <w:rPr>
                <w:rFonts w:hint="eastAsia" w:ascii="仿宋_GB2312" w:hAnsi="仿宋_GB2312" w:eastAsia="仿宋_GB2312" w:cs="仿宋_GB2312"/>
                <w:color w:val="auto"/>
                <w:sz w:val="24"/>
                <w:szCs w:val="24"/>
                <w:highlight w:val="none"/>
                <w:lang w:val="en-US" w:eastAsia="zh-CN"/>
              </w:rPr>
              <w:t>56</w:t>
            </w:r>
            <w:r>
              <w:rPr>
                <w:rFonts w:hint="eastAsia" w:ascii="仿宋_GB2312" w:hAnsi="仿宋_GB2312" w:eastAsia="仿宋_GB2312" w:cs="仿宋_GB2312"/>
                <w:color w:val="auto"/>
                <w:sz w:val="24"/>
                <w:szCs w:val="24"/>
                <w:highlight w:val="none"/>
              </w:rPr>
              <w:t>GB；</w:t>
            </w:r>
          </w:p>
          <w:p>
            <w:pPr>
              <w:pStyle w:val="247"/>
              <w:kinsoku w:val="0"/>
              <w:overflowPunct w:val="0"/>
              <w:spacing w:before="0" w:line="360" w:lineRule="exact"/>
              <w:ind w:left="199" w:leftChars="95"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3.机械硬盘数量：≥1个；</w:t>
            </w:r>
            <w:r>
              <w:rPr>
                <w:rFonts w:hint="eastAsia" w:ascii="仿宋_GB2312" w:hAnsi="仿宋_GB2312" w:eastAsia="仿宋_GB2312" w:cs="仿宋_GB2312"/>
                <w:color w:val="auto"/>
                <w:sz w:val="24"/>
                <w:szCs w:val="24"/>
                <w:highlight w:val="none"/>
              </w:rPr>
              <w:cr/>
            </w:r>
            <w:r>
              <w:rPr>
                <w:rFonts w:hint="eastAsia" w:ascii="仿宋_GB2312" w:hAnsi="仿宋_GB2312" w:eastAsia="仿宋_GB2312" w:cs="仿宋_GB2312"/>
                <w:color w:val="auto"/>
                <w:sz w:val="24"/>
                <w:szCs w:val="24"/>
                <w:highlight w:val="none"/>
              </w:rPr>
              <w:t>4.机械硬盘总容量：≥1TB；</w:t>
            </w:r>
          </w:p>
          <w:p>
            <w:pPr>
              <w:pStyle w:val="247"/>
              <w:kinsoku w:val="0"/>
              <w:overflowPunct w:val="0"/>
              <w:spacing w:before="0" w:line="360" w:lineRule="exact"/>
              <w:ind w:left="210" w:leftChars="100"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5.机械硬盘转速：≥5400rpm；</w:t>
            </w:r>
          </w:p>
          <w:p>
            <w:pPr>
              <w:pStyle w:val="247"/>
              <w:kinsoku w:val="0"/>
              <w:overflowPunct w:val="0"/>
              <w:spacing w:before="0" w:line="360" w:lineRule="exact"/>
              <w:ind w:left="210" w:leftChars="100"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6.机械硬盘形态：3.5英寸；</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7.固态存储形态：采用插卡或板载等形态，可选用符合M.2或2.5寸SATA或mSATA等标准的插卡形态；</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8.存储设备其他参数要求：a)固态盘应符合SJ/T11654相关规定；b)机械硬盘准备时间应不大于30s；侧面固定螺丝孔数量可为4孔或6孔；工作状态环境温度应满足5℃</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55℃；其它参数应符合GB/T12628相关规定</w:t>
            </w:r>
            <w:r>
              <w:rPr>
                <w:rFonts w:hint="eastAsia" w:ascii="仿宋_GB2312" w:hAnsi="仿宋_GB2312" w:eastAsia="仿宋_GB2312" w:cs="仿宋_GB2312"/>
                <w:color w:val="auto"/>
                <w:sz w:val="24"/>
                <w:szCs w:val="24"/>
                <w:highlight w:val="none"/>
                <w:lang w:eastAsia="zh-CN"/>
              </w:rPr>
              <w:t>。</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五</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显卡规格</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1.显卡类型：独立显卡或集成显卡；</w:t>
            </w:r>
          </w:p>
          <w:p>
            <w:pPr>
              <w:pStyle w:val="247"/>
              <w:keepNext w:val="0"/>
              <w:keepLines w:val="0"/>
              <w:pageBreakBefore w:val="0"/>
              <w:widowControl w:val="0"/>
              <w:kinsoku w:val="0"/>
              <w:wordWrap w:val="0"/>
              <w:overflowPunct/>
              <w:topLinePunct w:val="0"/>
              <w:autoSpaceDE w:val="0"/>
              <w:autoSpaceDN w:val="0"/>
              <w:bidi w:val="0"/>
              <w:adjustRightInd w:val="0"/>
              <w:snapToGrid/>
              <w:spacing w:before="0" w:line="360" w:lineRule="exact"/>
              <w:ind w:firstLine="240" w:firstLineChars="1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2.独立显卡显存类型（集成显卡不涉及）：若配置独立显卡，显存类型应为DDR3/DDR4/GDDR5/GDDR6/LPDDR4；</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3.独立显卡显存位宽（集成显卡不涉及）：若配置独立显卡，显存位宽≥16位；</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highlight w:val="none"/>
                <w:lang w:val="en-US" w:eastAsia="zh-CN"/>
              </w:rPr>
              <w:t>4.独立显卡显存容量（集成显卡不涉及）：若配置独立显卡，显存容量≥1GB。</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六</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显示设备规格</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1.显示屏屏占比：≥80%；</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2.显示屏分辨率：≥1920x1080；</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3.显示屏尺寸：≥</w:t>
            </w:r>
            <w:r>
              <w:rPr>
                <w:rFonts w:hint="eastAsia" w:ascii="仿宋_GB2312" w:hAnsi="仿宋_GB2312" w:eastAsia="仿宋_GB2312" w:cs="仿宋_GB2312"/>
                <w:color w:val="auto"/>
                <w:sz w:val="24"/>
                <w:szCs w:val="24"/>
                <w:highlight w:val="none"/>
                <w:lang w:val="en-US" w:eastAsia="zh-CN"/>
              </w:rPr>
              <w:t>23</w:t>
            </w:r>
            <w:r>
              <w:rPr>
                <w:rFonts w:hint="eastAsia" w:ascii="仿宋_GB2312" w:hAnsi="仿宋_GB2312" w:eastAsia="仿宋_GB2312" w:cs="仿宋_GB2312"/>
                <w:color w:val="auto"/>
                <w:sz w:val="24"/>
                <w:szCs w:val="24"/>
                <w:highlight w:val="none"/>
              </w:rPr>
              <w:t>英寸；</w:t>
            </w:r>
          </w:p>
          <w:p>
            <w:pPr>
              <w:pStyle w:val="247"/>
              <w:kinsoku w:val="0"/>
              <w:overflowPunct w:val="0"/>
              <w:spacing w:before="1"/>
              <w:ind w:left="239" w:leftChars="114"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4.显示屏屏幕比例：16:9/3:2/21:9/16:10等</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cr/>
            </w:r>
            <w:r>
              <w:rPr>
                <w:rFonts w:hint="eastAsia" w:ascii="仿宋_GB2312" w:hAnsi="仿宋_GB2312" w:eastAsia="仿宋_GB2312" w:cs="仿宋_GB2312"/>
                <w:color w:val="auto"/>
                <w:sz w:val="24"/>
                <w:szCs w:val="24"/>
                <w:highlight w:val="none"/>
              </w:rPr>
              <w:t>5.显示器外观颜色：</w:t>
            </w:r>
            <w:r>
              <w:rPr>
                <w:rFonts w:hint="eastAsia" w:ascii="仿宋_GB2312" w:hAnsi="仿宋_GB2312" w:eastAsia="仿宋_GB2312" w:cs="仿宋_GB2312"/>
                <w:color w:val="auto"/>
                <w:kern w:val="0"/>
                <w:sz w:val="24"/>
                <w:szCs w:val="24"/>
                <w:highlight w:val="none"/>
                <w:lang w:val="en-US" w:eastAsia="zh-CN" w:bidi="ar-SA"/>
              </w:rPr>
              <w:t>黑色/白色/银色等商务色系</w:t>
            </w:r>
            <w:r>
              <w:rPr>
                <w:rFonts w:hint="eastAsia" w:ascii="仿宋_GB2312" w:hAnsi="仿宋_GB2312" w:eastAsia="仿宋_GB2312" w:cs="仿宋_GB2312"/>
                <w:color w:val="auto"/>
                <w:sz w:val="24"/>
                <w:szCs w:val="24"/>
                <w:highlight w:val="none"/>
              </w:rPr>
              <w:t>；</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6.显示屏防蓝光：支持防蓝光模式，蓝光加权辐射亮度比应≤0.0012W/(·cd·sr)（瓦每坎特拉每球面度）；</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7.显示屏低频闪：显示屏应支持低频闪≤-35dB；</w:t>
            </w:r>
          </w:p>
          <w:p>
            <w:pPr>
              <w:pStyle w:val="247"/>
              <w:kinsoku w:val="0"/>
              <w:overflowPunct w:val="0"/>
              <w:spacing w:before="1"/>
              <w:ind w:left="239" w:leftChars="114"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8.显示屏防炫目：显示屏镜面反射率≤10%</w:t>
            </w:r>
            <w:r>
              <w:rPr>
                <w:rFonts w:hint="eastAsia" w:ascii="仿宋_GB2312" w:hAnsi="仿宋_GB2312" w:eastAsia="仿宋_GB2312" w:cs="仿宋_GB2312"/>
                <w:color w:val="auto"/>
                <w:sz w:val="24"/>
                <w:szCs w:val="24"/>
                <w:highlight w:val="none"/>
                <w:lang w:eastAsia="zh-CN"/>
              </w:rPr>
              <w:t>；</w:t>
            </w:r>
          </w:p>
          <w:p>
            <w:pPr>
              <w:pStyle w:val="247"/>
              <w:kinsoku w:val="0"/>
              <w:overflowPunct w:val="0"/>
              <w:spacing w:before="1"/>
              <w:ind w:left="239" w:leftChars="114" w:firstLine="0" w:firstLineChars="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w:t>
            </w:r>
            <w:r>
              <w:rPr>
                <w:rFonts w:hint="eastAsia" w:ascii="仿宋_GB2312" w:hAnsi="仿宋_GB2312" w:eastAsia="仿宋_GB2312" w:cs="仿宋_GB2312"/>
                <w:color w:val="auto"/>
                <w:sz w:val="24"/>
                <w:szCs w:val="24"/>
                <w:highlight w:val="none"/>
                <w:lang w:eastAsia="zh-CN"/>
              </w:rPr>
              <w:t>显示器需配置HDMI线一条</w:t>
            </w:r>
            <w:r>
              <w:rPr>
                <w:rFonts w:hint="eastAsia" w:ascii="仿宋_GB2312" w:hAnsi="仿宋_GB2312" w:eastAsia="仿宋_GB2312" w:cs="仿宋_GB2312"/>
                <w:color w:val="auto"/>
                <w:sz w:val="24"/>
                <w:szCs w:val="24"/>
                <w:highlight w:val="none"/>
                <w:lang w:val="en-US" w:eastAsia="zh-CN"/>
              </w:rPr>
              <w:t>。</w:t>
            </w:r>
          </w:p>
          <w:p>
            <w:pPr>
              <w:pStyle w:val="247"/>
              <w:kinsoku w:val="0"/>
              <w:overflowPunct w:val="0"/>
              <w:spacing w:before="0" w:line="360" w:lineRule="exact"/>
              <w:ind w:left="0" w:firstLine="241"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七</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外设规格</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1.鼠标数量：≥1个；</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2.键盘数量：≥1个；</w:t>
            </w:r>
          </w:p>
          <w:p>
            <w:pPr>
              <w:pStyle w:val="247"/>
              <w:kinsoku w:val="0"/>
              <w:overflowPunct w:val="0"/>
              <w:spacing w:before="1"/>
              <w:ind w:left="239" w:leftChars="114" w:firstLine="0" w:firstLineChars="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3.键盘按键数目：</w:t>
            </w:r>
            <w:r>
              <w:rPr>
                <w:rFonts w:hint="eastAsia" w:ascii="宋体" w:hAnsi="宋体" w:eastAsia="宋体" w:cs="宋体"/>
                <w:color w:val="auto"/>
                <w:sz w:val="24"/>
                <w:szCs w:val="24"/>
                <w:highlight w:val="none"/>
                <w:lang w:val="en-US" w:eastAsia="zh-CN"/>
              </w:rPr>
              <w:t>≥</w:t>
            </w:r>
            <w:r>
              <w:rPr>
                <w:rFonts w:hint="eastAsia" w:ascii="仿宋_GB2312" w:hAnsi="仿宋_GB2312" w:eastAsia="仿宋_GB2312" w:cs="仿宋_GB2312"/>
                <w:color w:val="auto"/>
                <w:sz w:val="24"/>
                <w:szCs w:val="24"/>
                <w:highlight w:val="none"/>
                <w:lang w:val="en-US" w:eastAsia="zh-CN"/>
              </w:rPr>
              <w:t>61键；</w:t>
            </w:r>
          </w:p>
          <w:p>
            <w:pPr>
              <w:pStyle w:val="247"/>
              <w:kinsoku w:val="0"/>
              <w:overflowPunct w:val="0"/>
              <w:spacing w:before="1"/>
              <w:ind w:left="239" w:leftChars="114" w:firstLine="0" w:firstLineChars="0"/>
              <w:rPr>
                <w:rFonts w:hint="eastAsia" w:ascii="仿宋_GB2312" w:hAnsi="仿宋_GB2312" w:eastAsia="黑体"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.键盘连接方式：</w:t>
            </w:r>
            <w:r>
              <w:rPr>
                <w:rFonts w:hint="eastAsia" w:ascii="仿宋_GB2312" w:hAnsi="仿宋_GB2312" w:eastAsia="仿宋_GB2312" w:cs="仿宋_GB2312"/>
                <w:color w:val="auto"/>
                <w:sz w:val="24"/>
                <w:szCs w:val="24"/>
                <w:highlight w:val="none"/>
                <w:lang w:val="en-US" w:eastAsia="zh-CN"/>
              </w:rPr>
              <w:t>有线</w:t>
            </w:r>
            <w:r>
              <w:rPr>
                <w:rFonts w:hint="eastAsia"/>
                <w:lang w:eastAsia="zh-CN"/>
              </w:rPr>
              <w:t>；</w:t>
            </w:r>
          </w:p>
          <w:p>
            <w:pPr>
              <w:pStyle w:val="247"/>
              <w:kinsoku w:val="0"/>
              <w:overflowPunct w:val="0"/>
              <w:spacing w:before="1"/>
              <w:ind w:left="239" w:leftChars="114" w:firstLine="0" w:firstLineChars="0"/>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lang w:val="en-US" w:eastAsia="zh-CN"/>
              </w:rPr>
              <w:t>5.键盘键程：2.3mm-4.0mm；</w:t>
            </w:r>
          </w:p>
          <w:p>
            <w:pPr>
              <w:pStyle w:val="247"/>
              <w:kinsoku w:val="0"/>
              <w:overflowPunct w:val="0"/>
              <w:spacing w:before="1"/>
              <w:ind w:left="239" w:leftChars="114" w:firstLine="0" w:firstLineChars="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6.键盘按键压力：按键压力应在0.54N±0.14N；</w:t>
            </w:r>
          </w:p>
          <w:p>
            <w:pPr>
              <w:pStyle w:val="247"/>
              <w:kinsoku w:val="0"/>
              <w:overflowPunct w:val="0"/>
              <w:spacing w:before="1"/>
              <w:ind w:left="239" w:leftChars="114" w:firstLine="0" w:firstLineChars="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7.有线键盘连接线：≥1.5米；</w:t>
            </w:r>
          </w:p>
          <w:p>
            <w:pPr>
              <w:pStyle w:val="247"/>
              <w:kinsoku w:val="0"/>
              <w:overflowPunct w:val="0"/>
              <w:spacing w:before="1"/>
              <w:ind w:left="239" w:leftChars="114" w:firstLine="0" w:firstLineChars="0"/>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lang w:val="en-US" w:eastAsia="zh-CN"/>
              </w:rPr>
              <w:t>8.键盘颜色：黑色；</w:t>
            </w:r>
          </w:p>
          <w:p>
            <w:pPr>
              <w:pStyle w:val="247"/>
              <w:kinsoku w:val="0"/>
              <w:overflowPunct w:val="0"/>
              <w:spacing w:before="1"/>
              <w:ind w:left="239" w:leftChars="114" w:firstLine="0" w:firstLineChars="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9.鼠标连接方式：有线；</w:t>
            </w:r>
          </w:p>
          <w:p>
            <w:pPr>
              <w:pStyle w:val="247"/>
              <w:kinsoku w:val="0"/>
              <w:overflowPunct w:val="0"/>
              <w:spacing w:before="1"/>
              <w:ind w:left="239" w:leftChars="114" w:firstLine="0" w:firstLineChars="0"/>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lang w:val="en-US" w:eastAsia="zh-CN"/>
              </w:rPr>
              <w:t>10.有线鼠标连接线：≥1.5米；</w:t>
            </w:r>
          </w:p>
          <w:p>
            <w:pPr>
              <w:pStyle w:val="247"/>
              <w:kinsoku w:val="0"/>
              <w:overflowPunct w:val="0"/>
              <w:spacing w:before="1"/>
              <w:ind w:left="239" w:leftChars="114" w:firstLine="0" w:firstLineChars="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11.鼠标DPI分辨率：800-1600；</w:t>
            </w:r>
          </w:p>
          <w:p>
            <w:pPr>
              <w:pStyle w:val="247"/>
              <w:kinsoku w:val="0"/>
              <w:overflowPunct w:val="0"/>
              <w:spacing w:before="1"/>
              <w:ind w:left="239" w:leftChars="114" w:firstLine="0" w:firstLineChars="0"/>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lang w:val="en-US" w:eastAsia="zh-CN"/>
              </w:rPr>
              <w:t>12.鼠标颜色：黑色；</w:t>
            </w:r>
          </w:p>
          <w:p>
            <w:pPr>
              <w:pStyle w:val="247"/>
              <w:kinsoku w:val="0"/>
              <w:overflowPunct w:val="0"/>
              <w:spacing w:before="1"/>
              <w:ind w:left="239" w:leftChars="114" w:firstLine="0" w:firstLineChars="0"/>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sz w:val="24"/>
                <w:szCs w:val="24"/>
                <w:highlight w:val="none"/>
                <w:lang w:val="en-US" w:eastAsia="zh-CN"/>
              </w:rPr>
              <w:t>13.鼠标其他要求：其它参数应符合GB/T26245的相关规定;</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14.</w:t>
            </w:r>
            <w:r>
              <w:rPr>
                <w:rFonts w:hint="eastAsia" w:ascii="仿宋_GB2312" w:hAnsi="仿宋_GB2312" w:eastAsia="仿宋_GB2312" w:cs="仿宋_GB2312"/>
                <w:i w:val="0"/>
                <w:color w:val="auto"/>
                <w:kern w:val="0"/>
                <w:sz w:val="24"/>
                <w:szCs w:val="24"/>
                <w:highlight w:val="none"/>
                <w:u w:val="none"/>
                <w:lang w:eastAsia="zh-CN"/>
              </w:rPr>
              <w:t>光驱数量</w:t>
            </w:r>
            <w:r>
              <w:rPr>
                <w:rFonts w:hint="eastAsia" w:ascii="仿宋_GB2312" w:hAnsi="仿宋_GB2312" w:eastAsia="仿宋_GB2312" w:cs="仿宋_GB2312"/>
                <w:color w:val="auto"/>
                <w:sz w:val="24"/>
                <w:szCs w:val="24"/>
                <w:highlight w:val="none"/>
              </w:rPr>
              <w:t>：≥1个；</w:t>
            </w:r>
            <w:r>
              <w:rPr>
                <w:rFonts w:hint="eastAsia" w:ascii="仿宋_GB2312" w:hAnsi="仿宋_GB2312" w:eastAsia="仿宋_GB2312" w:cs="仿宋_GB2312"/>
                <w:i w:val="0"/>
                <w:color w:val="auto"/>
                <w:kern w:val="0"/>
                <w:sz w:val="24"/>
                <w:szCs w:val="24"/>
                <w:highlight w:val="none"/>
                <w:u w:val="none"/>
                <w:lang w:eastAsia="zh-CN"/>
              </w:rPr>
              <w:t>内置或外置DVD光驱。</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八</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网络设备规格</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有线网卡数量：≥1</w:t>
            </w:r>
            <w:r>
              <w:rPr>
                <w:rFonts w:hint="eastAsia" w:ascii="仿宋_GB2312" w:hAnsi="仿宋_GB2312" w:eastAsia="仿宋_GB2312" w:cs="仿宋_GB2312"/>
                <w:color w:val="auto"/>
                <w:sz w:val="24"/>
                <w:szCs w:val="24"/>
                <w:highlight w:val="none"/>
                <w:lang w:eastAsia="zh-CN"/>
              </w:rPr>
              <w:t>。</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九</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外部接口规格</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1.USB接口数量：≥3个，至少包含</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个USB3.0及以上标准接口；</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2.视频接口数量：≥1；</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3.音频接口数量：≥1</w:t>
            </w:r>
            <w:r>
              <w:rPr>
                <w:rFonts w:hint="eastAsia" w:ascii="仿宋_GB2312" w:hAnsi="仿宋_GB2312" w:eastAsia="仿宋_GB2312" w:cs="仿宋_GB2312"/>
                <w:color w:val="auto"/>
                <w:sz w:val="24"/>
                <w:szCs w:val="24"/>
                <w:highlight w:val="none"/>
                <w:lang w:eastAsia="zh-CN"/>
              </w:rPr>
              <w:t>。</w:t>
            </w:r>
          </w:p>
          <w:p>
            <w:pPr>
              <w:pStyle w:val="247"/>
              <w:kinsoku w:val="0"/>
              <w:overflowPunct w:val="0"/>
              <w:spacing w:before="0" w:line="360" w:lineRule="exact"/>
              <w:ind w:firstLine="241" w:firstLineChars="10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lang w:val="en-US" w:eastAsia="zh-CN"/>
              </w:rPr>
              <w:t>十</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i w:val="0"/>
                <w:color w:val="auto"/>
                <w:kern w:val="0"/>
                <w:sz w:val="24"/>
                <w:szCs w:val="24"/>
                <w:highlight w:val="none"/>
                <w:u w:val="none"/>
                <w:lang w:val="en-US" w:eastAsia="zh-CN"/>
              </w:rPr>
              <w:t>整机基础规格</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整机外观：a)产品表面不应有凹痕、划伤、裂缝、变形和污染等。表面涂层均匀，不应起泡、龟裂、脱落和磨损，金属零部件无锈蚀及其它机械损伤；b)产品表面说明功能的文字、符号、标志，应清晰、端正、牢固；</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2.状态指示灯：在产品显著位置提供状态指示功能；</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整机结构：a)机箱应符合GB/T4208、GB/T26246的相关规定；b)产品内部结构应符合通用部件的安装需求；c)所有输入输出接口应符合相关国家或行业标准；d)产品零部件应紧固无松动，可插拔部件应可靠连接，开关、按钮和其它控制部件应灵活可靠，布局应方便使用；e)所有I/O连接器及需插接线缆的部位应预留采购人操作空间，方便插拔解锁与插拔线缆；f)可插拔板卡插槽部位应预留安装、拆卸或更换板卡空间；g)拆装可能接触到的金属剪口或金属尖角部位应做防划伤处理，以保证安全；h)整机内部走线应规整，固线结构和位置要合理可靠并做防割线处理，需便于理线和插拔操作，走线应不影响系统各主要部件组装和拆卸；i)如需通过孔走线，过线孔应做防割线处理；j)各插头位置和插拔方向应合理，应做到插拔无障碍设计，具备防呆设计，有效避免误操作；k)各主要部件拆装无障碍，使用常规工具拆装，无特殊拆装工具需求；l)各主要部件拆装步骤要少，各自拆装需避免相互干扰；m)对于整机或零部件外表面为高亮面的，应粘贴保护膜，保护膜需粘贴牢固，运输、组装等过程不易脱落，撕下无残留；n)其它要求应符合GB/T9813.1的相关规定；</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4.机箱防护要求：机箱应符合GB/T4208中IP20防护要求；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5.整机噪音：产品工作在空闲状态下，产品的声功率级应不超过4.5Bel；</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整机散热：在环境温度25℃及处理器满载情况下，产品表面温度应符合如下要求：a)出风口在机箱后面板情况下，出风口温度不高于55℃；b)可触及面温度不高于45℃；c)显示器表面温度：显示屏不高于38℃，显示屏上下灯带位置温度（如涉及）不高于40℃，出风口温度不高于45℃；</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7.整机能效限定值：产品能效限定值应达到GB28380-2012标准中能效等级2级及以上；</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8.机身材质：</w:t>
            </w:r>
            <w:r>
              <w:rPr>
                <w:rFonts w:hint="eastAsia" w:ascii="仿宋_GB2312" w:hAnsi="仿宋_GB2312" w:eastAsia="仿宋_GB2312" w:cs="仿宋_GB2312"/>
                <w:color w:val="auto"/>
                <w:kern w:val="0"/>
                <w:sz w:val="24"/>
                <w:szCs w:val="24"/>
                <w:highlight w:val="none"/>
                <w:lang w:val="en-US" w:eastAsia="zh-CN" w:bidi="ar-SA"/>
              </w:rPr>
              <w:t>塑料/金属等</w:t>
            </w:r>
            <w:r>
              <w:rPr>
                <w:rFonts w:hint="eastAsia" w:ascii="仿宋_GB2312" w:hAnsi="仿宋_GB2312" w:eastAsia="仿宋_GB2312" w:cs="仿宋_GB2312"/>
                <w:color w:val="auto"/>
                <w:sz w:val="24"/>
                <w:szCs w:val="24"/>
                <w:highlight w:val="none"/>
                <w:lang w:val="en-US" w:eastAsia="zh-CN"/>
              </w:rPr>
              <w:t>；</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9.机身颜色：</w:t>
            </w:r>
            <w:r>
              <w:rPr>
                <w:rFonts w:hint="eastAsia" w:ascii="仿宋_GB2312" w:hAnsi="仿宋_GB2312" w:eastAsia="仿宋_GB2312" w:cs="仿宋_GB2312"/>
                <w:color w:val="auto"/>
                <w:kern w:val="0"/>
                <w:sz w:val="24"/>
                <w:szCs w:val="24"/>
                <w:highlight w:val="none"/>
                <w:lang w:val="en-US" w:eastAsia="zh-CN" w:bidi="ar-SA"/>
              </w:rPr>
              <w:t>灰色/黑色等商务色系</w:t>
            </w:r>
            <w:r>
              <w:rPr>
                <w:rFonts w:hint="eastAsia" w:ascii="仿宋_GB2312" w:hAnsi="仿宋_GB2312" w:eastAsia="仿宋_GB2312" w:cs="仿宋_GB2312"/>
                <w:color w:val="auto"/>
                <w:sz w:val="24"/>
                <w:szCs w:val="24"/>
                <w:highlight w:val="none"/>
                <w:lang w:val="en-US" w:eastAsia="zh-CN"/>
              </w:rPr>
              <w:t>；</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10.机箱尺寸容量：机箱体积应不大于30L。</w:t>
            </w:r>
          </w:p>
          <w:p>
            <w:pPr>
              <w:pStyle w:val="247"/>
              <w:kinsoku w:val="0"/>
              <w:overflowPunct w:val="0"/>
              <w:spacing w:before="0" w:line="360" w:lineRule="exact"/>
              <w:ind w:left="0" w:firstLine="0" w:firstLineChars="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二、产品性能要求</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bookmarkEnd w:id="4"/>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lang w:val="en-US" w:eastAsia="zh-CN"/>
              </w:rPr>
              <w:t>一</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CPU性能</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1.CPU物理核数：≥8；</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2.CPU主频：≥2.</w:t>
            </w:r>
            <w:r>
              <w:rPr>
                <w:rFonts w:hint="eastAsia"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rPr>
              <w:t>GHz；</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3.CPU末级缓存容量≥2MB；</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4.CPU支持的内存最高速率≥2666MT/s。</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二</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内存性能</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内存读写速率：≥2666MT/s</w:t>
            </w:r>
            <w:r>
              <w:rPr>
                <w:rFonts w:hint="eastAsia" w:ascii="仿宋_GB2312" w:hAnsi="仿宋_GB2312" w:eastAsia="仿宋_GB2312" w:cs="仿宋_GB2312"/>
                <w:color w:val="auto"/>
                <w:sz w:val="24"/>
                <w:szCs w:val="24"/>
                <w:highlight w:val="none"/>
                <w:lang w:eastAsia="zh-CN"/>
              </w:rPr>
              <w:t>。</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三</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显卡性能</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1.显示分辨率：≥1920*1080；</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2.显卡显示芯片核心频率：≥300MHz；</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3.显存等效频率：≥1000MT/s；</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4.显卡可支持多屏同时显示数量：显卡应支持2块屏幕同时显示，分辨率应不低于1920×1080。</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四</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显示设备性能</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1.显示屏刷新率：≥75Hz；</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2.显示屏位深：≥8位；</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3.显示屏色域：≥99%sRGB；</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4.显示屏色准：△E≤4；</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5.显示屏响应时间：≤8ms；</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6.显示屏亮度：≥250尼特；</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7.显示屏亮度一致性：≥70%；</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8.显示屏对比度：≥500：1；</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9.显示屏其他参数：其它参数应符合SJ/T11292的相关规定。</w:t>
            </w:r>
          </w:p>
          <w:p>
            <w:pPr>
              <w:pStyle w:val="247"/>
              <w:kinsoku w:val="0"/>
              <w:overflowPunct w:val="0"/>
              <w:spacing w:before="0" w:line="360" w:lineRule="exact"/>
              <w:ind w:firstLine="241"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五</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网络设备性能</w:t>
            </w:r>
          </w:p>
          <w:p>
            <w:pPr>
              <w:pStyle w:val="247"/>
              <w:keepNext w:val="0"/>
              <w:keepLines w:val="0"/>
              <w:pageBreakBefore w:val="0"/>
              <w:widowControl w:val="0"/>
              <w:kinsoku w:val="0"/>
              <w:wordWrap w:val="0"/>
              <w:overflowPunct/>
              <w:topLinePunct w:val="0"/>
              <w:autoSpaceDE w:val="0"/>
              <w:autoSpaceDN w:val="0"/>
              <w:bidi w:val="0"/>
              <w:adjustRightInd w:val="0"/>
              <w:snapToGrid/>
              <w:spacing w:before="0" w:line="360" w:lineRule="exact"/>
              <w:ind w:firstLine="240" w:firstLineChars="1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有线网卡速率：最高速率应不低于1000Mbps，应支持10Mbps、100Mbps、1000Mbps速率自适应</w:t>
            </w:r>
            <w:r>
              <w:rPr>
                <w:rFonts w:hint="eastAsia" w:ascii="仿宋_GB2312" w:hAnsi="仿宋_GB2312" w:eastAsia="仿宋_GB2312" w:cs="仿宋_GB2312"/>
                <w:color w:val="auto"/>
                <w:sz w:val="24"/>
                <w:szCs w:val="24"/>
                <w:highlight w:val="none"/>
                <w:lang w:eastAsia="zh-CN"/>
              </w:rPr>
              <w:t>。</w:t>
            </w:r>
          </w:p>
          <w:p>
            <w:pPr>
              <w:pStyle w:val="247"/>
              <w:kinsoku w:val="0"/>
              <w:overflowPunct w:val="0"/>
              <w:spacing w:before="0" w:line="360" w:lineRule="exact"/>
              <w:ind w:left="0" w:firstLine="0" w:firstLineChars="0"/>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val="en-US" w:eastAsia="zh-CN"/>
              </w:rPr>
              <w:t>三、产品功能要求</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lang w:val="en-US" w:eastAsia="zh-CN"/>
              </w:rPr>
              <w:t>一</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主板功能</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1.内存扩展接口(板载内存不涉及)：≥</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个；</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2.主板USB瞬间过流保护：支持有瞬间过流保护功能；</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3.主板防静电保护：支持防静电保护功能；</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I/O接口功能：提供基于标准USB接口外设连接功能、基于音频输入输出接口的音频扩展功能、基于PCIe接口板卡扩展功能、基于HDMI或VGA或Type-C或DVI或DP等接口外接显示器扩展功能、基于存储接口对产品进行增容功能等。产品I/O接口，应具备外接标准USB设备、显示器、音频设备等内外部设备能力。</w:t>
            </w:r>
          </w:p>
          <w:p>
            <w:pPr>
              <w:pStyle w:val="247"/>
              <w:kinsoku w:val="0"/>
              <w:overflowPunct w:val="0"/>
              <w:spacing w:before="0" w:line="360" w:lineRule="exact"/>
              <w:ind w:left="0" w:firstLine="241"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lang w:val="en-US" w:eastAsia="zh-CN"/>
              </w:rPr>
              <w:t>二</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显</w:t>
            </w:r>
            <w:r>
              <w:rPr>
                <w:rFonts w:hint="eastAsia" w:ascii="仿宋_GB2312" w:hAnsi="仿宋_GB2312" w:eastAsia="仿宋_GB2312" w:cs="仿宋_GB2312"/>
                <w:b/>
                <w:bCs/>
                <w:color w:val="auto"/>
                <w:sz w:val="24"/>
                <w:szCs w:val="24"/>
                <w:highlight w:val="none"/>
                <w:lang w:val="en-US" w:eastAsia="zh-CN"/>
              </w:rPr>
              <w:t>卡</w:t>
            </w:r>
            <w:r>
              <w:rPr>
                <w:rFonts w:hint="eastAsia" w:ascii="仿宋_GB2312" w:hAnsi="仿宋_GB2312" w:eastAsia="仿宋_GB2312" w:cs="仿宋_GB2312"/>
                <w:b/>
                <w:bCs/>
                <w:color w:val="auto"/>
                <w:sz w:val="24"/>
                <w:szCs w:val="24"/>
                <w:highlight w:val="none"/>
              </w:rPr>
              <w:t>功能</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显卡外接显示接口：至少支持VGA、HDMI、DVI、DP、Type-C中1种显示接口，并与显示器接口相匹配。</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lang w:val="en-US" w:eastAsia="zh-CN"/>
              </w:rPr>
              <w:t>三</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显示设备功能</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1.显示器接口：显示器应与显卡外接显示接口匹配；</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2.显示器支架：显示器应提供显示器支架，根据采购人需求支持屏幕旋转、升降等；</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3.显示器参数调节：a)提供OSD选单按钮用于调节色彩、模式等；b)支持色温、亮度、对比度调节。</w:t>
            </w:r>
          </w:p>
          <w:p>
            <w:pPr>
              <w:pStyle w:val="247"/>
              <w:kinsoku w:val="0"/>
              <w:overflowPunct w:val="0"/>
              <w:spacing w:before="0" w:line="360" w:lineRule="exact"/>
              <w:ind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i w:val="0"/>
                <w:color w:val="auto"/>
                <w:kern w:val="0"/>
                <w:sz w:val="24"/>
                <w:szCs w:val="24"/>
                <w:highlight w:val="none"/>
                <w:u w:val="none"/>
                <w:lang w:eastAsia="zh-CN"/>
              </w:rPr>
              <w:t>（</w:t>
            </w:r>
            <w:r>
              <w:rPr>
                <w:rFonts w:hint="eastAsia" w:ascii="仿宋_GB2312" w:hAnsi="仿宋_GB2312" w:eastAsia="仿宋_GB2312" w:cs="仿宋_GB2312"/>
                <w:b/>
                <w:bCs/>
                <w:i w:val="0"/>
                <w:color w:val="auto"/>
                <w:kern w:val="0"/>
                <w:sz w:val="24"/>
                <w:szCs w:val="24"/>
                <w:highlight w:val="none"/>
                <w:u w:val="none"/>
                <w:lang w:val="en-US" w:eastAsia="zh-CN"/>
              </w:rPr>
              <w:t>四</w:t>
            </w:r>
            <w:r>
              <w:rPr>
                <w:rFonts w:hint="eastAsia" w:ascii="仿宋_GB2312" w:hAnsi="仿宋_GB2312" w:eastAsia="仿宋_GB2312" w:cs="仿宋_GB2312"/>
                <w:b/>
                <w:bCs/>
                <w:i w:val="0"/>
                <w:color w:val="auto"/>
                <w:kern w:val="0"/>
                <w:sz w:val="24"/>
                <w:szCs w:val="24"/>
                <w:highlight w:val="none"/>
                <w:u w:val="none"/>
                <w:lang w:eastAsia="zh-CN"/>
              </w:rPr>
              <w:t>）光驱功能</w:t>
            </w:r>
          </w:p>
          <w:p>
            <w:pPr>
              <w:pStyle w:val="247"/>
              <w:kinsoku w:val="0"/>
              <w:overflowPunct w:val="0"/>
              <w:spacing w:before="0" w:line="360" w:lineRule="exact"/>
              <w:ind w:left="0" w:firstLine="240" w:firstLineChars="100"/>
              <w:rPr>
                <w:rFonts w:hint="eastAsia" w:ascii="仿宋_GB2312" w:hAnsi="仿宋_GB2312" w:eastAsia="仿宋_GB2312" w:cs="仿宋_GB2312"/>
                <w:i w:val="0"/>
                <w:color w:val="auto"/>
                <w:kern w:val="0"/>
                <w:sz w:val="24"/>
                <w:szCs w:val="24"/>
                <w:highlight w:val="none"/>
                <w:u w:val="none"/>
                <w:lang w:val="en-US" w:eastAsia="zh-CN"/>
              </w:rPr>
            </w:pPr>
            <w:r>
              <w:rPr>
                <w:rFonts w:hint="eastAsia" w:ascii="仿宋_GB2312" w:hAnsi="仿宋_GB2312" w:eastAsia="仿宋_GB2312" w:cs="仿宋_GB2312"/>
                <w:i w:val="0"/>
                <w:color w:val="auto"/>
                <w:kern w:val="0"/>
                <w:sz w:val="24"/>
                <w:szCs w:val="24"/>
                <w:highlight w:val="none"/>
                <w:u w:val="none"/>
                <w:lang w:val="en-US" w:eastAsia="zh-CN"/>
              </w:rPr>
              <w:t>光驱应支持只读、刻录等类型；最大读取速度CD不低于24×150KB/s；最大读取速度DVD不低于8×358KB/s；最大刻录速度CD不低于24×150KB/s；最大刻录速度DVD不低于6×1358KB/s；兼容光盘类型包含只读光盘、可读写光盘、可擦写光盘等。</w:t>
            </w:r>
          </w:p>
          <w:p>
            <w:pPr>
              <w:pStyle w:val="247"/>
              <w:kinsoku w:val="0"/>
              <w:overflowPunct w:val="0"/>
              <w:spacing w:before="0" w:line="360" w:lineRule="exact"/>
              <w:ind w:firstLine="241" w:firstLineChars="100"/>
              <w:rPr>
                <w:rFonts w:hint="eastAsia" w:ascii="仿宋_GB2312" w:hAnsi="仿宋_GB2312" w:eastAsia="仿宋_GB2312" w:cs="仿宋_GB2312"/>
                <w:b/>
                <w:bCs/>
                <w:i w:val="0"/>
                <w:color w:val="auto"/>
                <w:kern w:val="0"/>
                <w:sz w:val="24"/>
                <w:szCs w:val="24"/>
                <w:highlight w:val="none"/>
                <w:u w:val="none"/>
                <w:lang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i w:val="0"/>
                <w:color w:val="auto"/>
                <w:kern w:val="0"/>
                <w:sz w:val="24"/>
                <w:szCs w:val="24"/>
                <w:highlight w:val="none"/>
                <w:u w:val="none"/>
                <w:lang w:val="en-US" w:eastAsia="zh-CN"/>
              </w:rPr>
              <w:t>（五）存储功能</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存储功能：通过SATA固态存储/PCIe固态存储/UFS固态存储/SATA硬磁盘等存储部件提供存储功能。</w:t>
            </w:r>
          </w:p>
          <w:p>
            <w:pPr>
              <w:pStyle w:val="247"/>
              <w:kinsoku w:val="0"/>
              <w:overflowPunct w:val="0"/>
              <w:spacing w:before="0" w:line="360" w:lineRule="exact"/>
              <w:ind w:firstLine="241" w:firstLineChars="100"/>
              <w:rPr>
                <w:rFonts w:hint="eastAsia" w:ascii="仿宋_GB2312" w:hAnsi="仿宋_GB2312" w:eastAsia="仿宋_GB2312" w:cs="仿宋_GB2312"/>
                <w:b/>
                <w:bCs/>
                <w:i w:val="0"/>
                <w:color w:val="auto"/>
                <w:kern w:val="0"/>
                <w:sz w:val="24"/>
                <w:szCs w:val="24"/>
                <w:highlight w:val="none"/>
                <w:u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i w:val="0"/>
                <w:color w:val="auto"/>
                <w:kern w:val="0"/>
                <w:sz w:val="24"/>
                <w:szCs w:val="24"/>
                <w:highlight w:val="none"/>
                <w:u w:val="none"/>
                <w:lang w:eastAsia="zh-CN"/>
              </w:rPr>
              <w:t>（</w:t>
            </w:r>
            <w:r>
              <w:rPr>
                <w:rFonts w:hint="eastAsia" w:ascii="仿宋_GB2312" w:hAnsi="仿宋_GB2312" w:eastAsia="仿宋_GB2312" w:cs="仿宋_GB2312"/>
                <w:b/>
                <w:bCs/>
                <w:i w:val="0"/>
                <w:color w:val="auto"/>
                <w:kern w:val="0"/>
                <w:sz w:val="24"/>
                <w:szCs w:val="24"/>
                <w:highlight w:val="none"/>
                <w:u w:val="none"/>
                <w:lang w:val="en-US" w:eastAsia="zh-CN"/>
              </w:rPr>
              <w:t>六</w:t>
            </w:r>
            <w:r>
              <w:rPr>
                <w:rFonts w:hint="eastAsia" w:ascii="仿宋_GB2312" w:hAnsi="仿宋_GB2312" w:eastAsia="仿宋_GB2312" w:cs="仿宋_GB2312"/>
                <w:b/>
                <w:bCs/>
                <w:i w:val="0"/>
                <w:color w:val="auto"/>
                <w:kern w:val="0"/>
                <w:sz w:val="24"/>
                <w:szCs w:val="24"/>
                <w:highlight w:val="none"/>
                <w:u w:val="none"/>
                <w:lang w:eastAsia="zh-CN"/>
              </w:rPr>
              <w:t>）</w:t>
            </w:r>
            <w:r>
              <w:rPr>
                <w:rFonts w:hint="eastAsia" w:ascii="仿宋_GB2312" w:hAnsi="仿宋_GB2312" w:eastAsia="仿宋_GB2312" w:cs="仿宋_GB2312"/>
                <w:b/>
                <w:bCs/>
                <w:i w:val="0"/>
                <w:color w:val="auto"/>
                <w:kern w:val="0"/>
                <w:sz w:val="24"/>
                <w:szCs w:val="24"/>
                <w:highlight w:val="none"/>
                <w:u w:val="none"/>
                <w:lang w:val="en-US" w:eastAsia="zh-CN"/>
              </w:rPr>
              <w:t>网络设备功能</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1.网络功能：a)支持网络连接、网络开启/关闭功能；b)支持访问网络和数据交换功能；</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2.数据传输：支持数据传输能力，并提供数据流量和异常日志记录功能；</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3.有线网卡接口类型：支持RJ45接口；</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4.网络设备拆装：网络设备支持物理拆装，包括无线网卡和蓝牙模块等。</w:t>
            </w:r>
          </w:p>
          <w:p>
            <w:pPr>
              <w:pStyle w:val="247"/>
              <w:kinsoku w:val="0"/>
              <w:overflowPunct w:val="0"/>
              <w:spacing w:before="0" w:line="360" w:lineRule="exact"/>
              <w:ind w:firstLine="241" w:firstLineChars="100"/>
              <w:rPr>
                <w:rFonts w:hint="eastAsia" w:ascii="仿宋_GB2312" w:hAnsi="仿宋_GB2312" w:eastAsia="仿宋_GB2312" w:cs="仿宋_GB2312"/>
                <w:b/>
                <w:bCs/>
                <w:i w:val="0"/>
                <w:color w:val="auto"/>
                <w:kern w:val="0"/>
                <w:sz w:val="24"/>
                <w:szCs w:val="24"/>
                <w:highlight w:val="none"/>
                <w:u w:val="none"/>
                <w:lang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i w:val="0"/>
                <w:color w:val="auto"/>
                <w:kern w:val="0"/>
                <w:sz w:val="24"/>
                <w:szCs w:val="24"/>
                <w:highlight w:val="none"/>
                <w:u w:val="none"/>
                <w:lang w:val="en-US" w:eastAsia="zh-CN"/>
              </w:rPr>
              <w:t>（七）外部接口功能</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1.音频接口类型：支持3.5mm孔径3段式或4段式接口；</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2.视频接口类型：至少支持VGA、HDMI、DVI、DP、Type-C中1种显示接口；</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3.HDMI、DP、Type-C显示接口要求：若提供HDMI或DP或Type-C作为显示接口，应支持音频和视频同步输出。</w:t>
            </w:r>
          </w:p>
          <w:p>
            <w:pPr>
              <w:pStyle w:val="247"/>
              <w:kinsoku w:val="0"/>
              <w:overflowPunct w:val="0"/>
              <w:spacing w:before="0" w:line="360" w:lineRule="exact"/>
              <w:ind w:firstLine="241" w:firstLineChars="100"/>
              <w:rPr>
                <w:rFonts w:hint="eastAsia" w:ascii="仿宋_GB2312" w:hAnsi="仿宋_GB2312" w:eastAsia="仿宋_GB2312" w:cs="仿宋_GB2312"/>
                <w:b/>
                <w:bCs/>
                <w:i w:val="0"/>
                <w:color w:val="auto"/>
                <w:kern w:val="0"/>
                <w:sz w:val="24"/>
                <w:szCs w:val="24"/>
                <w:highlight w:val="none"/>
                <w:u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i w:val="0"/>
                <w:color w:val="auto"/>
                <w:kern w:val="0"/>
                <w:sz w:val="24"/>
                <w:szCs w:val="24"/>
                <w:highlight w:val="none"/>
                <w:u w:val="none"/>
                <w:lang w:val="en-US" w:eastAsia="zh-CN"/>
              </w:rPr>
              <w:t>（八）电源功能</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电源线适配能力：电源适配器电线组件应符合GB/T15934的要求，可拆线的插头和连接器可以不做要求。</w:t>
            </w:r>
          </w:p>
          <w:p>
            <w:pPr>
              <w:pStyle w:val="247"/>
              <w:kinsoku w:val="0"/>
              <w:overflowPunct w:val="0"/>
              <w:spacing w:before="0" w:line="360" w:lineRule="exact"/>
              <w:ind w:firstLine="241" w:firstLineChars="100"/>
              <w:rPr>
                <w:rFonts w:hint="eastAsia" w:ascii="仿宋_GB2312" w:hAnsi="仿宋_GB2312" w:eastAsia="仿宋_GB2312" w:cs="仿宋_GB2312"/>
                <w:b/>
                <w:bCs/>
                <w:i w:val="0"/>
                <w:color w:val="auto"/>
                <w:kern w:val="0"/>
                <w:sz w:val="24"/>
                <w:szCs w:val="24"/>
                <w:highlight w:val="none"/>
                <w:u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i w:val="0"/>
                <w:color w:val="auto"/>
                <w:kern w:val="0"/>
                <w:sz w:val="24"/>
                <w:szCs w:val="24"/>
                <w:highlight w:val="none"/>
                <w:u w:val="none"/>
                <w:lang w:val="en-US" w:eastAsia="zh-CN"/>
              </w:rPr>
              <w:t>（九）操作系统及软件功能</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1.中文信息处理要求：符合GB18030的相关规定；</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2.操作系统备份及还原功能：支持操作系统备份及还原功能；</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3.固件备份还原能力：支持备份及还原固件的功能；</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4.操作系统及驱动升级：支持通过网络、闪存盘等方式对操作系统、驱动进行升级；</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5.固件升级：支持通过网络、闪存盘等方式对固件进行升级；</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6.BIOS支持关闭通讯接口：支持BIOS关闭以太网及USB接口功能；</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7.固件查看信息：支持查看固件版本、内存信息、主板信息、处理器信息和系统时间信息等功能；</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8.固件设置启动顺序：支持设置启动顺序功能，并按照设置的启动顺序启动；</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9.固件设置口令：支持设置口令、修改口令、验证口令功能；</w:t>
            </w:r>
          </w:p>
          <w:p>
            <w:pPr>
              <w:keepNext w:val="0"/>
              <w:keepLines w:val="0"/>
              <w:widowControl/>
              <w:suppressLineNumbers w:val="0"/>
              <w:ind w:firstLine="240" w:firstLineChars="100"/>
              <w:jc w:val="left"/>
              <w:rPr>
                <w:rFonts w:hint="eastAsia" w:ascii="仿宋_GB2312" w:hAnsi="仿宋_GB2312" w:eastAsia="仿宋_GB2312" w:cs="仿宋_GB2312"/>
                <w:i w:val="0"/>
                <w:color w:val="auto"/>
                <w:kern w:val="0"/>
                <w:sz w:val="24"/>
                <w:szCs w:val="24"/>
                <w:highlight w:val="none"/>
                <w:u w:val="none"/>
                <w:lang w:val="en-US" w:eastAsia="zh-CN"/>
              </w:rPr>
            </w:pPr>
            <w:r>
              <w:rPr>
                <w:rFonts w:hint="eastAsia" w:ascii="仿宋_GB2312" w:hAnsi="仿宋_GB2312" w:eastAsia="仿宋_GB2312" w:cs="仿宋_GB2312"/>
                <w:color w:val="auto"/>
                <w:kern w:val="0"/>
                <w:sz w:val="24"/>
                <w:szCs w:val="24"/>
                <w:highlight w:val="none"/>
                <w:lang w:val="en-US" w:eastAsia="zh-CN" w:bidi="ar-SA"/>
              </w:rPr>
              <w:t>10.固件设置网络引导：支持网络引导启动和关闭功能。</w:t>
            </w:r>
          </w:p>
          <w:p>
            <w:pPr>
              <w:pStyle w:val="247"/>
              <w:kinsoku w:val="0"/>
              <w:overflowPunct w:val="0"/>
              <w:spacing w:before="0" w:line="360" w:lineRule="exac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四、存储设备可靠性要求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1.固态存储寿命：TBW≥80TB（条件：256GB硬盘容量）；</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2.机械硬盘寿命：通电时间≥5万小时。</w:t>
            </w:r>
          </w:p>
          <w:p>
            <w:pPr>
              <w:pStyle w:val="247"/>
              <w:kinsoku w:val="0"/>
              <w:overflowPunct w:val="0"/>
              <w:spacing w:before="0" w:line="360" w:lineRule="exac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五、显示设备可靠性要求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显示屏屏幕失效点：符合GB/T9813.2的要求。</w:t>
            </w:r>
          </w:p>
          <w:p>
            <w:pPr>
              <w:pStyle w:val="247"/>
              <w:kinsoku w:val="0"/>
              <w:overflowPunct w:val="0"/>
              <w:spacing w:before="0" w:line="360" w:lineRule="exac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六、外设可靠性要求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1.键盘按键寿命：≥1000万次；</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2.鼠标按键寿命：≥500万次；</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3.键盘鼠标线材寿命：键盘鼠标所用线材经±60°弯折不低于3000次，功能、外观完好；</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4.风扇寿命：≥4万小时。</w:t>
            </w:r>
          </w:p>
          <w:p>
            <w:pPr>
              <w:pStyle w:val="247"/>
              <w:kinsoku w:val="0"/>
              <w:overflowPunct w:val="0"/>
              <w:spacing w:before="0" w:line="360" w:lineRule="exac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七、整机可靠性要求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1.电磁兼容性要求的抗扰度：符合GB/T9254.2的规定；</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2.环境条件要求的气候环境适应性：符合GB/T9813.1中规定；</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3.环境条件要求的振动适应性：符合GB/T9813.1中规定；</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4.环境条件要求的冲击适应性：符合GB/T9813.1中规定；</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5.环境条件要求的碰撞适应性：符合GB/T9813.1中规定；</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6.环境条件要求的运输包装件跌落适应性：符合GB/T9813.1中规定；</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7.MTBF测试：MTBF(m1)≥3万小时。</w:t>
            </w:r>
          </w:p>
          <w:p>
            <w:pPr>
              <w:pStyle w:val="247"/>
              <w:kinsoku w:val="0"/>
              <w:overflowPunct w:val="0"/>
              <w:spacing w:before="0" w:line="360" w:lineRule="exac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八、兼容要求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1.常用软件兼容：支持流式软件、版式软件、浏览器、邮件采购人端、解压软件、多媒体、图形图像处理等常用软件；</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2.数据库兼容：兼容3个及以上厂商的数据库产品；</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3.中间件兼容：兼容3个及以上厂商中间件产品；</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4.平台软件兼容：兼容3个及以上厂商云计算及大数据平台。</w:t>
            </w:r>
            <w:r>
              <w:rPr>
                <w:rFonts w:hint="eastAsia" w:ascii="仿宋_GB2312" w:hAnsi="仿宋_GB2312" w:eastAsia="仿宋_GB2312" w:cs="仿宋_GB2312"/>
                <w:color w:val="auto"/>
                <w:sz w:val="24"/>
                <w:szCs w:val="24"/>
                <w:highlight w:val="none"/>
                <w:lang w:val="en-US" w:eastAsia="zh-CN"/>
              </w:rPr>
              <w:cr/>
            </w: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九、包装及运输要求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标志、包装、运输和贮存：符合GB/T9813.1和商品包装政府采购需求标准的相关规定。</w:t>
            </w:r>
          </w:p>
          <w:p>
            <w:pPr>
              <w:pStyle w:val="247"/>
              <w:kinsoku w:val="0"/>
              <w:overflowPunct w:val="0"/>
              <w:spacing w:before="0" w:line="360" w:lineRule="exac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十、服务要求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1.配置检查工具：供应商提供自检测试工具；</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服务响应：a)供应商提供电话、电子邮件、远程连接等多种形式服务；b)供应商提供同城4h、异地12h技术响应服务，2个工作日解决问题，对于未能解决的问题和故障应提供可行的升级方案，并提供周转设备或更换设备；c)建立全国技术服务体系和服务团体，符合专业服务体系标准要求，提供原厂中文服务；d)服务周期内提供产品的维修、换件和升级服务；</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3.服务周期：a)设备停产后应继续提供质量保障服务（含备品备件），服务终止时间与最后一批设备交付时间间隔不低于6年；b)产品停止服务时间应提前1年告知；c)应明确产品发布日期；</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预装操作系统：预装符合桌面操作系统政府采购需求标准的正版操作系统；预装的操作系统符合《操作系统政府采购需求标准》中加*指标要求（财政部工业和信息化部关于印发《操作系统政府采购需求标准（2023年版）》的通知）；</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5.培训服务：供应商提供培训材料、产品手册、培训视频等培训相关内容；</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6.典型问题解决手册：供应商提供典型问题解决说明文档或视频；</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7.厂家升级软件与扩容服务：供应商提供上门升级部件/软件与扩容的增值服务；</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8.整机质量服务要求：免费服务周期（含换件和维修）应不小于3年；</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9.合格证书要求：供应商提供产品合格证；</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10.开箱组装/使用指导要求：供应商提供开箱组装/使用指导；</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11.驱动下载服务要求：供应商提供驱动光盘或下载方式；</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12.兼容适配软件下载服务要求：供应商提供兼容适配软件下载渠道（光盘、网站）。</w:t>
            </w:r>
          </w:p>
          <w:p>
            <w:pPr>
              <w:pStyle w:val="247"/>
              <w:kinsoku w:val="0"/>
              <w:overflowPunct w:val="0"/>
              <w:spacing w:before="0" w:line="360" w:lineRule="exac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十一、供应链合规性要求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产品部件保障：供应商保障产品主要部件，提供6年的备件服务能力（自购买之日起），或提供可兼容原设备的升级换代产品。</w:t>
            </w:r>
          </w:p>
          <w:p>
            <w:pPr>
              <w:pStyle w:val="247"/>
              <w:kinsoku w:val="0"/>
              <w:overflowPunct w:val="0"/>
              <w:spacing w:before="0" w:line="360" w:lineRule="exac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十二、供应链质量要求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1.抗干扰性：当产品部件出现供应风险时，供应商应通知采购人并提供风险应对方案确保产品的服务保障；</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2.供应能力证明：供应商承诺提供稳定的供应链，确保产品的部件在产品服务周期内稳定供货。</w:t>
            </w:r>
          </w:p>
          <w:p>
            <w:pPr>
              <w:pStyle w:val="247"/>
              <w:kinsoku w:val="0"/>
              <w:overflowPunct w:val="0"/>
              <w:spacing w:before="0" w:line="360" w:lineRule="exac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十三、关键部件安全要求</w:t>
            </w:r>
          </w:p>
          <w:p>
            <w:pPr>
              <w:pStyle w:val="247"/>
              <w:kinsoku w:val="0"/>
              <w:overflowPunct w:val="0"/>
              <w:spacing w:before="0" w:line="360" w:lineRule="exact"/>
              <w:ind w:left="0"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关键部件安全要求：CPU和操作系统等关键部件应当符合安全可靠测评要求，通过政府有关部门指定的中国信息安全测评中心和国家保密科技测评中心网站查看安全可靠测评结果。</w:t>
            </w:r>
          </w:p>
          <w:p>
            <w:pPr>
              <w:pStyle w:val="247"/>
              <w:kinsoku w:val="0"/>
              <w:overflowPunct w:val="0"/>
              <w:spacing w:before="0" w:line="360" w:lineRule="exact"/>
              <w:ind w:left="0" w:firstLine="482"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000000"/>
                <w:sz w:val="24"/>
                <w:szCs w:val="24"/>
                <w:highlight w:val="none"/>
                <w:lang w:eastAsia="zh-CN"/>
              </w:rPr>
              <w:t>注：投标人在填写《技术响应表》时，在“投标</w:t>
            </w:r>
            <w:r>
              <w:rPr>
                <w:rFonts w:hint="eastAsia" w:ascii="仿宋_GB2312" w:hAnsi="仿宋_GB2312" w:eastAsia="仿宋_GB2312" w:cs="仿宋_GB2312"/>
                <w:b/>
                <w:bCs/>
                <w:color w:val="000000"/>
                <w:sz w:val="24"/>
                <w:szCs w:val="24"/>
                <w:highlight w:val="none"/>
                <w:lang w:val="en-US" w:eastAsia="zh-CN"/>
              </w:rPr>
              <w:t>文件</w:t>
            </w:r>
            <w:r>
              <w:rPr>
                <w:rFonts w:hint="eastAsia" w:ascii="仿宋_GB2312" w:hAnsi="仿宋_GB2312" w:eastAsia="仿宋_GB2312" w:cs="仿宋_GB2312"/>
                <w:b/>
                <w:bCs/>
                <w:color w:val="000000"/>
                <w:sz w:val="24"/>
                <w:szCs w:val="24"/>
                <w:highlight w:val="none"/>
                <w:lang w:eastAsia="zh-CN"/>
              </w:rPr>
              <w:t>响应技术参数”明确给出所投</w:t>
            </w:r>
            <w:r>
              <w:rPr>
                <w:rFonts w:hint="eastAsia" w:ascii="仿宋_GB2312" w:hAnsi="仿宋_GB2312" w:eastAsia="仿宋_GB2312" w:cs="仿宋_GB2312"/>
                <w:b/>
                <w:bCs/>
                <w:color w:val="000000"/>
                <w:sz w:val="24"/>
                <w:szCs w:val="24"/>
                <w:highlight w:val="none"/>
                <w:lang w:val="en-US" w:eastAsia="zh-CN"/>
              </w:rPr>
              <w:t>台式</w:t>
            </w:r>
            <w:r>
              <w:rPr>
                <w:rFonts w:hint="eastAsia" w:ascii="仿宋_GB2312" w:hAnsi="仿宋_GB2312" w:eastAsia="仿宋_GB2312" w:cs="仿宋_GB2312"/>
                <w:b/>
                <w:bCs/>
                <w:color w:val="000000"/>
                <w:sz w:val="24"/>
                <w:szCs w:val="24"/>
                <w:highlight w:val="none"/>
                <w:lang w:eastAsia="zh-CN"/>
              </w:rPr>
              <w:t>计算机</w:t>
            </w:r>
            <w:r>
              <w:rPr>
                <w:rFonts w:hint="eastAsia" w:ascii="仿宋_GB2312" w:hAnsi="仿宋_GB2312" w:eastAsia="仿宋_GB2312" w:cs="仿宋_GB2312"/>
                <w:b/>
                <w:bCs/>
                <w:color w:val="000000"/>
                <w:sz w:val="24"/>
                <w:szCs w:val="24"/>
                <w:highlight w:val="none"/>
                <w:lang w:val="en-US" w:eastAsia="zh-CN"/>
              </w:rPr>
              <w:t>2</w:t>
            </w:r>
            <w:r>
              <w:rPr>
                <w:rFonts w:hint="eastAsia" w:ascii="仿宋_GB2312" w:hAnsi="仿宋_GB2312" w:eastAsia="仿宋_GB2312" w:cs="仿宋_GB2312"/>
                <w:b/>
                <w:bCs/>
                <w:color w:val="000000"/>
                <w:sz w:val="24"/>
                <w:szCs w:val="24"/>
                <w:highlight w:val="none"/>
                <w:lang w:eastAsia="zh-CN"/>
              </w:rPr>
              <w:t>“</w:t>
            </w:r>
            <w:r>
              <w:rPr>
                <w:rFonts w:hint="eastAsia" w:ascii="仿宋_GB2312" w:hAnsi="仿宋_GB2312" w:eastAsia="仿宋_GB2312" w:cs="仿宋_GB2312"/>
                <w:b/>
                <w:bCs/>
                <w:color w:val="000000"/>
                <w:sz w:val="24"/>
                <w:szCs w:val="24"/>
                <w:highlight w:val="none"/>
                <w:lang w:val="en-US" w:eastAsia="zh-CN"/>
              </w:rPr>
              <w:t>CPU型号</w:t>
            </w:r>
            <w:r>
              <w:rPr>
                <w:rFonts w:hint="eastAsia" w:ascii="仿宋_GB2312" w:hAnsi="仿宋_GB2312" w:eastAsia="仿宋_GB2312" w:cs="仿宋_GB2312"/>
                <w:b/>
                <w:bCs/>
                <w:color w:val="000000"/>
                <w:sz w:val="24"/>
                <w:szCs w:val="24"/>
                <w:highlight w:val="none"/>
                <w:lang w:eastAsia="zh-CN"/>
              </w:rPr>
              <w:t>”</w:t>
            </w:r>
            <w:r>
              <w:rPr>
                <w:rFonts w:hint="eastAsia" w:ascii="仿宋_GB2312" w:hAnsi="仿宋_GB2312" w:eastAsia="仿宋_GB2312" w:cs="仿宋_GB2312"/>
                <w:b/>
                <w:bCs/>
                <w:color w:val="000000"/>
                <w:sz w:val="24"/>
                <w:szCs w:val="24"/>
                <w:highlight w:val="none"/>
                <w:lang w:val="en-US" w:eastAsia="zh-CN"/>
              </w:rPr>
              <w:t>及“</w:t>
            </w:r>
            <w:r>
              <w:rPr>
                <w:rFonts w:hint="eastAsia" w:ascii="仿宋_GB2312" w:hAnsi="仿宋_GB2312" w:eastAsia="仿宋_GB2312" w:cs="仿宋_GB2312"/>
                <w:b/>
                <w:bCs/>
                <w:color w:val="000000"/>
                <w:sz w:val="24"/>
                <w:szCs w:val="24"/>
                <w:highlight w:val="none"/>
                <w:lang w:eastAsia="zh-CN"/>
              </w:rPr>
              <w:t>操作系统</w:t>
            </w:r>
            <w:r>
              <w:rPr>
                <w:rFonts w:hint="eastAsia" w:ascii="仿宋_GB2312" w:hAnsi="仿宋_GB2312" w:eastAsia="仿宋_GB2312" w:cs="仿宋_GB2312"/>
                <w:b/>
                <w:bCs/>
                <w:color w:val="000000"/>
                <w:sz w:val="24"/>
                <w:szCs w:val="24"/>
                <w:highlight w:val="none"/>
                <w:lang w:val="en-US" w:eastAsia="zh-CN"/>
              </w:rPr>
              <w:t>”</w:t>
            </w:r>
            <w:r>
              <w:rPr>
                <w:rFonts w:hint="eastAsia" w:ascii="仿宋_GB2312" w:hAnsi="仿宋_GB2312" w:eastAsia="仿宋_GB2312" w:cs="仿宋_GB2312"/>
                <w:b/>
                <w:bCs/>
                <w:color w:val="000000"/>
                <w:sz w:val="24"/>
                <w:szCs w:val="24"/>
                <w:highlight w:val="none"/>
                <w:lang w:eastAsia="zh-CN"/>
              </w:rPr>
              <w:t>名称，否则视为投标无效。</w:t>
            </w:r>
          </w:p>
          <w:p>
            <w:pPr>
              <w:pStyle w:val="247"/>
              <w:kinsoku w:val="0"/>
              <w:overflowPunct w:val="0"/>
              <w:spacing w:before="0" w:line="360" w:lineRule="exac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十四、整机安全性要求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1.密码算法实现：CPU芯片应符合GM/T0008的相关规定，或芯片密码模块应符合GB/T37092或GM/T0028的相关规定，通过商用密码检测机构检测并经商用密码认证机构认证合格；</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信息安全基本要求：a)产品应符合GB/T39276的5.2的规定；b)生产厂商应建立漏洞跟踪表，保证产品版本涉及到的漏洞(如驱动程序等)可查看；c)产品不得包含已知的恶意代码或漏洞，不存在未声明的指令、功能、接口；</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3.固件安全启动：支持固件安全启动功能，固件启动过程中只有通过启动校验才能正常启动；</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4.限用物质的限量要求：符合GB/T26572中规定。</w:t>
            </w:r>
          </w:p>
          <w:p>
            <w:pPr>
              <w:pStyle w:val="247"/>
              <w:kinsoku w:val="0"/>
              <w:overflowPunct w:val="0"/>
              <w:spacing w:before="0" w:line="360" w:lineRule="exac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十五、其他要求：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1.适配服务要求：投标人须提供与广西自治区综合办公平台适配的台式计算机产品</w:t>
            </w:r>
            <w:r>
              <w:rPr>
                <w:rFonts w:hint="eastAsia" w:ascii="仿宋_GB2312" w:hAnsi="仿宋_GB2312" w:eastAsia="仿宋_GB2312" w:cs="仿宋_GB2312"/>
                <w:b/>
                <w:bCs/>
                <w:color w:val="auto"/>
                <w:sz w:val="24"/>
                <w:szCs w:val="24"/>
                <w:highlight w:val="none"/>
                <w:lang w:val="en-US" w:eastAsia="zh-CN"/>
              </w:rPr>
              <w:t>（采购人将设置现场踏勘，以便投标人了解适配情况）</w:t>
            </w:r>
            <w:r>
              <w:rPr>
                <w:rFonts w:hint="eastAsia" w:ascii="仿宋_GB2312" w:hAnsi="仿宋_GB2312" w:eastAsia="仿宋_GB2312" w:cs="仿宋_GB2312"/>
                <w:color w:val="auto"/>
                <w:sz w:val="24"/>
                <w:szCs w:val="24"/>
                <w:highlight w:val="none"/>
                <w:lang w:val="en-US" w:eastAsia="zh-CN"/>
              </w:rPr>
              <w:t>；</w:t>
            </w:r>
          </w:p>
          <w:p>
            <w:pPr>
              <w:pStyle w:val="247"/>
              <w:kinsoku w:val="0"/>
              <w:overflowPunct w:val="0"/>
              <w:spacing w:before="0" w:line="360" w:lineRule="exact"/>
              <w:ind w:firstLine="241"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2.供货服务要求：投标人需具备足够宽敞的仓库，在送给使用单位前办理完到货验收手续；按照采购人提出供货要求制定合理、科学的分配方案，制定合理的送货计划和办理交接手续，确保供货及时和货物到场上桌规范。本项目涉及多家使用单位，要求投标人具备有专业的实施保障能力和专业的售后服务能力，合理配置相关技术人员</w:t>
            </w:r>
            <w:r>
              <w:rPr>
                <w:rFonts w:hint="eastAsia" w:ascii="仿宋_GB2312" w:hAnsi="仿宋_GB2312" w:eastAsia="仿宋_GB2312" w:cs="仿宋_GB2312"/>
                <w:b w:val="0"/>
                <w:bCs w:val="0"/>
                <w:i w:val="0"/>
                <w:color w:val="auto"/>
                <w:kern w:val="0"/>
                <w:sz w:val="24"/>
                <w:szCs w:val="24"/>
                <w:highlight w:val="none"/>
                <w:u w:val="none"/>
                <w:lang w:val="en-US" w:eastAsia="zh-CN"/>
              </w:rPr>
              <w:t>。</w:t>
            </w:r>
          </w:p>
        </w:tc>
        <w:tc>
          <w:tcPr>
            <w:tcW w:w="1020" w:type="dxa"/>
            <w:tcBorders>
              <w:top w:val="single" w:color="auto" w:sz="4" w:space="0"/>
              <w:left w:val="single" w:color="auto" w:sz="4" w:space="0"/>
              <w:right w:val="single" w:color="auto" w:sz="4" w:space="0"/>
            </w:tcBorders>
            <w:vAlign w:val="center"/>
          </w:tcPr>
          <w:p>
            <w:pPr>
              <w:spacing w:line="360" w:lineRule="exact"/>
              <w:ind w:left="420" w:leftChars="0" w:hanging="420" w:firstLineChars="0"/>
              <w:jc w:val="center"/>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lang w:val="en-US" w:eastAsia="zh-CN"/>
              </w:rPr>
              <w:t>259</w:t>
            </w:r>
            <w:r>
              <w:rPr>
                <w:rFonts w:hint="eastAsia" w:ascii="仿宋_GB2312" w:hAnsi="仿宋_GB2312" w:eastAsia="仿宋_GB2312" w:cs="仿宋_GB2312"/>
                <w:color w:val="auto"/>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0" w:type="dxa"/>
            <w:tcBorders>
              <w:top w:val="single" w:color="auto" w:sz="4" w:space="0"/>
              <w:left w:val="single" w:color="auto" w:sz="4" w:space="0"/>
              <w:bottom w:val="single" w:color="auto" w:sz="4" w:space="0"/>
              <w:right w:val="single" w:color="auto" w:sz="4" w:space="0"/>
            </w:tcBorders>
            <w:vAlign w:val="center"/>
          </w:tcPr>
          <w:p>
            <w:pPr>
              <w:pStyle w:val="245"/>
              <w:snapToGrid w:val="0"/>
              <w:spacing w:line="36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969" w:type="dxa"/>
            <w:tcBorders>
              <w:top w:val="single" w:color="auto" w:sz="4" w:space="0"/>
              <w:left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台式</w:t>
            </w:r>
          </w:p>
          <w:p>
            <w:pPr>
              <w:widowControl/>
              <w:spacing w:line="36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计算机</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b/>
                <w:bCs/>
                <w:color w:val="auto"/>
                <w:sz w:val="24"/>
                <w:szCs w:val="24"/>
                <w:highlight w:val="none"/>
              </w:rPr>
              <w:t>（强制采购节能产品，详见采购需求说明第八点）</w:t>
            </w:r>
          </w:p>
        </w:tc>
        <w:tc>
          <w:tcPr>
            <w:tcW w:w="6586" w:type="dxa"/>
            <w:tcBorders>
              <w:top w:val="single" w:color="auto" w:sz="4" w:space="0"/>
              <w:left w:val="single" w:color="auto" w:sz="4" w:space="0"/>
              <w:bottom w:val="single" w:color="auto" w:sz="4" w:space="0"/>
              <w:right w:val="single" w:color="auto" w:sz="4" w:space="0"/>
            </w:tcBorders>
            <w:vAlign w:val="center"/>
          </w:tcPr>
          <w:p>
            <w:pPr>
              <w:pStyle w:val="247"/>
              <w:kinsoku w:val="0"/>
              <w:overflowPunct w:val="0"/>
              <w:spacing w:before="0" w:line="360" w:lineRule="exact"/>
              <w:ind w:left="0" w:firstLine="0" w:firstLineChars="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一、产品规格要求</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一</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CPU规格</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1.CPU：≥8核8线程，主频≥2.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GHz</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末级缓存≥2M，</w:t>
            </w:r>
            <w:r>
              <w:rPr>
                <w:rFonts w:hint="eastAsia" w:ascii="仿宋_GB2312" w:hAnsi="仿宋_GB2312" w:eastAsia="仿宋_GB2312" w:cs="仿宋_GB2312"/>
                <w:color w:val="auto"/>
                <w:sz w:val="24"/>
                <w:szCs w:val="24"/>
                <w:highlight w:val="none"/>
                <w:lang w:val="en-US" w:eastAsia="zh-CN"/>
              </w:rPr>
              <w:t>CPU</w:t>
            </w:r>
            <w:r>
              <w:rPr>
                <w:rFonts w:hint="eastAsia" w:ascii="仿宋_GB2312" w:hAnsi="仿宋_GB2312" w:eastAsia="仿宋_GB2312" w:cs="仿宋_GB2312"/>
                <w:color w:val="auto"/>
                <w:sz w:val="24"/>
                <w:szCs w:val="24"/>
                <w:highlight w:val="none"/>
              </w:rPr>
              <w:t>内存≥双通道DDR4-2666MT/s</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热</w:t>
            </w:r>
            <w:r>
              <w:rPr>
                <w:rFonts w:hint="eastAsia" w:ascii="仿宋_GB2312" w:hAnsi="仿宋_GB2312" w:eastAsia="仿宋_GB2312" w:cs="仿宋_GB2312"/>
                <w:color w:val="auto"/>
                <w:kern w:val="2"/>
                <w:sz w:val="24"/>
                <w:szCs w:val="24"/>
                <w:highlight w:val="none"/>
                <w:lang w:val="en-US" w:eastAsia="zh-CN" w:bidi="ar-SA"/>
              </w:rPr>
              <w:t>设计功耗</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kern w:val="2"/>
                <w:sz w:val="24"/>
                <w:szCs w:val="24"/>
                <w:highlight w:val="none"/>
                <w:lang w:val="en-US" w:eastAsia="zh-CN" w:bidi="ar-SA"/>
              </w:rPr>
              <w:t>80W，位宽≥64位；</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二</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内存规格</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1.内存配置容量：≥</w:t>
            </w:r>
            <w:r>
              <w:rPr>
                <w:rFonts w:hint="eastAsia" w:ascii="仿宋_GB2312" w:hAnsi="仿宋_GB2312" w:eastAsia="仿宋_GB2312" w:cs="仿宋_GB2312"/>
                <w:color w:val="auto"/>
                <w:sz w:val="24"/>
                <w:szCs w:val="24"/>
                <w:highlight w:val="none"/>
                <w:lang w:val="en-US" w:eastAsia="zh-CN"/>
              </w:rPr>
              <w:t>16</w:t>
            </w:r>
            <w:r>
              <w:rPr>
                <w:rFonts w:hint="eastAsia" w:ascii="仿宋_GB2312" w:hAnsi="仿宋_GB2312" w:eastAsia="仿宋_GB2312" w:cs="仿宋_GB2312"/>
                <w:color w:val="auto"/>
                <w:sz w:val="24"/>
                <w:szCs w:val="24"/>
                <w:highlight w:val="none"/>
              </w:rPr>
              <w:t>GB；</w:t>
            </w:r>
          </w:p>
          <w:p>
            <w:pPr>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2.内存条配置数量(板载内存不涉及)≥</w:t>
            </w:r>
            <w:r>
              <w:rPr>
                <w:rFonts w:hint="eastAsia" w:ascii="仿宋_GB2312" w:hAnsi="仿宋_GB2312" w:eastAsia="仿宋_GB2312" w:cs="仿宋_GB2312"/>
                <w:color w:val="auto"/>
                <w:sz w:val="24"/>
                <w:szCs w:val="24"/>
                <w:highlight w:val="none"/>
                <w:lang w:val="en-US" w:eastAsia="zh-CN"/>
              </w:rPr>
              <w:t>1；</w:t>
            </w:r>
          </w:p>
          <w:p>
            <w:pPr>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3.支持DDR4/LPDDR4/LPDDR4X及以上内存类型。</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三</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主板规格</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1.主板集成模块：集成资源扩展模块、计算处理模块、音频扩展模块等，主板的互联拓扑可通过处理器或交换电路实现；</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2.主板支持的CPU和内存情况：CPU≥8核8线程，主频≥2.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GHz，</w:t>
            </w:r>
            <w:r>
              <w:rPr>
                <w:rFonts w:hint="eastAsia" w:ascii="仿宋_GB2312" w:hAnsi="仿宋_GB2312" w:eastAsia="仿宋_GB2312" w:cs="仿宋_GB2312"/>
                <w:color w:val="auto"/>
                <w:sz w:val="24"/>
                <w:szCs w:val="24"/>
                <w:highlight w:val="none"/>
                <w:lang w:val="en-US" w:eastAsia="zh-CN"/>
              </w:rPr>
              <w:t>末级</w:t>
            </w:r>
            <w:r>
              <w:rPr>
                <w:rFonts w:hint="eastAsia" w:ascii="仿宋_GB2312" w:hAnsi="仿宋_GB2312" w:eastAsia="仿宋_GB2312" w:cs="仿宋_GB2312"/>
                <w:color w:val="auto"/>
                <w:sz w:val="24"/>
                <w:szCs w:val="24"/>
                <w:highlight w:val="none"/>
              </w:rPr>
              <w:t>缓存≥2M，内存≥</w:t>
            </w:r>
            <w:r>
              <w:rPr>
                <w:rFonts w:hint="eastAsia" w:ascii="仿宋_GB2312" w:hAnsi="仿宋_GB2312" w:eastAsia="仿宋_GB2312" w:cs="仿宋_GB2312"/>
                <w:color w:val="auto"/>
                <w:sz w:val="24"/>
                <w:szCs w:val="24"/>
                <w:highlight w:val="none"/>
                <w:lang w:val="en-US" w:eastAsia="zh-CN"/>
              </w:rPr>
              <w:t>双</w:t>
            </w:r>
            <w:r>
              <w:rPr>
                <w:rFonts w:hint="eastAsia" w:ascii="仿宋_GB2312" w:hAnsi="仿宋_GB2312" w:eastAsia="仿宋_GB2312" w:cs="仿宋_GB2312"/>
                <w:color w:val="auto"/>
                <w:sz w:val="24"/>
                <w:szCs w:val="24"/>
                <w:highlight w:val="none"/>
              </w:rPr>
              <w:t>通道DDR4-2666MT/s，内存条数量≥1；</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3.主板其他内置接口：≥SATA接口*</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，≥USB接口*</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，固态硬盘占用M.2接口*1，机械硬盘占用SATA接口*1</w:t>
            </w:r>
            <w:r>
              <w:rPr>
                <w:rFonts w:hint="eastAsia" w:ascii="仿宋_GB2312" w:hAnsi="仿宋_GB2312" w:eastAsia="仿宋_GB2312" w:cs="仿宋_GB2312"/>
                <w:color w:val="auto"/>
                <w:sz w:val="24"/>
                <w:szCs w:val="24"/>
                <w:highlight w:val="none"/>
                <w:lang w:eastAsia="zh-CN"/>
              </w:rPr>
              <w:t>；</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单内存插槽最大可支持容量（板载内存不涉及）：≥8GB；</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.内存插槽满配时提供的最高内存总容量：≥</w:t>
            </w:r>
            <w:r>
              <w:rPr>
                <w:rFonts w:hint="eastAsia" w:ascii="仿宋_GB2312" w:hAnsi="仿宋_GB2312" w:eastAsia="仿宋_GB2312" w:cs="仿宋_GB2312"/>
                <w:color w:val="auto"/>
                <w:sz w:val="24"/>
                <w:szCs w:val="24"/>
                <w:highlight w:val="none"/>
                <w:lang w:val="en-US" w:eastAsia="zh-CN"/>
              </w:rPr>
              <w:t>16</w:t>
            </w:r>
            <w:r>
              <w:rPr>
                <w:rFonts w:hint="eastAsia" w:ascii="仿宋_GB2312" w:hAnsi="仿宋_GB2312" w:eastAsia="仿宋_GB2312" w:cs="仿宋_GB2312"/>
                <w:color w:val="auto"/>
                <w:sz w:val="24"/>
                <w:szCs w:val="24"/>
                <w:highlight w:val="none"/>
              </w:rPr>
              <w:t>GB</w:t>
            </w:r>
            <w:r>
              <w:rPr>
                <w:rFonts w:hint="eastAsia" w:ascii="仿宋_GB2312" w:hAnsi="仿宋_GB2312" w:eastAsia="仿宋_GB2312" w:cs="仿宋_GB2312"/>
                <w:color w:val="auto"/>
                <w:sz w:val="24"/>
                <w:szCs w:val="24"/>
                <w:highlight w:val="none"/>
                <w:lang w:eastAsia="zh-CN"/>
              </w:rPr>
              <w:t>。</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lang w:val="en-US" w:eastAsia="zh-CN"/>
              </w:rPr>
              <w:t>四</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存储设备规格</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1.固态盘数量：≥1个；</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2.固态存储容量：≥2</w:t>
            </w:r>
            <w:r>
              <w:rPr>
                <w:rFonts w:hint="eastAsia" w:ascii="仿宋_GB2312" w:hAnsi="仿宋_GB2312" w:eastAsia="仿宋_GB2312" w:cs="仿宋_GB2312"/>
                <w:color w:val="auto"/>
                <w:sz w:val="24"/>
                <w:szCs w:val="24"/>
                <w:highlight w:val="none"/>
                <w:lang w:val="en-US" w:eastAsia="zh-CN"/>
              </w:rPr>
              <w:t>56</w:t>
            </w:r>
            <w:r>
              <w:rPr>
                <w:rFonts w:hint="eastAsia" w:ascii="仿宋_GB2312" w:hAnsi="仿宋_GB2312" w:eastAsia="仿宋_GB2312" w:cs="仿宋_GB2312"/>
                <w:color w:val="auto"/>
                <w:sz w:val="24"/>
                <w:szCs w:val="24"/>
                <w:highlight w:val="none"/>
              </w:rPr>
              <w:t>GB；</w:t>
            </w:r>
          </w:p>
          <w:p>
            <w:pPr>
              <w:pStyle w:val="247"/>
              <w:kinsoku w:val="0"/>
              <w:overflowPunct w:val="0"/>
              <w:spacing w:before="0" w:line="360" w:lineRule="exact"/>
              <w:ind w:left="199" w:leftChars="95"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3.机械硬盘数量：≥1个；</w:t>
            </w:r>
            <w:r>
              <w:rPr>
                <w:rFonts w:hint="eastAsia" w:ascii="仿宋_GB2312" w:hAnsi="仿宋_GB2312" w:eastAsia="仿宋_GB2312" w:cs="仿宋_GB2312"/>
                <w:color w:val="auto"/>
                <w:sz w:val="24"/>
                <w:szCs w:val="24"/>
                <w:highlight w:val="none"/>
              </w:rPr>
              <w:cr/>
            </w:r>
            <w:r>
              <w:rPr>
                <w:rFonts w:hint="eastAsia" w:ascii="仿宋_GB2312" w:hAnsi="仿宋_GB2312" w:eastAsia="仿宋_GB2312" w:cs="仿宋_GB2312"/>
                <w:color w:val="auto"/>
                <w:sz w:val="24"/>
                <w:szCs w:val="24"/>
                <w:highlight w:val="none"/>
              </w:rPr>
              <w:t>4.机械硬盘总容量：≥1TB；</w:t>
            </w:r>
          </w:p>
          <w:p>
            <w:pPr>
              <w:pStyle w:val="247"/>
              <w:kinsoku w:val="0"/>
              <w:overflowPunct w:val="0"/>
              <w:spacing w:before="0" w:line="360" w:lineRule="exact"/>
              <w:ind w:left="210" w:leftChars="100"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5.机械硬盘转速：≥5400rpm；</w:t>
            </w:r>
          </w:p>
          <w:p>
            <w:pPr>
              <w:pStyle w:val="247"/>
              <w:kinsoku w:val="0"/>
              <w:overflowPunct w:val="0"/>
              <w:spacing w:before="0" w:line="360" w:lineRule="exact"/>
              <w:ind w:left="210" w:leftChars="100"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6.机械硬盘形态：3.5英寸；</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7.固态存储形态：采用插卡或板载等形态，可选用符合M.2或2.5寸SATA或mSATA等标准的插卡形态；</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8.存储设备其他参数要求：a)固态盘应符合SJ/T11654相关规定；b)机械硬盘准备时间应不大于30s；侧面固定螺丝孔数量可为4孔或6孔；工作状态环境温度应满足5℃</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55℃；其它参数应符合GB/T12628相关规定</w:t>
            </w:r>
            <w:r>
              <w:rPr>
                <w:rFonts w:hint="eastAsia" w:ascii="仿宋_GB2312" w:hAnsi="仿宋_GB2312" w:eastAsia="仿宋_GB2312" w:cs="仿宋_GB2312"/>
                <w:color w:val="auto"/>
                <w:sz w:val="24"/>
                <w:szCs w:val="24"/>
                <w:highlight w:val="none"/>
                <w:lang w:eastAsia="zh-CN"/>
              </w:rPr>
              <w:t>。</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五</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显卡规格</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1.显卡类型：独立显卡或集成显卡；</w:t>
            </w:r>
          </w:p>
          <w:p>
            <w:pPr>
              <w:pStyle w:val="247"/>
              <w:keepNext w:val="0"/>
              <w:keepLines w:val="0"/>
              <w:pageBreakBefore w:val="0"/>
              <w:widowControl w:val="0"/>
              <w:kinsoku w:val="0"/>
              <w:wordWrap w:val="0"/>
              <w:overflowPunct/>
              <w:topLinePunct w:val="0"/>
              <w:autoSpaceDE w:val="0"/>
              <w:autoSpaceDN w:val="0"/>
              <w:bidi w:val="0"/>
              <w:adjustRightInd w:val="0"/>
              <w:snapToGrid/>
              <w:spacing w:before="0" w:line="360" w:lineRule="exact"/>
              <w:ind w:firstLine="240" w:firstLineChars="1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2.独立显卡显存类型（集成显卡不涉及）：若配置独立显卡，显存类型应为DDR3/DDR4/GDDR5/GDDR6/LPDDR4；</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3.独立显卡显存位宽（集成显卡不涉及）：若配置独立显卡，显存位宽≥16位；</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highlight w:val="none"/>
                <w:lang w:val="en-US" w:eastAsia="zh-CN"/>
              </w:rPr>
              <w:t>4.独立显卡显存容量（集成显卡不涉及）：若配置独立显卡，显存容量≥1GB。</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六</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显示设备规格</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1.显示屏屏占比：≥80%；</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2.显示屏分辨率：≥1920x1080；</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3.显示屏尺寸：≥</w:t>
            </w:r>
            <w:r>
              <w:rPr>
                <w:rFonts w:hint="eastAsia" w:ascii="仿宋_GB2312" w:hAnsi="仿宋_GB2312" w:eastAsia="仿宋_GB2312" w:cs="仿宋_GB2312"/>
                <w:color w:val="auto"/>
                <w:sz w:val="24"/>
                <w:szCs w:val="24"/>
                <w:highlight w:val="none"/>
                <w:lang w:val="en-US" w:eastAsia="zh-CN"/>
              </w:rPr>
              <w:t>23</w:t>
            </w:r>
            <w:r>
              <w:rPr>
                <w:rFonts w:hint="eastAsia" w:ascii="仿宋_GB2312" w:hAnsi="仿宋_GB2312" w:eastAsia="仿宋_GB2312" w:cs="仿宋_GB2312"/>
                <w:color w:val="auto"/>
                <w:sz w:val="24"/>
                <w:szCs w:val="24"/>
                <w:highlight w:val="none"/>
              </w:rPr>
              <w:t>英寸；</w:t>
            </w:r>
          </w:p>
          <w:p>
            <w:pPr>
              <w:pStyle w:val="247"/>
              <w:kinsoku w:val="0"/>
              <w:overflowPunct w:val="0"/>
              <w:spacing w:before="1"/>
              <w:ind w:left="239" w:leftChars="114"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4.显示屏屏幕比例：</w:t>
            </w:r>
            <w:r>
              <w:rPr>
                <w:rFonts w:hint="eastAsia" w:ascii="仿宋_GB2312" w:hAnsi="仿宋_GB2312" w:eastAsia="仿宋_GB2312" w:cs="仿宋_GB2312"/>
                <w:color w:val="auto"/>
                <w:kern w:val="0"/>
                <w:sz w:val="24"/>
                <w:szCs w:val="24"/>
                <w:highlight w:val="none"/>
                <w:lang w:val="en-US" w:eastAsia="zh-CN" w:bidi="ar-SA"/>
              </w:rPr>
              <w:t>16:9/3:2/21:9/16:10等</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cr/>
            </w:r>
            <w:r>
              <w:rPr>
                <w:rFonts w:hint="eastAsia" w:ascii="仿宋_GB2312" w:hAnsi="仿宋_GB2312" w:eastAsia="仿宋_GB2312" w:cs="仿宋_GB2312"/>
                <w:color w:val="auto"/>
                <w:sz w:val="24"/>
                <w:szCs w:val="24"/>
                <w:highlight w:val="none"/>
              </w:rPr>
              <w:t>5.显示器外观颜色：</w:t>
            </w:r>
            <w:r>
              <w:rPr>
                <w:rFonts w:hint="eastAsia" w:ascii="仿宋_GB2312" w:hAnsi="仿宋_GB2312" w:eastAsia="仿宋_GB2312" w:cs="仿宋_GB2312"/>
                <w:color w:val="auto"/>
                <w:kern w:val="0"/>
                <w:sz w:val="24"/>
                <w:szCs w:val="24"/>
                <w:highlight w:val="none"/>
                <w:lang w:val="en-US" w:eastAsia="zh-CN" w:bidi="ar-SA"/>
              </w:rPr>
              <w:t>黑色/白色/银色等商务色系</w:t>
            </w:r>
            <w:r>
              <w:rPr>
                <w:rFonts w:hint="eastAsia" w:ascii="仿宋_GB2312" w:hAnsi="仿宋_GB2312" w:eastAsia="仿宋_GB2312" w:cs="仿宋_GB2312"/>
                <w:color w:val="auto"/>
                <w:sz w:val="24"/>
                <w:szCs w:val="24"/>
                <w:highlight w:val="none"/>
              </w:rPr>
              <w:t>；</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6.显示屏防蓝光：支持防蓝光模式，蓝光加权辐射亮度比应≤0.0012W/(·cd·sr)（瓦每坎特拉每球面度）；</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7.显示屏低频闪：显示屏应支持低频闪≤-35dB；</w:t>
            </w:r>
          </w:p>
          <w:p>
            <w:pPr>
              <w:pStyle w:val="247"/>
              <w:kinsoku w:val="0"/>
              <w:overflowPunct w:val="0"/>
              <w:spacing w:before="1"/>
              <w:ind w:left="239" w:leftChars="114"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8.显示屏防炫目：显示屏镜面反射率≤10%</w:t>
            </w:r>
            <w:r>
              <w:rPr>
                <w:rFonts w:hint="eastAsia" w:ascii="仿宋_GB2312" w:hAnsi="仿宋_GB2312" w:eastAsia="仿宋_GB2312" w:cs="仿宋_GB2312"/>
                <w:color w:val="auto"/>
                <w:sz w:val="24"/>
                <w:szCs w:val="24"/>
                <w:highlight w:val="none"/>
                <w:lang w:eastAsia="zh-CN"/>
              </w:rPr>
              <w:t>；</w:t>
            </w:r>
          </w:p>
          <w:p>
            <w:pPr>
              <w:pStyle w:val="247"/>
              <w:kinsoku w:val="0"/>
              <w:overflowPunct w:val="0"/>
              <w:spacing w:before="1"/>
              <w:ind w:left="239" w:leftChars="114" w:firstLine="0" w:firstLineChars="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w:t>
            </w:r>
            <w:r>
              <w:rPr>
                <w:rFonts w:hint="eastAsia" w:ascii="仿宋_GB2312" w:hAnsi="仿宋_GB2312" w:eastAsia="仿宋_GB2312" w:cs="仿宋_GB2312"/>
                <w:color w:val="auto"/>
                <w:sz w:val="24"/>
                <w:szCs w:val="24"/>
                <w:highlight w:val="none"/>
                <w:lang w:eastAsia="zh-CN"/>
              </w:rPr>
              <w:t>显示器需配置HDMI线一条</w:t>
            </w:r>
            <w:r>
              <w:rPr>
                <w:rFonts w:hint="eastAsia" w:ascii="仿宋_GB2312" w:hAnsi="仿宋_GB2312" w:eastAsia="仿宋_GB2312" w:cs="仿宋_GB2312"/>
                <w:color w:val="auto"/>
                <w:sz w:val="24"/>
                <w:szCs w:val="24"/>
                <w:highlight w:val="none"/>
                <w:lang w:val="en-US" w:eastAsia="zh-CN"/>
              </w:rPr>
              <w:t>。</w:t>
            </w:r>
          </w:p>
          <w:p>
            <w:pPr>
              <w:pStyle w:val="247"/>
              <w:kinsoku w:val="0"/>
              <w:overflowPunct w:val="0"/>
              <w:spacing w:before="0" w:line="360" w:lineRule="exact"/>
              <w:ind w:left="0" w:firstLine="241"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七</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外设规格</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1.鼠标数量：≥1个；</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2.键盘数量：≥1个；</w:t>
            </w:r>
          </w:p>
          <w:p>
            <w:pPr>
              <w:pStyle w:val="247"/>
              <w:kinsoku w:val="0"/>
              <w:overflowPunct w:val="0"/>
              <w:spacing w:before="1"/>
              <w:ind w:left="239" w:leftChars="114" w:firstLine="0" w:firstLineChars="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3.键盘按键数目：</w:t>
            </w:r>
            <w:r>
              <w:rPr>
                <w:rFonts w:hint="eastAsia" w:ascii="宋体" w:hAnsi="宋体" w:eastAsia="宋体" w:cs="宋体"/>
                <w:color w:val="auto"/>
                <w:sz w:val="24"/>
                <w:szCs w:val="24"/>
                <w:highlight w:val="none"/>
                <w:lang w:val="en-US" w:eastAsia="zh-CN"/>
              </w:rPr>
              <w:t>≥</w:t>
            </w:r>
            <w:r>
              <w:rPr>
                <w:rFonts w:hint="eastAsia" w:ascii="仿宋_GB2312" w:hAnsi="仿宋_GB2312" w:eastAsia="仿宋_GB2312" w:cs="仿宋_GB2312"/>
                <w:color w:val="auto"/>
                <w:sz w:val="24"/>
                <w:szCs w:val="24"/>
                <w:highlight w:val="none"/>
                <w:lang w:val="en-US" w:eastAsia="zh-CN"/>
              </w:rPr>
              <w:t>61键；</w:t>
            </w:r>
          </w:p>
          <w:p>
            <w:pPr>
              <w:pStyle w:val="247"/>
              <w:kinsoku w:val="0"/>
              <w:overflowPunct w:val="0"/>
              <w:spacing w:before="1"/>
              <w:ind w:left="239" w:leftChars="114" w:firstLine="0" w:firstLineChars="0"/>
              <w:rPr>
                <w:rFonts w:hint="eastAsia" w:ascii="仿宋_GB2312" w:hAnsi="仿宋_GB2312" w:eastAsia="黑体"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.键盘连接方式：</w:t>
            </w:r>
            <w:r>
              <w:rPr>
                <w:rFonts w:hint="eastAsia" w:ascii="仿宋_GB2312" w:hAnsi="仿宋_GB2312" w:eastAsia="仿宋_GB2312" w:cs="仿宋_GB2312"/>
                <w:color w:val="auto"/>
                <w:sz w:val="24"/>
                <w:szCs w:val="24"/>
                <w:highlight w:val="none"/>
                <w:lang w:val="en-US" w:eastAsia="zh-CN"/>
              </w:rPr>
              <w:t>有线</w:t>
            </w:r>
            <w:r>
              <w:rPr>
                <w:rFonts w:hint="eastAsia"/>
                <w:lang w:eastAsia="zh-CN"/>
              </w:rPr>
              <w:t>；</w:t>
            </w:r>
          </w:p>
          <w:p>
            <w:pPr>
              <w:pStyle w:val="247"/>
              <w:kinsoku w:val="0"/>
              <w:overflowPunct w:val="0"/>
              <w:spacing w:before="1"/>
              <w:ind w:left="239" w:leftChars="114" w:firstLine="0" w:firstLineChars="0"/>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lang w:val="en-US" w:eastAsia="zh-CN"/>
              </w:rPr>
              <w:t>5.键盘键程：2.3mm-4.0mm；</w:t>
            </w:r>
          </w:p>
          <w:p>
            <w:pPr>
              <w:pStyle w:val="247"/>
              <w:kinsoku w:val="0"/>
              <w:overflowPunct w:val="0"/>
              <w:spacing w:before="1"/>
              <w:ind w:left="239" w:leftChars="114" w:firstLine="0" w:firstLineChars="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6.键盘按键压力：按键压力应在0.54N±0.14N；</w:t>
            </w:r>
          </w:p>
          <w:p>
            <w:pPr>
              <w:pStyle w:val="247"/>
              <w:kinsoku w:val="0"/>
              <w:overflowPunct w:val="0"/>
              <w:spacing w:before="1"/>
              <w:ind w:left="239" w:leftChars="114" w:firstLine="0" w:firstLineChars="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7.有线键盘连接线：≥1.5米；</w:t>
            </w:r>
          </w:p>
          <w:p>
            <w:pPr>
              <w:pStyle w:val="247"/>
              <w:kinsoku w:val="0"/>
              <w:overflowPunct w:val="0"/>
              <w:spacing w:before="1"/>
              <w:ind w:left="239" w:leftChars="114" w:firstLine="0" w:firstLineChars="0"/>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lang w:val="en-US" w:eastAsia="zh-CN"/>
              </w:rPr>
              <w:t>8.键盘颜色：黑色；</w:t>
            </w:r>
          </w:p>
          <w:p>
            <w:pPr>
              <w:pStyle w:val="247"/>
              <w:kinsoku w:val="0"/>
              <w:overflowPunct w:val="0"/>
              <w:spacing w:before="1"/>
              <w:ind w:left="239" w:leftChars="114" w:firstLine="0" w:firstLineChars="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9.鼠标连接方式：有线；</w:t>
            </w:r>
          </w:p>
          <w:p>
            <w:pPr>
              <w:pStyle w:val="247"/>
              <w:kinsoku w:val="0"/>
              <w:overflowPunct w:val="0"/>
              <w:spacing w:before="1"/>
              <w:ind w:left="239" w:leftChars="114" w:firstLine="0" w:firstLineChars="0"/>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lang w:val="en-US" w:eastAsia="zh-CN"/>
              </w:rPr>
              <w:t>10.有线鼠标连接线：≥1.5米；</w:t>
            </w:r>
          </w:p>
          <w:p>
            <w:pPr>
              <w:pStyle w:val="247"/>
              <w:kinsoku w:val="0"/>
              <w:overflowPunct w:val="0"/>
              <w:spacing w:before="1"/>
              <w:ind w:left="239" w:leftChars="114" w:firstLine="0" w:firstLineChars="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11.鼠标DPI分辨率：800-1600；</w:t>
            </w:r>
          </w:p>
          <w:p>
            <w:pPr>
              <w:pStyle w:val="247"/>
              <w:kinsoku w:val="0"/>
              <w:overflowPunct w:val="0"/>
              <w:spacing w:before="1"/>
              <w:ind w:left="239" w:leftChars="114" w:firstLine="0" w:firstLineChars="0"/>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lang w:val="en-US" w:eastAsia="zh-CN"/>
              </w:rPr>
              <w:t>12.鼠标颜色：黑色；</w:t>
            </w:r>
          </w:p>
          <w:p>
            <w:pPr>
              <w:pStyle w:val="247"/>
              <w:kinsoku w:val="0"/>
              <w:overflowPunct w:val="0"/>
              <w:spacing w:before="1"/>
              <w:ind w:left="239" w:leftChars="114" w:firstLine="0" w:firstLineChars="0"/>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sz w:val="24"/>
                <w:szCs w:val="24"/>
                <w:highlight w:val="none"/>
                <w:lang w:val="en-US" w:eastAsia="zh-CN"/>
              </w:rPr>
              <w:t>13.鼠标其他要求：其它参数应符合GB/T26245的相关规定;</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14.</w:t>
            </w:r>
            <w:r>
              <w:rPr>
                <w:rFonts w:hint="eastAsia" w:ascii="仿宋_GB2312" w:hAnsi="仿宋_GB2312" w:eastAsia="仿宋_GB2312" w:cs="仿宋_GB2312"/>
                <w:i w:val="0"/>
                <w:color w:val="auto"/>
                <w:kern w:val="0"/>
                <w:sz w:val="24"/>
                <w:szCs w:val="24"/>
                <w:highlight w:val="none"/>
                <w:u w:val="none"/>
                <w:lang w:eastAsia="zh-CN"/>
              </w:rPr>
              <w:t>光驱数量</w:t>
            </w:r>
            <w:r>
              <w:rPr>
                <w:rFonts w:hint="eastAsia" w:ascii="仿宋_GB2312" w:hAnsi="仿宋_GB2312" w:eastAsia="仿宋_GB2312" w:cs="仿宋_GB2312"/>
                <w:color w:val="auto"/>
                <w:sz w:val="24"/>
                <w:szCs w:val="24"/>
                <w:highlight w:val="none"/>
              </w:rPr>
              <w:t>：≥1个；</w:t>
            </w:r>
            <w:r>
              <w:rPr>
                <w:rFonts w:hint="eastAsia" w:ascii="仿宋_GB2312" w:hAnsi="仿宋_GB2312" w:eastAsia="仿宋_GB2312" w:cs="仿宋_GB2312"/>
                <w:i w:val="0"/>
                <w:color w:val="auto"/>
                <w:kern w:val="0"/>
                <w:sz w:val="24"/>
                <w:szCs w:val="24"/>
                <w:highlight w:val="none"/>
                <w:u w:val="none"/>
                <w:lang w:eastAsia="zh-CN"/>
              </w:rPr>
              <w:t>内置或外置DVD光驱。</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八</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网络设备规格</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有线网卡数量：≥1</w:t>
            </w:r>
            <w:r>
              <w:rPr>
                <w:rFonts w:hint="eastAsia" w:ascii="仿宋_GB2312" w:hAnsi="仿宋_GB2312" w:eastAsia="仿宋_GB2312" w:cs="仿宋_GB2312"/>
                <w:color w:val="auto"/>
                <w:sz w:val="24"/>
                <w:szCs w:val="24"/>
                <w:highlight w:val="none"/>
                <w:lang w:eastAsia="zh-CN"/>
              </w:rPr>
              <w:t>。</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九</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外部接口规格</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1.USB接口数量：≥3个，至少包含</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个USB3.0及以上标准接口；</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2.视频接口数量：≥1；</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3.音频接口数量：≥1</w:t>
            </w:r>
            <w:r>
              <w:rPr>
                <w:rFonts w:hint="eastAsia" w:ascii="仿宋_GB2312" w:hAnsi="仿宋_GB2312" w:eastAsia="仿宋_GB2312" w:cs="仿宋_GB2312"/>
                <w:color w:val="auto"/>
                <w:sz w:val="24"/>
                <w:szCs w:val="24"/>
                <w:highlight w:val="none"/>
                <w:lang w:eastAsia="zh-CN"/>
              </w:rPr>
              <w:t>。</w:t>
            </w:r>
          </w:p>
          <w:p>
            <w:pPr>
              <w:pStyle w:val="247"/>
              <w:kinsoku w:val="0"/>
              <w:overflowPunct w:val="0"/>
              <w:spacing w:before="0" w:line="360" w:lineRule="exact"/>
              <w:ind w:firstLine="241" w:firstLineChars="10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lang w:val="en-US" w:eastAsia="zh-CN"/>
              </w:rPr>
              <w:t>十</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i w:val="0"/>
                <w:color w:val="auto"/>
                <w:kern w:val="0"/>
                <w:sz w:val="24"/>
                <w:szCs w:val="24"/>
                <w:highlight w:val="none"/>
                <w:u w:val="none"/>
                <w:lang w:val="en-US" w:eastAsia="zh-CN"/>
              </w:rPr>
              <w:t>整机基础规格</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整机外观：a)产品表面不应有凹痕、划伤、裂缝、变形和污染等。表面涂层均匀，不应起泡、龟裂、脱落和磨损，金属零部件无锈蚀及其它机械损伤；b)产品表面说明功能的文字、符号、标志，应清晰、端正、牢固；</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2.状态指示灯：在产品显著位置提供状态指示功能；</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整机结构：a)机箱应符合GB/T4208、GB/T26246的相关规定；b)产品内部结构应符合通用部件的安装需求；c)所有输入输出接口应符合相关国家或行业标准；d)产品零部件应紧固无松动，可插拔部件应可靠连接，开关、按钮和其它控制部件应灵活可靠，布局应方便使用；e)所有I/O连接器及需插接线缆的部位应预留采购人操作空间，方便插拔解锁与插拔线缆；f)可插拔板卡插槽部位应预留安装、拆卸或更换板卡空间；g)拆装可能接触到的金属剪口或金属尖角部位应做防划伤处理，以保证安全；h)整机内部走线应规整，固线结构和位置要合理可靠并做防割线处理，需便于理线和插拔操作，走线应不影响系统各主要部件组装和拆卸；i)如需通过孔走线，过线孔应做防割线处理；j)各插头位置和插拔方向应合理，应做到插拔无障碍设计，具备防呆设计，有效避免误操作；k)各主要部件拆装无障碍，使用常规工具拆装，无特殊拆装工具需求；l)各主要部件拆装步骤要少，各自拆装需避免相互干扰；m)对于整机或零部件外表面为高亮面的，应粘贴保护膜，保护膜需粘贴牢固，运输、组装等过程不易脱落，撕下无残留；n)其它要求应符合GB/T9813.1的相关规定；</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4.机箱防护要求：机箱应符合GB/T4208中IP20防护要求；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5.整机噪音：产品工作在空闲状态下，产品的声功率级应不超过4.5Bel；</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整机散热：在环境温度25℃及处理器满载情况下，产品表面温度应符合如下要求：a)出风口在机箱后面板情况下，出风口温度不高于55℃；b)可触及面温度不高于45℃；c)显示器表面温度：显示屏不高于38℃，显示屏上下灯带位置温度（如涉及）不高于40℃，出风口温度不高于45℃；</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7.整机能效限定值：产品能效限定值应达到GB28380-2012标准中能效等级2级及以上；</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8.机身材质：</w:t>
            </w:r>
            <w:r>
              <w:rPr>
                <w:rFonts w:hint="eastAsia" w:ascii="仿宋_GB2312" w:hAnsi="仿宋_GB2312" w:eastAsia="仿宋_GB2312" w:cs="仿宋_GB2312"/>
                <w:color w:val="auto"/>
                <w:kern w:val="0"/>
                <w:sz w:val="24"/>
                <w:szCs w:val="24"/>
                <w:highlight w:val="none"/>
                <w:lang w:val="en-US" w:eastAsia="zh-CN" w:bidi="ar-SA"/>
              </w:rPr>
              <w:t>塑料/金属等</w:t>
            </w:r>
            <w:r>
              <w:rPr>
                <w:rFonts w:hint="eastAsia" w:ascii="仿宋_GB2312" w:hAnsi="仿宋_GB2312" w:eastAsia="仿宋_GB2312" w:cs="仿宋_GB2312"/>
                <w:color w:val="auto"/>
                <w:sz w:val="24"/>
                <w:szCs w:val="24"/>
                <w:highlight w:val="none"/>
                <w:lang w:val="en-US" w:eastAsia="zh-CN"/>
              </w:rPr>
              <w:t>；</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9.机身颜色：</w:t>
            </w:r>
            <w:r>
              <w:rPr>
                <w:rFonts w:hint="eastAsia" w:ascii="仿宋_GB2312" w:hAnsi="仿宋_GB2312" w:eastAsia="仿宋_GB2312" w:cs="仿宋_GB2312"/>
                <w:color w:val="auto"/>
                <w:kern w:val="0"/>
                <w:sz w:val="24"/>
                <w:szCs w:val="24"/>
                <w:highlight w:val="none"/>
                <w:lang w:val="en-US" w:eastAsia="zh-CN" w:bidi="ar-SA"/>
              </w:rPr>
              <w:t>灰色/黑色等商务色系</w:t>
            </w:r>
            <w:r>
              <w:rPr>
                <w:rFonts w:hint="eastAsia" w:ascii="仿宋_GB2312" w:hAnsi="仿宋_GB2312" w:eastAsia="仿宋_GB2312" w:cs="仿宋_GB2312"/>
                <w:color w:val="auto"/>
                <w:sz w:val="24"/>
                <w:szCs w:val="24"/>
                <w:highlight w:val="none"/>
                <w:lang w:val="en-US" w:eastAsia="zh-CN"/>
              </w:rPr>
              <w:t>；</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10.机箱尺寸容量：机箱体积应不大于30L。</w:t>
            </w:r>
          </w:p>
          <w:p>
            <w:pPr>
              <w:pStyle w:val="247"/>
              <w:kinsoku w:val="0"/>
              <w:overflowPunct w:val="0"/>
              <w:spacing w:before="0" w:line="360" w:lineRule="exact"/>
              <w:ind w:left="0" w:firstLine="0" w:firstLineChars="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二、产品性能要求</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lang w:val="en-US" w:eastAsia="zh-CN"/>
              </w:rPr>
              <w:t>一</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CPU性能</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1.CPU物理核数：≥8；</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2.CPU主频：≥2.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GHz；</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3.CPU末级缓存容量≥2MB；</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4.CPU支持的内存最高速率≥2666MT/s。</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二</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内存性能</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内存读写速率：≥2666MT/s</w:t>
            </w:r>
            <w:r>
              <w:rPr>
                <w:rFonts w:hint="eastAsia" w:ascii="仿宋_GB2312" w:hAnsi="仿宋_GB2312" w:eastAsia="仿宋_GB2312" w:cs="仿宋_GB2312"/>
                <w:color w:val="auto"/>
                <w:sz w:val="24"/>
                <w:szCs w:val="24"/>
                <w:highlight w:val="none"/>
                <w:lang w:eastAsia="zh-CN"/>
              </w:rPr>
              <w:t>。</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三</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显卡性能</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1.显示分辨率：≥1920*1080；</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2.显卡显示芯片核心频率：≥300MHz；</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3.显存等效频率：≥1000MT/s；</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4.显卡可支持多屏同时显示数量：显卡应支持2块屏幕同时显示，分辨率应不低于1920×1080。</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四</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显示设备性能</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1.显示屏刷新率：≥75Hz；</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2.显示屏位深：≥8位；</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3.显示屏色域：≥99%sRGB；</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4.显示屏色准：△E≤4；</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5.显示屏响应时间：≤8ms；</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6.显示屏亮度：≥250尼特；</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7.显示屏亮度一致性：≥70%；</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8.显示屏对比度：≥500：1；</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9.显示屏其他参数：其它参数应符合SJ/T11292的相关规定。</w:t>
            </w:r>
          </w:p>
          <w:p>
            <w:pPr>
              <w:pStyle w:val="247"/>
              <w:kinsoku w:val="0"/>
              <w:overflowPunct w:val="0"/>
              <w:spacing w:before="0" w:line="360" w:lineRule="exact"/>
              <w:ind w:firstLine="241"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五</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网络设备性能</w:t>
            </w:r>
          </w:p>
          <w:p>
            <w:pPr>
              <w:pStyle w:val="247"/>
              <w:keepNext w:val="0"/>
              <w:keepLines w:val="0"/>
              <w:pageBreakBefore w:val="0"/>
              <w:widowControl w:val="0"/>
              <w:kinsoku w:val="0"/>
              <w:wordWrap w:val="0"/>
              <w:overflowPunct/>
              <w:topLinePunct w:val="0"/>
              <w:autoSpaceDE w:val="0"/>
              <w:autoSpaceDN w:val="0"/>
              <w:bidi w:val="0"/>
              <w:adjustRightInd w:val="0"/>
              <w:snapToGrid/>
              <w:spacing w:before="0" w:line="360" w:lineRule="exact"/>
              <w:ind w:firstLine="240" w:firstLineChars="1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有线网卡速率：最高速率应不低于1000Mbps，应支持10Mbps、100Mbps、1000Mbps速率自适应</w:t>
            </w:r>
            <w:r>
              <w:rPr>
                <w:rFonts w:hint="eastAsia" w:ascii="仿宋_GB2312" w:hAnsi="仿宋_GB2312" w:eastAsia="仿宋_GB2312" w:cs="仿宋_GB2312"/>
                <w:color w:val="auto"/>
                <w:sz w:val="24"/>
                <w:szCs w:val="24"/>
                <w:highlight w:val="none"/>
                <w:lang w:eastAsia="zh-CN"/>
              </w:rPr>
              <w:t>。</w:t>
            </w:r>
          </w:p>
          <w:p>
            <w:pPr>
              <w:pStyle w:val="247"/>
              <w:kinsoku w:val="0"/>
              <w:overflowPunct w:val="0"/>
              <w:spacing w:before="0" w:line="360" w:lineRule="exact"/>
              <w:ind w:left="0" w:firstLine="0" w:firstLineChars="0"/>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val="en-US" w:eastAsia="zh-CN"/>
              </w:rPr>
              <w:t>三、产品功能要求</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lang w:val="en-US" w:eastAsia="zh-CN"/>
              </w:rPr>
              <w:t>一</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主板功能</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1.内存扩展接口(板载内存不涉及)：≥</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个；</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2.主板USB瞬间过流保护：支持有瞬间过流保护功能；</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3.主板防静电保护：支持防静电保护功能；</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I/O接口功能：提供基于标准USB接口外设连接功能、基于音频输入输出接口的音频扩展功能、基于PCIe接口板卡扩展功能、基于HDMI或VGA或Type-C或DVI或DP等接口外接显示器扩展功能、基于存储接口对产品进行增容功能等。产品I/O接口，应具备外接标准USB设备、显示器、音频设备等内外部设备能力。</w:t>
            </w:r>
          </w:p>
          <w:p>
            <w:pPr>
              <w:pStyle w:val="247"/>
              <w:kinsoku w:val="0"/>
              <w:overflowPunct w:val="0"/>
              <w:spacing w:before="0" w:line="360" w:lineRule="exact"/>
              <w:ind w:left="0" w:firstLine="241"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lang w:val="en-US" w:eastAsia="zh-CN"/>
              </w:rPr>
              <w:t>二</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显</w:t>
            </w:r>
            <w:r>
              <w:rPr>
                <w:rFonts w:hint="eastAsia" w:ascii="仿宋_GB2312" w:hAnsi="仿宋_GB2312" w:eastAsia="仿宋_GB2312" w:cs="仿宋_GB2312"/>
                <w:b/>
                <w:bCs/>
                <w:color w:val="auto"/>
                <w:sz w:val="24"/>
                <w:szCs w:val="24"/>
                <w:highlight w:val="none"/>
                <w:lang w:val="en-US" w:eastAsia="zh-CN"/>
              </w:rPr>
              <w:t>卡</w:t>
            </w:r>
            <w:r>
              <w:rPr>
                <w:rFonts w:hint="eastAsia" w:ascii="仿宋_GB2312" w:hAnsi="仿宋_GB2312" w:eastAsia="仿宋_GB2312" w:cs="仿宋_GB2312"/>
                <w:b/>
                <w:bCs/>
                <w:color w:val="auto"/>
                <w:sz w:val="24"/>
                <w:szCs w:val="24"/>
                <w:highlight w:val="none"/>
              </w:rPr>
              <w:t>功能</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显卡外接显示接口：至少支持VGA、HDMI、DVI、DP、Type-C中1种显示接口，并与显示器接口相匹配。</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lang w:val="en-US" w:eastAsia="zh-CN"/>
              </w:rPr>
              <w:t>三</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显示设备功能</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1.显示器接口：显示器应与显卡外接显示接口匹配；</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2.显示器支架：显示器应提供显示器支架，根据采购人需求支持屏幕旋转、升降等；</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3.显示器参数调节：a)提供OSD选单按钮用于调节色彩、模式等；b)支持色温、亮度、对比度调节。</w:t>
            </w:r>
          </w:p>
          <w:p>
            <w:pPr>
              <w:pStyle w:val="247"/>
              <w:kinsoku w:val="0"/>
              <w:overflowPunct w:val="0"/>
              <w:spacing w:before="0" w:line="360" w:lineRule="exact"/>
              <w:ind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i w:val="0"/>
                <w:color w:val="auto"/>
                <w:kern w:val="0"/>
                <w:sz w:val="24"/>
                <w:szCs w:val="24"/>
                <w:highlight w:val="none"/>
                <w:u w:val="none"/>
                <w:lang w:eastAsia="zh-CN"/>
              </w:rPr>
              <w:t>（</w:t>
            </w:r>
            <w:r>
              <w:rPr>
                <w:rFonts w:hint="eastAsia" w:ascii="仿宋_GB2312" w:hAnsi="仿宋_GB2312" w:eastAsia="仿宋_GB2312" w:cs="仿宋_GB2312"/>
                <w:b/>
                <w:bCs/>
                <w:i w:val="0"/>
                <w:color w:val="auto"/>
                <w:kern w:val="0"/>
                <w:sz w:val="24"/>
                <w:szCs w:val="24"/>
                <w:highlight w:val="none"/>
                <w:u w:val="none"/>
                <w:lang w:val="en-US" w:eastAsia="zh-CN"/>
              </w:rPr>
              <w:t>四</w:t>
            </w:r>
            <w:r>
              <w:rPr>
                <w:rFonts w:hint="eastAsia" w:ascii="仿宋_GB2312" w:hAnsi="仿宋_GB2312" w:eastAsia="仿宋_GB2312" w:cs="仿宋_GB2312"/>
                <w:b/>
                <w:bCs/>
                <w:i w:val="0"/>
                <w:color w:val="auto"/>
                <w:kern w:val="0"/>
                <w:sz w:val="24"/>
                <w:szCs w:val="24"/>
                <w:highlight w:val="none"/>
                <w:u w:val="none"/>
                <w:lang w:eastAsia="zh-CN"/>
              </w:rPr>
              <w:t>）光驱功能</w:t>
            </w:r>
          </w:p>
          <w:p>
            <w:pPr>
              <w:pStyle w:val="247"/>
              <w:kinsoku w:val="0"/>
              <w:overflowPunct w:val="0"/>
              <w:spacing w:before="0" w:line="360" w:lineRule="exact"/>
              <w:ind w:left="0" w:firstLine="240" w:firstLineChars="100"/>
              <w:rPr>
                <w:rFonts w:hint="eastAsia" w:ascii="仿宋_GB2312" w:hAnsi="仿宋_GB2312" w:eastAsia="仿宋_GB2312" w:cs="仿宋_GB2312"/>
                <w:i w:val="0"/>
                <w:color w:val="auto"/>
                <w:kern w:val="0"/>
                <w:sz w:val="24"/>
                <w:szCs w:val="24"/>
                <w:highlight w:val="none"/>
                <w:u w:val="none"/>
                <w:lang w:val="en-US" w:eastAsia="zh-CN"/>
              </w:rPr>
            </w:pPr>
            <w:r>
              <w:rPr>
                <w:rFonts w:hint="eastAsia" w:ascii="仿宋_GB2312" w:hAnsi="仿宋_GB2312" w:eastAsia="仿宋_GB2312" w:cs="仿宋_GB2312"/>
                <w:i w:val="0"/>
                <w:color w:val="auto"/>
                <w:kern w:val="0"/>
                <w:sz w:val="24"/>
                <w:szCs w:val="24"/>
                <w:highlight w:val="none"/>
                <w:u w:val="none"/>
                <w:lang w:val="en-US" w:eastAsia="zh-CN"/>
              </w:rPr>
              <w:t>光驱应支持只读、刻录等类型；最大读取速度CD不低于24×150KB/s；最大读取速度DVD不低于8×358KB/s；最大刻录速度CD不低于24×150KB/s；最大刻录速度DVD不低于6×1358KB/s；兼容光盘类型包含只读光盘、可读写光盘、可擦写光盘等。</w:t>
            </w:r>
          </w:p>
          <w:p>
            <w:pPr>
              <w:pStyle w:val="247"/>
              <w:kinsoku w:val="0"/>
              <w:overflowPunct w:val="0"/>
              <w:spacing w:before="0" w:line="360" w:lineRule="exact"/>
              <w:ind w:firstLine="241" w:firstLineChars="100"/>
              <w:rPr>
                <w:rFonts w:hint="eastAsia" w:ascii="仿宋_GB2312" w:hAnsi="仿宋_GB2312" w:eastAsia="仿宋_GB2312" w:cs="仿宋_GB2312"/>
                <w:b/>
                <w:bCs/>
                <w:i w:val="0"/>
                <w:color w:val="auto"/>
                <w:kern w:val="0"/>
                <w:sz w:val="24"/>
                <w:szCs w:val="24"/>
                <w:highlight w:val="none"/>
                <w:u w:val="none"/>
                <w:lang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i w:val="0"/>
                <w:color w:val="auto"/>
                <w:kern w:val="0"/>
                <w:sz w:val="24"/>
                <w:szCs w:val="24"/>
                <w:highlight w:val="none"/>
                <w:u w:val="none"/>
                <w:lang w:val="en-US" w:eastAsia="zh-CN"/>
              </w:rPr>
              <w:t>（五）存储功能</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存储功能：通过SATA固态存储/PCIe固态存储/UFS固态存储/SATA硬磁盘等存储部件提供存储功能。</w:t>
            </w:r>
          </w:p>
          <w:p>
            <w:pPr>
              <w:pStyle w:val="247"/>
              <w:kinsoku w:val="0"/>
              <w:overflowPunct w:val="0"/>
              <w:spacing w:before="0" w:line="360" w:lineRule="exact"/>
              <w:ind w:firstLine="241" w:firstLineChars="100"/>
              <w:rPr>
                <w:rFonts w:hint="eastAsia" w:ascii="仿宋_GB2312" w:hAnsi="仿宋_GB2312" w:eastAsia="仿宋_GB2312" w:cs="仿宋_GB2312"/>
                <w:b/>
                <w:bCs/>
                <w:i w:val="0"/>
                <w:color w:val="auto"/>
                <w:kern w:val="0"/>
                <w:sz w:val="24"/>
                <w:szCs w:val="24"/>
                <w:highlight w:val="none"/>
                <w:u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i w:val="0"/>
                <w:color w:val="auto"/>
                <w:kern w:val="0"/>
                <w:sz w:val="24"/>
                <w:szCs w:val="24"/>
                <w:highlight w:val="none"/>
                <w:u w:val="none"/>
                <w:lang w:eastAsia="zh-CN"/>
              </w:rPr>
              <w:t>（</w:t>
            </w:r>
            <w:r>
              <w:rPr>
                <w:rFonts w:hint="eastAsia" w:ascii="仿宋_GB2312" w:hAnsi="仿宋_GB2312" w:eastAsia="仿宋_GB2312" w:cs="仿宋_GB2312"/>
                <w:b/>
                <w:bCs/>
                <w:i w:val="0"/>
                <w:color w:val="auto"/>
                <w:kern w:val="0"/>
                <w:sz w:val="24"/>
                <w:szCs w:val="24"/>
                <w:highlight w:val="none"/>
                <w:u w:val="none"/>
                <w:lang w:val="en-US" w:eastAsia="zh-CN"/>
              </w:rPr>
              <w:t>六</w:t>
            </w:r>
            <w:r>
              <w:rPr>
                <w:rFonts w:hint="eastAsia" w:ascii="仿宋_GB2312" w:hAnsi="仿宋_GB2312" w:eastAsia="仿宋_GB2312" w:cs="仿宋_GB2312"/>
                <w:b/>
                <w:bCs/>
                <w:i w:val="0"/>
                <w:color w:val="auto"/>
                <w:kern w:val="0"/>
                <w:sz w:val="24"/>
                <w:szCs w:val="24"/>
                <w:highlight w:val="none"/>
                <w:u w:val="none"/>
                <w:lang w:eastAsia="zh-CN"/>
              </w:rPr>
              <w:t>）</w:t>
            </w:r>
            <w:r>
              <w:rPr>
                <w:rFonts w:hint="eastAsia" w:ascii="仿宋_GB2312" w:hAnsi="仿宋_GB2312" w:eastAsia="仿宋_GB2312" w:cs="仿宋_GB2312"/>
                <w:b/>
                <w:bCs/>
                <w:i w:val="0"/>
                <w:color w:val="auto"/>
                <w:kern w:val="0"/>
                <w:sz w:val="24"/>
                <w:szCs w:val="24"/>
                <w:highlight w:val="none"/>
                <w:u w:val="none"/>
                <w:lang w:val="en-US" w:eastAsia="zh-CN"/>
              </w:rPr>
              <w:t>网络设备功能</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1.网络功能：a)支持网络连接、网络开启/关闭功能；b)支持访问网络和数据交换功能；</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2.数据传输：支持数据传输能力，并提供数据流量和异常日志记录功能；</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3.有线网卡接口类型：支持RJ45接口；</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4.网络设备拆装：网络设备支持物理拆装，包括无线网卡和蓝牙模块等。</w:t>
            </w:r>
          </w:p>
          <w:p>
            <w:pPr>
              <w:pStyle w:val="247"/>
              <w:kinsoku w:val="0"/>
              <w:overflowPunct w:val="0"/>
              <w:spacing w:before="0" w:line="360" w:lineRule="exact"/>
              <w:ind w:firstLine="241" w:firstLineChars="100"/>
              <w:rPr>
                <w:rFonts w:hint="eastAsia" w:ascii="仿宋_GB2312" w:hAnsi="仿宋_GB2312" w:eastAsia="仿宋_GB2312" w:cs="仿宋_GB2312"/>
                <w:b/>
                <w:bCs/>
                <w:i w:val="0"/>
                <w:color w:val="auto"/>
                <w:kern w:val="0"/>
                <w:sz w:val="24"/>
                <w:szCs w:val="24"/>
                <w:highlight w:val="none"/>
                <w:u w:val="none"/>
                <w:lang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i w:val="0"/>
                <w:color w:val="auto"/>
                <w:kern w:val="0"/>
                <w:sz w:val="24"/>
                <w:szCs w:val="24"/>
                <w:highlight w:val="none"/>
                <w:u w:val="none"/>
                <w:lang w:val="en-US" w:eastAsia="zh-CN"/>
              </w:rPr>
              <w:t>（七）外部接口功能</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1.音频接口类型：支持3.5mm孔径3段式或4段式接口；</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2.视频接口类型：至少支持VGA、HDMI、DVI、DP、Type-C中1种显示接口；</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3.HDMI、DP、Type-C显示接口要求：若提供HDMI或DP或Type-C作为显示接口，应支持音频和视频同步输出。</w:t>
            </w:r>
          </w:p>
          <w:p>
            <w:pPr>
              <w:pStyle w:val="247"/>
              <w:kinsoku w:val="0"/>
              <w:overflowPunct w:val="0"/>
              <w:spacing w:before="0" w:line="360" w:lineRule="exact"/>
              <w:ind w:firstLine="241" w:firstLineChars="100"/>
              <w:rPr>
                <w:rFonts w:hint="eastAsia" w:ascii="仿宋_GB2312" w:hAnsi="仿宋_GB2312" w:eastAsia="仿宋_GB2312" w:cs="仿宋_GB2312"/>
                <w:b/>
                <w:bCs/>
                <w:i w:val="0"/>
                <w:color w:val="auto"/>
                <w:kern w:val="0"/>
                <w:sz w:val="24"/>
                <w:szCs w:val="24"/>
                <w:highlight w:val="none"/>
                <w:u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i w:val="0"/>
                <w:color w:val="auto"/>
                <w:kern w:val="0"/>
                <w:sz w:val="24"/>
                <w:szCs w:val="24"/>
                <w:highlight w:val="none"/>
                <w:u w:val="none"/>
                <w:lang w:val="en-US" w:eastAsia="zh-CN"/>
              </w:rPr>
              <w:t>（八）电源功能</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电源线适配能力：电源适配器电线组件应符合GB/T15934的要求，可拆线的插头和连接器可以不做要求。</w:t>
            </w:r>
          </w:p>
          <w:p>
            <w:pPr>
              <w:pStyle w:val="247"/>
              <w:kinsoku w:val="0"/>
              <w:overflowPunct w:val="0"/>
              <w:spacing w:before="0" w:line="360" w:lineRule="exact"/>
              <w:ind w:firstLine="241" w:firstLineChars="100"/>
              <w:rPr>
                <w:rFonts w:hint="eastAsia" w:ascii="仿宋_GB2312" w:hAnsi="仿宋_GB2312" w:eastAsia="仿宋_GB2312" w:cs="仿宋_GB2312"/>
                <w:b/>
                <w:bCs/>
                <w:i w:val="0"/>
                <w:color w:val="auto"/>
                <w:kern w:val="0"/>
                <w:sz w:val="24"/>
                <w:szCs w:val="24"/>
                <w:highlight w:val="none"/>
                <w:u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i w:val="0"/>
                <w:color w:val="auto"/>
                <w:kern w:val="0"/>
                <w:sz w:val="24"/>
                <w:szCs w:val="24"/>
                <w:highlight w:val="none"/>
                <w:u w:val="none"/>
                <w:lang w:val="en-US" w:eastAsia="zh-CN"/>
              </w:rPr>
              <w:t>（九）操作系统及软件功能</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1.中文信息处理要求：符合GB18030的相关规定；</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2.操作系统备份及还原功能：支持操作系统备份及还原功能；</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3.固件备份还原能力：支持备份及还原固件的功能；</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4.操作系统及驱动升级：支持通过网络、闪存盘等方式对操作系统、驱动进行升级；</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5.固件升级：支持通过网络、闪存盘等方式对固件进行升级；</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6.BIOS支持关闭通讯接口：支持BIOS关闭以太网及USB接口功能；</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7.固件查看信息：支持查看固件版本、内存信息、主板信息、处理器信息和系统时间信息等功能；</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8.固件设置启动顺序：支持设置启动顺序功能，并按照设置的启动顺序启动；</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9.固件设置口令：支持设置口令、修改口令、验证口令功能；</w:t>
            </w:r>
          </w:p>
          <w:p>
            <w:pPr>
              <w:keepNext w:val="0"/>
              <w:keepLines w:val="0"/>
              <w:widowControl/>
              <w:suppressLineNumbers w:val="0"/>
              <w:ind w:firstLine="240" w:firstLineChars="100"/>
              <w:jc w:val="left"/>
              <w:rPr>
                <w:rFonts w:hint="eastAsia" w:ascii="仿宋_GB2312" w:hAnsi="仿宋_GB2312" w:eastAsia="仿宋_GB2312" w:cs="仿宋_GB2312"/>
                <w:i w:val="0"/>
                <w:color w:val="auto"/>
                <w:kern w:val="0"/>
                <w:sz w:val="24"/>
                <w:szCs w:val="24"/>
                <w:highlight w:val="none"/>
                <w:u w:val="none"/>
                <w:lang w:val="en-US" w:eastAsia="zh-CN"/>
              </w:rPr>
            </w:pPr>
            <w:r>
              <w:rPr>
                <w:rFonts w:hint="eastAsia" w:ascii="仿宋_GB2312" w:hAnsi="仿宋_GB2312" w:eastAsia="仿宋_GB2312" w:cs="仿宋_GB2312"/>
                <w:color w:val="auto"/>
                <w:kern w:val="0"/>
                <w:sz w:val="24"/>
                <w:szCs w:val="24"/>
                <w:highlight w:val="none"/>
                <w:lang w:val="en-US" w:eastAsia="zh-CN" w:bidi="ar-SA"/>
              </w:rPr>
              <w:t>10.固件设置网络引导：支持网络引导启动和关闭功能。</w:t>
            </w:r>
          </w:p>
          <w:p>
            <w:pPr>
              <w:pStyle w:val="247"/>
              <w:kinsoku w:val="0"/>
              <w:overflowPunct w:val="0"/>
              <w:spacing w:before="0" w:line="360" w:lineRule="exac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四、存储设备可靠性要求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1.固态存储寿命：TBW≥80TB（条件：256GB硬盘容量）；</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2.机械硬盘寿命：通电时间≥5万小时。</w:t>
            </w:r>
          </w:p>
          <w:p>
            <w:pPr>
              <w:pStyle w:val="247"/>
              <w:kinsoku w:val="0"/>
              <w:overflowPunct w:val="0"/>
              <w:spacing w:before="0" w:line="360" w:lineRule="exac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五、显示设备可靠性要求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显示屏屏幕失效点：符合GB/T9813.2的要求。</w:t>
            </w:r>
          </w:p>
          <w:p>
            <w:pPr>
              <w:pStyle w:val="247"/>
              <w:kinsoku w:val="0"/>
              <w:overflowPunct w:val="0"/>
              <w:spacing w:before="0" w:line="360" w:lineRule="exac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六、外设可靠性要求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1.键盘按键寿命：≥1000万次；</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2.鼠标按键寿命：≥500万次；</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3.键盘鼠标线材寿命：键盘鼠标所用线材经±60°弯折不低于3000次，功能、外观完好；</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4.风扇寿命：≥4万小时。</w:t>
            </w:r>
          </w:p>
          <w:p>
            <w:pPr>
              <w:pStyle w:val="247"/>
              <w:kinsoku w:val="0"/>
              <w:overflowPunct w:val="0"/>
              <w:spacing w:before="0" w:line="360" w:lineRule="exac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七、整机可靠性要求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1.电磁兼容性要求的抗扰度：符合GB/T9254.2的规定；</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2.环境条件要求的气候环境适应性：符合GB/T9813.1中规定；</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3.环境条件要求的振动适应性：符合GB/T9813.1中规定；</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4.环境条件要求的冲击适应性：符合GB/T9813.1中规定；</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5.环境条件要求的碰撞适应性：符合GB/T9813.1中规定；</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6.环境条件要求的运输包装件跌落适应性：符合GB/T9813.1中规定；</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7.MTBF测试：MTBF(m1)≥3万小时。</w:t>
            </w:r>
          </w:p>
          <w:p>
            <w:pPr>
              <w:pStyle w:val="247"/>
              <w:kinsoku w:val="0"/>
              <w:overflowPunct w:val="0"/>
              <w:spacing w:before="0" w:line="360" w:lineRule="exac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八、兼容要求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1.常用软件兼容：支持流式软件、版式软件、浏览器、邮件采购人端、解压软件、多媒体、图形图像处理等常用软件；</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2.数据库兼容：兼容3个及以上厂商的数据库产品；</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3.中间件兼容：兼容3个及以上厂商中间件产品；</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4.平台软件兼容：兼容3个及以上厂商云计算及大数据平台。</w:t>
            </w:r>
            <w:r>
              <w:rPr>
                <w:rFonts w:hint="eastAsia" w:ascii="仿宋_GB2312" w:hAnsi="仿宋_GB2312" w:eastAsia="仿宋_GB2312" w:cs="仿宋_GB2312"/>
                <w:color w:val="auto"/>
                <w:sz w:val="24"/>
                <w:szCs w:val="24"/>
                <w:highlight w:val="none"/>
                <w:lang w:val="en-US" w:eastAsia="zh-CN"/>
              </w:rPr>
              <w:cr/>
            </w: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九、包装及运输要求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标志、包装、运输和贮存：符合GB/T9813.1和商品包装政府采购需求标准的相关规定。</w:t>
            </w:r>
          </w:p>
          <w:p>
            <w:pPr>
              <w:pStyle w:val="247"/>
              <w:kinsoku w:val="0"/>
              <w:overflowPunct w:val="0"/>
              <w:spacing w:before="0" w:line="360" w:lineRule="exac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十、服务要求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1.配置检查工具：供应商提供自检测试工具；</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服务响应：a)供应商提供电话、电子邮件、远程连接等多种形式服务；b)供应商提供同城4h、异地12h技术响应服务，2个工作日解决问题，对于未能解决的问题和故障应提供可行的升级方案，并提供周转设备或更换设备；c)建立全国技术服务体系和服务团体，符合专业服务体系标准要求，提供原厂中文服务；d)服务周期内提供产品的维修、换件和升级服务；</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3.服务周期：a)设备停产后应继续提供质量保障服务（含备品备件），服务终止时间与最后一批设备交付时间间隔不低于6年；b)产品停止服务时间应提前1年告知；c)应明确产品发布日期；</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预装操作系统：预装符合桌面操作系统政府采购需求标准的正版操作系统；预装的操作系统符合《操作系统政府采购需求标准》中加*指标要求（财政部工业和信息化部关于印发《操作系统政府采购需求标准（2023年版）》的通知）；</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5.培训服务：供应商提供培训材料、产品手册、培训视频等培训相关内容；</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6.典型问题解决手册：供应商提供典型问题解决说明文档或视频；</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7.厂家升级软件与扩容服务：供应商提供上门升级部件/软件与扩容的增值服务；</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8.整机质量服务要求：免费服务周期（含换件和维修）应不小于3年；</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9.合格证书要求：供应商提供产品合格证；</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10.开箱组装/使用指导要求：供应商提供开箱组装/使用指导；</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11.驱动下载服务要求：供应商提供驱动光盘或下载方式；</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12.兼容适配软件下载服务要求：供应商提供兼容适配软件下载渠道（光盘、网站）。</w:t>
            </w:r>
          </w:p>
          <w:p>
            <w:pPr>
              <w:pStyle w:val="247"/>
              <w:kinsoku w:val="0"/>
              <w:overflowPunct w:val="0"/>
              <w:spacing w:before="0" w:line="360" w:lineRule="exac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十一、供应链合规性要求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产品部件保障：供应商保障产品主要部件，提供6年的备件服务能力（自购买之日起），或提供可兼容原设备的升级换代产品。</w:t>
            </w:r>
          </w:p>
          <w:p>
            <w:pPr>
              <w:pStyle w:val="247"/>
              <w:kinsoku w:val="0"/>
              <w:overflowPunct w:val="0"/>
              <w:spacing w:before="0" w:line="360" w:lineRule="exac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十二、供应链质量要求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1.抗干扰性：当产品部件出现供应风险时，供应商应通知采购人并提供风险应对方案确保产品的服务保障；</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2.供应能力证明：供应商承诺提供稳定的供应链，确保产品的部件在产品服务周期内稳定供货。</w:t>
            </w:r>
          </w:p>
          <w:p>
            <w:pPr>
              <w:pStyle w:val="247"/>
              <w:kinsoku w:val="0"/>
              <w:overflowPunct w:val="0"/>
              <w:spacing w:before="0" w:line="360" w:lineRule="exac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十三、关键部件安全要求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关键部件安全要求：CPU和操作系统等关键部件应当符合安全可靠测评要求，通过政府有关部门指定的中国信息安全测评中心和国家保密科技测评中心网站查看安全可靠测评结果。</w:t>
            </w:r>
          </w:p>
          <w:p>
            <w:pPr>
              <w:pStyle w:val="247"/>
              <w:kinsoku w:val="0"/>
              <w:overflowPunct w:val="0"/>
              <w:spacing w:before="0" w:line="360" w:lineRule="exact"/>
              <w:ind w:left="0" w:firstLine="482"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000000"/>
                <w:sz w:val="24"/>
                <w:szCs w:val="24"/>
                <w:highlight w:val="none"/>
                <w:lang w:eastAsia="zh-CN"/>
              </w:rPr>
              <w:t>注：投标人在填写《技术响应表》时，在“投标</w:t>
            </w:r>
            <w:r>
              <w:rPr>
                <w:rFonts w:hint="eastAsia" w:ascii="仿宋_GB2312" w:hAnsi="仿宋_GB2312" w:eastAsia="仿宋_GB2312" w:cs="仿宋_GB2312"/>
                <w:b/>
                <w:bCs/>
                <w:color w:val="000000"/>
                <w:sz w:val="24"/>
                <w:szCs w:val="24"/>
                <w:highlight w:val="none"/>
                <w:lang w:val="en-US" w:eastAsia="zh-CN"/>
              </w:rPr>
              <w:t>文件</w:t>
            </w:r>
            <w:r>
              <w:rPr>
                <w:rFonts w:hint="eastAsia" w:ascii="仿宋_GB2312" w:hAnsi="仿宋_GB2312" w:eastAsia="仿宋_GB2312" w:cs="仿宋_GB2312"/>
                <w:b/>
                <w:bCs/>
                <w:color w:val="000000"/>
                <w:sz w:val="24"/>
                <w:szCs w:val="24"/>
                <w:highlight w:val="none"/>
                <w:lang w:eastAsia="zh-CN"/>
              </w:rPr>
              <w:t>响应技术参数”明确给出所投</w:t>
            </w:r>
            <w:r>
              <w:rPr>
                <w:rFonts w:hint="eastAsia" w:ascii="仿宋_GB2312" w:hAnsi="仿宋_GB2312" w:eastAsia="仿宋_GB2312" w:cs="仿宋_GB2312"/>
                <w:b/>
                <w:bCs/>
                <w:color w:val="000000"/>
                <w:sz w:val="24"/>
                <w:szCs w:val="24"/>
                <w:highlight w:val="none"/>
                <w:lang w:val="en-US" w:eastAsia="zh-CN"/>
              </w:rPr>
              <w:t>台式</w:t>
            </w:r>
            <w:r>
              <w:rPr>
                <w:rFonts w:hint="eastAsia" w:ascii="仿宋_GB2312" w:hAnsi="仿宋_GB2312" w:eastAsia="仿宋_GB2312" w:cs="仿宋_GB2312"/>
                <w:b/>
                <w:bCs/>
                <w:color w:val="000000"/>
                <w:sz w:val="24"/>
                <w:szCs w:val="24"/>
                <w:highlight w:val="none"/>
                <w:lang w:eastAsia="zh-CN"/>
              </w:rPr>
              <w:t>计算机</w:t>
            </w:r>
            <w:r>
              <w:rPr>
                <w:rFonts w:hint="eastAsia" w:ascii="仿宋_GB2312" w:hAnsi="仿宋_GB2312" w:eastAsia="仿宋_GB2312" w:cs="仿宋_GB2312"/>
                <w:b/>
                <w:bCs/>
                <w:color w:val="000000"/>
                <w:sz w:val="24"/>
                <w:szCs w:val="24"/>
                <w:highlight w:val="none"/>
                <w:lang w:val="en-US" w:eastAsia="zh-CN"/>
              </w:rPr>
              <w:t>3</w:t>
            </w:r>
            <w:r>
              <w:rPr>
                <w:rFonts w:hint="eastAsia" w:ascii="仿宋_GB2312" w:hAnsi="仿宋_GB2312" w:eastAsia="仿宋_GB2312" w:cs="仿宋_GB2312"/>
                <w:b/>
                <w:bCs/>
                <w:color w:val="000000"/>
                <w:sz w:val="24"/>
                <w:szCs w:val="24"/>
                <w:highlight w:val="none"/>
                <w:lang w:eastAsia="zh-CN"/>
              </w:rPr>
              <w:t>“</w:t>
            </w:r>
            <w:r>
              <w:rPr>
                <w:rFonts w:hint="eastAsia" w:ascii="仿宋_GB2312" w:hAnsi="仿宋_GB2312" w:eastAsia="仿宋_GB2312" w:cs="仿宋_GB2312"/>
                <w:b/>
                <w:bCs/>
                <w:color w:val="000000"/>
                <w:sz w:val="24"/>
                <w:szCs w:val="24"/>
                <w:highlight w:val="none"/>
                <w:lang w:val="en-US" w:eastAsia="zh-CN"/>
              </w:rPr>
              <w:t>CPU型号</w:t>
            </w:r>
            <w:r>
              <w:rPr>
                <w:rFonts w:hint="eastAsia" w:ascii="仿宋_GB2312" w:hAnsi="仿宋_GB2312" w:eastAsia="仿宋_GB2312" w:cs="仿宋_GB2312"/>
                <w:b/>
                <w:bCs/>
                <w:color w:val="000000"/>
                <w:sz w:val="24"/>
                <w:szCs w:val="24"/>
                <w:highlight w:val="none"/>
                <w:lang w:eastAsia="zh-CN"/>
              </w:rPr>
              <w:t>”</w:t>
            </w:r>
            <w:r>
              <w:rPr>
                <w:rFonts w:hint="eastAsia" w:ascii="仿宋_GB2312" w:hAnsi="仿宋_GB2312" w:eastAsia="仿宋_GB2312" w:cs="仿宋_GB2312"/>
                <w:b/>
                <w:bCs/>
                <w:color w:val="000000"/>
                <w:sz w:val="24"/>
                <w:szCs w:val="24"/>
                <w:highlight w:val="none"/>
                <w:lang w:val="en-US" w:eastAsia="zh-CN"/>
              </w:rPr>
              <w:t>及“</w:t>
            </w:r>
            <w:r>
              <w:rPr>
                <w:rFonts w:hint="eastAsia" w:ascii="仿宋_GB2312" w:hAnsi="仿宋_GB2312" w:eastAsia="仿宋_GB2312" w:cs="仿宋_GB2312"/>
                <w:b/>
                <w:bCs/>
                <w:color w:val="000000"/>
                <w:sz w:val="24"/>
                <w:szCs w:val="24"/>
                <w:highlight w:val="none"/>
                <w:lang w:eastAsia="zh-CN"/>
              </w:rPr>
              <w:t>操作系统</w:t>
            </w:r>
            <w:r>
              <w:rPr>
                <w:rFonts w:hint="eastAsia" w:ascii="仿宋_GB2312" w:hAnsi="仿宋_GB2312" w:eastAsia="仿宋_GB2312" w:cs="仿宋_GB2312"/>
                <w:b/>
                <w:bCs/>
                <w:color w:val="000000"/>
                <w:sz w:val="24"/>
                <w:szCs w:val="24"/>
                <w:highlight w:val="none"/>
                <w:lang w:val="en-US" w:eastAsia="zh-CN"/>
              </w:rPr>
              <w:t>”</w:t>
            </w:r>
            <w:r>
              <w:rPr>
                <w:rFonts w:hint="eastAsia" w:ascii="仿宋_GB2312" w:hAnsi="仿宋_GB2312" w:eastAsia="仿宋_GB2312" w:cs="仿宋_GB2312"/>
                <w:b/>
                <w:bCs/>
                <w:color w:val="000000"/>
                <w:sz w:val="24"/>
                <w:szCs w:val="24"/>
                <w:highlight w:val="none"/>
                <w:lang w:eastAsia="zh-CN"/>
              </w:rPr>
              <w:t>名称，否则视为投标无效。</w:t>
            </w:r>
          </w:p>
          <w:p>
            <w:pPr>
              <w:pStyle w:val="247"/>
              <w:kinsoku w:val="0"/>
              <w:overflowPunct w:val="0"/>
              <w:spacing w:before="0" w:line="360" w:lineRule="exac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十四、整机安全性要求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1.密码算法实现：CPU芯片应符合GM/T0008的相关规定，或芯片密码模块应符合GB/T37092或GM/T0028的相关规定，通过商用密码检测机构检测并经商用密码认证机构认证合格；</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信息安全基本要求：a)产品应符合GB/T39276的5.2的规定；b)生产厂商应建立漏洞跟踪表，保证产品版本涉及到的漏洞(如驱动程序等)可查看；c)产品不得包含已知的恶意代码或漏洞，不存在未声明的指令、功能、接口；</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3.固件安全启动：支持固件安全启动功能，固件启动过程中只有通过启动校验才能正常启动；</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4.限用物质的限量要求：符合GB/T26572中规定。</w:t>
            </w:r>
          </w:p>
          <w:p>
            <w:pPr>
              <w:pStyle w:val="247"/>
              <w:kinsoku w:val="0"/>
              <w:overflowPunct w:val="0"/>
              <w:spacing w:before="0" w:line="360" w:lineRule="exac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十五、其他要求：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1.适配服务要求：投标人须提供与广西自治区综合办公平台适配的台式计算机产品</w:t>
            </w:r>
            <w:r>
              <w:rPr>
                <w:rFonts w:hint="eastAsia" w:ascii="仿宋_GB2312" w:hAnsi="仿宋_GB2312" w:eastAsia="仿宋_GB2312" w:cs="仿宋_GB2312"/>
                <w:b/>
                <w:bCs/>
                <w:color w:val="auto"/>
                <w:sz w:val="24"/>
                <w:szCs w:val="24"/>
                <w:highlight w:val="none"/>
                <w:lang w:val="en-US" w:eastAsia="zh-CN"/>
              </w:rPr>
              <w:t>（采购人将设置现场踏勘，以便投标人了解适配情况）</w:t>
            </w:r>
            <w:r>
              <w:rPr>
                <w:rFonts w:hint="eastAsia" w:ascii="仿宋_GB2312" w:hAnsi="仿宋_GB2312" w:eastAsia="仿宋_GB2312" w:cs="仿宋_GB2312"/>
                <w:color w:val="auto"/>
                <w:sz w:val="24"/>
                <w:szCs w:val="24"/>
                <w:highlight w:val="none"/>
                <w:lang w:val="en-US" w:eastAsia="zh-CN"/>
              </w:rPr>
              <w:t>；</w:t>
            </w:r>
          </w:p>
          <w:p>
            <w:pPr>
              <w:pStyle w:val="247"/>
              <w:kinsoku w:val="0"/>
              <w:overflowPunct w:val="0"/>
              <w:spacing w:before="0" w:line="360" w:lineRule="exact"/>
              <w:ind w:firstLine="241"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2.</w:t>
            </w:r>
            <w:bookmarkStart w:id="33" w:name="OLE_LINK9"/>
            <w:r>
              <w:rPr>
                <w:rFonts w:hint="eastAsia" w:ascii="仿宋_GB2312" w:hAnsi="仿宋_GB2312" w:eastAsia="仿宋_GB2312" w:cs="仿宋_GB2312"/>
                <w:color w:val="auto"/>
                <w:sz w:val="24"/>
                <w:szCs w:val="24"/>
                <w:highlight w:val="none"/>
                <w:lang w:val="en-US" w:eastAsia="zh-CN"/>
              </w:rPr>
              <w:t>供货服务要求：投标人需具备足够宽敞的仓库，在送给使用单位前办理完到货验收手续；按照采购人提出供货要求制定合理、科学的分配方案，制定合理的送货计划和办理交接手续，确保供货及时和货物到场上桌规范。本项目涉及多家使用单位，要求投标人具备有专业的实施保障能力和专业的售后服务能力，合理配置相关技术人员</w:t>
            </w:r>
            <w:bookmarkEnd w:id="33"/>
            <w:r>
              <w:rPr>
                <w:rFonts w:hint="eastAsia" w:ascii="仿宋_GB2312" w:hAnsi="仿宋_GB2312" w:eastAsia="仿宋_GB2312" w:cs="仿宋_GB2312"/>
                <w:b w:val="0"/>
                <w:bCs w:val="0"/>
                <w:i w:val="0"/>
                <w:color w:val="auto"/>
                <w:kern w:val="0"/>
                <w:sz w:val="24"/>
                <w:szCs w:val="24"/>
                <w:highlight w:val="none"/>
                <w:u w:val="none"/>
                <w:lang w:val="en-US" w:eastAsia="zh-CN"/>
              </w:rPr>
              <w:t>。</w:t>
            </w:r>
          </w:p>
        </w:tc>
        <w:tc>
          <w:tcPr>
            <w:tcW w:w="1020" w:type="dxa"/>
            <w:tcBorders>
              <w:top w:val="single" w:color="auto" w:sz="4" w:space="0"/>
              <w:left w:val="single" w:color="auto" w:sz="4" w:space="0"/>
              <w:right w:val="single" w:color="auto" w:sz="4" w:space="0"/>
            </w:tcBorders>
            <w:vAlign w:val="center"/>
          </w:tcPr>
          <w:p>
            <w:pPr>
              <w:spacing w:line="360" w:lineRule="exact"/>
              <w:ind w:left="420" w:leftChars="0" w:hanging="42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106</w:t>
            </w:r>
            <w:r>
              <w:rPr>
                <w:rFonts w:hint="eastAsia" w:ascii="仿宋_GB2312" w:hAnsi="仿宋_GB2312" w:eastAsia="仿宋_GB2312" w:cs="仿宋_GB2312"/>
                <w:color w:val="auto"/>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0" w:type="dxa"/>
            <w:tcBorders>
              <w:top w:val="single" w:color="auto" w:sz="4" w:space="0"/>
              <w:left w:val="single" w:color="auto" w:sz="4" w:space="0"/>
              <w:bottom w:val="single" w:color="auto" w:sz="4" w:space="0"/>
              <w:right w:val="single" w:color="auto" w:sz="4" w:space="0"/>
            </w:tcBorders>
            <w:vAlign w:val="center"/>
          </w:tcPr>
          <w:p>
            <w:pPr>
              <w:pStyle w:val="245"/>
              <w:snapToGrid w:val="0"/>
              <w:spacing w:line="36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w:t>
            </w:r>
          </w:p>
        </w:tc>
        <w:tc>
          <w:tcPr>
            <w:tcW w:w="969" w:type="dxa"/>
            <w:tcBorders>
              <w:top w:val="single" w:color="auto" w:sz="4" w:space="0"/>
              <w:left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台式</w:t>
            </w:r>
          </w:p>
          <w:p>
            <w:pPr>
              <w:widowControl/>
              <w:spacing w:line="36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计算机</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b/>
                <w:bCs/>
                <w:color w:val="auto"/>
                <w:sz w:val="24"/>
                <w:szCs w:val="24"/>
                <w:highlight w:val="none"/>
              </w:rPr>
              <w:t>（强制采购节能产品，详见采购需求说明第八点）</w:t>
            </w:r>
          </w:p>
        </w:tc>
        <w:tc>
          <w:tcPr>
            <w:tcW w:w="6586" w:type="dxa"/>
            <w:tcBorders>
              <w:top w:val="single" w:color="auto" w:sz="4" w:space="0"/>
              <w:left w:val="single" w:color="auto" w:sz="4" w:space="0"/>
              <w:bottom w:val="single" w:color="auto" w:sz="4" w:space="0"/>
              <w:right w:val="single" w:color="auto" w:sz="4" w:space="0"/>
            </w:tcBorders>
            <w:vAlign w:val="center"/>
          </w:tcPr>
          <w:p>
            <w:pPr>
              <w:pStyle w:val="247"/>
              <w:kinsoku w:val="0"/>
              <w:overflowPunct w:val="0"/>
              <w:spacing w:before="0" w:line="360" w:lineRule="exact"/>
              <w:ind w:left="0" w:firstLine="0" w:firstLineChars="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一、产品规格要求</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一</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CPU规格</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1.CPU：≥</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核</w:t>
            </w:r>
            <w:r>
              <w:rPr>
                <w:rFonts w:hint="eastAsia" w:ascii="仿宋_GB2312" w:hAnsi="仿宋_GB2312" w:eastAsia="仿宋_GB2312" w:cs="仿宋_GB2312"/>
                <w:color w:val="auto"/>
                <w:sz w:val="24"/>
                <w:szCs w:val="24"/>
                <w:highlight w:val="none"/>
                <w:lang w:val="en-US" w:eastAsia="zh-CN"/>
              </w:rPr>
              <w:t>8</w:t>
            </w:r>
            <w:r>
              <w:rPr>
                <w:rFonts w:hint="eastAsia" w:ascii="仿宋_GB2312" w:hAnsi="仿宋_GB2312" w:eastAsia="仿宋_GB2312" w:cs="仿宋_GB2312"/>
                <w:color w:val="auto"/>
                <w:sz w:val="24"/>
                <w:szCs w:val="24"/>
                <w:highlight w:val="none"/>
              </w:rPr>
              <w:t>线程，主频≥</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0</w:t>
            </w:r>
            <w:r>
              <w:rPr>
                <w:rFonts w:hint="eastAsia" w:ascii="仿宋_GB2312" w:hAnsi="仿宋_GB2312" w:eastAsia="仿宋_GB2312" w:cs="仿宋_GB2312"/>
                <w:color w:val="auto"/>
                <w:sz w:val="24"/>
                <w:szCs w:val="24"/>
                <w:highlight w:val="none"/>
              </w:rPr>
              <w:t>GHz</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末级缓存≥2M，</w:t>
            </w:r>
            <w:r>
              <w:rPr>
                <w:rFonts w:hint="eastAsia" w:ascii="仿宋_GB2312" w:hAnsi="仿宋_GB2312" w:eastAsia="仿宋_GB2312" w:cs="仿宋_GB2312"/>
                <w:color w:val="auto"/>
                <w:sz w:val="24"/>
                <w:szCs w:val="24"/>
                <w:highlight w:val="none"/>
                <w:lang w:val="en-US" w:eastAsia="zh-CN"/>
              </w:rPr>
              <w:t>CPU</w:t>
            </w:r>
            <w:r>
              <w:rPr>
                <w:rFonts w:hint="eastAsia" w:ascii="仿宋_GB2312" w:hAnsi="仿宋_GB2312" w:eastAsia="仿宋_GB2312" w:cs="仿宋_GB2312"/>
                <w:color w:val="auto"/>
                <w:sz w:val="24"/>
                <w:szCs w:val="24"/>
                <w:highlight w:val="none"/>
              </w:rPr>
              <w:t>内存≥双通道DDR4-2666MT/s</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热</w:t>
            </w:r>
            <w:r>
              <w:rPr>
                <w:rFonts w:hint="eastAsia" w:ascii="仿宋_GB2312" w:hAnsi="仿宋_GB2312" w:eastAsia="仿宋_GB2312" w:cs="仿宋_GB2312"/>
                <w:color w:val="auto"/>
                <w:kern w:val="2"/>
                <w:sz w:val="24"/>
                <w:szCs w:val="24"/>
                <w:highlight w:val="none"/>
                <w:lang w:val="en-US" w:eastAsia="zh-CN" w:bidi="ar-SA"/>
              </w:rPr>
              <w:t>设计功耗</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kern w:val="2"/>
                <w:sz w:val="24"/>
                <w:szCs w:val="24"/>
                <w:highlight w:val="none"/>
                <w:lang w:val="en-US" w:eastAsia="zh-CN" w:bidi="ar-SA"/>
              </w:rPr>
              <w:t>120W，位宽≥64位；</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二</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内存规格</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1.内存配置容量：≥16GB；</w:t>
            </w:r>
          </w:p>
          <w:p>
            <w:pPr>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2.内存条配置数量(板载内存不涉及)≥</w:t>
            </w:r>
            <w:r>
              <w:rPr>
                <w:rFonts w:hint="eastAsia" w:ascii="仿宋_GB2312" w:hAnsi="仿宋_GB2312" w:eastAsia="仿宋_GB2312" w:cs="仿宋_GB2312"/>
                <w:color w:val="auto"/>
                <w:sz w:val="24"/>
                <w:szCs w:val="24"/>
                <w:highlight w:val="none"/>
                <w:lang w:val="en-US" w:eastAsia="zh-CN"/>
              </w:rPr>
              <w:t>1；</w:t>
            </w:r>
          </w:p>
          <w:p>
            <w:pPr>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3.支持DDR4/LPDDR4/LPDDR4X及以上内存类型。</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三</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主板规格</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1.主板集成模块：集成资源扩展模块、计算处理模块、音频扩展模块等，主板的互联拓扑可通过处理器或交换电路实现；</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2.主板支持的CPU和内存情况：CPU≥</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核</w:t>
            </w:r>
            <w:r>
              <w:rPr>
                <w:rFonts w:hint="eastAsia" w:ascii="仿宋_GB2312" w:hAnsi="仿宋_GB2312" w:eastAsia="仿宋_GB2312" w:cs="仿宋_GB2312"/>
                <w:color w:val="auto"/>
                <w:sz w:val="24"/>
                <w:szCs w:val="24"/>
                <w:highlight w:val="none"/>
                <w:lang w:val="en-US" w:eastAsia="zh-CN"/>
              </w:rPr>
              <w:t>8</w:t>
            </w:r>
            <w:r>
              <w:rPr>
                <w:rFonts w:hint="eastAsia" w:ascii="仿宋_GB2312" w:hAnsi="仿宋_GB2312" w:eastAsia="仿宋_GB2312" w:cs="仿宋_GB2312"/>
                <w:color w:val="auto"/>
                <w:sz w:val="24"/>
                <w:szCs w:val="24"/>
                <w:highlight w:val="none"/>
              </w:rPr>
              <w:t>线程，主频≥</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0</w:t>
            </w:r>
            <w:r>
              <w:rPr>
                <w:rFonts w:hint="eastAsia" w:ascii="仿宋_GB2312" w:hAnsi="仿宋_GB2312" w:eastAsia="仿宋_GB2312" w:cs="仿宋_GB2312"/>
                <w:color w:val="auto"/>
                <w:sz w:val="24"/>
                <w:szCs w:val="24"/>
                <w:highlight w:val="none"/>
              </w:rPr>
              <w:t>GHz，</w:t>
            </w:r>
            <w:r>
              <w:rPr>
                <w:rFonts w:hint="eastAsia" w:ascii="仿宋_GB2312" w:hAnsi="仿宋_GB2312" w:eastAsia="仿宋_GB2312" w:cs="仿宋_GB2312"/>
                <w:color w:val="auto"/>
                <w:sz w:val="24"/>
                <w:szCs w:val="24"/>
                <w:highlight w:val="none"/>
                <w:lang w:val="en-US" w:eastAsia="zh-CN"/>
              </w:rPr>
              <w:t>末级</w:t>
            </w:r>
            <w:r>
              <w:rPr>
                <w:rFonts w:hint="eastAsia" w:ascii="仿宋_GB2312" w:hAnsi="仿宋_GB2312" w:eastAsia="仿宋_GB2312" w:cs="仿宋_GB2312"/>
                <w:color w:val="auto"/>
                <w:sz w:val="24"/>
                <w:szCs w:val="24"/>
                <w:highlight w:val="none"/>
              </w:rPr>
              <w:t>缓存≥2M，内存≥</w:t>
            </w:r>
            <w:r>
              <w:rPr>
                <w:rFonts w:hint="eastAsia" w:ascii="仿宋_GB2312" w:hAnsi="仿宋_GB2312" w:eastAsia="仿宋_GB2312" w:cs="仿宋_GB2312"/>
                <w:color w:val="auto"/>
                <w:sz w:val="24"/>
                <w:szCs w:val="24"/>
                <w:highlight w:val="none"/>
                <w:lang w:val="en-US" w:eastAsia="zh-CN"/>
              </w:rPr>
              <w:t>双</w:t>
            </w:r>
            <w:r>
              <w:rPr>
                <w:rFonts w:hint="eastAsia" w:ascii="仿宋_GB2312" w:hAnsi="仿宋_GB2312" w:eastAsia="仿宋_GB2312" w:cs="仿宋_GB2312"/>
                <w:color w:val="auto"/>
                <w:sz w:val="24"/>
                <w:szCs w:val="24"/>
                <w:highlight w:val="none"/>
              </w:rPr>
              <w:t>通道DDR4-2666MT/s，内存条数量≥1；</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3.主板其他内置接口：≥SATA接口*</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，≥USB接口*</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，固态硬盘占用M.2接口*1，机械硬盘占用SATA接口*1</w:t>
            </w:r>
            <w:r>
              <w:rPr>
                <w:rFonts w:hint="eastAsia" w:ascii="仿宋_GB2312" w:hAnsi="仿宋_GB2312" w:eastAsia="仿宋_GB2312" w:cs="仿宋_GB2312"/>
                <w:color w:val="auto"/>
                <w:sz w:val="24"/>
                <w:szCs w:val="24"/>
                <w:highlight w:val="none"/>
                <w:lang w:eastAsia="zh-CN"/>
              </w:rPr>
              <w:t>；</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单内存插槽最大可支持容量（板载内存不涉及）：≥8GB；</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.内存插槽满配时提供的最高内存总容量：≥</w:t>
            </w:r>
            <w:r>
              <w:rPr>
                <w:rFonts w:hint="eastAsia" w:ascii="仿宋_GB2312" w:hAnsi="仿宋_GB2312" w:eastAsia="仿宋_GB2312" w:cs="仿宋_GB2312"/>
                <w:color w:val="auto"/>
                <w:sz w:val="24"/>
                <w:szCs w:val="24"/>
                <w:highlight w:val="none"/>
                <w:lang w:val="en-US" w:eastAsia="zh-CN"/>
              </w:rPr>
              <w:t>16</w:t>
            </w:r>
            <w:r>
              <w:rPr>
                <w:rFonts w:hint="eastAsia" w:ascii="仿宋_GB2312" w:hAnsi="仿宋_GB2312" w:eastAsia="仿宋_GB2312" w:cs="仿宋_GB2312"/>
                <w:color w:val="auto"/>
                <w:sz w:val="24"/>
                <w:szCs w:val="24"/>
                <w:highlight w:val="none"/>
              </w:rPr>
              <w:t>GB</w:t>
            </w:r>
            <w:r>
              <w:rPr>
                <w:rFonts w:hint="eastAsia" w:ascii="仿宋_GB2312" w:hAnsi="仿宋_GB2312" w:eastAsia="仿宋_GB2312" w:cs="仿宋_GB2312"/>
                <w:color w:val="auto"/>
                <w:sz w:val="24"/>
                <w:szCs w:val="24"/>
                <w:highlight w:val="none"/>
                <w:lang w:eastAsia="zh-CN"/>
              </w:rPr>
              <w:t>。</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lang w:val="en-US" w:eastAsia="zh-CN"/>
              </w:rPr>
              <w:t>四</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存储设备规格</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1.固态盘数量：≥1个；</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2.固态存储容量：≥2</w:t>
            </w:r>
            <w:r>
              <w:rPr>
                <w:rFonts w:hint="eastAsia" w:ascii="仿宋_GB2312" w:hAnsi="仿宋_GB2312" w:eastAsia="仿宋_GB2312" w:cs="仿宋_GB2312"/>
                <w:color w:val="auto"/>
                <w:sz w:val="24"/>
                <w:szCs w:val="24"/>
                <w:highlight w:val="none"/>
                <w:lang w:val="en-US" w:eastAsia="zh-CN"/>
              </w:rPr>
              <w:t>56</w:t>
            </w:r>
            <w:r>
              <w:rPr>
                <w:rFonts w:hint="eastAsia" w:ascii="仿宋_GB2312" w:hAnsi="仿宋_GB2312" w:eastAsia="仿宋_GB2312" w:cs="仿宋_GB2312"/>
                <w:color w:val="auto"/>
                <w:sz w:val="24"/>
                <w:szCs w:val="24"/>
                <w:highlight w:val="none"/>
              </w:rPr>
              <w:t>GB；</w:t>
            </w:r>
          </w:p>
          <w:p>
            <w:pPr>
              <w:pStyle w:val="247"/>
              <w:kinsoku w:val="0"/>
              <w:overflowPunct w:val="0"/>
              <w:spacing w:before="0" w:line="360" w:lineRule="exact"/>
              <w:ind w:left="199" w:leftChars="95"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3.机械硬盘数量：≥1个；</w:t>
            </w:r>
            <w:r>
              <w:rPr>
                <w:rFonts w:hint="eastAsia" w:ascii="仿宋_GB2312" w:hAnsi="仿宋_GB2312" w:eastAsia="仿宋_GB2312" w:cs="仿宋_GB2312"/>
                <w:color w:val="auto"/>
                <w:sz w:val="24"/>
                <w:szCs w:val="24"/>
                <w:highlight w:val="none"/>
              </w:rPr>
              <w:cr/>
            </w:r>
            <w:r>
              <w:rPr>
                <w:rFonts w:hint="eastAsia" w:ascii="仿宋_GB2312" w:hAnsi="仿宋_GB2312" w:eastAsia="仿宋_GB2312" w:cs="仿宋_GB2312"/>
                <w:color w:val="auto"/>
                <w:sz w:val="24"/>
                <w:szCs w:val="24"/>
                <w:highlight w:val="none"/>
              </w:rPr>
              <w:t>4.机械硬盘总容量：≥1TB；</w:t>
            </w:r>
          </w:p>
          <w:p>
            <w:pPr>
              <w:pStyle w:val="247"/>
              <w:kinsoku w:val="0"/>
              <w:overflowPunct w:val="0"/>
              <w:spacing w:before="0" w:line="360" w:lineRule="exact"/>
              <w:ind w:left="210" w:leftChars="100"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5.机械硬盘转速：≥5400rpm；</w:t>
            </w:r>
          </w:p>
          <w:p>
            <w:pPr>
              <w:pStyle w:val="247"/>
              <w:kinsoku w:val="0"/>
              <w:overflowPunct w:val="0"/>
              <w:spacing w:before="0" w:line="360" w:lineRule="exact"/>
              <w:ind w:left="210" w:leftChars="100"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6.机械硬盘形态：3.5英寸；</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7.固态存储形态：采用插卡或板载等形态，可选用符合M.2或2.5寸SATA或mSATA等标准的插卡形态；</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8.存储设备其他参数要求：a)固态盘应符合SJ/T11654相关规定；b)机械硬盘准备时间应不大于30s；侧面固定螺丝孔数量可为4孔或6孔；工作状态环境温度应满足5℃</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55℃；其它参数应符合GB/T12628相关规定</w:t>
            </w:r>
            <w:r>
              <w:rPr>
                <w:rFonts w:hint="eastAsia" w:ascii="仿宋_GB2312" w:hAnsi="仿宋_GB2312" w:eastAsia="仿宋_GB2312" w:cs="仿宋_GB2312"/>
                <w:color w:val="auto"/>
                <w:sz w:val="24"/>
                <w:szCs w:val="24"/>
                <w:highlight w:val="none"/>
                <w:lang w:eastAsia="zh-CN"/>
              </w:rPr>
              <w:t>。</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五</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显卡规格</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1.显卡类型：独立显卡或集成显卡；</w:t>
            </w:r>
          </w:p>
          <w:p>
            <w:pPr>
              <w:pStyle w:val="247"/>
              <w:keepNext w:val="0"/>
              <w:keepLines w:val="0"/>
              <w:pageBreakBefore w:val="0"/>
              <w:widowControl w:val="0"/>
              <w:kinsoku w:val="0"/>
              <w:wordWrap w:val="0"/>
              <w:overflowPunct/>
              <w:topLinePunct w:val="0"/>
              <w:autoSpaceDE w:val="0"/>
              <w:autoSpaceDN w:val="0"/>
              <w:bidi w:val="0"/>
              <w:adjustRightInd w:val="0"/>
              <w:snapToGrid/>
              <w:spacing w:before="0" w:line="360" w:lineRule="exact"/>
              <w:ind w:firstLine="240" w:firstLineChars="1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2.独立显卡显存类型（集成显卡不涉及）：若配置独立显卡，显存类型应为DDR3/DDR4/GDDR5/GDDR6/LPDDR4；</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3.独立显卡显存位宽（集成显卡不涉及）：若配置独立显卡，显存位宽≥16位；</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highlight w:val="none"/>
                <w:lang w:val="en-US" w:eastAsia="zh-CN"/>
              </w:rPr>
              <w:t>4.独立显卡显存容量（集成显卡不涉及）：若配置独立显卡，显存容量≥1GB。</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六</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显示设备规格</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1.显示屏屏占比：≥80%；</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2.显示屏分辨率：≥1920x1080；</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3.显示屏尺寸：≥</w:t>
            </w:r>
            <w:r>
              <w:rPr>
                <w:rFonts w:hint="eastAsia" w:ascii="仿宋_GB2312" w:hAnsi="仿宋_GB2312" w:eastAsia="仿宋_GB2312" w:cs="仿宋_GB2312"/>
                <w:color w:val="auto"/>
                <w:sz w:val="24"/>
                <w:szCs w:val="24"/>
                <w:highlight w:val="none"/>
                <w:lang w:val="en-US" w:eastAsia="zh-CN"/>
              </w:rPr>
              <w:t>23</w:t>
            </w:r>
            <w:r>
              <w:rPr>
                <w:rFonts w:hint="eastAsia" w:ascii="仿宋_GB2312" w:hAnsi="仿宋_GB2312" w:eastAsia="仿宋_GB2312" w:cs="仿宋_GB2312"/>
                <w:color w:val="auto"/>
                <w:sz w:val="24"/>
                <w:szCs w:val="24"/>
                <w:highlight w:val="none"/>
              </w:rPr>
              <w:t>英寸；</w:t>
            </w:r>
          </w:p>
          <w:p>
            <w:pPr>
              <w:pStyle w:val="247"/>
              <w:kinsoku w:val="0"/>
              <w:overflowPunct w:val="0"/>
              <w:spacing w:before="1"/>
              <w:ind w:left="239" w:leftChars="114"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4.显示屏屏幕比例：</w:t>
            </w:r>
            <w:r>
              <w:rPr>
                <w:rFonts w:hint="eastAsia" w:ascii="仿宋_GB2312" w:hAnsi="仿宋_GB2312" w:eastAsia="仿宋_GB2312" w:cs="仿宋_GB2312"/>
                <w:color w:val="auto"/>
                <w:kern w:val="0"/>
                <w:sz w:val="24"/>
                <w:szCs w:val="24"/>
                <w:highlight w:val="none"/>
                <w:lang w:val="en-US" w:eastAsia="zh-CN" w:bidi="ar-SA"/>
              </w:rPr>
              <w:t>16:9/3:2/21:9/16:10等</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cr/>
            </w:r>
            <w:r>
              <w:rPr>
                <w:rFonts w:hint="eastAsia" w:ascii="仿宋_GB2312" w:hAnsi="仿宋_GB2312" w:eastAsia="仿宋_GB2312" w:cs="仿宋_GB2312"/>
                <w:color w:val="auto"/>
                <w:sz w:val="24"/>
                <w:szCs w:val="24"/>
                <w:highlight w:val="none"/>
              </w:rPr>
              <w:t>5.显示器外观颜色：</w:t>
            </w:r>
            <w:r>
              <w:rPr>
                <w:rFonts w:hint="eastAsia" w:ascii="仿宋_GB2312" w:hAnsi="仿宋_GB2312" w:eastAsia="仿宋_GB2312" w:cs="仿宋_GB2312"/>
                <w:color w:val="auto"/>
                <w:kern w:val="0"/>
                <w:sz w:val="24"/>
                <w:szCs w:val="24"/>
                <w:highlight w:val="none"/>
                <w:lang w:val="en-US" w:eastAsia="zh-CN" w:bidi="ar-SA"/>
              </w:rPr>
              <w:t>黑色/白色/银色等商务色系</w:t>
            </w:r>
            <w:r>
              <w:rPr>
                <w:rFonts w:hint="eastAsia" w:ascii="仿宋_GB2312" w:hAnsi="仿宋_GB2312" w:eastAsia="仿宋_GB2312" w:cs="仿宋_GB2312"/>
                <w:color w:val="auto"/>
                <w:sz w:val="24"/>
                <w:szCs w:val="24"/>
                <w:highlight w:val="none"/>
              </w:rPr>
              <w:t>；</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6.显示屏防蓝光：支持防蓝光模式，蓝光加权辐射亮度比应≤0.0012W/(·cd·sr)（瓦每坎特拉每球面度）；</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7.显示屏低频闪：显示屏应支持低频闪≤-35dB；</w:t>
            </w:r>
          </w:p>
          <w:p>
            <w:pPr>
              <w:pStyle w:val="247"/>
              <w:kinsoku w:val="0"/>
              <w:overflowPunct w:val="0"/>
              <w:spacing w:before="1"/>
              <w:ind w:left="239" w:leftChars="114"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8.显示屏防炫目：显示屏镜面反射率≤10%</w:t>
            </w:r>
            <w:r>
              <w:rPr>
                <w:rFonts w:hint="eastAsia" w:ascii="仿宋_GB2312" w:hAnsi="仿宋_GB2312" w:eastAsia="仿宋_GB2312" w:cs="仿宋_GB2312"/>
                <w:color w:val="auto"/>
                <w:sz w:val="24"/>
                <w:szCs w:val="24"/>
                <w:highlight w:val="none"/>
                <w:lang w:eastAsia="zh-CN"/>
              </w:rPr>
              <w:t>；</w:t>
            </w:r>
          </w:p>
          <w:p>
            <w:pPr>
              <w:pStyle w:val="247"/>
              <w:kinsoku w:val="0"/>
              <w:overflowPunct w:val="0"/>
              <w:spacing w:before="1"/>
              <w:ind w:left="239" w:leftChars="114" w:firstLine="0" w:firstLineChars="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w:t>
            </w:r>
            <w:r>
              <w:rPr>
                <w:rFonts w:hint="eastAsia" w:ascii="仿宋_GB2312" w:hAnsi="仿宋_GB2312" w:eastAsia="仿宋_GB2312" w:cs="仿宋_GB2312"/>
                <w:color w:val="auto"/>
                <w:sz w:val="24"/>
                <w:szCs w:val="24"/>
                <w:highlight w:val="none"/>
                <w:lang w:eastAsia="zh-CN"/>
              </w:rPr>
              <w:t>显示器需配置HDMI线一条</w:t>
            </w:r>
            <w:r>
              <w:rPr>
                <w:rFonts w:hint="eastAsia" w:ascii="仿宋_GB2312" w:hAnsi="仿宋_GB2312" w:eastAsia="仿宋_GB2312" w:cs="仿宋_GB2312"/>
                <w:color w:val="auto"/>
                <w:sz w:val="24"/>
                <w:szCs w:val="24"/>
                <w:highlight w:val="none"/>
                <w:lang w:val="en-US" w:eastAsia="zh-CN"/>
              </w:rPr>
              <w:t>。</w:t>
            </w:r>
          </w:p>
          <w:p>
            <w:pPr>
              <w:pStyle w:val="247"/>
              <w:kinsoku w:val="0"/>
              <w:overflowPunct w:val="0"/>
              <w:spacing w:before="0" w:line="360" w:lineRule="exact"/>
              <w:ind w:left="0" w:firstLine="241"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七</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外设规格</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1.鼠标数量：≥1个；</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2.键盘数量：≥1个；</w:t>
            </w:r>
          </w:p>
          <w:p>
            <w:pPr>
              <w:pStyle w:val="247"/>
              <w:kinsoku w:val="0"/>
              <w:overflowPunct w:val="0"/>
              <w:spacing w:before="1"/>
              <w:ind w:left="239" w:leftChars="114" w:firstLine="0" w:firstLineChars="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3.键盘按键数目：</w:t>
            </w:r>
            <w:r>
              <w:rPr>
                <w:rFonts w:hint="eastAsia" w:ascii="宋体" w:hAnsi="宋体" w:eastAsia="宋体" w:cs="宋体"/>
                <w:color w:val="auto"/>
                <w:sz w:val="24"/>
                <w:szCs w:val="24"/>
                <w:highlight w:val="none"/>
                <w:lang w:val="en-US" w:eastAsia="zh-CN"/>
              </w:rPr>
              <w:t>≥</w:t>
            </w:r>
            <w:r>
              <w:rPr>
                <w:rFonts w:hint="eastAsia" w:ascii="仿宋_GB2312" w:hAnsi="仿宋_GB2312" w:eastAsia="仿宋_GB2312" w:cs="仿宋_GB2312"/>
                <w:color w:val="auto"/>
                <w:sz w:val="24"/>
                <w:szCs w:val="24"/>
                <w:highlight w:val="none"/>
                <w:lang w:val="en-US" w:eastAsia="zh-CN"/>
              </w:rPr>
              <w:t>61键；</w:t>
            </w:r>
          </w:p>
          <w:p>
            <w:pPr>
              <w:pStyle w:val="247"/>
              <w:kinsoku w:val="0"/>
              <w:overflowPunct w:val="0"/>
              <w:spacing w:before="1"/>
              <w:ind w:left="239" w:leftChars="114" w:firstLine="0" w:firstLineChars="0"/>
              <w:rPr>
                <w:rFonts w:hint="eastAsia" w:ascii="仿宋_GB2312" w:hAnsi="仿宋_GB2312" w:eastAsia="黑体"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.键盘连接方式：</w:t>
            </w:r>
            <w:r>
              <w:rPr>
                <w:rFonts w:hint="eastAsia" w:ascii="仿宋_GB2312" w:hAnsi="仿宋_GB2312" w:eastAsia="仿宋_GB2312" w:cs="仿宋_GB2312"/>
                <w:color w:val="auto"/>
                <w:sz w:val="24"/>
                <w:szCs w:val="24"/>
                <w:highlight w:val="none"/>
                <w:lang w:val="en-US" w:eastAsia="zh-CN"/>
              </w:rPr>
              <w:t>有线</w:t>
            </w:r>
            <w:r>
              <w:rPr>
                <w:rFonts w:hint="eastAsia"/>
                <w:lang w:eastAsia="zh-CN"/>
              </w:rPr>
              <w:t>；</w:t>
            </w:r>
          </w:p>
          <w:p>
            <w:pPr>
              <w:pStyle w:val="247"/>
              <w:kinsoku w:val="0"/>
              <w:overflowPunct w:val="0"/>
              <w:spacing w:before="1"/>
              <w:ind w:left="239" w:leftChars="114" w:firstLine="0" w:firstLineChars="0"/>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lang w:val="en-US" w:eastAsia="zh-CN"/>
              </w:rPr>
              <w:t>5.键盘键程：2.3mm-4.0mm；</w:t>
            </w:r>
          </w:p>
          <w:p>
            <w:pPr>
              <w:pStyle w:val="247"/>
              <w:kinsoku w:val="0"/>
              <w:overflowPunct w:val="0"/>
              <w:spacing w:before="1"/>
              <w:ind w:left="239" w:leftChars="114" w:firstLine="0" w:firstLineChars="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6.键盘按键压力：按键压力应在0.54N±0.14N；</w:t>
            </w:r>
          </w:p>
          <w:p>
            <w:pPr>
              <w:pStyle w:val="247"/>
              <w:kinsoku w:val="0"/>
              <w:overflowPunct w:val="0"/>
              <w:spacing w:before="1"/>
              <w:ind w:left="239" w:leftChars="114" w:firstLine="0" w:firstLineChars="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7.有线键盘连接线：≥1.5米；</w:t>
            </w:r>
          </w:p>
          <w:p>
            <w:pPr>
              <w:pStyle w:val="247"/>
              <w:kinsoku w:val="0"/>
              <w:overflowPunct w:val="0"/>
              <w:spacing w:before="1"/>
              <w:ind w:left="239" w:leftChars="114" w:firstLine="0" w:firstLineChars="0"/>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lang w:val="en-US" w:eastAsia="zh-CN"/>
              </w:rPr>
              <w:t>8.键盘颜色：黑色；</w:t>
            </w:r>
          </w:p>
          <w:p>
            <w:pPr>
              <w:pStyle w:val="247"/>
              <w:kinsoku w:val="0"/>
              <w:overflowPunct w:val="0"/>
              <w:spacing w:before="1"/>
              <w:ind w:left="239" w:leftChars="114" w:firstLine="0" w:firstLineChars="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9.鼠标连接方式：有线；</w:t>
            </w:r>
          </w:p>
          <w:p>
            <w:pPr>
              <w:pStyle w:val="247"/>
              <w:kinsoku w:val="0"/>
              <w:overflowPunct w:val="0"/>
              <w:spacing w:before="1"/>
              <w:ind w:left="239" w:leftChars="114" w:firstLine="0" w:firstLineChars="0"/>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lang w:val="en-US" w:eastAsia="zh-CN"/>
              </w:rPr>
              <w:t>10.有线鼠标连接线：≥1.5米；</w:t>
            </w:r>
          </w:p>
          <w:p>
            <w:pPr>
              <w:pStyle w:val="247"/>
              <w:kinsoku w:val="0"/>
              <w:overflowPunct w:val="0"/>
              <w:spacing w:before="1"/>
              <w:ind w:left="239" w:leftChars="114" w:firstLine="0" w:firstLineChars="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11.鼠标DPI分辨率：800-1600；</w:t>
            </w:r>
          </w:p>
          <w:p>
            <w:pPr>
              <w:pStyle w:val="247"/>
              <w:kinsoku w:val="0"/>
              <w:overflowPunct w:val="0"/>
              <w:spacing w:before="1"/>
              <w:ind w:left="239" w:leftChars="114" w:firstLine="0" w:firstLineChars="0"/>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lang w:val="en-US" w:eastAsia="zh-CN"/>
              </w:rPr>
              <w:t>12.鼠标颜色：黑色；</w:t>
            </w:r>
          </w:p>
          <w:p>
            <w:pPr>
              <w:pStyle w:val="247"/>
              <w:kinsoku w:val="0"/>
              <w:overflowPunct w:val="0"/>
              <w:spacing w:before="1"/>
              <w:ind w:left="239" w:leftChars="114" w:firstLine="0" w:firstLineChars="0"/>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sz w:val="24"/>
                <w:szCs w:val="24"/>
                <w:highlight w:val="none"/>
                <w:lang w:val="en-US" w:eastAsia="zh-CN"/>
              </w:rPr>
              <w:t>13.鼠标其他要求：其它参数应符合GB/T26245的相关规定;</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14.</w:t>
            </w:r>
            <w:r>
              <w:rPr>
                <w:rFonts w:hint="eastAsia" w:ascii="仿宋_GB2312" w:hAnsi="仿宋_GB2312" w:eastAsia="仿宋_GB2312" w:cs="仿宋_GB2312"/>
                <w:i w:val="0"/>
                <w:color w:val="auto"/>
                <w:kern w:val="0"/>
                <w:sz w:val="24"/>
                <w:szCs w:val="24"/>
                <w:highlight w:val="none"/>
                <w:u w:val="none"/>
                <w:lang w:eastAsia="zh-CN"/>
              </w:rPr>
              <w:t>光驱数量</w:t>
            </w:r>
            <w:r>
              <w:rPr>
                <w:rFonts w:hint="eastAsia" w:ascii="仿宋_GB2312" w:hAnsi="仿宋_GB2312" w:eastAsia="仿宋_GB2312" w:cs="仿宋_GB2312"/>
                <w:color w:val="auto"/>
                <w:sz w:val="24"/>
                <w:szCs w:val="24"/>
                <w:highlight w:val="none"/>
              </w:rPr>
              <w:t>：≥1个；</w:t>
            </w:r>
            <w:r>
              <w:rPr>
                <w:rFonts w:hint="eastAsia" w:ascii="仿宋_GB2312" w:hAnsi="仿宋_GB2312" w:eastAsia="仿宋_GB2312" w:cs="仿宋_GB2312"/>
                <w:i w:val="0"/>
                <w:color w:val="auto"/>
                <w:kern w:val="0"/>
                <w:sz w:val="24"/>
                <w:szCs w:val="24"/>
                <w:highlight w:val="none"/>
                <w:u w:val="none"/>
                <w:lang w:eastAsia="zh-CN"/>
              </w:rPr>
              <w:t>内置或外置DVD光驱。</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八</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网络设备规格</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有线网卡数量：≥1</w:t>
            </w:r>
            <w:r>
              <w:rPr>
                <w:rFonts w:hint="eastAsia" w:ascii="仿宋_GB2312" w:hAnsi="仿宋_GB2312" w:eastAsia="仿宋_GB2312" w:cs="仿宋_GB2312"/>
                <w:color w:val="auto"/>
                <w:sz w:val="24"/>
                <w:szCs w:val="24"/>
                <w:highlight w:val="none"/>
                <w:lang w:eastAsia="zh-CN"/>
              </w:rPr>
              <w:t>。</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九</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外部接口规格</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1.USB接口数量：≥3个，至少包含</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个USB3.0及以上标准接口；</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2.视频接口数量：≥1；</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3.音频接口数量：≥1</w:t>
            </w:r>
            <w:r>
              <w:rPr>
                <w:rFonts w:hint="eastAsia" w:ascii="仿宋_GB2312" w:hAnsi="仿宋_GB2312" w:eastAsia="仿宋_GB2312" w:cs="仿宋_GB2312"/>
                <w:color w:val="auto"/>
                <w:sz w:val="24"/>
                <w:szCs w:val="24"/>
                <w:highlight w:val="none"/>
                <w:lang w:eastAsia="zh-CN"/>
              </w:rPr>
              <w:t>。</w:t>
            </w:r>
          </w:p>
          <w:p>
            <w:pPr>
              <w:pStyle w:val="247"/>
              <w:kinsoku w:val="0"/>
              <w:overflowPunct w:val="0"/>
              <w:spacing w:before="0" w:line="360" w:lineRule="exact"/>
              <w:ind w:firstLine="241" w:firstLineChars="10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lang w:val="en-US" w:eastAsia="zh-CN"/>
              </w:rPr>
              <w:t>十</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i w:val="0"/>
                <w:color w:val="auto"/>
                <w:kern w:val="0"/>
                <w:sz w:val="24"/>
                <w:szCs w:val="24"/>
                <w:highlight w:val="none"/>
                <w:u w:val="none"/>
                <w:lang w:val="en-US" w:eastAsia="zh-CN"/>
              </w:rPr>
              <w:t>整机基础规格</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整机外观：a)产品表面不应有凹痕、划伤、裂缝、变形和污染等。表面涂层均匀，不应起泡、龟裂、脱落和磨损，金属零部件无锈蚀及其它机械损伤；b)产品表面说明功能的文字、符号、标志，应清晰、端正、牢固；</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2.状态指示灯：在产品显著位置提供状态指示功能；</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整机结构：a)机箱应符合GB/T4208、GB/T26246的相关规定；b)产品内部结构应符合通用部件的安装需求；c)所有输入输出接口应符合相关国家或行业标准；d)产品零部件应紧固无松动，可插拔部件应可靠连接，开关、按钮和其它控制部件应灵活可靠，布局应方便使用；e)所有I/O连接器及需插接线缆的部位应预留采购人操作空间，方便插拔解锁与插拔线缆；f)可插拔板卡插槽部位应预留安装、拆卸或更换板卡空间；g)拆装可能接触到的金属剪口或金属尖角部位应做防划伤处理，以保证安全；h)整机内部走线应规整，固线结构和位置要合理可靠并做防割线处理，需便于理线和插拔操作，走线应不影响系统各主要部件组装和拆卸；i)如需通过孔走线，过线孔应做防割线处理；j)各插头位置和插拔方向应合理，应做到插拔无障碍设计，具备防呆设计，有效避免误操作；k)各主要部件拆装无障碍，使用常规工具拆装，无特殊拆装工具需求；l)各主要部件拆装步骤要少，各自拆装需避免相互干扰；m)对于整机或零部件外表面为高亮面的，应粘贴保护膜，保护膜需粘贴牢固，运输、组装等过程不易脱落，撕下无残留；n)其它要求应符合GB/T9813.1的相关规定；</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4.机箱防护要求：机箱应符合GB/T4208中IP20防护要求；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5.整机噪音：产品工作在空闲状态下，产品的声功率级应不超过4.5Bel；</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整机散热：在环境温度25℃及处理器满载情况下，产品表面温度应符合如下要求：a)出风口在机箱后面板情况下，出风口温度不高于55℃；b)可触及面温度不高于45℃；c)显示器表面温度：显示屏不高于38℃，显示屏上下灯带位置温度（如涉及）不高于40℃，出风口温度不高于45℃；</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7.整机能效限定值：产品能效限定值应达到GB28380-2012标准中能效等级2级及以上；</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8.机身材质：</w:t>
            </w:r>
            <w:r>
              <w:rPr>
                <w:rFonts w:hint="eastAsia" w:ascii="仿宋_GB2312" w:hAnsi="仿宋_GB2312" w:eastAsia="仿宋_GB2312" w:cs="仿宋_GB2312"/>
                <w:color w:val="auto"/>
                <w:kern w:val="0"/>
                <w:sz w:val="24"/>
                <w:szCs w:val="24"/>
                <w:highlight w:val="none"/>
                <w:lang w:val="en-US" w:eastAsia="zh-CN" w:bidi="ar-SA"/>
              </w:rPr>
              <w:t>塑料/金属等</w:t>
            </w:r>
            <w:r>
              <w:rPr>
                <w:rFonts w:hint="eastAsia" w:ascii="仿宋_GB2312" w:hAnsi="仿宋_GB2312" w:eastAsia="仿宋_GB2312" w:cs="仿宋_GB2312"/>
                <w:color w:val="auto"/>
                <w:sz w:val="24"/>
                <w:szCs w:val="24"/>
                <w:highlight w:val="none"/>
                <w:lang w:val="en-US" w:eastAsia="zh-CN"/>
              </w:rPr>
              <w:t>；</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9.机身颜色：</w:t>
            </w:r>
            <w:r>
              <w:rPr>
                <w:rFonts w:hint="eastAsia" w:ascii="仿宋_GB2312" w:hAnsi="仿宋_GB2312" w:eastAsia="仿宋_GB2312" w:cs="仿宋_GB2312"/>
                <w:color w:val="auto"/>
                <w:kern w:val="0"/>
                <w:sz w:val="24"/>
                <w:szCs w:val="24"/>
                <w:highlight w:val="none"/>
                <w:lang w:val="en-US" w:eastAsia="zh-CN" w:bidi="ar-SA"/>
              </w:rPr>
              <w:t>灰色/黑色等商务色系</w:t>
            </w:r>
            <w:r>
              <w:rPr>
                <w:rFonts w:hint="eastAsia" w:ascii="仿宋_GB2312" w:hAnsi="仿宋_GB2312" w:eastAsia="仿宋_GB2312" w:cs="仿宋_GB2312"/>
                <w:color w:val="auto"/>
                <w:sz w:val="24"/>
                <w:szCs w:val="24"/>
                <w:highlight w:val="none"/>
                <w:lang w:val="en-US" w:eastAsia="zh-CN"/>
              </w:rPr>
              <w:t>；</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10.机箱尺寸容量：机箱体积应不大于30L。</w:t>
            </w:r>
          </w:p>
          <w:p>
            <w:pPr>
              <w:pStyle w:val="247"/>
              <w:kinsoku w:val="0"/>
              <w:overflowPunct w:val="0"/>
              <w:spacing w:before="0" w:line="360" w:lineRule="exact"/>
              <w:ind w:left="0" w:firstLine="0" w:firstLineChars="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二、产品性能要求</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lang w:val="en-US" w:eastAsia="zh-CN"/>
              </w:rPr>
              <w:t>一</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CPU性能</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1.CPU物理核数：≥</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2.CPU主频：≥</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0</w:t>
            </w:r>
            <w:r>
              <w:rPr>
                <w:rFonts w:hint="eastAsia" w:ascii="仿宋_GB2312" w:hAnsi="仿宋_GB2312" w:eastAsia="仿宋_GB2312" w:cs="仿宋_GB2312"/>
                <w:color w:val="auto"/>
                <w:sz w:val="24"/>
                <w:szCs w:val="24"/>
                <w:highlight w:val="none"/>
              </w:rPr>
              <w:t>GHz；</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3.CPU末级缓存容量≥2MB；</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4.CPU支持的内存最高速率≥2666MT/s。</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二</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内存性能</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内存读写速率：≥2666MT/s</w:t>
            </w:r>
            <w:r>
              <w:rPr>
                <w:rFonts w:hint="eastAsia" w:ascii="仿宋_GB2312" w:hAnsi="仿宋_GB2312" w:eastAsia="仿宋_GB2312" w:cs="仿宋_GB2312"/>
                <w:color w:val="auto"/>
                <w:sz w:val="24"/>
                <w:szCs w:val="24"/>
                <w:highlight w:val="none"/>
                <w:lang w:eastAsia="zh-CN"/>
              </w:rPr>
              <w:t>。</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三</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显卡性能</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1.显示分辨率：≥1920*1080；</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2.显卡显示芯片核心频率：≥300MHz；</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3.显存等效频率：≥1000MT/s；</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4.显卡可支持多屏同时显示数量：显卡应支持2块屏幕同时显示，分辨率应不低于1920×1080。</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四</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显示设备性能</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1.显示屏刷新率：≥75Hz；</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2.显示屏位深：≥8位；</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3.显示屏色域：≥99%sRGB；</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4.显示屏色准：△E≤4；</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5.显示屏响应时间：≤8ms；</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6.显示屏亮度：≥250尼特；</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7.显示屏亮度一致性：≥70%；</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8.显示屏对比度：≥500：1；</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9.显示屏其他参数：其它参数应符合SJ/T11292的相关规定。</w:t>
            </w:r>
          </w:p>
          <w:p>
            <w:pPr>
              <w:pStyle w:val="247"/>
              <w:kinsoku w:val="0"/>
              <w:overflowPunct w:val="0"/>
              <w:spacing w:before="0" w:line="360" w:lineRule="exact"/>
              <w:ind w:firstLine="241"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五</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网络设备性能</w:t>
            </w:r>
          </w:p>
          <w:p>
            <w:pPr>
              <w:pStyle w:val="247"/>
              <w:keepNext w:val="0"/>
              <w:keepLines w:val="0"/>
              <w:pageBreakBefore w:val="0"/>
              <w:widowControl w:val="0"/>
              <w:kinsoku w:val="0"/>
              <w:wordWrap w:val="0"/>
              <w:overflowPunct/>
              <w:topLinePunct w:val="0"/>
              <w:autoSpaceDE w:val="0"/>
              <w:autoSpaceDN w:val="0"/>
              <w:bidi w:val="0"/>
              <w:adjustRightInd w:val="0"/>
              <w:snapToGrid/>
              <w:spacing w:before="0" w:line="360" w:lineRule="exact"/>
              <w:ind w:firstLine="240" w:firstLineChars="1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有线网卡速率：最高速率应不低于1000Mbps，应支持10Mbps、100Mbps、1000Mbps速率自适应</w:t>
            </w:r>
            <w:r>
              <w:rPr>
                <w:rFonts w:hint="eastAsia" w:ascii="仿宋_GB2312" w:hAnsi="仿宋_GB2312" w:eastAsia="仿宋_GB2312" w:cs="仿宋_GB2312"/>
                <w:color w:val="auto"/>
                <w:sz w:val="24"/>
                <w:szCs w:val="24"/>
                <w:highlight w:val="none"/>
                <w:lang w:eastAsia="zh-CN"/>
              </w:rPr>
              <w:t>。</w:t>
            </w:r>
          </w:p>
          <w:p>
            <w:pPr>
              <w:pStyle w:val="247"/>
              <w:kinsoku w:val="0"/>
              <w:overflowPunct w:val="0"/>
              <w:spacing w:before="0" w:line="360" w:lineRule="exact"/>
              <w:ind w:left="0" w:firstLine="0" w:firstLineChars="0"/>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val="en-US" w:eastAsia="zh-CN"/>
              </w:rPr>
              <w:t>三、产品功能要求</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lang w:val="en-US" w:eastAsia="zh-CN"/>
              </w:rPr>
              <w:t>一</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主板功能</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1.内存扩展接口(板载内存不涉及)：≥</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个；</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2.主板USB瞬间过流保护：支持有瞬间过流保护功能；</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3.主板防静电保护：支持防静电保护功能；</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I/O接口功能：提供基于标准USB接口外设连接功能、基于音频输入输出接口的音频扩展功能、基于PCIe接口板卡扩展功能、基于HDMI或VGA或Type-C或DVI或DP等接口外接显示器扩展功能、基于存储接口对产品进行增容功能等。产品I/O接口，应具备外接标准USB设备、显示器、音频设备等内外部设备能力。</w:t>
            </w:r>
          </w:p>
          <w:p>
            <w:pPr>
              <w:pStyle w:val="247"/>
              <w:kinsoku w:val="0"/>
              <w:overflowPunct w:val="0"/>
              <w:spacing w:before="0" w:line="360" w:lineRule="exact"/>
              <w:ind w:left="0" w:firstLine="241"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lang w:val="en-US" w:eastAsia="zh-CN"/>
              </w:rPr>
              <w:t>二</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显</w:t>
            </w:r>
            <w:r>
              <w:rPr>
                <w:rFonts w:hint="eastAsia" w:ascii="仿宋_GB2312" w:hAnsi="仿宋_GB2312" w:eastAsia="仿宋_GB2312" w:cs="仿宋_GB2312"/>
                <w:b/>
                <w:bCs/>
                <w:color w:val="auto"/>
                <w:sz w:val="24"/>
                <w:szCs w:val="24"/>
                <w:highlight w:val="none"/>
                <w:lang w:val="en-US" w:eastAsia="zh-CN"/>
              </w:rPr>
              <w:t>卡</w:t>
            </w:r>
            <w:r>
              <w:rPr>
                <w:rFonts w:hint="eastAsia" w:ascii="仿宋_GB2312" w:hAnsi="仿宋_GB2312" w:eastAsia="仿宋_GB2312" w:cs="仿宋_GB2312"/>
                <w:b/>
                <w:bCs/>
                <w:color w:val="auto"/>
                <w:sz w:val="24"/>
                <w:szCs w:val="24"/>
                <w:highlight w:val="none"/>
              </w:rPr>
              <w:t>功能</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显卡外接显示接口：至少支持VGA、HDMI、DVI、DP、Type-C中1种显示接口，并与显示器接口相匹配。</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lang w:val="en-US" w:eastAsia="zh-CN"/>
              </w:rPr>
              <w:t>三</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显示设备功能</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1.显示器接口：显示器应与显卡外接显示接口匹配；</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2.显示器支架：显示器应提供显示器支架，根据采购人需求支持屏幕旋转、升降等；</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3.显示器参数调节：a)提供OSD选单按钮用于调节色彩、模式等；b)支持色温、亮度、对比度调节。</w:t>
            </w:r>
          </w:p>
          <w:p>
            <w:pPr>
              <w:pStyle w:val="247"/>
              <w:kinsoku w:val="0"/>
              <w:overflowPunct w:val="0"/>
              <w:spacing w:before="0" w:line="360" w:lineRule="exact"/>
              <w:ind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i w:val="0"/>
                <w:color w:val="auto"/>
                <w:kern w:val="0"/>
                <w:sz w:val="24"/>
                <w:szCs w:val="24"/>
                <w:highlight w:val="none"/>
                <w:u w:val="none"/>
                <w:lang w:eastAsia="zh-CN"/>
              </w:rPr>
              <w:t>（</w:t>
            </w:r>
            <w:r>
              <w:rPr>
                <w:rFonts w:hint="eastAsia" w:ascii="仿宋_GB2312" w:hAnsi="仿宋_GB2312" w:eastAsia="仿宋_GB2312" w:cs="仿宋_GB2312"/>
                <w:b/>
                <w:bCs/>
                <w:i w:val="0"/>
                <w:color w:val="auto"/>
                <w:kern w:val="0"/>
                <w:sz w:val="24"/>
                <w:szCs w:val="24"/>
                <w:highlight w:val="none"/>
                <w:u w:val="none"/>
                <w:lang w:val="en-US" w:eastAsia="zh-CN"/>
              </w:rPr>
              <w:t>四</w:t>
            </w:r>
            <w:r>
              <w:rPr>
                <w:rFonts w:hint="eastAsia" w:ascii="仿宋_GB2312" w:hAnsi="仿宋_GB2312" w:eastAsia="仿宋_GB2312" w:cs="仿宋_GB2312"/>
                <w:b/>
                <w:bCs/>
                <w:i w:val="0"/>
                <w:color w:val="auto"/>
                <w:kern w:val="0"/>
                <w:sz w:val="24"/>
                <w:szCs w:val="24"/>
                <w:highlight w:val="none"/>
                <w:u w:val="none"/>
                <w:lang w:eastAsia="zh-CN"/>
              </w:rPr>
              <w:t>）光驱功能</w:t>
            </w:r>
          </w:p>
          <w:p>
            <w:pPr>
              <w:pStyle w:val="247"/>
              <w:kinsoku w:val="0"/>
              <w:overflowPunct w:val="0"/>
              <w:spacing w:before="0" w:line="360" w:lineRule="exact"/>
              <w:ind w:left="0" w:firstLine="240" w:firstLineChars="100"/>
              <w:rPr>
                <w:rFonts w:hint="eastAsia" w:ascii="仿宋_GB2312" w:hAnsi="仿宋_GB2312" w:eastAsia="仿宋_GB2312" w:cs="仿宋_GB2312"/>
                <w:i w:val="0"/>
                <w:color w:val="auto"/>
                <w:kern w:val="0"/>
                <w:sz w:val="24"/>
                <w:szCs w:val="24"/>
                <w:highlight w:val="none"/>
                <w:u w:val="none"/>
                <w:lang w:val="en-US" w:eastAsia="zh-CN"/>
              </w:rPr>
            </w:pPr>
            <w:r>
              <w:rPr>
                <w:rFonts w:hint="eastAsia" w:ascii="仿宋_GB2312" w:hAnsi="仿宋_GB2312" w:eastAsia="仿宋_GB2312" w:cs="仿宋_GB2312"/>
                <w:i w:val="0"/>
                <w:color w:val="auto"/>
                <w:kern w:val="0"/>
                <w:sz w:val="24"/>
                <w:szCs w:val="24"/>
                <w:highlight w:val="none"/>
                <w:u w:val="none"/>
                <w:lang w:val="en-US" w:eastAsia="zh-CN"/>
              </w:rPr>
              <w:t>光驱应支持只读、刻录等类型；最大读取速度CD不低于24×150KB/s；最大读取速度DVD不低于8×358KB/s；最大刻录速度CD不低于24×150KB/s；最大刻录速度DVD不低于6×1358KB/s；兼容光盘类型包含只读光盘、可读写光盘、可擦写光盘等。</w:t>
            </w:r>
          </w:p>
          <w:p>
            <w:pPr>
              <w:pStyle w:val="247"/>
              <w:kinsoku w:val="0"/>
              <w:overflowPunct w:val="0"/>
              <w:spacing w:before="0" w:line="360" w:lineRule="exact"/>
              <w:ind w:firstLine="241" w:firstLineChars="100"/>
              <w:rPr>
                <w:rFonts w:hint="eastAsia" w:ascii="仿宋_GB2312" w:hAnsi="仿宋_GB2312" w:eastAsia="仿宋_GB2312" w:cs="仿宋_GB2312"/>
                <w:b/>
                <w:bCs/>
                <w:i w:val="0"/>
                <w:color w:val="auto"/>
                <w:kern w:val="0"/>
                <w:sz w:val="24"/>
                <w:szCs w:val="24"/>
                <w:highlight w:val="none"/>
                <w:u w:val="none"/>
                <w:lang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i w:val="0"/>
                <w:color w:val="auto"/>
                <w:kern w:val="0"/>
                <w:sz w:val="24"/>
                <w:szCs w:val="24"/>
                <w:highlight w:val="none"/>
                <w:u w:val="none"/>
                <w:lang w:val="en-US" w:eastAsia="zh-CN"/>
              </w:rPr>
              <w:t>（五）存储功能</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存储功能：通过SATA固态存储/PCIe固态存储/UFS固态存储/SATA硬磁盘等存储部件提供存储功能。</w:t>
            </w:r>
          </w:p>
          <w:p>
            <w:pPr>
              <w:pStyle w:val="247"/>
              <w:kinsoku w:val="0"/>
              <w:overflowPunct w:val="0"/>
              <w:spacing w:before="0" w:line="360" w:lineRule="exact"/>
              <w:ind w:firstLine="241" w:firstLineChars="100"/>
              <w:rPr>
                <w:rFonts w:hint="eastAsia" w:ascii="仿宋_GB2312" w:hAnsi="仿宋_GB2312" w:eastAsia="仿宋_GB2312" w:cs="仿宋_GB2312"/>
                <w:b/>
                <w:bCs/>
                <w:i w:val="0"/>
                <w:color w:val="auto"/>
                <w:kern w:val="0"/>
                <w:sz w:val="24"/>
                <w:szCs w:val="24"/>
                <w:highlight w:val="none"/>
                <w:u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i w:val="0"/>
                <w:color w:val="auto"/>
                <w:kern w:val="0"/>
                <w:sz w:val="24"/>
                <w:szCs w:val="24"/>
                <w:highlight w:val="none"/>
                <w:u w:val="none"/>
                <w:lang w:eastAsia="zh-CN"/>
              </w:rPr>
              <w:t>（</w:t>
            </w:r>
            <w:r>
              <w:rPr>
                <w:rFonts w:hint="eastAsia" w:ascii="仿宋_GB2312" w:hAnsi="仿宋_GB2312" w:eastAsia="仿宋_GB2312" w:cs="仿宋_GB2312"/>
                <w:b/>
                <w:bCs/>
                <w:i w:val="0"/>
                <w:color w:val="auto"/>
                <w:kern w:val="0"/>
                <w:sz w:val="24"/>
                <w:szCs w:val="24"/>
                <w:highlight w:val="none"/>
                <w:u w:val="none"/>
                <w:lang w:val="en-US" w:eastAsia="zh-CN"/>
              </w:rPr>
              <w:t>六</w:t>
            </w:r>
            <w:r>
              <w:rPr>
                <w:rFonts w:hint="eastAsia" w:ascii="仿宋_GB2312" w:hAnsi="仿宋_GB2312" w:eastAsia="仿宋_GB2312" w:cs="仿宋_GB2312"/>
                <w:b/>
                <w:bCs/>
                <w:i w:val="0"/>
                <w:color w:val="auto"/>
                <w:kern w:val="0"/>
                <w:sz w:val="24"/>
                <w:szCs w:val="24"/>
                <w:highlight w:val="none"/>
                <w:u w:val="none"/>
                <w:lang w:eastAsia="zh-CN"/>
              </w:rPr>
              <w:t>）</w:t>
            </w:r>
            <w:r>
              <w:rPr>
                <w:rFonts w:hint="eastAsia" w:ascii="仿宋_GB2312" w:hAnsi="仿宋_GB2312" w:eastAsia="仿宋_GB2312" w:cs="仿宋_GB2312"/>
                <w:b/>
                <w:bCs/>
                <w:i w:val="0"/>
                <w:color w:val="auto"/>
                <w:kern w:val="0"/>
                <w:sz w:val="24"/>
                <w:szCs w:val="24"/>
                <w:highlight w:val="none"/>
                <w:u w:val="none"/>
                <w:lang w:val="en-US" w:eastAsia="zh-CN"/>
              </w:rPr>
              <w:t>网络设备功能</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1.网络功能：a)支持网络连接、网络开启/关闭功能；b)支持访问网络和数据交换功能；</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2.数据传输：支持数据传输能力，并提供数据流量和异常日志记录功能；</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3.有线网卡接口类型：支持RJ45接口；</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4.网络设备拆装：网络设备支持物理拆装，包括无线网卡和蓝牙模块等。</w:t>
            </w:r>
          </w:p>
          <w:p>
            <w:pPr>
              <w:pStyle w:val="247"/>
              <w:kinsoku w:val="0"/>
              <w:overflowPunct w:val="0"/>
              <w:spacing w:before="0" w:line="360" w:lineRule="exact"/>
              <w:ind w:firstLine="241" w:firstLineChars="100"/>
              <w:rPr>
                <w:rFonts w:hint="eastAsia" w:ascii="仿宋_GB2312" w:hAnsi="仿宋_GB2312" w:eastAsia="仿宋_GB2312" w:cs="仿宋_GB2312"/>
                <w:b/>
                <w:bCs/>
                <w:i w:val="0"/>
                <w:color w:val="auto"/>
                <w:kern w:val="0"/>
                <w:sz w:val="24"/>
                <w:szCs w:val="24"/>
                <w:highlight w:val="none"/>
                <w:u w:val="none"/>
                <w:lang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i w:val="0"/>
                <w:color w:val="auto"/>
                <w:kern w:val="0"/>
                <w:sz w:val="24"/>
                <w:szCs w:val="24"/>
                <w:highlight w:val="none"/>
                <w:u w:val="none"/>
                <w:lang w:val="en-US" w:eastAsia="zh-CN"/>
              </w:rPr>
              <w:t>（七）外部接口功能</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1.音频接口类型：支持3.5mm孔径3段式或4段式接口；</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2.视频接口类型：至少支持VGA、HDMI、DVI、DP、Type-C中1种显示接口；</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3.HDMI、DP、Type-C显示接口要求：若提供HDMI或DP或Type-C作为显示接口，应支持音频和视频同步输出。</w:t>
            </w:r>
          </w:p>
          <w:p>
            <w:pPr>
              <w:pStyle w:val="247"/>
              <w:kinsoku w:val="0"/>
              <w:overflowPunct w:val="0"/>
              <w:spacing w:before="0" w:line="360" w:lineRule="exact"/>
              <w:ind w:firstLine="241" w:firstLineChars="100"/>
              <w:rPr>
                <w:rFonts w:hint="eastAsia" w:ascii="仿宋_GB2312" w:hAnsi="仿宋_GB2312" w:eastAsia="仿宋_GB2312" w:cs="仿宋_GB2312"/>
                <w:b/>
                <w:bCs/>
                <w:i w:val="0"/>
                <w:color w:val="auto"/>
                <w:kern w:val="0"/>
                <w:sz w:val="24"/>
                <w:szCs w:val="24"/>
                <w:highlight w:val="none"/>
                <w:u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i w:val="0"/>
                <w:color w:val="auto"/>
                <w:kern w:val="0"/>
                <w:sz w:val="24"/>
                <w:szCs w:val="24"/>
                <w:highlight w:val="none"/>
                <w:u w:val="none"/>
                <w:lang w:val="en-US" w:eastAsia="zh-CN"/>
              </w:rPr>
              <w:t>（八）电源功能</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电源线适配能力：电源适配器电线组件应符合GB/T15934的要求，可拆线的插头和连接器可以不做要求。</w:t>
            </w:r>
          </w:p>
          <w:p>
            <w:pPr>
              <w:pStyle w:val="247"/>
              <w:kinsoku w:val="0"/>
              <w:overflowPunct w:val="0"/>
              <w:spacing w:before="0" w:line="360" w:lineRule="exact"/>
              <w:ind w:firstLine="241" w:firstLineChars="100"/>
              <w:rPr>
                <w:rFonts w:hint="eastAsia" w:ascii="仿宋_GB2312" w:hAnsi="仿宋_GB2312" w:eastAsia="仿宋_GB2312" w:cs="仿宋_GB2312"/>
                <w:b/>
                <w:bCs/>
                <w:i w:val="0"/>
                <w:color w:val="auto"/>
                <w:kern w:val="0"/>
                <w:sz w:val="24"/>
                <w:szCs w:val="24"/>
                <w:highlight w:val="none"/>
                <w:u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i w:val="0"/>
                <w:color w:val="auto"/>
                <w:kern w:val="0"/>
                <w:sz w:val="24"/>
                <w:szCs w:val="24"/>
                <w:highlight w:val="none"/>
                <w:u w:val="none"/>
                <w:lang w:val="en-US" w:eastAsia="zh-CN"/>
              </w:rPr>
              <w:t>（九）操作系统及软件功能</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1.中文信息处理要求：符合GB18030的相关规定；</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2.操作系统备份及还原功能：支持操作系统备份及还原功能；</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3.固件备份还原能力：支持备份及还原固件的功能；</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4.操作系统及驱动升级：支持通过网络、闪存盘等方式对操作系统、驱动进行升级；</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5.固件升级：支持通过网络、闪存盘等方式对固件进行升级；</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6.BIOS支持关闭通讯接口：支持BIOS关闭以太网及USB接口功能；</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7.固件查看信息：支持查看固件版本、内存信息、主板信息、处理器信息和系统时间信息等功能；</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8.固件设置启动顺序：支持设置启动顺序功能，并按照设置的启动顺序启动；</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9.固件设置口令：支持设置口令、修改口令、验证口令功能；</w:t>
            </w:r>
          </w:p>
          <w:p>
            <w:pPr>
              <w:keepNext w:val="0"/>
              <w:keepLines w:val="0"/>
              <w:widowControl/>
              <w:suppressLineNumbers w:val="0"/>
              <w:ind w:firstLine="240" w:firstLineChars="100"/>
              <w:jc w:val="left"/>
              <w:rPr>
                <w:rFonts w:hint="eastAsia" w:ascii="仿宋_GB2312" w:hAnsi="仿宋_GB2312" w:eastAsia="仿宋_GB2312" w:cs="仿宋_GB2312"/>
                <w:i w:val="0"/>
                <w:color w:val="auto"/>
                <w:kern w:val="0"/>
                <w:sz w:val="24"/>
                <w:szCs w:val="24"/>
                <w:highlight w:val="none"/>
                <w:u w:val="none"/>
                <w:lang w:val="en-US" w:eastAsia="zh-CN"/>
              </w:rPr>
            </w:pPr>
            <w:r>
              <w:rPr>
                <w:rFonts w:hint="eastAsia" w:ascii="仿宋_GB2312" w:hAnsi="仿宋_GB2312" w:eastAsia="仿宋_GB2312" w:cs="仿宋_GB2312"/>
                <w:color w:val="auto"/>
                <w:kern w:val="0"/>
                <w:sz w:val="24"/>
                <w:szCs w:val="24"/>
                <w:highlight w:val="none"/>
                <w:lang w:val="en-US" w:eastAsia="zh-CN" w:bidi="ar-SA"/>
              </w:rPr>
              <w:t>10.固件设置网络引导：支持网络引导启动和关闭功能。</w:t>
            </w:r>
          </w:p>
          <w:p>
            <w:pPr>
              <w:pStyle w:val="247"/>
              <w:kinsoku w:val="0"/>
              <w:overflowPunct w:val="0"/>
              <w:spacing w:before="0" w:line="360" w:lineRule="exac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四、存储设备可靠性要求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1.固态存储寿命：TBW≥80TB（条件：256GB硬盘容量）；</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2.机械硬盘寿命：通电时间≥5万小时。</w:t>
            </w:r>
          </w:p>
          <w:p>
            <w:pPr>
              <w:pStyle w:val="247"/>
              <w:kinsoku w:val="0"/>
              <w:overflowPunct w:val="0"/>
              <w:spacing w:before="0" w:line="360" w:lineRule="exac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五、显示设备可靠性要求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显示屏屏幕失效点：符合GB/T9813.2的要求。</w:t>
            </w:r>
          </w:p>
          <w:p>
            <w:pPr>
              <w:pStyle w:val="247"/>
              <w:kinsoku w:val="0"/>
              <w:overflowPunct w:val="0"/>
              <w:spacing w:before="0" w:line="360" w:lineRule="exac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六、外设可靠性要求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1.键盘按键寿命：≥1000万次；</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2.鼠标按键寿命：≥500万次；</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3.键盘鼠标线材寿命：键盘鼠标所用线材经±60°弯折不低于3000次，功能、外观完好；</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4.风扇寿命：≥4万小时。</w:t>
            </w:r>
          </w:p>
          <w:p>
            <w:pPr>
              <w:pStyle w:val="247"/>
              <w:kinsoku w:val="0"/>
              <w:overflowPunct w:val="0"/>
              <w:spacing w:before="0" w:line="360" w:lineRule="exac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七、整机可靠性要求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1.电磁兼容性要求的抗扰度：符合GB/T9254.2的规定；</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2.环境条件要求的气候环境适应性：符合GB/T9813.1中规定；</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3.环境条件要求的振动适应性：符合GB/T9813.1中规定；</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4.环境条件要求的冲击适应性：符合GB/T9813.1中规定；</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5.环境条件要求的碰撞适应性：符合GB/T9813.1中规定；</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6.环境条件要求的运输包装件跌落适应性：符合GB/T9813.1中规定；</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7.MTBF测试：MTBF(m1)≥3万小时。</w:t>
            </w:r>
          </w:p>
          <w:p>
            <w:pPr>
              <w:pStyle w:val="247"/>
              <w:kinsoku w:val="0"/>
              <w:overflowPunct w:val="0"/>
              <w:spacing w:before="0" w:line="360" w:lineRule="exac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八、兼容要求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1.常用软件兼容：支持流式软件、版式软件、浏览器、邮件采购人端、解压软件、多媒体、图形图像处理等常用软件；</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2.数据库兼容：兼容3个及以上厂商的数据库产品；</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3.中间件兼容：兼容3个及以上厂商中间件产品；</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4.平台软件兼容：兼容3个及以上厂商云计算及大数据平台。</w:t>
            </w:r>
            <w:r>
              <w:rPr>
                <w:rFonts w:hint="eastAsia" w:ascii="仿宋_GB2312" w:hAnsi="仿宋_GB2312" w:eastAsia="仿宋_GB2312" w:cs="仿宋_GB2312"/>
                <w:color w:val="auto"/>
                <w:sz w:val="24"/>
                <w:szCs w:val="24"/>
                <w:highlight w:val="none"/>
                <w:lang w:val="en-US" w:eastAsia="zh-CN"/>
              </w:rPr>
              <w:cr/>
            </w: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九、包装及运输要求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标志、包装、运输和贮存：符合GB/T9813.1和商品包装政府采购需求标准的相关规定。</w:t>
            </w:r>
          </w:p>
          <w:p>
            <w:pPr>
              <w:pStyle w:val="247"/>
              <w:kinsoku w:val="0"/>
              <w:overflowPunct w:val="0"/>
              <w:spacing w:before="0" w:line="360" w:lineRule="exac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十、服务要求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1.配置检查工具：供应商提供自检测试工具；</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服务响应：a)供应商提供电话、电子邮件、远程连接等多种形式服务；b)供应商提供同城4h、异地12h技术响应服务，2个工作日解决问题，对于未能解决的问题和故障应提供可行的升级方案，并提供周转设备或更换设备；c)建立全国技术服务体系和服务团体，符合专业服务体系标准要求，提供原厂中文服务；d)服务周期内提供产品的维修、换件和升级服务；</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3.服务周期：a)设备停产后应继续提供质量保障服务（含备品备件），服务终止时间与最后一批设备交付时间间隔不低于6年；b)产品停止服务时间应提前1年告知；c)应明确产品发布日期；</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预装操作系统：预装符合桌面操作系统政府采购需求标准的正版操作系统；预装的操作系统符合《操作系统政府采购需求标准》中加*指标要求（财政部工业和信息化部关于印发《操作系统政府采购需求标准（2023年版）》的通知）；</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5.培训服务：供应商提供培训材料、产品手册、培训视频等培训相关内容；</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6.典型问题解决手册：供应商提供典型问题解决说明文档或视频；</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7.厂家升级软件与扩容服务：供应商提供上门升级部件/软件与扩容的增值服务；</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8.整机质量服务要求：免费服务周期（含换件和维修）应不小于3年；</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9.合格证书要求：供应商提供产品合格证；</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10.开箱组装/使用指导要求：供应商提供开箱组装/使用指导；</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11.驱动下载服务要求：供应商提供驱动光盘或下载方式；</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12.兼容适配软件下载服务要求：供应商提供兼容适配软件下载渠道（光盘、网站）。</w:t>
            </w:r>
          </w:p>
          <w:p>
            <w:pPr>
              <w:pStyle w:val="247"/>
              <w:kinsoku w:val="0"/>
              <w:overflowPunct w:val="0"/>
              <w:spacing w:before="0" w:line="360" w:lineRule="exac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十一、供应链合规性要求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产品部件保障：供应商保障产品主要部件，提供6年的备件服务能力（自购买之日起），或提供可兼容原设备的升级换代产品。</w:t>
            </w:r>
          </w:p>
          <w:p>
            <w:pPr>
              <w:pStyle w:val="247"/>
              <w:kinsoku w:val="0"/>
              <w:overflowPunct w:val="0"/>
              <w:spacing w:before="0" w:line="360" w:lineRule="exac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十二、供应链质量要求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1.抗干扰性：当产品部件出现供应风险时，供应商应通知采购人并提供风险应对方案确保产品的服务保障；</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2.供应能力证明：供应商承诺提供稳定的供应链，确保产品的部件在产品服务周期内稳定供货。</w:t>
            </w:r>
          </w:p>
          <w:p>
            <w:pPr>
              <w:pStyle w:val="247"/>
              <w:kinsoku w:val="0"/>
              <w:overflowPunct w:val="0"/>
              <w:spacing w:before="0" w:line="360" w:lineRule="exac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十三、关键部件安全要求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关键部件安全要求：CPU和操作系统等关键部件应当符合安全可靠测评要求，通过政府有关部门指定的中国信息安全测评中心和国家保密科技测评中心网站查看安全可靠测评结果。</w:t>
            </w:r>
          </w:p>
          <w:p>
            <w:pPr>
              <w:pStyle w:val="247"/>
              <w:kinsoku w:val="0"/>
              <w:overflowPunct w:val="0"/>
              <w:spacing w:before="0" w:line="360" w:lineRule="exact"/>
              <w:ind w:left="0" w:firstLine="482"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000000"/>
                <w:sz w:val="24"/>
                <w:szCs w:val="24"/>
                <w:highlight w:val="none"/>
                <w:lang w:eastAsia="zh-CN"/>
              </w:rPr>
              <w:t>注：投标人在填写《技术响应表》时，在“投标</w:t>
            </w:r>
            <w:r>
              <w:rPr>
                <w:rFonts w:hint="eastAsia" w:ascii="仿宋_GB2312" w:hAnsi="仿宋_GB2312" w:eastAsia="仿宋_GB2312" w:cs="仿宋_GB2312"/>
                <w:b/>
                <w:bCs/>
                <w:color w:val="000000"/>
                <w:sz w:val="24"/>
                <w:szCs w:val="24"/>
                <w:highlight w:val="none"/>
                <w:lang w:val="en-US" w:eastAsia="zh-CN"/>
              </w:rPr>
              <w:t>文件</w:t>
            </w:r>
            <w:r>
              <w:rPr>
                <w:rFonts w:hint="eastAsia" w:ascii="仿宋_GB2312" w:hAnsi="仿宋_GB2312" w:eastAsia="仿宋_GB2312" w:cs="仿宋_GB2312"/>
                <w:b/>
                <w:bCs/>
                <w:color w:val="000000"/>
                <w:sz w:val="24"/>
                <w:szCs w:val="24"/>
                <w:highlight w:val="none"/>
                <w:lang w:eastAsia="zh-CN"/>
              </w:rPr>
              <w:t>响应技术参数”明确给出所投</w:t>
            </w:r>
            <w:r>
              <w:rPr>
                <w:rFonts w:hint="eastAsia" w:ascii="仿宋_GB2312" w:hAnsi="仿宋_GB2312" w:eastAsia="仿宋_GB2312" w:cs="仿宋_GB2312"/>
                <w:b/>
                <w:bCs/>
                <w:color w:val="000000"/>
                <w:sz w:val="24"/>
                <w:szCs w:val="24"/>
                <w:highlight w:val="none"/>
                <w:lang w:val="en-US" w:eastAsia="zh-CN"/>
              </w:rPr>
              <w:t>台式</w:t>
            </w:r>
            <w:r>
              <w:rPr>
                <w:rFonts w:hint="eastAsia" w:ascii="仿宋_GB2312" w:hAnsi="仿宋_GB2312" w:eastAsia="仿宋_GB2312" w:cs="仿宋_GB2312"/>
                <w:b/>
                <w:bCs/>
                <w:color w:val="000000"/>
                <w:sz w:val="24"/>
                <w:szCs w:val="24"/>
                <w:highlight w:val="none"/>
                <w:lang w:eastAsia="zh-CN"/>
              </w:rPr>
              <w:t>计算机</w:t>
            </w:r>
            <w:r>
              <w:rPr>
                <w:rFonts w:hint="eastAsia" w:ascii="仿宋_GB2312" w:hAnsi="仿宋_GB2312" w:eastAsia="仿宋_GB2312" w:cs="仿宋_GB2312"/>
                <w:b/>
                <w:bCs/>
                <w:color w:val="000000"/>
                <w:sz w:val="24"/>
                <w:szCs w:val="24"/>
                <w:highlight w:val="none"/>
                <w:lang w:val="en-US" w:eastAsia="zh-CN"/>
              </w:rPr>
              <w:t>4</w:t>
            </w:r>
            <w:r>
              <w:rPr>
                <w:rFonts w:hint="eastAsia" w:ascii="仿宋_GB2312" w:hAnsi="仿宋_GB2312" w:eastAsia="仿宋_GB2312" w:cs="仿宋_GB2312"/>
                <w:b/>
                <w:bCs/>
                <w:color w:val="000000"/>
                <w:sz w:val="24"/>
                <w:szCs w:val="24"/>
                <w:highlight w:val="none"/>
                <w:lang w:eastAsia="zh-CN"/>
              </w:rPr>
              <w:t>“</w:t>
            </w:r>
            <w:r>
              <w:rPr>
                <w:rFonts w:hint="eastAsia" w:ascii="仿宋_GB2312" w:hAnsi="仿宋_GB2312" w:eastAsia="仿宋_GB2312" w:cs="仿宋_GB2312"/>
                <w:b/>
                <w:bCs/>
                <w:color w:val="000000"/>
                <w:sz w:val="24"/>
                <w:szCs w:val="24"/>
                <w:highlight w:val="none"/>
                <w:lang w:val="en-US" w:eastAsia="zh-CN"/>
              </w:rPr>
              <w:t>CPU型号</w:t>
            </w:r>
            <w:r>
              <w:rPr>
                <w:rFonts w:hint="eastAsia" w:ascii="仿宋_GB2312" w:hAnsi="仿宋_GB2312" w:eastAsia="仿宋_GB2312" w:cs="仿宋_GB2312"/>
                <w:b/>
                <w:bCs/>
                <w:color w:val="000000"/>
                <w:sz w:val="24"/>
                <w:szCs w:val="24"/>
                <w:highlight w:val="none"/>
                <w:lang w:eastAsia="zh-CN"/>
              </w:rPr>
              <w:t>”</w:t>
            </w:r>
            <w:r>
              <w:rPr>
                <w:rFonts w:hint="eastAsia" w:ascii="仿宋_GB2312" w:hAnsi="仿宋_GB2312" w:eastAsia="仿宋_GB2312" w:cs="仿宋_GB2312"/>
                <w:b/>
                <w:bCs/>
                <w:color w:val="000000"/>
                <w:sz w:val="24"/>
                <w:szCs w:val="24"/>
                <w:highlight w:val="none"/>
                <w:lang w:val="en-US" w:eastAsia="zh-CN"/>
              </w:rPr>
              <w:t>及“</w:t>
            </w:r>
            <w:r>
              <w:rPr>
                <w:rFonts w:hint="eastAsia" w:ascii="仿宋_GB2312" w:hAnsi="仿宋_GB2312" w:eastAsia="仿宋_GB2312" w:cs="仿宋_GB2312"/>
                <w:b/>
                <w:bCs/>
                <w:color w:val="000000"/>
                <w:sz w:val="24"/>
                <w:szCs w:val="24"/>
                <w:highlight w:val="none"/>
                <w:lang w:eastAsia="zh-CN"/>
              </w:rPr>
              <w:t>操作系统</w:t>
            </w:r>
            <w:r>
              <w:rPr>
                <w:rFonts w:hint="eastAsia" w:ascii="仿宋_GB2312" w:hAnsi="仿宋_GB2312" w:eastAsia="仿宋_GB2312" w:cs="仿宋_GB2312"/>
                <w:b/>
                <w:bCs/>
                <w:color w:val="000000"/>
                <w:sz w:val="24"/>
                <w:szCs w:val="24"/>
                <w:highlight w:val="none"/>
                <w:lang w:val="en-US" w:eastAsia="zh-CN"/>
              </w:rPr>
              <w:t>”</w:t>
            </w:r>
            <w:r>
              <w:rPr>
                <w:rFonts w:hint="eastAsia" w:ascii="仿宋_GB2312" w:hAnsi="仿宋_GB2312" w:eastAsia="仿宋_GB2312" w:cs="仿宋_GB2312"/>
                <w:b/>
                <w:bCs/>
                <w:color w:val="000000"/>
                <w:sz w:val="24"/>
                <w:szCs w:val="24"/>
                <w:highlight w:val="none"/>
                <w:lang w:eastAsia="zh-CN"/>
              </w:rPr>
              <w:t>名称，否则视为投标无效。</w:t>
            </w:r>
          </w:p>
          <w:p>
            <w:pPr>
              <w:pStyle w:val="247"/>
              <w:kinsoku w:val="0"/>
              <w:overflowPunct w:val="0"/>
              <w:spacing w:before="0" w:line="360" w:lineRule="exac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十四、整机安全性要求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1.密码算法实现：CPU芯片应符合GM/T0008的相关规定，或芯片密码模块应符合GB/T37092或GM/T0028的相关规定，通过商用密码检测机构检测并经商用密码认证机构认证合格；</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信息安全基本要求：a)产品应符合GB/T39276的5.2的规定；b)生产厂商应建立漏洞跟踪表，保证产品版本涉及到的漏洞(如驱动程序等)可查看；c)产品不得包含已知的恶意代码或漏洞，不存在未声明的指令、功能、接口；</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3.固件安全启动：支持固件安全启动功能，固件启动过程中只有通过启动校验才能正常启动；</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4.限用物质的限量要求：符合GB/T26572中规定。</w:t>
            </w:r>
          </w:p>
          <w:p>
            <w:pPr>
              <w:pStyle w:val="247"/>
              <w:kinsoku w:val="0"/>
              <w:overflowPunct w:val="0"/>
              <w:spacing w:before="0" w:line="360" w:lineRule="exac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十五、其他要求：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1.适配服务要求：投标人须提供与广西自治区综合办公平台适配的台式计算机产品</w:t>
            </w:r>
            <w:r>
              <w:rPr>
                <w:rFonts w:hint="eastAsia" w:ascii="仿宋_GB2312" w:hAnsi="仿宋_GB2312" w:eastAsia="仿宋_GB2312" w:cs="仿宋_GB2312"/>
                <w:b/>
                <w:bCs/>
                <w:color w:val="auto"/>
                <w:sz w:val="24"/>
                <w:szCs w:val="24"/>
                <w:highlight w:val="none"/>
                <w:lang w:val="en-US" w:eastAsia="zh-CN"/>
              </w:rPr>
              <w:t>（采购人将设置现场踏勘，以便投标人了解适配情况）</w:t>
            </w:r>
            <w:r>
              <w:rPr>
                <w:rFonts w:hint="eastAsia" w:ascii="仿宋_GB2312" w:hAnsi="仿宋_GB2312" w:eastAsia="仿宋_GB2312" w:cs="仿宋_GB2312"/>
                <w:color w:val="auto"/>
                <w:sz w:val="24"/>
                <w:szCs w:val="24"/>
                <w:highlight w:val="none"/>
                <w:lang w:val="en-US" w:eastAsia="zh-CN"/>
              </w:rPr>
              <w:t>；</w:t>
            </w:r>
          </w:p>
          <w:p>
            <w:pPr>
              <w:pStyle w:val="247"/>
              <w:kinsoku w:val="0"/>
              <w:overflowPunct w:val="0"/>
              <w:spacing w:before="0" w:line="360" w:lineRule="exact"/>
              <w:ind w:firstLine="241"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2.供货服务要求：投标人需具备足够宽敞的仓库，在送给使用单位前办理完到货验收手续；按照采购人提出供货要求制定合理、科学的分配方案，制定合理的送货计划和办理交接手续，确保供货及时和货物到场上桌规范。本项目涉及多家使用单位，要求投标人具备有专业的实施保障能力和专业的售后服务能力，合理配置相关技术人员</w:t>
            </w:r>
            <w:r>
              <w:rPr>
                <w:rFonts w:hint="eastAsia" w:ascii="仿宋_GB2312" w:hAnsi="仿宋_GB2312" w:eastAsia="仿宋_GB2312" w:cs="仿宋_GB2312"/>
                <w:b w:val="0"/>
                <w:bCs w:val="0"/>
                <w:i w:val="0"/>
                <w:color w:val="auto"/>
                <w:kern w:val="0"/>
                <w:sz w:val="24"/>
                <w:szCs w:val="24"/>
                <w:highlight w:val="none"/>
                <w:u w:val="none"/>
                <w:lang w:val="en-US" w:eastAsia="zh-CN"/>
              </w:rPr>
              <w:t>。</w:t>
            </w:r>
          </w:p>
        </w:tc>
        <w:tc>
          <w:tcPr>
            <w:tcW w:w="1020" w:type="dxa"/>
            <w:tcBorders>
              <w:top w:val="single" w:color="auto" w:sz="4" w:space="0"/>
              <w:left w:val="single" w:color="auto" w:sz="4" w:space="0"/>
              <w:right w:val="single" w:color="auto" w:sz="4" w:space="0"/>
            </w:tcBorders>
            <w:vAlign w:val="center"/>
          </w:tcPr>
          <w:p>
            <w:pPr>
              <w:spacing w:line="360" w:lineRule="exact"/>
              <w:ind w:left="420" w:leftChars="0" w:hanging="42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50</w:t>
            </w:r>
            <w:r>
              <w:rPr>
                <w:rFonts w:hint="eastAsia" w:ascii="仿宋_GB2312" w:hAnsi="仿宋_GB2312" w:eastAsia="仿宋_GB2312" w:cs="仿宋_GB2312"/>
                <w:color w:val="auto"/>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0" w:type="dxa"/>
            <w:tcBorders>
              <w:top w:val="single" w:color="auto" w:sz="4" w:space="0"/>
              <w:left w:val="single" w:color="auto" w:sz="4" w:space="0"/>
              <w:bottom w:val="single" w:color="auto" w:sz="4" w:space="0"/>
              <w:right w:val="single" w:color="auto" w:sz="4" w:space="0"/>
            </w:tcBorders>
            <w:vAlign w:val="center"/>
          </w:tcPr>
          <w:p>
            <w:pPr>
              <w:pStyle w:val="245"/>
              <w:snapToGrid w:val="0"/>
              <w:spacing w:line="36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w:t>
            </w:r>
          </w:p>
        </w:tc>
        <w:tc>
          <w:tcPr>
            <w:tcW w:w="969" w:type="dxa"/>
            <w:tcBorders>
              <w:top w:val="single" w:color="auto" w:sz="4" w:space="0"/>
              <w:left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台式</w:t>
            </w:r>
          </w:p>
          <w:p>
            <w:pPr>
              <w:widowControl/>
              <w:spacing w:line="36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计算机</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b/>
                <w:bCs/>
                <w:color w:val="auto"/>
                <w:sz w:val="24"/>
                <w:szCs w:val="24"/>
                <w:highlight w:val="none"/>
              </w:rPr>
              <w:t>（强制采购节能产品，详见采购需求说明第八点）</w:t>
            </w:r>
          </w:p>
        </w:tc>
        <w:tc>
          <w:tcPr>
            <w:tcW w:w="6586" w:type="dxa"/>
            <w:tcBorders>
              <w:top w:val="single" w:color="auto" w:sz="4" w:space="0"/>
              <w:left w:val="single" w:color="auto" w:sz="4" w:space="0"/>
              <w:bottom w:val="single" w:color="auto" w:sz="4" w:space="0"/>
              <w:right w:val="single" w:color="auto" w:sz="4" w:space="0"/>
            </w:tcBorders>
            <w:vAlign w:val="center"/>
          </w:tcPr>
          <w:p>
            <w:pPr>
              <w:pStyle w:val="247"/>
              <w:kinsoku w:val="0"/>
              <w:overflowPunct w:val="0"/>
              <w:spacing w:before="0" w:line="360" w:lineRule="exact"/>
              <w:ind w:left="0" w:firstLine="0" w:firstLineChars="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一、产品规格要求</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一</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CPU规格</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1.CPU：≥8核8线程，主频≥2.</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GHz</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末级缓存≥2M，</w:t>
            </w:r>
            <w:r>
              <w:rPr>
                <w:rFonts w:hint="eastAsia" w:ascii="仿宋_GB2312" w:hAnsi="仿宋_GB2312" w:eastAsia="仿宋_GB2312" w:cs="仿宋_GB2312"/>
                <w:color w:val="auto"/>
                <w:sz w:val="24"/>
                <w:szCs w:val="24"/>
                <w:highlight w:val="none"/>
                <w:lang w:val="en-US" w:eastAsia="zh-CN"/>
              </w:rPr>
              <w:t>CPU</w:t>
            </w:r>
            <w:r>
              <w:rPr>
                <w:rFonts w:hint="eastAsia" w:ascii="仿宋_GB2312" w:hAnsi="仿宋_GB2312" w:eastAsia="仿宋_GB2312" w:cs="仿宋_GB2312"/>
                <w:color w:val="auto"/>
                <w:sz w:val="24"/>
                <w:szCs w:val="24"/>
                <w:highlight w:val="none"/>
              </w:rPr>
              <w:t>内存≥双通道DDR4-2666MT/s</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热</w:t>
            </w:r>
            <w:r>
              <w:rPr>
                <w:rFonts w:hint="eastAsia" w:ascii="仿宋_GB2312" w:hAnsi="仿宋_GB2312" w:eastAsia="仿宋_GB2312" w:cs="仿宋_GB2312"/>
                <w:color w:val="auto"/>
                <w:kern w:val="2"/>
                <w:sz w:val="24"/>
                <w:szCs w:val="24"/>
                <w:highlight w:val="none"/>
                <w:lang w:val="en-US" w:eastAsia="zh-CN" w:bidi="ar-SA"/>
              </w:rPr>
              <w:t>设计功耗</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kern w:val="2"/>
                <w:sz w:val="24"/>
                <w:szCs w:val="24"/>
                <w:highlight w:val="none"/>
                <w:lang w:val="en-US" w:eastAsia="zh-CN" w:bidi="ar-SA"/>
              </w:rPr>
              <w:t>80W，位宽≥64位；</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二</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内存规格</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1.内存配置容量：≥16GB；</w:t>
            </w:r>
          </w:p>
          <w:p>
            <w:pPr>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2.内存条配置数量(板载内存不涉及)≥</w:t>
            </w:r>
            <w:r>
              <w:rPr>
                <w:rFonts w:hint="eastAsia" w:ascii="仿宋_GB2312" w:hAnsi="仿宋_GB2312" w:eastAsia="仿宋_GB2312" w:cs="仿宋_GB2312"/>
                <w:color w:val="auto"/>
                <w:sz w:val="24"/>
                <w:szCs w:val="24"/>
                <w:highlight w:val="none"/>
                <w:lang w:val="en-US" w:eastAsia="zh-CN"/>
              </w:rPr>
              <w:t>1；</w:t>
            </w:r>
          </w:p>
          <w:p>
            <w:pPr>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3.支持DDR4/LPDDR4/LPDDR4X及以上内存类型。</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三</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主板规格</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1.主板集成模块：集成资源扩展模块、计算处理模块、音频扩展模块等，主板的互联拓扑可通过处理器或交换电路实现；</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2.主板支持的CPU和内存情况：CPU≥8核8线程，主频≥2.</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GHz，</w:t>
            </w:r>
            <w:r>
              <w:rPr>
                <w:rFonts w:hint="eastAsia" w:ascii="仿宋_GB2312" w:hAnsi="仿宋_GB2312" w:eastAsia="仿宋_GB2312" w:cs="仿宋_GB2312"/>
                <w:color w:val="auto"/>
                <w:sz w:val="24"/>
                <w:szCs w:val="24"/>
                <w:highlight w:val="none"/>
                <w:lang w:val="en-US" w:eastAsia="zh-CN"/>
              </w:rPr>
              <w:t>末级</w:t>
            </w:r>
            <w:r>
              <w:rPr>
                <w:rFonts w:hint="eastAsia" w:ascii="仿宋_GB2312" w:hAnsi="仿宋_GB2312" w:eastAsia="仿宋_GB2312" w:cs="仿宋_GB2312"/>
                <w:color w:val="auto"/>
                <w:sz w:val="24"/>
                <w:szCs w:val="24"/>
                <w:highlight w:val="none"/>
              </w:rPr>
              <w:t>缓存≥2M，内存≥</w:t>
            </w:r>
            <w:r>
              <w:rPr>
                <w:rFonts w:hint="eastAsia" w:ascii="仿宋_GB2312" w:hAnsi="仿宋_GB2312" w:eastAsia="仿宋_GB2312" w:cs="仿宋_GB2312"/>
                <w:color w:val="auto"/>
                <w:sz w:val="24"/>
                <w:szCs w:val="24"/>
                <w:highlight w:val="none"/>
                <w:lang w:val="en-US" w:eastAsia="zh-CN"/>
              </w:rPr>
              <w:t>双</w:t>
            </w:r>
            <w:r>
              <w:rPr>
                <w:rFonts w:hint="eastAsia" w:ascii="仿宋_GB2312" w:hAnsi="仿宋_GB2312" w:eastAsia="仿宋_GB2312" w:cs="仿宋_GB2312"/>
                <w:color w:val="auto"/>
                <w:sz w:val="24"/>
                <w:szCs w:val="24"/>
                <w:highlight w:val="none"/>
              </w:rPr>
              <w:t>通道DDR4-2666MT/s，内存条数量≥1；</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3.主板其他内置接口：≥SATA接口*</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，≥USB接口*</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，固态硬盘占用M.2接口*1，机械硬盘占用SATA接口*1</w:t>
            </w:r>
            <w:r>
              <w:rPr>
                <w:rFonts w:hint="eastAsia" w:ascii="仿宋_GB2312" w:hAnsi="仿宋_GB2312" w:eastAsia="仿宋_GB2312" w:cs="仿宋_GB2312"/>
                <w:color w:val="auto"/>
                <w:sz w:val="24"/>
                <w:szCs w:val="24"/>
                <w:highlight w:val="none"/>
                <w:lang w:eastAsia="zh-CN"/>
              </w:rPr>
              <w:t>；</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单内存插槽最大可支持容量（板载内存不涉及）：≥8GB；</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.内存插槽满配时提供的最高内存总容量：≥</w:t>
            </w:r>
            <w:r>
              <w:rPr>
                <w:rFonts w:hint="eastAsia" w:ascii="仿宋_GB2312" w:hAnsi="仿宋_GB2312" w:eastAsia="仿宋_GB2312" w:cs="仿宋_GB2312"/>
                <w:color w:val="auto"/>
                <w:sz w:val="24"/>
                <w:szCs w:val="24"/>
                <w:highlight w:val="none"/>
                <w:lang w:val="en-US" w:eastAsia="zh-CN"/>
              </w:rPr>
              <w:t>16</w:t>
            </w:r>
            <w:r>
              <w:rPr>
                <w:rFonts w:hint="eastAsia" w:ascii="仿宋_GB2312" w:hAnsi="仿宋_GB2312" w:eastAsia="仿宋_GB2312" w:cs="仿宋_GB2312"/>
                <w:color w:val="auto"/>
                <w:sz w:val="24"/>
                <w:szCs w:val="24"/>
                <w:highlight w:val="none"/>
              </w:rPr>
              <w:t>GB</w:t>
            </w:r>
            <w:r>
              <w:rPr>
                <w:rFonts w:hint="eastAsia" w:ascii="仿宋_GB2312" w:hAnsi="仿宋_GB2312" w:eastAsia="仿宋_GB2312" w:cs="仿宋_GB2312"/>
                <w:color w:val="auto"/>
                <w:sz w:val="24"/>
                <w:szCs w:val="24"/>
                <w:highlight w:val="none"/>
                <w:lang w:eastAsia="zh-CN"/>
              </w:rPr>
              <w:t>。</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lang w:val="en-US" w:eastAsia="zh-CN"/>
              </w:rPr>
              <w:t>四</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存储设备规格</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1.固态盘数量：≥1个；</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2.固态存储容量：≥2</w:t>
            </w:r>
            <w:r>
              <w:rPr>
                <w:rFonts w:hint="eastAsia" w:ascii="仿宋_GB2312" w:hAnsi="仿宋_GB2312" w:eastAsia="仿宋_GB2312" w:cs="仿宋_GB2312"/>
                <w:color w:val="auto"/>
                <w:sz w:val="24"/>
                <w:szCs w:val="24"/>
                <w:highlight w:val="none"/>
                <w:lang w:val="en-US" w:eastAsia="zh-CN"/>
              </w:rPr>
              <w:t>56</w:t>
            </w:r>
            <w:r>
              <w:rPr>
                <w:rFonts w:hint="eastAsia" w:ascii="仿宋_GB2312" w:hAnsi="仿宋_GB2312" w:eastAsia="仿宋_GB2312" w:cs="仿宋_GB2312"/>
                <w:color w:val="auto"/>
                <w:sz w:val="24"/>
                <w:szCs w:val="24"/>
                <w:highlight w:val="none"/>
              </w:rPr>
              <w:t>GB；</w:t>
            </w:r>
          </w:p>
          <w:p>
            <w:pPr>
              <w:pStyle w:val="247"/>
              <w:kinsoku w:val="0"/>
              <w:overflowPunct w:val="0"/>
              <w:spacing w:before="0" w:line="360" w:lineRule="exact"/>
              <w:ind w:left="199" w:leftChars="95"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3.机械硬盘数量：≥1个；</w:t>
            </w:r>
            <w:r>
              <w:rPr>
                <w:rFonts w:hint="eastAsia" w:ascii="仿宋_GB2312" w:hAnsi="仿宋_GB2312" w:eastAsia="仿宋_GB2312" w:cs="仿宋_GB2312"/>
                <w:color w:val="auto"/>
                <w:sz w:val="24"/>
                <w:szCs w:val="24"/>
                <w:highlight w:val="none"/>
              </w:rPr>
              <w:cr/>
            </w:r>
            <w:r>
              <w:rPr>
                <w:rFonts w:hint="eastAsia" w:ascii="仿宋_GB2312" w:hAnsi="仿宋_GB2312" w:eastAsia="仿宋_GB2312" w:cs="仿宋_GB2312"/>
                <w:color w:val="auto"/>
                <w:sz w:val="24"/>
                <w:szCs w:val="24"/>
                <w:highlight w:val="none"/>
              </w:rPr>
              <w:t>4.机械硬盘总容量：≥1TB；</w:t>
            </w:r>
          </w:p>
          <w:p>
            <w:pPr>
              <w:pStyle w:val="247"/>
              <w:kinsoku w:val="0"/>
              <w:overflowPunct w:val="0"/>
              <w:spacing w:before="0" w:line="360" w:lineRule="exact"/>
              <w:ind w:left="210" w:leftChars="100"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5.机械硬盘转速：≥5400rpm；</w:t>
            </w:r>
          </w:p>
          <w:p>
            <w:pPr>
              <w:pStyle w:val="247"/>
              <w:kinsoku w:val="0"/>
              <w:overflowPunct w:val="0"/>
              <w:spacing w:before="0" w:line="360" w:lineRule="exact"/>
              <w:ind w:left="210" w:leftChars="100"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6.机械硬盘形态：3.5英寸；</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7.固态存储形态：采用插卡或板载等形态，可选用符合M.2或2.5寸SATA或mSATA等标准的插卡形态；</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8.存储设备其他参数要求：a)固态盘应符合SJ/T11654相关规定；b)机械硬盘准备时间应不大于30s；侧面固定螺丝孔数量可为4孔或6孔；工作状态环境温度应满足5℃</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55℃；其它参数应符合GB/T12628相关规定</w:t>
            </w:r>
            <w:r>
              <w:rPr>
                <w:rFonts w:hint="eastAsia" w:ascii="仿宋_GB2312" w:hAnsi="仿宋_GB2312" w:eastAsia="仿宋_GB2312" w:cs="仿宋_GB2312"/>
                <w:color w:val="auto"/>
                <w:sz w:val="24"/>
                <w:szCs w:val="24"/>
                <w:highlight w:val="none"/>
                <w:lang w:eastAsia="zh-CN"/>
              </w:rPr>
              <w:t>。</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五</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显卡规格</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1.显卡类型：独立显卡或集成显卡；</w:t>
            </w:r>
          </w:p>
          <w:p>
            <w:pPr>
              <w:pStyle w:val="247"/>
              <w:keepNext w:val="0"/>
              <w:keepLines w:val="0"/>
              <w:pageBreakBefore w:val="0"/>
              <w:widowControl w:val="0"/>
              <w:kinsoku w:val="0"/>
              <w:wordWrap w:val="0"/>
              <w:overflowPunct/>
              <w:topLinePunct w:val="0"/>
              <w:autoSpaceDE w:val="0"/>
              <w:autoSpaceDN w:val="0"/>
              <w:bidi w:val="0"/>
              <w:adjustRightInd w:val="0"/>
              <w:snapToGrid/>
              <w:spacing w:before="0" w:line="360" w:lineRule="exact"/>
              <w:ind w:firstLine="240" w:firstLineChars="1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2.独立显卡显存类型（集成显卡不涉及）：若配置独立显卡，显存类型应为DDR3/DDR4/GDDR5/GDDR6/LPDDR4；</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3.独立显卡显存位宽（集成显卡不涉及）：若配置独立显卡，显存位宽≥16位；</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highlight w:val="none"/>
                <w:lang w:val="en-US" w:eastAsia="zh-CN"/>
              </w:rPr>
              <w:t>4.独立显卡显存容量（集成显卡不涉及）：若配置独立显卡，显存容量≥1GB。</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六</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显示设备规格</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1.显示屏屏占比：≥80%；</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2.显示屏分辨率：≥1920x1080；</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3.显示屏尺寸：≥</w:t>
            </w:r>
            <w:r>
              <w:rPr>
                <w:rFonts w:hint="eastAsia" w:ascii="仿宋_GB2312" w:hAnsi="仿宋_GB2312" w:eastAsia="仿宋_GB2312" w:cs="仿宋_GB2312"/>
                <w:color w:val="auto"/>
                <w:sz w:val="24"/>
                <w:szCs w:val="24"/>
                <w:highlight w:val="none"/>
                <w:lang w:val="en-US" w:eastAsia="zh-CN"/>
              </w:rPr>
              <w:t>23</w:t>
            </w:r>
            <w:r>
              <w:rPr>
                <w:rFonts w:hint="eastAsia" w:ascii="仿宋_GB2312" w:hAnsi="仿宋_GB2312" w:eastAsia="仿宋_GB2312" w:cs="仿宋_GB2312"/>
                <w:color w:val="auto"/>
                <w:sz w:val="24"/>
                <w:szCs w:val="24"/>
                <w:highlight w:val="none"/>
              </w:rPr>
              <w:t>英寸；</w:t>
            </w:r>
          </w:p>
          <w:p>
            <w:pPr>
              <w:pStyle w:val="247"/>
              <w:kinsoku w:val="0"/>
              <w:overflowPunct w:val="0"/>
              <w:spacing w:before="1"/>
              <w:ind w:left="239" w:leftChars="114"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4.显示屏屏幕比例：</w:t>
            </w:r>
            <w:r>
              <w:rPr>
                <w:rFonts w:hint="eastAsia" w:ascii="仿宋_GB2312" w:hAnsi="仿宋_GB2312" w:eastAsia="仿宋_GB2312" w:cs="仿宋_GB2312"/>
                <w:color w:val="auto"/>
                <w:kern w:val="0"/>
                <w:sz w:val="24"/>
                <w:szCs w:val="24"/>
                <w:highlight w:val="none"/>
                <w:lang w:val="en-US" w:eastAsia="zh-CN" w:bidi="ar-SA"/>
              </w:rPr>
              <w:t>16:9/3:2/21:9/16:10等</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cr/>
            </w:r>
            <w:r>
              <w:rPr>
                <w:rFonts w:hint="eastAsia" w:ascii="仿宋_GB2312" w:hAnsi="仿宋_GB2312" w:eastAsia="仿宋_GB2312" w:cs="仿宋_GB2312"/>
                <w:color w:val="auto"/>
                <w:sz w:val="24"/>
                <w:szCs w:val="24"/>
                <w:highlight w:val="none"/>
              </w:rPr>
              <w:t>5.显示器外观颜色：</w:t>
            </w:r>
            <w:r>
              <w:rPr>
                <w:rFonts w:hint="eastAsia" w:ascii="仿宋_GB2312" w:hAnsi="仿宋_GB2312" w:eastAsia="仿宋_GB2312" w:cs="仿宋_GB2312"/>
                <w:color w:val="auto"/>
                <w:kern w:val="0"/>
                <w:sz w:val="24"/>
                <w:szCs w:val="24"/>
                <w:highlight w:val="none"/>
                <w:lang w:val="en-US" w:eastAsia="zh-CN" w:bidi="ar-SA"/>
              </w:rPr>
              <w:t>黑色/白色/银色等商务色系</w:t>
            </w:r>
            <w:r>
              <w:rPr>
                <w:rFonts w:hint="eastAsia" w:ascii="仿宋_GB2312" w:hAnsi="仿宋_GB2312" w:eastAsia="仿宋_GB2312" w:cs="仿宋_GB2312"/>
                <w:color w:val="auto"/>
                <w:sz w:val="24"/>
                <w:szCs w:val="24"/>
                <w:highlight w:val="none"/>
              </w:rPr>
              <w:t>；</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6.显示屏防蓝光：支持防蓝光模式，蓝光加权辐射亮度比应≤0.0012W/(·cd·sr)（瓦每坎特拉每球面度）；</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7.显示屏低频闪：显示屏应支持低频闪≤-35dB；</w:t>
            </w:r>
          </w:p>
          <w:p>
            <w:pPr>
              <w:pStyle w:val="247"/>
              <w:kinsoku w:val="0"/>
              <w:overflowPunct w:val="0"/>
              <w:spacing w:before="1"/>
              <w:ind w:left="239" w:leftChars="114"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8.显示屏防炫目：显示屏镜面反射率≤10%</w:t>
            </w:r>
            <w:r>
              <w:rPr>
                <w:rFonts w:hint="eastAsia" w:ascii="仿宋_GB2312" w:hAnsi="仿宋_GB2312" w:eastAsia="仿宋_GB2312" w:cs="仿宋_GB2312"/>
                <w:color w:val="auto"/>
                <w:sz w:val="24"/>
                <w:szCs w:val="24"/>
                <w:highlight w:val="none"/>
                <w:lang w:eastAsia="zh-CN"/>
              </w:rPr>
              <w:t>；</w:t>
            </w:r>
          </w:p>
          <w:p>
            <w:pPr>
              <w:pStyle w:val="247"/>
              <w:kinsoku w:val="0"/>
              <w:overflowPunct w:val="0"/>
              <w:spacing w:before="1"/>
              <w:ind w:left="239" w:leftChars="114" w:firstLine="0" w:firstLineChars="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w:t>
            </w:r>
            <w:r>
              <w:rPr>
                <w:rFonts w:hint="eastAsia" w:ascii="仿宋_GB2312" w:hAnsi="仿宋_GB2312" w:eastAsia="仿宋_GB2312" w:cs="仿宋_GB2312"/>
                <w:color w:val="auto"/>
                <w:sz w:val="24"/>
                <w:szCs w:val="24"/>
                <w:highlight w:val="none"/>
                <w:lang w:eastAsia="zh-CN"/>
              </w:rPr>
              <w:t>显示器需配置HDMI线一条</w:t>
            </w:r>
            <w:r>
              <w:rPr>
                <w:rFonts w:hint="eastAsia" w:ascii="仿宋_GB2312" w:hAnsi="仿宋_GB2312" w:eastAsia="仿宋_GB2312" w:cs="仿宋_GB2312"/>
                <w:color w:val="auto"/>
                <w:sz w:val="24"/>
                <w:szCs w:val="24"/>
                <w:highlight w:val="none"/>
                <w:lang w:val="en-US" w:eastAsia="zh-CN"/>
              </w:rPr>
              <w:t>。</w:t>
            </w:r>
          </w:p>
          <w:p>
            <w:pPr>
              <w:pStyle w:val="247"/>
              <w:kinsoku w:val="0"/>
              <w:overflowPunct w:val="0"/>
              <w:spacing w:before="0" w:line="360" w:lineRule="exact"/>
              <w:ind w:left="0" w:firstLine="241"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七</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外设规格</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1.鼠标数量：≥1个；</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2.键盘数量：≥1个；</w:t>
            </w:r>
          </w:p>
          <w:p>
            <w:pPr>
              <w:pStyle w:val="247"/>
              <w:kinsoku w:val="0"/>
              <w:overflowPunct w:val="0"/>
              <w:spacing w:before="1"/>
              <w:ind w:left="239" w:leftChars="114" w:firstLine="0" w:firstLineChars="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3.键盘按键数目：</w:t>
            </w:r>
            <w:r>
              <w:rPr>
                <w:rFonts w:hint="eastAsia" w:ascii="宋体" w:hAnsi="宋体" w:eastAsia="宋体" w:cs="宋体"/>
                <w:color w:val="auto"/>
                <w:sz w:val="24"/>
                <w:szCs w:val="24"/>
                <w:highlight w:val="none"/>
                <w:lang w:val="en-US" w:eastAsia="zh-CN"/>
              </w:rPr>
              <w:t>≥</w:t>
            </w:r>
            <w:r>
              <w:rPr>
                <w:rFonts w:hint="eastAsia" w:ascii="仿宋_GB2312" w:hAnsi="仿宋_GB2312" w:eastAsia="仿宋_GB2312" w:cs="仿宋_GB2312"/>
                <w:color w:val="auto"/>
                <w:sz w:val="24"/>
                <w:szCs w:val="24"/>
                <w:highlight w:val="none"/>
                <w:lang w:val="en-US" w:eastAsia="zh-CN"/>
              </w:rPr>
              <w:t>61键；</w:t>
            </w:r>
          </w:p>
          <w:p>
            <w:pPr>
              <w:pStyle w:val="247"/>
              <w:kinsoku w:val="0"/>
              <w:overflowPunct w:val="0"/>
              <w:spacing w:before="1"/>
              <w:ind w:left="239" w:leftChars="114" w:firstLine="0" w:firstLineChars="0"/>
              <w:rPr>
                <w:rFonts w:hint="eastAsia" w:ascii="仿宋_GB2312" w:hAnsi="仿宋_GB2312" w:eastAsia="黑体"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.键盘连接方式：</w:t>
            </w:r>
            <w:r>
              <w:rPr>
                <w:rFonts w:hint="eastAsia" w:ascii="仿宋_GB2312" w:hAnsi="仿宋_GB2312" w:eastAsia="仿宋_GB2312" w:cs="仿宋_GB2312"/>
                <w:color w:val="auto"/>
                <w:sz w:val="24"/>
                <w:szCs w:val="24"/>
                <w:highlight w:val="none"/>
                <w:lang w:val="en-US" w:eastAsia="zh-CN"/>
              </w:rPr>
              <w:t>有线</w:t>
            </w:r>
            <w:r>
              <w:rPr>
                <w:rFonts w:hint="eastAsia"/>
                <w:lang w:eastAsia="zh-CN"/>
              </w:rPr>
              <w:t>；</w:t>
            </w:r>
          </w:p>
          <w:p>
            <w:pPr>
              <w:pStyle w:val="247"/>
              <w:kinsoku w:val="0"/>
              <w:overflowPunct w:val="0"/>
              <w:spacing w:before="1"/>
              <w:ind w:left="239" w:leftChars="114" w:firstLine="0" w:firstLineChars="0"/>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lang w:val="en-US" w:eastAsia="zh-CN"/>
              </w:rPr>
              <w:t>5.键盘键程：2.3mm-4.0mm；</w:t>
            </w:r>
          </w:p>
          <w:p>
            <w:pPr>
              <w:pStyle w:val="247"/>
              <w:kinsoku w:val="0"/>
              <w:overflowPunct w:val="0"/>
              <w:spacing w:before="1"/>
              <w:ind w:left="239" w:leftChars="114" w:firstLine="0" w:firstLineChars="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6.键盘按键压力：按键压力应在0.54N±0.14N；</w:t>
            </w:r>
          </w:p>
          <w:p>
            <w:pPr>
              <w:pStyle w:val="247"/>
              <w:kinsoku w:val="0"/>
              <w:overflowPunct w:val="0"/>
              <w:spacing w:before="1"/>
              <w:ind w:left="239" w:leftChars="114" w:firstLine="0" w:firstLineChars="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7.有线键盘连接线：≥1.5米；</w:t>
            </w:r>
          </w:p>
          <w:p>
            <w:pPr>
              <w:pStyle w:val="247"/>
              <w:kinsoku w:val="0"/>
              <w:overflowPunct w:val="0"/>
              <w:spacing w:before="1"/>
              <w:ind w:left="239" w:leftChars="114" w:firstLine="0" w:firstLineChars="0"/>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lang w:val="en-US" w:eastAsia="zh-CN"/>
              </w:rPr>
              <w:t>8.键盘颜色：黑色；</w:t>
            </w:r>
          </w:p>
          <w:p>
            <w:pPr>
              <w:pStyle w:val="247"/>
              <w:kinsoku w:val="0"/>
              <w:overflowPunct w:val="0"/>
              <w:spacing w:before="1"/>
              <w:ind w:left="239" w:leftChars="114" w:firstLine="0" w:firstLineChars="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9.鼠标连接方式：有线；</w:t>
            </w:r>
          </w:p>
          <w:p>
            <w:pPr>
              <w:pStyle w:val="247"/>
              <w:kinsoku w:val="0"/>
              <w:overflowPunct w:val="0"/>
              <w:spacing w:before="1"/>
              <w:ind w:left="239" w:leftChars="114" w:firstLine="0" w:firstLineChars="0"/>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lang w:val="en-US" w:eastAsia="zh-CN"/>
              </w:rPr>
              <w:t>10.有线鼠标连接线：≥1.5米；</w:t>
            </w:r>
          </w:p>
          <w:p>
            <w:pPr>
              <w:pStyle w:val="247"/>
              <w:kinsoku w:val="0"/>
              <w:overflowPunct w:val="0"/>
              <w:spacing w:before="1"/>
              <w:ind w:left="239" w:leftChars="114" w:firstLine="0" w:firstLineChars="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11.鼠标DPI分辨率：800-1600；</w:t>
            </w:r>
          </w:p>
          <w:p>
            <w:pPr>
              <w:pStyle w:val="247"/>
              <w:kinsoku w:val="0"/>
              <w:overflowPunct w:val="0"/>
              <w:spacing w:before="1"/>
              <w:ind w:left="239" w:leftChars="114" w:firstLine="0" w:firstLineChars="0"/>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lang w:val="en-US" w:eastAsia="zh-CN"/>
              </w:rPr>
              <w:t>12.鼠标颜色：黑色；</w:t>
            </w:r>
          </w:p>
          <w:p>
            <w:pPr>
              <w:pStyle w:val="247"/>
              <w:kinsoku w:val="0"/>
              <w:overflowPunct w:val="0"/>
              <w:spacing w:before="1"/>
              <w:ind w:left="239" w:leftChars="114" w:firstLine="0" w:firstLineChars="0"/>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sz w:val="24"/>
                <w:szCs w:val="24"/>
                <w:highlight w:val="none"/>
                <w:lang w:val="en-US" w:eastAsia="zh-CN"/>
              </w:rPr>
              <w:t>13.鼠标其他要求：其它参数应符合GB/T26245的相关规定;</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14.</w:t>
            </w:r>
            <w:r>
              <w:rPr>
                <w:rFonts w:hint="eastAsia" w:ascii="仿宋_GB2312" w:hAnsi="仿宋_GB2312" w:eastAsia="仿宋_GB2312" w:cs="仿宋_GB2312"/>
                <w:i w:val="0"/>
                <w:color w:val="auto"/>
                <w:kern w:val="0"/>
                <w:sz w:val="24"/>
                <w:szCs w:val="24"/>
                <w:highlight w:val="none"/>
                <w:u w:val="none"/>
                <w:lang w:eastAsia="zh-CN"/>
              </w:rPr>
              <w:t>光驱数量</w:t>
            </w:r>
            <w:r>
              <w:rPr>
                <w:rFonts w:hint="eastAsia" w:ascii="仿宋_GB2312" w:hAnsi="仿宋_GB2312" w:eastAsia="仿宋_GB2312" w:cs="仿宋_GB2312"/>
                <w:color w:val="auto"/>
                <w:sz w:val="24"/>
                <w:szCs w:val="24"/>
                <w:highlight w:val="none"/>
              </w:rPr>
              <w:t>：≥1个；</w:t>
            </w:r>
            <w:r>
              <w:rPr>
                <w:rFonts w:hint="eastAsia" w:ascii="仿宋_GB2312" w:hAnsi="仿宋_GB2312" w:eastAsia="仿宋_GB2312" w:cs="仿宋_GB2312"/>
                <w:i w:val="0"/>
                <w:color w:val="auto"/>
                <w:kern w:val="0"/>
                <w:sz w:val="24"/>
                <w:szCs w:val="24"/>
                <w:highlight w:val="none"/>
                <w:u w:val="none"/>
                <w:lang w:eastAsia="zh-CN"/>
              </w:rPr>
              <w:t>内置或外置DVD光驱。</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八</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网络设备规格</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有线网卡数量：≥1</w:t>
            </w:r>
            <w:r>
              <w:rPr>
                <w:rFonts w:hint="eastAsia" w:ascii="仿宋_GB2312" w:hAnsi="仿宋_GB2312" w:eastAsia="仿宋_GB2312" w:cs="仿宋_GB2312"/>
                <w:color w:val="auto"/>
                <w:sz w:val="24"/>
                <w:szCs w:val="24"/>
                <w:highlight w:val="none"/>
                <w:lang w:eastAsia="zh-CN"/>
              </w:rPr>
              <w:t>。</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九</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外部接口规格</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1.USB接口数量：≥3个，至少包含</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个USB3.0及以上标准接口；</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2.视频接口数量：≥1；</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3.音频接口数量：≥1</w:t>
            </w:r>
            <w:r>
              <w:rPr>
                <w:rFonts w:hint="eastAsia" w:ascii="仿宋_GB2312" w:hAnsi="仿宋_GB2312" w:eastAsia="仿宋_GB2312" w:cs="仿宋_GB2312"/>
                <w:color w:val="auto"/>
                <w:sz w:val="24"/>
                <w:szCs w:val="24"/>
                <w:highlight w:val="none"/>
                <w:lang w:eastAsia="zh-CN"/>
              </w:rPr>
              <w:t>。</w:t>
            </w:r>
          </w:p>
          <w:p>
            <w:pPr>
              <w:pStyle w:val="247"/>
              <w:kinsoku w:val="0"/>
              <w:overflowPunct w:val="0"/>
              <w:spacing w:before="0" w:line="360" w:lineRule="exact"/>
              <w:ind w:firstLine="241" w:firstLineChars="10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lang w:val="en-US" w:eastAsia="zh-CN"/>
              </w:rPr>
              <w:t>十</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i w:val="0"/>
                <w:color w:val="auto"/>
                <w:kern w:val="0"/>
                <w:sz w:val="24"/>
                <w:szCs w:val="24"/>
                <w:highlight w:val="none"/>
                <w:u w:val="none"/>
                <w:lang w:val="en-US" w:eastAsia="zh-CN"/>
              </w:rPr>
              <w:t>整机基础规格</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整机外观：a)产品表面不应有凹痕、划伤、裂缝、变形和污染等。表面涂层均匀，不应起泡、龟裂、脱落和磨损，金属零部件无锈蚀及其它机械损伤；b)产品表面说明功能的文字、符号、标志，应清晰、端正、牢固；</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2.状态指示灯：在产品显著位置提供状态指示功能；</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整机结构：a)机箱应符合GB/T4208、GB/T26246的相关规定；b)产品内部结构应符合通用部件的安装需求；c)所有输入输出接口应符合相关国家或行业标准；d)产品零部件应紧固无松动，可插拔部件应可靠连接，开关、按钮和其它控制部件应灵活可靠，布局应方便使用；e)所有I/O连接器及需插接线缆的部位应预留采购人操作空间，方便插拔解锁与插拔线缆；f)可插拔板卡插槽部位应预留安装、拆卸或更换板卡空间；g)拆装可能接触到的金属剪口或金属尖角部位应做防划伤处理，以保证安全；h)整机内部走线应规整，固线结构和位置要合理可靠并做防割线处理，需便于理线和插拔操作，走线应不影响系统各主要部件组装和拆卸；i)如需通过孔走线，过线孔应做防割线处理；j)各插头位置和插拔方向应合理，应做到插拔无障碍设计，具备防呆设计，有效避免误操作；k)各主要部件拆装无障碍，使用常规工具拆装，无特殊拆装工具需求；l)各主要部件拆装步骤要少，各自拆装需避免相互干扰；m)对于整机或零部件外表面为高亮面的，应粘贴保护膜，保护膜需粘贴牢固，运输、组装等过程不易脱落，撕下无残留；n)其它要求应符合GB/T9813.1的相关规定；</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4.机箱防护要求：机箱应符合GB/T4208中IP20防护要求；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5.整机噪音：产品工作在空闲状态下，产品的声功率级应不超过4.5Bel；</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整机散热：在环境温度25℃及处理器满载情况下，产品表面温度应符合如下要求：a)出风口在机箱后面板情况下，出风口温度不高于55℃；b)可触及面温度不高于45℃；c)显示器表面温度：显示屏不高于38℃，显示屏上下灯带位置温度（如涉及）不高于40℃，出风口温度不高于45℃；</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7.整机能效限定值：产品能效限定值应达到GB28380-2012标准中能效等级2级及以上；</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8.机身材质：</w:t>
            </w:r>
            <w:r>
              <w:rPr>
                <w:rFonts w:hint="eastAsia" w:ascii="仿宋_GB2312" w:hAnsi="仿宋_GB2312" w:eastAsia="仿宋_GB2312" w:cs="仿宋_GB2312"/>
                <w:color w:val="auto"/>
                <w:kern w:val="0"/>
                <w:sz w:val="24"/>
                <w:szCs w:val="24"/>
                <w:highlight w:val="none"/>
                <w:lang w:val="en-US" w:eastAsia="zh-CN" w:bidi="ar-SA"/>
              </w:rPr>
              <w:t>塑料/金属等</w:t>
            </w:r>
            <w:r>
              <w:rPr>
                <w:rFonts w:hint="eastAsia" w:ascii="仿宋_GB2312" w:hAnsi="仿宋_GB2312" w:eastAsia="仿宋_GB2312" w:cs="仿宋_GB2312"/>
                <w:color w:val="auto"/>
                <w:sz w:val="24"/>
                <w:szCs w:val="24"/>
                <w:highlight w:val="none"/>
                <w:lang w:val="en-US" w:eastAsia="zh-CN"/>
              </w:rPr>
              <w:t>；</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9.机身颜色：</w:t>
            </w:r>
            <w:r>
              <w:rPr>
                <w:rFonts w:hint="eastAsia" w:ascii="仿宋_GB2312" w:hAnsi="仿宋_GB2312" w:eastAsia="仿宋_GB2312" w:cs="仿宋_GB2312"/>
                <w:color w:val="auto"/>
                <w:kern w:val="0"/>
                <w:sz w:val="24"/>
                <w:szCs w:val="24"/>
                <w:highlight w:val="none"/>
                <w:lang w:val="en-US" w:eastAsia="zh-CN" w:bidi="ar-SA"/>
              </w:rPr>
              <w:t>灰色/黑色等商务色系</w:t>
            </w:r>
            <w:r>
              <w:rPr>
                <w:rFonts w:hint="eastAsia" w:ascii="仿宋_GB2312" w:hAnsi="仿宋_GB2312" w:eastAsia="仿宋_GB2312" w:cs="仿宋_GB2312"/>
                <w:color w:val="auto"/>
                <w:sz w:val="24"/>
                <w:szCs w:val="24"/>
                <w:highlight w:val="none"/>
                <w:lang w:val="en-US" w:eastAsia="zh-CN"/>
              </w:rPr>
              <w:t>；</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10.机箱尺寸容量：机箱体积应不大于30L。</w:t>
            </w:r>
          </w:p>
          <w:p>
            <w:pPr>
              <w:pStyle w:val="247"/>
              <w:kinsoku w:val="0"/>
              <w:overflowPunct w:val="0"/>
              <w:spacing w:before="0" w:line="360" w:lineRule="exact"/>
              <w:ind w:left="0" w:firstLine="0" w:firstLineChars="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二、产品性能要求</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lang w:val="en-US" w:eastAsia="zh-CN"/>
              </w:rPr>
              <w:t>一</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CPU性能</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1.CPU物理核数：≥8；</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2.CPU主频：≥2.</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GHz；</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3.CPU末级缓存容量≥2MB；</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4.CPU支持的内存最高速率≥2666MT/s。</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二</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内存性能</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内存读写速率：≥2666MT/s</w:t>
            </w:r>
            <w:r>
              <w:rPr>
                <w:rFonts w:hint="eastAsia" w:ascii="仿宋_GB2312" w:hAnsi="仿宋_GB2312" w:eastAsia="仿宋_GB2312" w:cs="仿宋_GB2312"/>
                <w:color w:val="auto"/>
                <w:sz w:val="24"/>
                <w:szCs w:val="24"/>
                <w:highlight w:val="none"/>
                <w:lang w:eastAsia="zh-CN"/>
              </w:rPr>
              <w:t>。</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三</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显卡性能</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1.显示分辨率：≥1920*1080；</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2.显卡显示芯片核心频率：≥300MHz；</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3.显存等效频率：≥1000MT/s；</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4.显卡可支持多屏同时显示数量：显卡应支持2块屏幕同时显示，分辨率应不低于1920×1080。</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四</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显示设备性能</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1.显示屏刷新率：≥75Hz；</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2.显示屏位深：≥8位；</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3.显示屏色域：≥99%sRGB；</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4.显示屏色准：△E≤4；</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5.显示屏响应时间：≤8ms；</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6.显示屏亮度：≥250尼特；</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7.显示屏亮度一致性：≥70%；</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8.显示屏对比度：≥500：1；</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9.显示屏其他参数：其它参数应符合SJ/T11292的相关规定。</w:t>
            </w:r>
          </w:p>
          <w:p>
            <w:pPr>
              <w:pStyle w:val="247"/>
              <w:kinsoku w:val="0"/>
              <w:overflowPunct w:val="0"/>
              <w:spacing w:before="0" w:line="360" w:lineRule="exact"/>
              <w:ind w:firstLine="241"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五</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网络设备性能</w:t>
            </w:r>
          </w:p>
          <w:p>
            <w:pPr>
              <w:pStyle w:val="247"/>
              <w:keepNext w:val="0"/>
              <w:keepLines w:val="0"/>
              <w:pageBreakBefore w:val="0"/>
              <w:widowControl w:val="0"/>
              <w:kinsoku w:val="0"/>
              <w:wordWrap w:val="0"/>
              <w:overflowPunct/>
              <w:topLinePunct w:val="0"/>
              <w:autoSpaceDE w:val="0"/>
              <w:autoSpaceDN w:val="0"/>
              <w:bidi w:val="0"/>
              <w:adjustRightInd w:val="0"/>
              <w:snapToGrid/>
              <w:spacing w:before="0" w:line="360" w:lineRule="exact"/>
              <w:ind w:firstLine="240" w:firstLineChars="1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有线网卡速率：最高速率应不低于1000Mbps，应支持10Mbps、100Mbps、1000Mbps速率自适应</w:t>
            </w:r>
            <w:r>
              <w:rPr>
                <w:rFonts w:hint="eastAsia" w:ascii="仿宋_GB2312" w:hAnsi="仿宋_GB2312" w:eastAsia="仿宋_GB2312" w:cs="仿宋_GB2312"/>
                <w:color w:val="auto"/>
                <w:sz w:val="24"/>
                <w:szCs w:val="24"/>
                <w:highlight w:val="none"/>
                <w:lang w:eastAsia="zh-CN"/>
              </w:rPr>
              <w:t>。</w:t>
            </w:r>
          </w:p>
          <w:p>
            <w:pPr>
              <w:pStyle w:val="247"/>
              <w:kinsoku w:val="0"/>
              <w:overflowPunct w:val="0"/>
              <w:spacing w:before="0" w:line="360" w:lineRule="exact"/>
              <w:ind w:left="0" w:firstLine="0" w:firstLineChars="0"/>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val="en-US" w:eastAsia="zh-CN"/>
              </w:rPr>
              <w:t>三、产品功能要求</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lang w:val="en-US" w:eastAsia="zh-CN"/>
              </w:rPr>
              <w:t>一</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主板功能</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1.内存扩展接口(板载内存不涉及)：≥</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个；</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2.主板USB瞬间过流保护：支持有瞬间过流保护功能；</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3.主板防静电保护：支持防静电保护功能；</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I/O接口功能：提供基于标准USB接口外设连接功能、基于音频输入输出接口的音频扩展功能、基于PCIe接口板卡扩展功能、基于HDMI或VGA或Type-C或DVI或DP等接口外接显示器扩展功能、基于存储接口对产品进行增容功能等。产品I/O接口，应具备外接标准USB设备、显示器、音频设备等内外部设备能力。</w:t>
            </w:r>
          </w:p>
          <w:p>
            <w:pPr>
              <w:pStyle w:val="247"/>
              <w:kinsoku w:val="0"/>
              <w:overflowPunct w:val="0"/>
              <w:spacing w:before="0" w:line="360" w:lineRule="exact"/>
              <w:ind w:left="0" w:firstLine="241"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lang w:val="en-US" w:eastAsia="zh-CN"/>
              </w:rPr>
              <w:t>二</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显</w:t>
            </w:r>
            <w:r>
              <w:rPr>
                <w:rFonts w:hint="eastAsia" w:ascii="仿宋_GB2312" w:hAnsi="仿宋_GB2312" w:eastAsia="仿宋_GB2312" w:cs="仿宋_GB2312"/>
                <w:b/>
                <w:bCs/>
                <w:color w:val="auto"/>
                <w:sz w:val="24"/>
                <w:szCs w:val="24"/>
                <w:highlight w:val="none"/>
                <w:lang w:val="en-US" w:eastAsia="zh-CN"/>
              </w:rPr>
              <w:t>卡</w:t>
            </w:r>
            <w:r>
              <w:rPr>
                <w:rFonts w:hint="eastAsia" w:ascii="仿宋_GB2312" w:hAnsi="仿宋_GB2312" w:eastAsia="仿宋_GB2312" w:cs="仿宋_GB2312"/>
                <w:b/>
                <w:bCs/>
                <w:color w:val="auto"/>
                <w:sz w:val="24"/>
                <w:szCs w:val="24"/>
                <w:highlight w:val="none"/>
              </w:rPr>
              <w:t>功能</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显卡外接显示接口：至少支持VGA、HDMI、DVI、DP、Type-C中1种显示接口，并与显示器接口相匹配。</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lang w:val="en-US" w:eastAsia="zh-CN"/>
              </w:rPr>
              <w:t>三</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显示设备功能</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1.显示器接口：显示器应与显卡外接显示接口匹配；</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2.显示器支架：显示器应提供显示器支架，根据采购人需求支持屏幕旋转、升降等；</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3.显示器参数调节：a)提供OSD选单按钮用于调节色彩、模式等；b)支持色温、亮度、对比度调节。</w:t>
            </w:r>
          </w:p>
          <w:p>
            <w:pPr>
              <w:pStyle w:val="247"/>
              <w:kinsoku w:val="0"/>
              <w:overflowPunct w:val="0"/>
              <w:spacing w:before="0" w:line="360" w:lineRule="exact"/>
              <w:ind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i w:val="0"/>
                <w:color w:val="auto"/>
                <w:kern w:val="0"/>
                <w:sz w:val="24"/>
                <w:szCs w:val="24"/>
                <w:highlight w:val="none"/>
                <w:u w:val="none"/>
                <w:lang w:eastAsia="zh-CN"/>
              </w:rPr>
              <w:t>（</w:t>
            </w:r>
            <w:r>
              <w:rPr>
                <w:rFonts w:hint="eastAsia" w:ascii="仿宋_GB2312" w:hAnsi="仿宋_GB2312" w:eastAsia="仿宋_GB2312" w:cs="仿宋_GB2312"/>
                <w:b/>
                <w:bCs/>
                <w:i w:val="0"/>
                <w:color w:val="auto"/>
                <w:kern w:val="0"/>
                <w:sz w:val="24"/>
                <w:szCs w:val="24"/>
                <w:highlight w:val="none"/>
                <w:u w:val="none"/>
                <w:lang w:val="en-US" w:eastAsia="zh-CN"/>
              </w:rPr>
              <w:t>四</w:t>
            </w:r>
            <w:r>
              <w:rPr>
                <w:rFonts w:hint="eastAsia" w:ascii="仿宋_GB2312" w:hAnsi="仿宋_GB2312" w:eastAsia="仿宋_GB2312" w:cs="仿宋_GB2312"/>
                <w:b/>
                <w:bCs/>
                <w:i w:val="0"/>
                <w:color w:val="auto"/>
                <w:kern w:val="0"/>
                <w:sz w:val="24"/>
                <w:szCs w:val="24"/>
                <w:highlight w:val="none"/>
                <w:u w:val="none"/>
                <w:lang w:eastAsia="zh-CN"/>
              </w:rPr>
              <w:t>）光驱功能</w:t>
            </w:r>
          </w:p>
          <w:p>
            <w:pPr>
              <w:pStyle w:val="247"/>
              <w:kinsoku w:val="0"/>
              <w:overflowPunct w:val="0"/>
              <w:spacing w:before="0" w:line="360" w:lineRule="exact"/>
              <w:ind w:left="0" w:firstLine="240" w:firstLineChars="100"/>
              <w:rPr>
                <w:rFonts w:hint="eastAsia" w:ascii="仿宋_GB2312" w:hAnsi="仿宋_GB2312" w:eastAsia="仿宋_GB2312" w:cs="仿宋_GB2312"/>
                <w:i w:val="0"/>
                <w:color w:val="auto"/>
                <w:kern w:val="0"/>
                <w:sz w:val="24"/>
                <w:szCs w:val="24"/>
                <w:highlight w:val="none"/>
                <w:u w:val="none"/>
                <w:lang w:val="en-US" w:eastAsia="zh-CN"/>
              </w:rPr>
            </w:pPr>
            <w:r>
              <w:rPr>
                <w:rFonts w:hint="eastAsia" w:ascii="仿宋_GB2312" w:hAnsi="仿宋_GB2312" w:eastAsia="仿宋_GB2312" w:cs="仿宋_GB2312"/>
                <w:i w:val="0"/>
                <w:color w:val="auto"/>
                <w:kern w:val="0"/>
                <w:sz w:val="24"/>
                <w:szCs w:val="24"/>
                <w:highlight w:val="none"/>
                <w:u w:val="none"/>
                <w:lang w:val="en-US" w:eastAsia="zh-CN"/>
              </w:rPr>
              <w:t>光驱应支持只读、刻录等类型；最大读取速度CD不低于24×150KB/s；最大读取速度DVD不低于8×358KB/s；最大刻录速度CD不低于24×150KB/s；最大刻录速度DVD不低于6×1358KB/s；兼容光盘类型包含只读光盘、可读写光盘、可擦写光盘等。</w:t>
            </w:r>
          </w:p>
          <w:p>
            <w:pPr>
              <w:pStyle w:val="247"/>
              <w:kinsoku w:val="0"/>
              <w:overflowPunct w:val="0"/>
              <w:spacing w:before="0" w:line="360" w:lineRule="exact"/>
              <w:ind w:firstLine="241" w:firstLineChars="100"/>
              <w:rPr>
                <w:rFonts w:hint="eastAsia" w:ascii="仿宋_GB2312" w:hAnsi="仿宋_GB2312" w:eastAsia="仿宋_GB2312" w:cs="仿宋_GB2312"/>
                <w:b/>
                <w:bCs/>
                <w:i w:val="0"/>
                <w:color w:val="auto"/>
                <w:kern w:val="0"/>
                <w:sz w:val="24"/>
                <w:szCs w:val="24"/>
                <w:highlight w:val="none"/>
                <w:u w:val="none"/>
                <w:lang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i w:val="0"/>
                <w:color w:val="auto"/>
                <w:kern w:val="0"/>
                <w:sz w:val="24"/>
                <w:szCs w:val="24"/>
                <w:highlight w:val="none"/>
                <w:u w:val="none"/>
                <w:lang w:val="en-US" w:eastAsia="zh-CN"/>
              </w:rPr>
              <w:t>（五）存储功能</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存储功能：通过SATA固态存储/PCIe固态存储/UFS固态存储/SATA硬磁盘等存储部件提供存储功能。</w:t>
            </w:r>
          </w:p>
          <w:p>
            <w:pPr>
              <w:pStyle w:val="247"/>
              <w:kinsoku w:val="0"/>
              <w:overflowPunct w:val="0"/>
              <w:spacing w:before="0" w:line="360" w:lineRule="exact"/>
              <w:ind w:firstLine="241" w:firstLineChars="100"/>
              <w:rPr>
                <w:rFonts w:hint="eastAsia" w:ascii="仿宋_GB2312" w:hAnsi="仿宋_GB2312" w:eastAsia="仿宋_GB2312" w:cs="仿宋_GB2312"/>
                <w:b/>
                <w:bCs/>
                <w:i w:val="0"/>
                <w:color w:val="auto"/>
                <w:kern w:val="0"/>
                <w:sz w:val="24"/>
                <w:szCs w:val="24"/>
                <w:highlight w:val="none"/>
                <w:u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i w:val="0"/>
                <w:color w:val="auto"/>
                <w:kern w:val="0"/>
                <w:sz w:val="24"/>
                <w:szCs w:val="24"/>
                <w:highlight w:val="none"/>
                <w:u w:val="none"/>
                <w:lang w:eastAsia="zh-CN"/>
              </w:rPr>
              <w:t>（</w:t>
            </w:r>
            <w:r>
              <w:rPr>
                <w:rFonts w:hint="eastAsia" w:ascii="仿宋_GB2312" w:hAnsi="仿宋_GB2312" w:eastAsia="仿宋_GB2312" w:cs="仿宋_GB2312"/>
                <w:b/>
                <w:bCs/>
                <w:i w:val="0"/>
                <w:color w:val="auto"/>
                <w:kern w:val="0"/>
                <w:sz w:val="24"/>
                <w:szCs w:val="24"/>
                <w:highlight w:val="none"/>
                <w:u w:val="none"/>
                <w:lang w:val="en-US" w:eastAsia="zh-CN"/>
              </w:rPr>
              <w:t>六</w:t>
            </w:r>
            <w:r>
              <w:rPr>
                <w:rFonts w:hint="eastAsia" w:ascii="仿宋_GB2312" w:hAnsi="仿宋_GB2312" w:eastAsia="仿宋_GB2312" w:cs="仿宋_GB2312"/>
                <w:b/>
                <w:bCs/>
                <w:i w:val="0"/>
                <w:color w:val="auto"/>
                <w:kern w:val="0"/>
                <w:sz w:val="24"/>
                <w:szCs w:val="24"/>
                <w:highlight w:val="none"/>
                <w:u w:val="none"/>
                <w:lang w:eastAsia="zh-CN"/>
              </w:rPr>
              <w:t>）</w:t>
            </w:r>
            <w:r>
              <w:rPr>
                <w:rFonts w:hint="eastAsia" w:ascii="仿宋_GB2312" w:hAnsi="仿宋_GB2312" w:eastAsia="仿宋_GB2312" w:cs="仿宋_GB2312"/>
                <w:b/>
                <w:bCs/>
                <w:i w:val="0"/>
                <w:color w:val="auto"/>
                <w:kern w:val="0"/>
                <w:sz w:val="24"/>
                <w:szCs w:val="24"/>
                <w:highlight w:val="none"/>
                <w:u w:val="none"/>
                <w:lang w:val="en-US" w:eastAsia="zh-CN"/>
              </w:rPr>
              <w:t>网络设备功能</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1.网络功能：a)支持网络连接、网络开启/关闭功能；b)支持访问网络和数据交换功能；</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2.数据传输：支持数据传输能力，并提供数据流量和异常日志记录功能；</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3.有线网卡接口类型：支持RJ45接口；</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4.网络设备拆装：网络设备支持物理拆装，包括无线网卡和蓝牙模块等。</w:t>
            </w:r>
          </w:p>
          <w:p>
            <w:pPr>
              <w:pStyle w:val="247"/>
              <w:kinsoku w:val="0"/>
              <w:overflowPunct w:val="0"/>
              <w:spacing w:before="0" w:line="360" w:lineRule="exact"/>
              <w:ind w:firstLine="241" w:firstLineChars="100"/>
              <w:rPr>
                <w:rFonts w:hint="eastAsia" w:ascii="仿宋_GB2312" w:hAnsi="仿宋_GB2312" w:eastAsia="仿宋_GB2312" w:cs="仿宋_GB2312"/>
                <w:b/>
                <w:bCs/>
                <w:i w:val="0"/>
                <w:color w:val="auto"/>
                <w:kern w:val="0"/>
                <w:sz w:val="24"/>
                <w:szCs w:val="24"/>
                <w:highlight w:val="none"/>
                <w:u w:val="none"/>
                <w:lang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i w:val="0"/>
                <w:color w:val="auto"/>
                <w:kern w:val="0"/>
                <w:sz w:val="24"/>
                <w:szCs w:val="24"/>
                <w:highlight w:val="none"/>
                <w:u w:val="none"/>
                <w:lang w:val="en-US" w:eastAsia="zh-CN"/>
              </w:rPr>
              <w:t>（七）外部接口功能</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1.音频接口类型：支持3.5mm孔径3段式或4段式接口；</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2.视频接口类型：至少支持VGA、HDMI、DVI、DP、Type-C中1种显示接口；</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3.HDMI、DP、Type-C显示接口要求：若提供HDMI或DP或Type-C作为显示接口，应支持音频和视频同步输出。</w:t>
            </w:r>
          </w:p>
          <w:p>
            <w:pPr>
              <w:pStyle w:val="247"/>
              <w:kinsoku w:val="0"/>
              <w:overflowPunct w:val="0"/>
              <w:spacing w:before="0" w:line="360" w:lineRule="exact"/>
              <w:ind w:firstLine="241" w:firstLineChars="100"/>
              <w:rPr>
                <w:rFonts w:hint="eastAsia" w:ascii="仿宋_GB2312" w:hAnsi="仿宋_GB2312" w:eastAsia="仿宋_GB2312" w:cs="仿宋_GB2312"/>
                <w:b/>
                <w:bCs/>
                <w:i w:val="0"/>
                <w:color w:val="auto"/>
                <w:kern w:val="0"/>
                <w:sz w:val="24"/>
                <w:szCs w:val="24"/>
                <w:highlight w:val="none"/>
                <w:u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i w:val="0"/>
                <w:color w:val="auto"/>
                <w:kern w:val="0"/>
                <w:sz w:val="24"/>
                <w:szCs w:val="24"/>
                <w:highlight w:val="none"/>
                <w:u w:val="none"/>
                <w:lang w:val="en-US" w:eastAsia="zh-CN"/>
              </w:rPr>
              <w:t>（八）电源功能</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电源线适配能力：电源适配器电线组件应符合GB/T15934的要求，可拆线的插头和连接器可以不做要求。</w:t>
            </w:r>
          </w:p>
          <w:p>
            <w:pPr>
              <w:pStyle w:val="247"/>
              <w:kinsoku w:val="0"/>
              <w:overflowPunct w:val="0"/>
              <w:spacing w:before="0" w:line="360" w:lineRule="exact"/>
              <w:ind w:firstLine="241" w:firstLineChars="100"/>
              <w:rPr>
                <w:rFonts w:hint="eastAsia" w:ascii="仿宋_GB2312" w:hAnsi="仿宋_GB2312" w:eastAsia="仿宋_GB2312" w:cs="仿宋_GB2312"/>
                <w:b/>
                <w:bCs/>
                <w:i w:val="0"/>
                <w:color w:val="auto"/>
                <w:kern w:val="0"/>
                <w:sz w:val="24"/>
                <w:szCs w:val="24"/>
                <w:highlight w:val="none"/>
                <w:u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i w:val="0"/>
                <w:color w:val="auto"/>
                <w:kern w:val="0"/>
                <w:sz w:val="24"/>
                <w:szCs w:val="24"/>
                <w:highlight w:val="none"/>
                <w:u w:val="none"/>
                <w:lang w:val="en-US" w:eastAsia="zh-CN"/>
              </w:rPr>
              <w:t>（九）操作系统及软件功能</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1.中文信息处理要求：符合GB18030的相关规定；</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2.操作系统备份及还原功能：支持操作系统备份及还原功能；</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3.固件备份还原能力：支持备份及还原固件的功能；</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4.操作系统及驱动升级：支持通过网络、闪存盘等方式对操作系统、驱动进行升级；</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5.固件升级：支持通过网络、闪存盘等方式对固件进行升级；</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6.BIOS支持关闭通讯接口：支持BIOS关闭以太网及USB接口功能；</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7.固件查看信息：支持查看固件版本、内存信息、主板信息、处理器信息和系统时间信息等功能；</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8.固件设置启动顺序：支持设置启动顺序功能，并按照设置的启动顺序启动；</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9.固件设置口令：支持设置口令、修改口令、验证口令功能；</w:t>
            </w:r>
          </w:p>
          <w:p>
            <w:pPr>
              <w:keepNext w:val="0"/>
              <w:keepLines w:val="0"/>
              <w:widowControl/>
              <w:suppressLineNumbers w:val="0"/>
              <w:ind w:firstLine="240" w:firstLineChars="100"/>
              <w:jc w:val="left"/>
              <w:rPr>
                <w:rFonts w:hint="eastAsia" w:ascii="仿宋_GB2312" w:hAnsi="仿宋_GB2312" w:eastAsia="仿宋_GB2312" w:cs="仿宋_GB2312"/>
                <w:i w:val="0"/>
                <w:color w:val="auto"/>
                <w:kern w:val="0"/>
                <w:sz w:val="24"/>
                <w:szCs w:val="24"/>
                <w:highlight w:val="none"/>
                <w:u w:val="none"/>
                <w:lang w:val="en-US" w:eastAsia="zh-CN"/>
              </w:rPr>
            </w:pPr>
            <w:r>
              <w:rPr>
                <w:rFonts w:hint="eastAsia" w:ascii="仿宋_GB2312" w:hAnsi="仿宋_GB2312" w:eastAsia="仿宋_GB2312" w:cs="仿宋_GB2312"/>
                <w:color w:val="auto"/>
                <w:kern w:val="0"/>
                <w:sz w:val="24"/>
                <w:szCs w:val="24"/>
                <w:highlight w:val="none"/>
                <w:lang w:val="en-US" w:eastAsia="zh-CN" w:bidi="ar-SA"/>
              </w:rPr>
              <w:t>10.固件设置网络引导：支持网络引导启动和关闭功能。</w:t>
            </w:r>
          </w:p>
          <w:p>
            <w:pPr>
              <w:pStyle w:val="247"/>
              <w:kinsoku w:val="0"/>
              <w:overflowPunct w:val="0"/>
              <w:spacing w:before="0" w:line="360" w:lineRule="exac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四、存储设备可靠性要求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1.固态存储寿命：TBW≥80TB（条件：256GB硬盘容量）；</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2.机械硬盘寿命：通电时间≥5万小时。</w:t>
            </w:r>
          </w:p>
          <w:p>
            <w:pPr>
              <w:pStyle w:val="247"/>
              <w:kinsoku w:val="0"/>
              <w:overflowPunct w:val="0"/>
              <w:spacing w:before="0" w:line="360" w:lineRule="exac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五、显示设备可靠性要求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显示屏屏幕失效点：符合GB/T9813.2的要求。</w:t>
            </w:r>
          </w:p>
          <w:p>
            <w:pPr>
              <w:pStyle w:val="247"/>
              <w:kinsoku w:val="0"/>
              <w:overflowPunct w:val="0"/>
              <w:spacing w:before="0" w:line="360" w:lineRule="exac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六、外设可靠性要求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1.键盘按键寿命：≥1000万次；</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2.鼠标按键寿命：≥500万次；</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3.键盘鼠标线材寿命：键盘鼠标所用线材经±60°弯折不低于3000次，功能、外观完好；</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4.风扇寿命：≥4万小时。</w:t>
            </w:r>
          </w:p>
          <w:p>
            <w:pPr>
              <w:pStyle w:val="247"/>
              <w:kinsoku w:val="0"/>
              <w:overflowPunct w:val="0"/>
              <w:spacing w:before="0" w:line="360" w:lineRule="exac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七、整机可靠性要求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1.电磁兼容性要求的抗扰度：符合GB/T9254.2的规定；</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2.环境条件要求的气候环境适应性：符合GB/T9813.1中规定；</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3.环境条件要求的振动适应性：符合GB/T9813.1中规定；</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4.环境条件要求的冲击适应性：符合GB/T9813.1中规定；</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5.环境条件要求的碰撞适应性：符合GB/T9813.1中规定；</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6.环境条件要求的运输包装件跌落适应性：符合GB/T9813.1中规定；</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7.MTBF测试：MTBF(m1)≥3万小时。</w:t>
            </w:r>
          </w:p>
          <w:p>
            <w:pPr>
              <w:pStyle w:val="247"/>
              <w:kinsoku w:val="0"/>
              <w:overflowPunct w:val="0"/>
              <w:spacing w:before="0" w:line="360" w:lineRule="exac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八、兼容要求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1.常用软件兼容：支持流式软件、版式软件、浏览器、邮件采购人端、解压软件、多媒体、图形图像处理等常用软件；</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2.数据库兼容：兼容3个及以上厂商的数据库产品；</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3.中间件兼容：兼容3个及以上厂商中间件产品；</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4.平台软件兼容：兼容3个及以上厂商云计算及大数据平台。</w:t>
            </w:r>
            <w:r>
              <w:rPr>
                <w:rFonts w:hint="eastAsia" w:ascii="仿宋_GB2312" w:hAnsi="仿宋_GB2312" w:eastAsia="仿宋_GB2312" w:cs="仿宋_GB2312"/>
                <w:color w:val="auto"/>
                <w:sz w:val="24"/>
                <w:szCs w:val="24"/>
                <w:highlight w:val="none"/>
                <w:lang w:val="en-US" w:eastAsia="zh-CN"/>
              </w:rPr>
              <w:cr/>
            </w: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九、包装及运输要求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标志、包装、运输和贮存：符合GB/T9813.1和商品包装政府采购需求标准的相关规定。</w:t>
            </w:r>
          </w:p>
          <w:p>
            <w:pPr>
              <w:pStyle w:val="247"/>
              <w:kinsoku w:val="0"/>
              <w:overflowPunct w:val="0"/>
              <w:spacing w:before="0" w:line="360" w:lineRule="exac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十、服务要求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1.配置检查工具：供应商提供自检测试工具；</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服务响应：a)供应商提供电话、电子邮件、远程连接等多种形式服务；b)供应商提供同城4h、异地12h技术响应服务，2个工作日解决问题，对于未能解决的问题和故障应提供可行的升级方案，并提供周转设备或更换设备；c)建立全国技术服务体系和服务团体，符合专业服务体系标准要求，提供原厂中文服务；d)服务周期内提供产品的维修、换件和升级服务；</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3.服务周期：a)设备停产后应继续提供质量保障服务（含备品备件），服务终止时间与最后一批设备交付时间间隔不低于6年；b)产品停止服务时间应提前1年告知；c)应明确产品发布日期；</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预装操作系统：预装符合桌面操作系统政府采购需求标准的正版操作系统；预装的操作系统符合《操作系统政府采购需求标准》中加*指标要求（财政部工业和信息化部关于印发《操作系统政府采购需求标准（2023年版）》的通知）；</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5.培训服务：供应商提供培训材料、产品手册、培训视频等培训相关内容；</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6.典型问题解决手册：供应商提供典型问题解决说明文档或视频；</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7.厂家升级软件与扩容服务：供应商提供上门升级部件/软件与扩容的增值服务；</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8.整机质量服务要求：免费服务周期（含换件和维修）应不小于3年；</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9.合格证书要求：供应商提供产品合格证；</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10.开箱组装/使用指导要求：供应商提供开箱组装/使用指导；</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11.驱动下载服务要求：供应商提供驱动光盘或下载方式；</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12.兼容适配软件下载服务要求：供应商提供兼容适配软件下载渠道（光盘、网站）。</w:t>
            </w:r>
          </w:p>
          <w:p>
            <w:pPr>
              <w:pStyle w:val="247"/>
              <w:kinsoku w:val="0"/>
              <w:overflowPunct w:val="0"/>
              <w:spacing w:before="0" w:line="360" w:lineRule="exac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十一、供应链合规性要求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产品部件保障：供应商保障产品主要部件，提供6年的备件服务能力（自购买之日起），或提供可兼容原设备的升级换代产品。</w:t>
            </w:r>
          </w:p>
          <w:p>
            <w:pPr>
              <w:pStyle w:val="247"/>
              <w:kinsoku w:val="0"/>
              <w:overflowPunct w:val="0"/>
              <w:spacing w:before="0" w:line="360" w:lineRule="exac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十二、供应链质量要求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1.抗干扰性：当产品部件出现供应风险时，供应商应通知采购人并提供风险应对方案确保产品的服务保障；</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2.供应能力证明：供应商承诺提供稳定的供应链，确保产品的部件在产品服务周期内稳定供货。</w:t>
            </w:r>
          </w:p>
          <w:p>
            <w:pPr>
              <w:pStyle w:val="247"/>
              <w:kinsoku w:val="0"/>
              <w:overflowPunct w:val="0"/>
              <w:spacing w:before="0" w:line="360" w:lineRule="exac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十三、关键部件安全要求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关键部件安全要求：CPU和操作系统等关键部件应当符合安全可靠测评要求，通过政府有关部门指定的中国信息安全测评中心和国家保密科技测评中心网站查看安全可靠测评结果。</w:t>
            </w:r>
          </w:p>
          <w:p>
            <w:pPr>
              <w:pStyle w:val="247"/>
              <w:kinsoku w:val="0"/>
              <w:overflowPunct w:val="0"/>
              <w:spacing w:before="0" w:line="360" w:lineRule="exact"/>
              <w:ind w:left="0" w:firstLine="482"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000000"/>
                <w:sz w:val="24"/>
                <w:szCs w:val="24"/>
                <w:highlight w:val="none"/>
                <w:lang w:eastAsia="zh-CN"/>
              </w:rPr>
              <w:t>注：投标人在填写《技术响应表》时，在“投标</w:t>
            </w:r>
            <w:r>
              <w:rPr>
                <w:rFonts w:hint="eastAsia" w:ascii="仿宋_GB2312" w:hAnsi="仿宋_GB2312" w:eastAsia="仿宋_GB2312" w:cs="仿宋_GB2312"/>
                <w:b/>
                <w:bCs/>
                <w:color w:val="000000"/>
                <w:sz w:val="24"/>
                <w:szCs w:val="24"/>
                <w:highlight w:val="none"/>
                <w:lang w:val="en-US" w:eastAsia="zh-CN"/>
              </w:rPr>
              <w:t>文件</w:t>
            </w:r>
            <w:r>
              <w:rPr>
                <w:rFonts w:hint="eastAsia" w:ascii="仿宋_GB2312" w:hAnsi="仿宋_GB2312" w:eastAsia="仿宋_GB2312" w:cs="仿宋_GB2312"/>
                <w:b/>
                <w:bCs/>
                <w:color w:val="000000"/>
                <w:sz w:val="24"/>
                <w:szCs w:val="24"/>
                <w:highlight w:val="none"/>
                <w:lang w:eastAsia="zh-CN"/>
              </w:rPr>
              <w:t>响应技术参数”明确给出所投</w:t>
            </w:r>
            <w:r>
              <w:rPr>
                <w:rFonts w:hint="eastAsia" w:ascii="仿宋_GB2312" w:hAnsi="仿宋_GB2312" w:eastAsia="仿宋_GB2312" w:cs="仿宋_GB2312"/>
                <w:b/>
                <w:bCs/>
                <w:color w:val="000000"/>
                <w:sz w:val="24"/>
                <w:szCs w:val="24"/>
                <w:highlight w:val="none"/>
                <w:lang w:val="en-US" w:eastAsia="zh-CN"/>
              </w:rPr>
              <w:t>台式</w:t>
            </w:r>
            <w:r>
              <w:rPr>
                <w:rFonts w:hint="eastAsia" w:ascii="仿宋_GB2312" w:hAnsi="仿宋_GB2312" w:eastAsia="仿宋_GB2312" w:cs="仿宋_GB2312"/>
                <w:b/>
                <w:bCs/>
                <w:color w:val="000000"/>
                <w:sz w:val="24"/>
                <w:szCs w:val="24"/>
                <w:highlight w:val="none"/>
                <w:lang w:eastAsia="zh-CN"/>
              </w:rPr>
              <w:t>计算机</w:t>
            </w:r>
            <w:r>
              <w:rPr>
                <w:rFonts w:hint="eastAsia" w:ascii="仿宋_GB2312" w:hAnsi="仿宋_GB2312" w:eastAsia="仿宋_GB2312" w:cs="仿宋_GB2312"/>
                <w:b/>
                <w:bCs/>
                <w:color w:val="000000"/>
                <w:sz w:val="24"/>
                <w:szCs w:val="24"/>
                <w:highlight w:val="none"/>
                <w:lang w:val="en-US" w:eastAsia="zh-CN"/>
              </w:rPr>
              <w:t>5</w:t>
            </w:r>
            <w:r>
              <w:rPr>
                <w:rFonts w:hint="eastAsia" w:ascii="仿宋_GB2312" w:hAnsi="仿宋_GB2312" w:eastAsia="仿宋_GB2312" w:cs="仿宋_GB2312"/>
                <w:b/>
                <w:bCs/>
                <w:color w:val="000000"/>
                <w:sz w:val="24"/>
                <w:szCs w:val="24"/>
                <w:highlight w:val="none"/>
                <w:lang w:eastAsia="zh-CN"/>
              </w:rPr>
              <w:t>“</w:t>
            </w:r>
            <w:r>
              <w:rPr>
                <w:rFonts w:hint="eastAsia" w:ascii="仿宋_GB2312" w:hAnsi="仿宋_GB2312" w:eastAsia="仿宋_GB2312" w:cs="仿宋_GB2312"/>
                <w:b/>
                <w:bCs/>
                <w:color w:val="000000"/>
                <w:sz w:val="24"/>
                <w:szCs w:val="24"/>
                <w:highlight w:val="none"/>
                <w:lang w:val="en-US" w:eastAsia="zh-CN"/>
              </w:rPr>
              <w:t>CPU型号</w:t>
            </w:r>
            <w:r>
              <w:rPr>
                <w:rFonts w:hint="eastAsia" w:ascii="仿宋_GB2312" w:hAnsi="仿宋_GB2312" w:eastAsia="仿宋_GB2312" w:cs="仿宋_GB2312"/>
                <w:b/>
                <w:bCs/>
                <w:color w:val="000000"/>
                <w:sz w:val="24"/>
                <w:szCs w:val="24"/>
                <w:highlight w:val="none"/>
                <w:lang w:eastAsia="zh-CN"/>
              </w:rPr>
              <w:t>”</w:t>
            </w:r>
            <w:r>
              <w:rPr>
                <w:rFonts w:hint="eastAsia" w:ascii="仿宋_GB2312" w:hAnsi="仿宋_GB2312" w:eastAsia="仿宋_GB2312" w:cs="仿宋_GB2312"/>
                <w:b/>
                <w:bCs/>
                <w:color w:val="000000"/>
                <w:sz w:val="24"/>
                <w:szCs w:val="24"/>
                <w:highlight w:val="none"/>
                <w:lang w:val="en-US" w:eastAsia="zh-CN"/>
              </w:rPr>
              <w:t>及“</w:t>
            </w:r>
            <w:r>
              <w:rPr>
                <w:rFonts w:hint="eastAsia" w:ascii="仿宋_GB2312" w:hAnsi="仿宋_GB2312" w:eastAsia="仿宋_GB2312" w:cs="仿宋_GB2312"/>
                <w:b/>
                <w:bCs/>
                <w:color w:val="000000"/>
                <w:sz w:val="24"/>
                <w:szCs w:val="24"/>
                <w:highlight w:val="none"/>
                <w:lang w:eastAsia="zh-CN"/>
              </w:rPr>
              <w:t>操作系统</w:t>
            </w:r>
            <w:r>
              <w:rPr>
                <w:rFonts w:hint="eastAsia" w:ascii="仿宋_GB2312" w:hAnsi="仿宋_GB2312" w:eastAsia="仿宋_GB2312" w:cs="仿宋_GB2312"/>
                <w:b/>
                <w:bCs/>
                <w:color w:val="000000"/>
                <w:sz w:val="24"/>
                <w:szCs w:val="24"/>
                <w:highlight w:val="none"/>
                <w:lang w:val="en-US" w:eastAsia="zh-CN"/>
              </w:rPr>
              <w:t>”</w:t>
            </w:r>
            <w:r>
              <w:rPr>
                <w:rFonts w:hint="eastAsia" w:ascii="仿宋_GB2312" w:hAnsi="仿宋_GB2312" w:eastAsia="仿宋_GB2312" w:cs="仿宋_GB2312"/>
                <w:b/>
                <w:bCs/>
                <w:color w:val="000000"/>
                <w:sz w:val="24"/>
                <w:szCs w:val="24"/>
                <w:highlight w:val="none"/>
                <w:lang w:eastAsia="zh-CN"/>
              </w:rPr>
              <w:t>名称，否则视为投标无效。</w:t>
            </w:r>
          </w:p>
          <w:p>
            <w:pPr>
              <w:pStyle w:val="247"/>
              <w:kinsoku w:val="0"/>
              <w:overflowPunct w:val="0"/>
              <w:spacing w:before="0" w:line="360" w:lineRule="exac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十四、整机安全性要求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1.密码算法实现：CPU芯片应符合GM/T0008的相关规定，或芯片密码模块应符合GB/T37092或GM/T0028的相关规定，通过商用密码检测机构检测并经商用密码认证机构认证合格；</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信息安全基本要求：a)产品应符合GB/T39276的5.2的规定；b)生产厂商应建立漏洞跟踪表，保证产品版本涉及到的漏洞(如驱动程序等)可查看；c)产品不得包含已知的恶意代码或漏洞，不存在未声明的指令、功能、接口；</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3.固件安全启动：支持固件安全启动功能，固件启动过程中只有通过启动校验才能正常启动；</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4.限用物质的限量要求：符合GB/T26572中规定。</w:t>
            </w:r>
          </w:p>
          <w:p>
            <w:pPr>
              <w:pStyle w:val="247"/>
              <w:kinsoku w:val="0"/>
              <w:overflowPunct w:val="0"/>
              <w:spacing w:before="0" w:line="360" w:lineRule="exac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十五、其他要求：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1.适配服务要求：投标人须提供与广西自治区综合办公平台适配的台式计算机产品</w:t>
            </w:r>
            <w:r>
              <w:rPr>
                <w:rFonts w:hint="eastAsia" w:ascii="仿宋_GB2312" w:hAnsi="仿宋_GB2312" w:eastAsia="仿宋_GB2312" w:cs="仿宋_GB2312"/>
                <w:b/>
                <w:bCs/>
                <w:color w:val="auto"/>
                <w:sz w:val="24"/>
                <w:szCs w:val="24"/>
                <w:highlight w:val="none"/>
                <w:lang w:val="en-US" w:eastAsia="zh-CN"/>
              </w:rPr>
              <w:t>（采购人将设置现场踏勘，以便投标人了解适配情况）</w:t>
            </w:r>
            <w:r>
              <w:rPr>
                <w:rFonts w:hint="eastAsia" w:ascii="仿宋_GB2312" w:hAnsi="仿宋_GB2312" w:eastAsia="仿宋_GB2312" w:cs="仿宋_GB2312"/>
                <w:color w:val="auto"/>
                <w:sz w:val="24"/>
                <w:szCs w:val="24"/>
                <w:highlight w:val="none"/>
                <w:lang w:val="en-US" w:eastAsia="zh-CN"/>
              </w:rPr>
              <w:t>；</w:t>
            </w:r>
          </w:p>
          <w:p>
            <w:pPr>
              <w:pStyle w:val="247"/>
              <w:kinsoku w:val="0"/>
              <w:overflowPunct w:val="0"/>
              <w:spacing w:before="0" w:line="360" w:lineRule="exact"/>
              <w:ind w:firstLine="241"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2.供货服务要求：投标人需具备足够宽敞的仓库，在送给使用单位前办理完到货验收手续；按照采购人提出供货要求制定合理、科学的分配方案，制定合理的送货计划和办理交接手续，确保供货及时和货物到场上桌规范。本项目涉及多家使用单位，要求投标人具备有专业的实施保障能力和专业的售后服务能力，合理配置相关技术人员</w:t>
            </w:r>
            <w:r>
              <w:rPr>
                <w:rFonts w:hint="eastAsia" w:ascii="仿宋_GB2312" w:hAnsi="仿宋_GB2312" w:eastAsia="仿宋_GB2312" w:cs="仿宋_GB2312"/>
                <w:b w:val="0"/>
                <w:bCs w:val="0"/>
                <w:i w:val="0"/>
                <w:color w:val="auto"/>
                <w:kern w:val="0"/>
                <w:sz w:val="24"/>
                <w:szCs w:val="24"/>
                <w:highlight w:val="none"/>
                <w:u w:val="none"/>
                <w:lang w:val="en-US" w:eastAsia="zh-CN"/>
              </w:rPr>
              <w:t>。</w:t>
            </w:r>
          </w:p>
        </w:tc>
        <w:tc>
          <w:tcPr>
            <w:tcW w:w="1020" w:type="dxa"/>
            <w:tcBorders>
              <w:top w:val="single" w:color="auto" w:sz="4" w:space="0"/>
              <w:left w:val="single" w:color="auto" w:sz="4" w:space="0"/>
              <w:right w:val="single" w:color="auto" w:sz="4" w:space="0"/>
            </w:tcBorders>
            <w:vAlign w:val="center"/>
          </w:tcPr>
          <w:p>
            <w:pPr>
              <w:spacing w:line="360" w:lineRule="exact"/>
              <w:ind w:left="420" w:leftChars="0" w:hanging="42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50</w:t>
            </w:r>
            <w:r>
              <w:rPr>
                <w:rFonts w:hint="eastAsia" w:ascii="仿宋_GB2312" w:hAnsi="仿宋_GB2312" w:eastAsia="仿宋_GB2312" w:cs="仿宋_GB2312"/>
                <w:color w:val="auto"/>
                <w:sz w:val="24"/>
                <w:szCs w:val="24"/>
                <w:highlight w:val="none"/>
              </w:rPr>
              <w:t>台</w:t>
            </w: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0" w:type="dxa"/>
            <w:tcBorders>
              <w:top w:val="single" w:color="auto" w:sz="4" w:space="0"/>
              <w:left w:val="single" w:color="auto" w:sz="4" w:space="0"/>
              <w:bottom w:val="single" w:color="auto" w:sz="4" w:space="0"/>
              <w:right w:val="single" w:color="auto" w:sz="4" w:space="0"/>
            </w:tcBorders>
            <w:vAlign w:val="center"/>
          </w:tcPr>
          <w:p>
            <w:pPr>
              <w:pStyle w:val="245"/>
              <w:snapToGrid w:val="0"/>
              <w:spacing w:line="36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w:t>
            </w:r>
          </w:p>
        </w:tc>
        <w:tc>
          <w:tcPr>
            <w:tcW w:w="969" w:type="dxa"/>
            <w:tcBorders>
              <w:top w:val="single" w:color="auto" w:sz="4" w:space="0"/>
              <w:left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便携式</w:t>
            </w:r>
          </w:p>
          <w:p>
            <w:pPr>
              <w:widowControl/>
              <w:spacing w:line="36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计算机</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b/>
                <w:bCs/>
                <w:color w:val="auto"/>
                <w:sz w:val="24"/>
                <w:szCs w:val="24"/>
                <w:highlight w:val="none"/>
              </w:rPr>
              <w:t>（强制采购节能产品，详见采购需求说明第八点）</w:t>
            </w:r>
          </w:p>
        </w:tc>
        <w:tc>
          <w:tcPr>
            <w:tcW w:w="6586" w:type="dxa"/>
            <w:tcBorders>
              <w:top w:val="single" w:color="auto" w:sz="4" w:space="0"/>
              <w:left w:val="single" w:color="auto" w:sz="4" w:space="0"/>
              <w:bottom w:val="single" w:color="auto" w:sz="4" w:space="0"/>
              <w:right w:val="single" w:color="auto" w:sz="4" w:space="0"/>
            </w:tcBorders>
            <w:vAlign w:val="center"/>
          </w:tcPr>
          <w:p>
            <w:pPr>
              <w:pStyle w:val="247"/>
              <w:kinsoku w:val="0"/>
              <w:overflowPunct w:val="0"/>
              <w:spacing w:before="0" w:line="360" w:lineRule="exact"/>
              <w:ind w:left="0" w:firstLine="0" w:firstLineChars="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一、产品规格要求</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一</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CPU规格</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1.CPU：≥8核</w:t>
            </w:r>
            <w:r>
              <w:rPr>
                <w:rFonts w:hint="eastAsia" w:ascii="仿宋_GB2312" w:hAnsi="仿宋_GB2312" w:eastAsia="仿宋_GB2312" w:cs="仿宋_GB2312"/>
                <w:color w:val="auto"/>
                <w:sz w:val="24"/>
                <w:szCs w:val="24"/>
                <w:highlight w:val="none"/>
                <w:lang w:val="en-US" w:eastAsia="zh-CN"/>
              </w:rPr>
              <w:t>12</w:t>
            </w:r>
            <w:r>
              <w:rPr>
                <w:rFonts w:hint="eastAsia" w:ascii="仿宋_GB2312" w:hAnsi="仿宋_GB2312" w:eastAsia="仿宋_GB2312" w:cs="仿宋_GB2312"/>
                <w:color w:val="auto"/>
                <w:sz w:val="24"/>
                <w:szCs w:val="24"/>
                <w:highlight w:val="none"/>
              </w:rPr>
              <w:t>线程，主频≥</w:t>
            </w:r>
            <w:r>
              <w:rPr>
                <w:rFonts w:hint="eastAsia" w:ascii="仿宋_GB2312" w:hAnsi="仿宋_GB2312" w:eastAsia="仿宋_GB2312" w:cs="仿宋_GB2312"/>
                <w:color w:val="auto"/>
                <w:sz w:val="24"/>
                <w:szCs w:val="24"/>
                <w:highlight w:val="none"/>
                <w:lang w:val="en-US" w:eastAsia="zh-CN"/>
              </w:rPr>
              <w:t>2.3</w:t>
            </w:r>
            <w:r>
              <w:rPr>
                <w:rFonts w:hint="eastAsia" w:ascii="仿宋_GB2312" w:hAnsi="仿宋_GB2312" w:eastAsia="仿宋_GB2312" w:cs="仿宋_GB2312"/>
                <w:color w:val="auto"/>
                <w:sz w:val="24"/>
                <w:szCs w:val="24"/>
                <w:highlight w:val="none"/>
              </w:rPr>
              <w:t>GHz</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末级缓存≥2M，</w:t>
            </w:r>
            <w:r>
              <w:rPr>
                <w:rFonts w:hint="eastAsia" w:ascii="仿宋_GB2312" w:hAnsi="仿宋_GB2312" w:eastAsia="仿宋_GB2312" w:cs="仿宋_GB2312"/>
                <w:color w:val="auto"/>
                <w:sz w:val="24"/>
                <w:szCs w:val="24"/>
                <w:highlight w:val="none"/>
                <w:lang w:val="en-US" w:eastAsia="zh-CN"/>
              </w:rPr>
              <w:t>CPU</w:t>
            </w:r>
            <w:r>
              <w:rPr>
                <w:rFonts w:hint="eastAsia" w:ascii="仿宋_GB2312" w:hAnsi="仿宋_GB2312" w:eastAsia="仿宋_GB2312" w:cs="仿宋_GB2312"/>
                <w:color w:val="auto"/>
                <w:sz w:val="24"/>
                <w:szCs w:val="24"/>
                <w:highlight w:val="none"/>
              </w:rPr>
              <w:t>内存≥双通道DDR4</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2666MT/s；</w:t>
            </w:r>
            <w:r>
              <w:rPr>
                <w:rFonts w:hint="eastAsia" w:ascii="仿宋_GB2312" w:hAnsi="仿宋_GB2312" w:eastAsia="仿宋_GB2312" w:cs="仿宋_GB2312"/>
                <w:color w:val="auto"/>
                <w:sz w:val="24"/>
                <w:szCs w:val="24"/>
                <w:highlight w:val="none"/>
                <w:lang w:val="en-US" w:eastAsia="zh-CN"/>
              </w:rPr>
              <w:t>热</w:t>
            </w:r>
            <w:r>
              <w:rPr>
                <w:rFonts w:hint="eastAsia" w:ascii="仿宋_GB2312" w:hAnsi="仿宋_GB2312" w:eastAsia="仿宋_GB2312" w:cs="仿宋_GB2312"/>
                <w:color w:val="auto"/>
                <w:kern w:val="2"/>
                <w:sz w:val="24"/>
                <w:szCs w:val="24"/>
                <w:highlight w:val="none"/>
                <w:lang w:val="en-US" w:eastAsia="zh-CN" w:bidi="ar-SA"/>
              </w:rPr>
              <w:t>设计功耗</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kern w:val="2"/>
                <w:sz w:val="24"/>
                <w:szCs w:val="24"/>
                <w:highlight w:val="none"/>
                <w:lang w:val="en-US" w:eastAsia="zh-CN" w:bidi="ar-SA"/>
              </w:rPr>
              <w:t>40W，位宽≥64位。</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二</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内存规格</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1.内存配置容量：≥</w:t>
            </w:r>
            <w:r>
              <w:rPr>
                <w:rFonts w:hint="eastAsia" w:ascii="仿宋_GB2312" w:hAnsi="仿宋_GB2312" w:eastAsia="仿宋_GB2312" w:cs="仿宋_GB2312"/>
                <w:color w:val="auto"/>
                <w:sz w:val="24"/>
                <w:szCs w:val="24"/>
                <w:highlight w:val="none"/>
                <w:lang w:val="en-US" w:eastAsia="zh-CN"/>
              </w:rPr>
              <w:t>16</w:t>
            </w:r>
            <w:r>
              <w:rPr>
                <w:rFonts w:hint="eastAsia" w:ascii="仿宋_GB2312" w:hAnsi="仿宋_GB2312" w:eastAsia="仿宋_GB2312" w:cs="仿宋_GB2312"/>
                <w:color w:val="auto"/>
                <w:sz w:val="24"/>
                <w:szCs w:val="24"/>
                <w:highlight w:val="none"/>
              </w:rPr>
              <w:t>GB；</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2.内存条配置数量(板载内存不涉及)≥</w:t>
            </w:r>
            <w:r>
              <w:rPr>
                <w:rFonts w:hint="eastAsia" w:ascii="仿宋_GB2312" w:hAnsi="仿宋_GB2312" w:eastAsia="仿宋_GB2312" w:cs="仿宋_GB2312"/>
                <w:color w:val="auto"/>
                <w:sz w:val="24"/>
                <w:szCs w:val="24"/>
                <w:highlight w:val="none"/>
                <w:lang w:val="en-US" w:eastAsia="zh-CN"/>
              </w:rPr>
              <w:t>1；</w:t>
            </w:r>
          </w:p>
          <w:p>
            <w:pPr>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3.支持DDR4/LPDDR4/LPDDR4X及以上内存类型。</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三</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主板规格</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1.主板集成模块：集成资源扩展模块、计算处理模块、音频扩展模块等，主板的互联拓扑可通过处理器或交换电路实现；</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2.主板支持的CPU和内存情况：CPU≥8核</w:t>
            </w:r>
            <w:r>
              <w:rPr>
                <w:rFonts w:hint="eastAsia" w:ascii="仿宋_GB2312" w:hAnsi="仿宋_GB2312" w:eastAsia="仿宋_GB2312" w:cs="仿宋_GB2312"/>
                <w:color w:val="auto"/>
                <w:sz w:val="24"/>
                <w:szCs w:val="24"/>
                <w:highlight w:val="none"/>
                <w:lang w:val="en-US" w:eastAsia="zh-CN"/>
              </w:rPr>
              <w:t>12</w:t>
            </w:r>
            <w:r>
              <w:rPr>
                <w:rFonts w:hint="eastAsia" w:ascii="仿宋_GB2312" w:hAnsi="仿宋_GB2312" w:eastAsia="仿宋_GB2312" w:cs="仿宋_GB2312"/>
                <w:color w:val="auto"/>
                <w:sz w:val="24"/>
                <w:szCs w:val="24"/>
                <w:highlight w:val="none"/>
              </w:rPr>
              <w:t>线程，主频≥</w:t>
            </w:r>
            <w:r>
              <w:rPr>
                <w:rFonts w:hint="eastAsia" w:ascii="仿宋_GB2312" w:hAnsi="仿宋_GB2312" w:eastAsia="仿宋_GB2312" w:cs="仿宋_GB2312"/>
                <w:color w:val="auto"/>
                <w:sz w:val="24"/>
                <w:szCs w:val="24"/>
                <w:highlight w:val="none"/>
                <w:lang w:val="en-US" w:eastAsia="zh-CN"/>
              </w:rPr>
              <w:t>2.3</w:t>
            </w:r>
            <w:r>
              <w:rPr>
                <w:rFonts w:hint="eastAsia" w:ascii="仿宋_GB2312" w:hAnsi="仿宋_GB2312" w:eastAsia="仿宋_GB2312" w:cs="仿宋_GB2312"/>
                <w:color w:val="auto"/>
                <w:sz w:val="24"/>
                <w:szCs w:val="24"/>
                <w:highlight w:val="none"/>
              </w:rPr>
              <w:t>GHz，</w:t>
            </w:r>
            <w:r>
              <w:rPr>
                <w:rFonts w:hint="eastAsia" w:ascii="仿宋_GB2312" w:hAnsi="仿宋_GB2312" w:eastAsia="仿宋_GB2312" w:cs="仿宋_GB2312"/>
                <w:color w:val="auto"/>
                <w:sz w:val="24"/>
                <w:szCs w:val="24"/>
                <w:highlight w:val="none"/>
                <w:lang w:val="en-US" w:eastAsia="zh-CN"/>
              </w:rPr>
              <w:t>末级</w:t>
            </w:r>
            <w:r>
              <w:rPr>
                <w:rFonts w:hint="eastAsia" w:ascii="仿宋_GB2312" w:hAnsi="仿宋_GB2312" w:eastAsia="仿宋_GB2312" w:cs="仿宋_GB2312"/>
                <w:color w:val="auto"/>
                <w:sz w:val="24"/>
                <w:szCs w:val="24"/>
                <w:highlight w:val="none"/>
              </w:rPr>
              <w:t>缓存≥2M，内存≥双通道DDR4-2666MT/s，内存条数量≥1</w:t>
            </w:r>
            <w:r>
              <w:rPr>
                <w:rFonts w:hint="eastAsia" w:ascii="仿宋_GB2312" w:hAnsi="仿宋_GB2312" w:eastAsia="仿宋_GB2312" w:cs="仿宋_GB2312"/>
              </w:rPr>
              <w:t>(板载内存不涉及)</w:t>
            </w:r>
            <w:r>
              <w:rPr>
                <w:rFonts w:hint="eastAsia" w:ascii="仿宋_GB2312" w:hAnsi="仿宋_GB2312" w:eastAsia="仿宋_GB2312" w:cs="仿宋_GB2312"/>
                <w:color w:val="auto"/>
                <w:sz w:val="24"/>
                <w:szCs w:val="24"/>
                <w:highlight w:val="none"/>
              </w:rPr>
              <w:t>；</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单内存插槽最大可支持容量（板载内存不涉及）：≥8GB；</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.内存插槽满配时提供的最高内存总容量：≥</w:t>
            </w:r>
            <w:r>
              <w:rPr>
                <w:rFonts w:hint="eastAsia" w:ascii="仿宋_GB2312" w:hAnsi="仿宋_GB2312" w:eastAsia="仿宋_GB2312" w:cs="仿宋_GB2312"/>
                <w:color w:val="auto"/>
                <w:sz w:val="24"/>
                <w:szCs w:val="24"/>
                <w:highlight w:val="none"/>
                <w:lang w:val="en-US" w:eastAsia="zh-CN"/>
              </w:rPr>
              <w:t>16</w:t>
            </w:r>
            <w:r>
              <w:rPr>
                <w:rFonts w:hint="eastAsia" w:ascii="仿宋_GB2312" w:hAnsi="仿宋_GB2312" w:eastAsia="仿宋_GB2312" w:cs="仿宋_GB2312"/>
                <w:color w:val="auto"/>
                <w:sz w:val="24"/>
                <w:szCs w:val="24"/>
                <w:highlight w:val="none"/>
              </w:rPr>
              <w:t>GB</w:t>
            </w:r>
            <w:r>
              <w:rPr>
                <w:rFonts w:hint="eastAsia" w:ascii="仿宋_GB2312" w:hAnsi="仿宋_GB2312" w:eastAsia="仿宋_GB2312" w:cs="仿宋_GB2312"/>
                <w:color w:val="auto"/>
                <w:sz w:val="24"/>
                <w:szCs w:val="24"/>
                <w:highlight w:val="none"/>
                <w:lang w:eastAsia="zh-CN"/>
              </w:rPr>
              <w:t>。</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lang w:val="en-US" w:eastAsia="zh-CN"/>
              </w:rPr>
              <w:t>四</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存储设备规格</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1.固态盘数量：≥1个；</w:t>
            </w:r>
            <w:bookmarkEnd w:id="6"/>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2.固态存储容量：≥</w:t>
            </w:r>
            <w:r>
              <w:rPr>
                <w:rFonts w:hint="eastAsia" w:ascii="仿宋_GB2312" w:hAnsi="仿宋_GB2312" w:eastAsia="仿宋_GB2312" w:cs="仿宋_GB2312"/>
                <w:color w:val="auto"/>
                <w:sz w:val="24"/>
                <w:szCs w:val="24"/>
                <w:highlight w:val="none"/>
                <w:lang w:val="en-US" w:eastAsia="zh-CN"/>
              </w:rPr>
              <w:t>512</w:t>
            </w:r>
            <w:r>
              <w:rPr>
                <w:rFonts w:hint="eastAsia" w:ascii="仿宋_GB2312" w:hAnsi="仿宋_GB2312" w:eastAsia="仿宋_GB2312" w:cs="仿宋_GB2312"/>
                <w:color w:val="auto"/>
                <w:sz w:val="24"/>
                <w:szCs w:val="24"/>
                <w:highlight w:val="none"/>
              </w:rPr>
              <w:t>GB；</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.固态存储形态：采用插卡或板载等形态，可选用符合M.2或2.5寸SATA或mSATA等标准的插卡形态；</w:t>
            </w:r>
          </w:p>
          <w:p>
            <w:pPr>
              <w:pStyle w:val="247"/>
              <w:kinsoku w:val="0"/>
              <w:overflowPunct w:val="0"/>
              <w:spacing w:before="0" w:line="360" w:lineRule="exact"/>
              <w:ind w:firstLine="240" w:firstLineChars="100"/>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4.储存设备扩展盘位</w:t>
            </w:r>
            <w:r>
              <w:rPr>
                <w:rFonts w:hint="eastAsia" w:ascii="宋体" w:hAnsi="宋体" w:eastAsia="宋体" w:cs="宋体"/>
                <w:color w:val="auto"/>
                <w:sz w:val="24"/>
                <w:szCs w:val="24"/>
                <w:highlight w:val="none"/>
                <w:lang w:val="en-US" w:eastAsia="zh-CN"/>
              </w:rPr>
              <w:t>≥</w:t>
            </w:r>
            <w:r>
              <w:rPr>
                <w:rFonts w:hint="eastAsia" w:ascii="仿宋_GB2312" w:hAnsi="仿宋_GB2312" w:eastAsia="仿宋_GB2312" w:cs="仿宋_GB2312"/>
                <w:color w:val="auto"/>
                <w:sz w:val="24"/>
                <w:szCs w:val="24"/>
                <w:highlight w:val="none"/>
                <w:lang w:val="en-US" w:eastAsia="zh-CN"/>
              </w:rPr>
              <w:t>0；</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.存储设备其他参数要求：a)固态盘应符合SJ/T11654相关规定；侧面固定螺丝孔数量可为4孔或6孔；工作状态环境温度应满足5℃</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55℃；其它参数应符合GB/T12628相关规定</w:t>
            </w:r>
            <w:r>
              <w:rPr>
                <w:rFonts w:hint="eastAsia" w:ascii="仿宋_GB2312" w:hAnsi="仿宋_GB2312" w:eastAsia="仿宋_GB2312" w:cs="仿宋_GB2312"/>
                <w:color w:val="auto"/>
                <w:sz w:val="24"/>
                <w:szCs w:val="24"/>
                <w:highlight w:val="none"/>
                <w:lang w:eastAsia="zh-CN"/>
              </w:rPr>
              <w:t>。</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五</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显卡规格</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1.显卡类型：独立显卡或集成显卡；</w:t>
            </w:r>
          </w:p>
          <w:p>
            <w:pPr>
              <w:pStyle w:val="247"/>
              <w:keepNext w:val="0"/>
              <w:keepLines w:val="0"/>
              <w:pageBreakBefore w:val="0"/>
              <w:widowControl w:val="0"/>
              <w:kinsoku w:val="0"/>
              <w:wordWrap w:val="0"/>
              <w:overflowPunct/>
              <w:topLinePunct w:val="0"/>
              <w:autoSpaceDE w:val="0"/>
              <w:autoSpaceDN w:val="0"/>
              <w:bidi w:val="0"/>
              <w:adjustRightInd w:val="0"/>
              <w:snapToGrid/>
              <w:spacing w:before="0" w:line="360" w:lineRule="exact"/>
              <w:ind w:firstLine="240" w:firstLineChars="1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2.独立显卡显存类型（集成显卡不涉及）：若配置独立显卡，显存类型应为DDR3/DDR4/GDDR5/GDDR6/LPDDR4；</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3.独立显卡显存位宽（集成显卡不涉及）：若配置独立显卡，显存位宽≥32位；</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highlight w:val="none"/>
                <w:lang w:val="en-US" w:eastAsia="zh-CN"/>
              </w:rPr>
              <w:t>4.独立显卡显存容量（集成显卡不涉及）：若配置独立显卡，显存容量≥1GB。</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六</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显示设备规格</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1.显示屏屏占比：≥80%；</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2.显示屏分辨率：≥1920x1080；</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3.显示屏尺寸：≥</w:t>
            </w:r>
            <w:r>
              <w:rPr>
                <w:rFonts w:hint="eastAsia" w:ascii="仿宋_GB2312" w:hAnsi="仿宋_GB2312" w:eastAsia="仿宋_GB2312" w:cs="仿宋_GB2312"/>
                <w:color w:val="auto"/>
                <w:sz w:val="24"/>
                <w:szCs w:val="24"/>
                <w:highlight w:val="none"/>
                <w:lang w:val="en-US" w:eastAsia="zh-CN"/>
              </w:rPr>
              <w:t>14</w:t>
            </w:r>
            <w:r>
              <w:rPr>
                <w:rFonts w:hint="eastAsia" w:ascii="仿宋_GB2312" w:hAnsi="仿宋_GB2312" w:eastAsia="仿宋_GB2312" w:cs="仿宋_GB2312"/>
                <w:color w:val="auto"/>
                <w:sz w:val="24"/>
                <w:szCs w:val="24"/>
                <w:highlight w:val="none"/>
              </w:rPr>
              <w:t>英寸；</w:t>
            </w:r>
          </w:p>
          <w:p>
            <w:pPr>
              <w:pStyle w:val="247"/>
              <w:kinsoku w:val="0"/>
              <w:overflowPunct w:val="0"/>
              <w:spacing w:before="1"/>
              <w:ind w:left="239" w:leftChars="114"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4.显示屏屏幕比例：</w:t>
            </w:r>
            <w:r>
              <w:rPr>
                <w:rFonts w:hint="eastAsia" w:ascii="仿宋_GB2312" w:hAnsi="仿宋_GB2312" w:eastAsia="仿宋_GB2312" w:cs="仿宋_GB2312"/>
                <w:color w:val="auto"/>
                <w:kern w:val="0"/>
                <w:sz w:val="24"/>
                <w:szCs w:val="24"/>
                <w:highlight w:val="none"/>
                <w:lang w:val="en-US" w:eastAsia="zh-CN" w:bidi="ar-SA"/>
              </w:rPr>
              <w:t>16:9/3:2/21:9/16:10等</w:t>
            </w:r>
            <w:r>
              <w:rPr>
                <w:rFonts w:hint="eastAsia" w:ascii="仿宋_GB2312" w:hAnsi="仿宋_GB2312" w:eastAsia="仿宋_GB2312" w:cs="仿宋_GB2312"/>
                <w:color w:val="auto"/>
                <w:sz w:val="24"/>
                <w:szCs w:val="24"/>
                <w:highlight w:val="none"/>
                <w:lang w:val="en-US" w:eastAsia="zh-CN"/>
              </w:rPr>
              <w:t>；</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.显示屏防蓝光：支持防蓝光模式，蓝光加权辐射亮度比应≤0.0012W/(·cd·sr)（瓦每坎特拉每球面度）；</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.显示屏低频闪：显示屏应支持低频闪≤-35dB；</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rPr>
              <w:t>.显示屏防炫目：显示屏镜面反射率≤10%</w:t>
            </w:r>
            <w:r>
              <w:rPr>
                <w:rFonts w:hint="eastAsia" w:ascii="仿宋_GB2312" w:hAnsi="仿宋_GB2312" w:eastAsia="仿宋_GB2312" w:cs="仿宋_GB2312"/>
                <w:color w:val="auto"/>
                <w:sz w:val="24"/>
                <w:szCs w:val="24"/>
                <w:highlight w:val="none"/>
                <w:lang w:eastAsia="zh-CN"/>
              </w:rPr>
              <w:t>。</w:t>
            </w:r>
          </w:p>
          <w:p>
            <w:pPr>
              <w:pStyle w:val="247"/>
              <w:kinsoku w:val="0"/>
              <w:overflowPunct w:val="0"/>
              <w:spacing w:before="0" w:line="360" w:lineRule="exact"/>
              <w:ind w:left="0" w:firstLine="241"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七</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外设规格</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1.传声器数量：≥1个；</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2.扬声器数量：≥1个；</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3.鼠标数量：≥1个；</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4.键盘数量：≥1个；</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5.触控板数量：≥1个；</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6.摄像头数量：≥1个；</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7.键盘按键数目：</w:t>
            </w:r>
            <w:r>
              <w:rPr>
                <w:rFonts w:hint="eastAsia" w:ascii="宋体" w:hAnsi="宋体" w:eastAsia="宋体" w:cs="宋体"/>
                <w:color w:val="auto"/>
                <w:sz w:val="24"/>
                <w:szCs w:val="24"/>
                <w:highlight w:val="none"/>
                <w:lang w:val="en-US" w:eastAsia="zh-CN"/>
              </w:rPr>
              <w:t>≥</w:t>
            </w:r>
            <w:r>
              <w:rPr>
                <w:rFonts w:hint="eastAsia" w:ascii="仿宋_GB2312" w:hAnsi="仿宋_GB2312" w:eastAsia="仿宋_GB2312" w:cs="仿宋_GB2312"/>
                <w:color w:val="auto"/>
                <w:sz w:val="24"/>
                <w:szCs w:val="24"/>
                <w:highlight w:val="none"/>
                <w:lang w:val="en-US" w:eastAsia="zh-CN"/>
              </w:rPr>
              <w:t>62键；</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8.摄像头像素≥100万；</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9.摄像头分辨率≥1280x720；</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10.内置扬声器功率：≥1瓦/个；</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11.内置扬声器频率范围：100Hz-20kHz，其中100Hz-200Hz：35dB及以上；200Hz-12kHz：55dB及以上；12kHz-18kHz：35dB及以上；</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12.内置扬声器总谐波失真：总谐波失真在300Hz-7kHz频率范围内宜不高于5%；</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lang w:val="en-US" w:eastAsia="zh-CN"/>
              </w:rPr>
              <w:t>13.内置扬声器最大声压级：最大声压级在粉红噪声播放场景下，工作距离处声压级宜不低于70dB；</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lang w:val="en-US" w:eastAsia="zh-CN"/>
              </w:rPr>
              <w:t>14.键盘键程：0.9mm～2.3mm；</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lang w:val="en-US" w:eastAsia="zh-CN"/>
              </w:rPr>
              <w:t>15.键盘按键压力：按键压力宜在0.3～0.8N之间；</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lang w:val="en-US" w:eastAsia="zh-CN"/>
              </w:rPr>
              <w:t>16.键盘颜色：黑色；</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17.鼠标连接方式：有线或无线；</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lang w:val="en-US" w:eastAsia="zh-CN"/>
              </w:rPr>
              <w:t>18.有线鼠标连接线：≥1.5米；</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19.鼠标DPI分辨率：800-1600；</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20.鼠标颜色：黑色；</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21.鼠标其他要求：其它参数应符合GB/T26245的相关规定；</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lang w:val="en-US" w:eastAsia="zh-CN"/>
              </w:rPr>
              <w:t>22.触控板尺寸：≥70mm×50mm；</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lang w:val="en-US" w:eastAsia="zh-CN"/>
              </w:rPr>
              <w:t>23.触控板材质：采用麦拉片或玻璃等材质。</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八</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网络设备规格</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有线网卡数量：≥1</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可通过扩展坞支持</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；10/100/1000M自适应</w:t>
            </w:r>
            <w:r>
              <w:rPr>
                <w:rFonts w:hint="eastAsia" w:ascii="仿宋_GB2312" w:hAnsi="仿宋_GB2312" w:eastAsia="仿宋_GB2312" w:cs="仿宋_GB2312"/>
                <w:color w:val="auto"/>
                <w:sz w:val="24"/>
                <w:szCs w:val="24"/>
                <w:highlight w:val="none"/>
                <w:lang w:eastAsia="zh-CN"/>
              </w:rPr>
              <w:t>。</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九</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外部接口规格</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1.USB接口数量：≥3个，至少包含1个USB3.0及以上标准接口</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可通过拓展坞实现</w:t>
            </w:r>
            <w:r>
              <w:rPr>
                <w:rFonts w:hint="eastAsia" w:ascii="仿宋_GB2312" w:hAnsi="仿宋_GB2312" w:eastAsia="仿宋_GB2312" w:cs="仿宋_GB2312"/>
                <w:color w:val="auto"/>
                <w:sz w:val="24"/>
                <w:szCs w:val="24"/>
                <w:highlight w:val="none"/>
                <w:lang w:eastAsia="zh-CN"/>
              </w:rPr>
              <w:t>）；</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2.视频接口数量：≥1；</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3.音频接口数量：≥1；</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4.输入充电接口数量：≥1。</w:t>
            </w:r>
          </w:p>
          <w:p>
            <w:pPr>
              <w:pStyle w:val="247"/>
              <w:kinsoku w:val="0"/>
              <w:overflowPunct w:val="0"/>
              <w:spacing w:before="0" w:line="360" w:lineRule="exact"/>
              <w:ind w:firstLine="241" w:firstLineChars="10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lang w:val="en-US" w:eastAsia="zh-CN"/>
              </w:rPr>
              <w:t>十</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i w:val="0"/>
                <w:color w:val="auto"/>
                <w:kern w:val="0"/>
                <w:sz w:val="24"/>
                <w:szCs w:val="24"/>
                <w:highlight w:val="none"/>
                <w:u w:val="none"/>
                <w:lang w:val="en-US" w:eastAsia="zh-CN"/>
              </w:rPr>
              <w:t>电池规格</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电池额定能量≥50Wh</w:t>
            </w:r>
            <w:r>
              <w:rPr>
                <w:rFonts w:hint="eastAsia" w:ascii="仿宋_GB2312" w:hAnsi="仿宋_GB2312" w:eastAsia="仿宋_GB2312" w:cs="仿宋_GB2312"/>
                <w:color w:val="auto"/>
                <w:sz w:val="24"/>
                <w:szCs w:val="24"/>
                <w:highlight w:val="none"/>
                <w:lang w:eastAsia="zh-CN"/>
              </w:rPr>
              <w:t>；</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2.电池充放电次数：≥500次（常温下500次充放电后电池容量应不低于原始容量的80%）；</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3.电池安全要求：符合GB31241的规定。</w:t>
            </w:r>
          </w:p>
          <w:p>
            <w:pPr>
              <w:pStyle w:val="247"/>
              <w:kinsoku w:val="0"/>
              <w:overflowPunct w:val="0"/>
              <w:spacing w:before="0" w:line="360" w:lineRule="exact"/>
              <w:ind w:firstLine="241" w:firstLineChars="10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lang w:val="en-US" w:eastAsia="zh-CN"/>
              </w:rPr>
              <w:t>十一</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i w:val="0"/>
                <w:color w:val="auto"/>
                <w:kern w:val="0"/>
                <w:sz w:val="24"/>
                <w:szCs w:val="24"/>
                <w:highlight w:val="none"/>
                <w:u w:val="none"/>
                <w:lang w:val="en-US" w:eastAsia="zh-CN"/>
              </w:rPr>
              <w:t>整机基础规格</w:t>
            </w:r>
          </w:p>
          <w:bookmarkEnd w:id="7"/>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整机外观：a)产品表面不应有凹痕、划伤、裂缝、变形和污染等。表面涂层均匀，不应起泡、龟裂、脱落和磨损，金属零部件无锈蚀及其它机械损伤；b)产品表面说明功能的文字、符号、标志，应清晰、端正、牢固；c）宜在产品显著位置提供运行状态指示功能；并由生产产商提供详细参数；</w:t>
            </w:r>
          </w:p>
          <w:p>
            <w:pPr>
              <w:pStyle w:val="247"/>
              <w:keepNext w:val="0"/>
              <w:keepLines w:val="0"/>
              <w:pageBreakBefore w:val="0"/>
              <w:widowControl w:val="0"/>
              <w:kinsoku w:val="0"/>
              <w:wordWrap w:val="0"/>
              <w:overflowPunct/>
              <w:topLinePunct w:val="0"/>
              <w:autoSpaceDE w:val="0"/>
              <w:autoSpaceDN w:val="0"/>
              <w:bidi w:val="0"/>
              <w:adjustRightInd w:val="0"/>
              <w:snapToGrid/>
              <w:spacing w:before="0" w:line="360" w:lineRule="exact"/>
              <w:ind w:left="0" w:firstLine="240" w:firstLineChars="1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整机结构：a)产品应符合GB/T4208的相关规定；b)产品内部结构应符合通用部件的安装需要；c)所有输入输出接口应符合相关国家或行业标准；d)产品零部件应紧固无松动，可插拔部件应可靠连接，开关、按钮和其它控制部件应灵活可靠，布局应方便使用；e)所有I/O连接器及需插接线缆的部位应预留用户操作空间，方便插拔解锁与插拔线缆；f)可插拔板卡插槽部位应预留安装、拆卸或更换板卡空间；g)拆装可能接触到的金属剪口或金属尖角部位应做防划伤处理，以保证安全；h)整机内部走线应规整，固线结构和位置要合理可靠并做防割线处理，需便于理线和插拔操作，走线应不影响系统各主要部件组装和拆卸；i)如需通过孔走线，过线孔应做防割线处理；j)各插头位置和插拔方向应合理，应做到插拔无障碍设计，具备防呆设计，有效避免误操作；k)各主要部件拆装无障碍，使用常规工具拆装，无特殊拆装工具需求；l)各主要部件拆装步骤要少，各自拆装需避免相互干扰；m)对于整机或零部件外表面为高亮面的，应粘贴保护膜，保护膜需粘贴牢固，运输、组装等过程不易脱落，撕下无残留；n)显示屏的开合机械寿命应能承受至少15000次的显示屏开合，显示屏机械转轴的扭力应保持初始状态下扭力的75%以上；o)其它要求应符合GB/T9813.2的相关规定；</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3.整机噪音：25℃环温条件，空闲小于等于38dBA满载小于等于45dBA；</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整机散热：产品在环境温度25℃且运行在满载的状态下，可触及面温度范围内应不高于45℃，各表面温度应符合以下要求：a)键帽温度不高于38℃；b)键盘间隙温度不高于40℃；c)掌托温度不高于38℃；d)触控板温度不高于38℃；e)底壳温度不高于45℃；</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5.整机能效限定值：产品能效限定值应达到GB28380-2012标准中能效等级2级及以上；</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6.机身颜色：</w:t>
            </w:r>
            <w:r>
              <w:rPr>
                <w:rFonts w:hint="eastAsia" w:ascii="仿宋_GB2312" w:hAnsi="仿宋_GB2312" w:eastAsia="仿宋_GB2312" w:cs="仿宋_GB2312"/>
                <w:color w:val="auto"/>
                <w:kern w:val="0"/>
                <w:sz w:val="24"/>
                <w:szCs w:val="24"/>
                <w:highlight w:val="none"/>
                <w:u w:val="none"/>
                <w:lang w:val="en-US" w:eastAsia="zh-CN"/>
              </w:rPr>
              <w:t>一般选用灰色/黑色等商务色系</w:t>
            </w:r>
            <w:r>
              <w:rPr>
                <w:rFonts w:hint="eastAsia" w:ascii="仿宋_GB2312" w:hAnsi="仿宋_GB2312" w:eastAsia="仿宋_GB2312" w:cs="仿宋_GB2312"/>
                <w:color w:val="auto"/>
                <w:sz w:val="24"/>
                <w:szCs w:val="24"/>
                <w:highlight w:val="none"/>
                <w:lang w:val="en-US" w:eastAsia="zh-CN"/>
              </w:rPr>
              <w:t>；</w:t>
            </w:r>
          </w:p>
          <w:p>
            <w:pPr>
              <w:pStyle w:val="247"/>
              <w:kinsoku w:val="0"/>
              <w:overflowPunct w:val="0"/>
              <w:spacing w:before="0" w:line="360" w:lineRule="exact"/>
              <w:ind w:firstLine="240" w:firstLineChars="100"/>
              <w:rPr>
                <w:rFonts w:hint="eastAsia" w:ascii="仿宋_GB2312" w:hAnsi="仿宋_GB2312" w:eastAsia="仿宋_GB2312" w:cs="仿宋_GB2312"/>
                <w:i w:val="0"/>
                <w:color w:val="auto"/>
                <w:kern w:val="0"/>
                <w:sz w:val="24"/>
                <w:szCs w:val="24"/>
                <w:highlight w:val="none"/>
                <w:u w:val="none"/>
                <w:lang w:val="en-US" w:eastAsia="zh-CN"/>
              </w:rPr>
            </w:pPr>
            <w:r>
              <w:rPr>
                <w:rFonts w:hint="eastAsia" w:ascii="仿宋_GB2312" w:hAnsi="仿宋_GB2312" w:eastAsia="仿宋_GB2312" w:cs="仿宋_GB2312"/>
                <w:b w:val="0"/>
                <w:bCs w:val="0"/>
                <w:i w:val="0"/>
                <w:color w:val="auto"/>
                <w:kern w:val="0"/>
                <w:sz w:val="24"/>
                <w:szCs w:val="24"/>
                <w:highlight w:val="none"/>
                <w:u w:val="none"/>
                <w:lang w:val="en-US" w:eastAsia="zh-CN"/>
              </w:rPr>
              <w:t>7.</w:t>
            </w:r>
            <w:r>
              <w:rPr>
                <w:rFonts w:hint="eastAsia" w:ascii="仿宋_GB2312" w:hAnsi="仿宋_GB2312" w:eastAsia="仿宋_GB2312" w:cs="仿宋_GB2312"/>
                <w:i w:val="0"/>
                <w:color w:val="auto"/>
                <w:kern w:val="0"/>
                <w:sz w:val="24"/>
                <w:szCs w:val="24"/>
                <w:highlight w:val="none"/>
                <w:u w:val="none"/>
                <w:lang w:val="en-US" w:eastAsia="zh-CN"/>
              </w:rPr>
              <w:t>整机重量≤2.2kg；</w:t>
            </w:r>
          </w:p>
          <w:p>
            <w:pPr>
              <w:pStyle w:val="247"/>
              <w:kinsoku w:val="0"/>
              <w:overflowPunct w:val="0"/>
              <w:spacing w:before="0" w:line="360" w:lineRule="exact"/>
              <w:ind w:firstLine="240" w:firstLineChars="100"/>
              <w:rPr>
                <w:rFonts w:hint="eastAsia" w:ascii="仿宋_GB2312" w:hAnsi="仿宋_GB2312" w:eastAsia="仿宋_GB2312" w:cs="仿宋_GB2312"/>
                <w:i w:val="0"/>
                <w:color w:val="auto"/>
                <w:kern w:val="0"/>
                <w:sz w:val="24"/>
                <w:szCs w:val="24"/>
                <w:highlight w:val="none"/>
                <w:u w:val="none"/>
                <w:lang w:val="en-US" w:eastAsia="zh-CN"/>
              </w:rPr>
            </w:pPr>
            <w:r>
              <w:rPr>
                <w:rFonts w:hint="eastAsia" w:ascii="仿宋_GB2312" w:hAnsi="仿宋_GB2312" w:eastAsia="仿宋_GB2312" w:cs="仿宋_GB2312"/>
                <w:i w:val="0"/>
                <w:color w:val="auto"/>
                <w:kern w:val="0"/>
                <w:sz w:val="24"/>
                <w:szCs w:val="24"/>
                <w:highlight w:val="none"/>
                <w:u w:val="none"/>
                <w:lang w:val="en-US" w:eastAsia="zh-CN"/>
              </w:rPr>
              <w:t>8.整机厚度≤22mm（不含脚垫）；</w:t>
            </w:r>
          </w:p>
          <w:p>
            <w:pPr>
              <w:pStyle w:val="247"/>
              <w:kinsoku w:val="0"/>
              <w:overflowPunct w:val="0"/>
              <w:spacing w:before="0" w:line="360" w:lineRule="exact"/>
              <w:ind w:firstLine="240" w:firstLineChars="100"/>
              <w:rPr>
                <w:rFonts w:hint="eastAsia" w:ascii="仿宋_GB2312" w:hAnsi="仿宋_GB2312" w:eastAsia="仿宋_GB2312" w:cs="仿宋_GB2312"/>
                <w:b w:val="0"/>
                <w:bCs w:val="0"/>
                <w:i w:val="0"/>
                <w:color w:val="auto"/>
                <w:kern w:val="0"/>
                <w:sz w:val="24"/>
                <w:szCs w:val="24"/>
                <w:highlight w:val="none"/>
                <w:u w:val="none"/>
                <w:lang w:val="en-US" w:eastAsia="zh-CN"/>
              </w:rPr>
            </w:pPr>
            <w:r>
              <w:rPr>
                <w:rFonts w:hint="eastAsia" w:ascii="仿宋_GB2312" w:hAnsi="仿宋_GB2312" w:eastAsia="仿宋_GB2312" w:cs="仿宋_GB2312"/>
                <w:i w:val="0"/>
                <w:color w:val="auto"/>
                <w:kern w:val="0"/>
                <w:sz w:val="24"/>
                <w:szCs w:val="24"/>
                <w:highlight w:val="none"/>
                <w:u w:val="none"/>
                <w:lang w:val="en-US" w:eastAsia="zh-CN"/>
              </w:rPr>
              <w:t>9.电脑包：</w:t>
            </w:r>
            <w:r>
              <w:rPr>
                <w:rFonts w:hint="eastAsia" w:ascii="仿宋_GB2312" w:hAnsi="仿宋_GB2312" w:eastAsia="仿宋_GB2312" w:cs="仿宋_GB2312"/>
                <w:color w:val="auto"/>
                <w:sz w:val="24"/>
                <w:szCs w:val="24"/>
                <w:highlight w:val="none"/>
              </w:rPr>
              <w:t>1个；</w:t>
            </w:r>
            <w:r>
              <w:rPr>
                <w:rFonts w:hint="eastAsia" w:ascii="仿宋_GB2312" w:hAnsi="仿宋_GB2312" w:eastAsia="仿宋_GB2312" w:cs="仿宋_GB2312"/>
                <w:color w:val="auto"/>
                <w:kern w:val="0"/>
                <w:sz w:val="24"/>
                <w:szCs w:val="24"/>
                <w:highlight w:val="none"/>
                <w:u w:val="none"/>
                <w:lang w:val="en-US" w:eastAsia="zh-CN"/>
              </w:rPr>
              <w:t>一般选用灰色/黑色等商务色系</w:t>
            </w:r>
            <w:r>
              <w:rPr>
                <w:rFonts w:hint="eastAsia" w:ascii="仿宋_GB2312" w:hAnsi="仿宋_GB2312" w:eastAsia="仿宋_GB2312" w:cs="仿宋_GB2312"/>
                <w:i w:val="0"/>
                <w:color w:val="auto"/>
                <w:kern w:val="0"/>
                <w:sz w:val="24"/>
                <w:szCs w:val="24"/>
                <w:highlight w:val="none"/>
                <w:u w:val="none"/>
                <w:lang w:val="en-US" w:eastAsia="zh-CN"/>
              </w:rPr>
              <w:t>。</w:t>
            </w:r>
          </w:p>
          <w:p>
            <w:pPr>
              <w:pStyle w:val="247"/>
              <w:kinsoku w:val="0"/>
              <w:overflowPunct w:val="0"/>
              <w:spacing w:before="0" w:line="360" w:lineRule="exact"/>
              <w:ind w:left="0" w:firstLine="0" w:firstLineChars="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二、产品性能要求</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bookmarkEnd w:id="8"/>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lang w:val="en-US" w:eastAsia="zh-CN"/>
              </w:rPr>
              <w:t>一</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CPU性能</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1.CPU物理核数：≥8；</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2.CPU主频：≥</w:t>
            </w:r>
            <w:r>
              <w:rPr>
                <w:rFonts w:hint="eastAsia" w:ascii="仿宋_GB2312" w:hAnsi="仿宋_GB2312" w:eastAsia="仿宋_GB2312" w:cs="仿宋_GB2312"/>
                <w:color w:val="auto"/>
                <w:sz w:val="24"/>
                <w:szCs w:val="24"/>
                <w:highlight w:val="none"/>
                <w:lang w:val="en-US" w:eastAsia="zh-CN"/>
              </w:rPr>
              <w:t>2.3</w:t>
            </w:r>
            <w:r>
              <w:rPr>
                <w:rFonts w:hint="eastAsia" w:ascii="仿宋_GB2312" w:hAnsi="仿宋_GB2312" w:eastAsia="仿宋_GB2312" w:cs="仿宋_GB2312"/>
                <w:color w:val="auto"/>
                <w:sz w:val="24"/>
                <w:szCs w:val="24"/>
                <w:highlight w:val="none"/>
              </w:rPr>
              <w:t>GHz；</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3.CPU末级缓存容量≥2MB</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4.CPU支持的内存最高速率≥2666MT/s。</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二</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内存性能</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内存读写速率：≥2666MT/s</w:t>
            </w:r>
            <w:r>
              <w:rPr>
                <w:rFonts w:hint="eastAsia" w:ascii="仿宋_GB2312" w:hAnsi="仿宋_GB2312" w:eastAsia="仿宋_GB2312" w:cs="仿宋_GB2312"/>
                <w:color w:val="auto"/>
                <w:sz w:val="24"/>
                <w:szCs w:val="24"/>
                <w:highlight w:val="none"/>
                <w:lang w:eastAsia="zh-CN"/>
              </w:rPr>
              <w:t>。</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三</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显卡性能</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1.显示分辨率：≥1920*1080；</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2.显卡显示芯片核心频率：≥300MHz；</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3.显存等效频率:≥1000MT/s；</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4.显卡可支持多屏同时显示数量:显卡应支持2块屏幕同时显示，分辨率应不低于1920×1080。</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四</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显示设备性能</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1.显示屏刷新率：≥</w:t>
            </w:r>
            <w:r>
              <w:rPr>
                <w:rFonts w:hint="eastAsia" w:ascii="仿宋_GB2312" w:hAnsi="仿宋_GB2312" w:eastAsia="仿宋_GB2312" w:cs="仿宋_GB2312"/>
                <w:color w:val="auto"/>
                <w:sz w:val="24"/>
                <w:szCs w:val="24"/>
                <w:highlight w:val="none"/>
                <w:lang w:val="en-US" w:eastAsia="zh-CN"/>
              </w:rPr>
              <w:t>60</w:t>
            </w:r>
            <w:r>
              <w:rPr>
                <w:rFonts w:hint="eastAsia" w:ascii="仿宋_GB2312" w:hAnsi="仿宋_GB2312" w:eastAsia="仿宋_GB2312" w:cs="仿宋_GB2312"/>
                <w:color w:val="auto"/>
                <w:sz w:val="24"/>
                <w:szCs w:val="24"/>
                <w:highlight w:val="none"/>
              </w:rPr>
              <w:t>Hz；</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2.显示屏位深：≥8位；</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3.显示屏色域：≥99%sRGB；</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4.显示屏色准：△E≤4；</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5.显示屏响应时间：</w:t>
            </w:r>
            <w:r>
              <w:rPr>
                <w:rFonts w:hint="eastAsia" w:ascii="仿宋_GB2312" w:hAnsi="仿宋_GB2312" w:eastAsia="仿宋_GB2312" w:cs="仿宋_GB2312"/>
                <w:i w:val="0"/>
                <w:color w:val="auto"/>
                <w:kern w:val="0"/>
                <w:sz w:val="24"/>
                <w:szCs w:val="24"/>
                <w:highlight w:val="none"/>
                <w:u w:val="none"/>
                <w:lang w:val="en-US" w:eastAsia="zh-CN"/>
              </w:rPr>
              <w:t>≤30ms；</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6.显示屏亮度：≥250尼特；</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7.显示屏亮度一致性：≥70%；</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8.显示屏对比度：≥500：1；</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9.显示屏其他参数:其它参数应符合SJ/T11292的相关规定。</w:t>
            </w:r>
          </w:p>
          <w:p>
            <w:pPr>
              <w:pStyle w:val="247"/>
              <w:kinsoku w:val="0"/>
              <w:overflowPunct w:val="0"/>
              <w:spacing w:before="0" w:line="360" w:lineRule="exact"/>
              <w:ind w:firstLine="241"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五</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网络设备性能</w:t>
            </w:r>
          </w:p>
          <w:p>
            <w:pPr>
              <w:pStyle w:val="247"/>
              <w:keepNext w:val="0"/>
              <w:keepLines w:val="0"/>
              <w:pageBreakBefore w:val="0"/>
              <w:widowControl w:val="0"/>
              <w:kinsoku w:val="0"/>
              <w:wordWrap w:val="0"/>
              <w:overflowPunct/>
              <w:topLinePunct w:val="0"/>
              <w:autoSpaceDE w:val="0"/>
              <w:autoSpaceDN w:val="0"/>
              <w:bidi w:val="0"/>
              <w:adjustRightInd w:val="0"/>
              <w:snapToGrid/>
              <w:spacing w:before="1"/>
              <w:ind w:firstLine="240" w:firstLineChars="1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1.有线网卡速率：最高速率应不低于1000Mbps，应支持10Mbps、100Mbps、1000Mbps速率自适应；</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2.支持无线网络通信技术协议：支持WAPI或WiFi5.0及以上协议；</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3.无线网卡频宽:≥20MHz。</w:t>
            </w:r>
          </w:p>
          <w:p>
            <w:pPr>
              <w:pStyle w:val="247"/>
              <w:kinsoku w:val="0"/>
              <w:overflowPunct w:val="0"/>
              <w:spacing w:before="0" w:line="360" w:lineRule="exact"/>
              <w:ind w:firstLine="241" w:firstLineChars="100"/>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（六）电源适配器性能</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电源适配器电源效率：在20%/50%/100%负载下效率均应不低于87%。</w:t>
            </w:r>
          </w:p>
          <w:p>
            <w:pPr>
              <w:pStyle w:val="247"/>
              <w:kinsoku w:val="0"/>
              <w:overflowPunct w:val="0"/>
              <w:spacing w:before="0" w:line="360" w:lineRule="exact"/>
              <w:ind w:firstLine="241" w:firstLineChars="10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（七）待机性能</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满载待机性能（LTP）≥1.5小时。</w:t>
            </w:r>
          </w:p>
          <w:p>
            <w:pPr>
              <w:pStyle w:val="247"/>
              <w:kinsoku w:val="0"/>
              <w:overflowPunct w:val="0"/>
              <w:spacing w:before="0" w:line="360" w:lineRule="exact"/>
              <w:ind w:left="0" w:firstLine="0" w:firstLineChars="0"/>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val="en-US" w:eastAsia="zh-CN"/>
              </w:rPr>
              <w:t>三、产品功能要求</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lang w:val="en-US" w:eastAsia="zh-CN"/>
              </w:rPr>
              <w:t>一</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主板功能</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1.内存扩展接口(板载内存不涉及)：≥1个；</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2.主板USB瞬间过流保护：支持瞬间过流保护功能；</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3.主板防静电保护：支持防静电保护功能；</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I/O接口功能：内置或通过扩展坞支持数据传输接口、视频接口、音频接口、网络接口、电源接口等各类标准接口产品应集成键盘、触控板输入部件，同时应具备接入键盘、鼠标、写字板等外设的能力，宜支持触摸屏、语音交互、手写笔等人机交互功能。</w:t>
            </w:r>
          </w:p>
          <w:p>
            <w:pPr>
              <w:pStyle w:val="247"/>
              <w:kinsoku w:val="0"/>
              <w:overflowPunct w:val="0"/>
              <w:spacing w:before="0" w:line="360" w:lineRule="exact"/>
              <w:ind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i w:val="0"/>
                <w:color w:val="auto"/>
                <w:kern w:val="0"/>
                <w:sz w:val="24"/>
                <w:szCs w:val="24"/>
                <w:highlight w:val="none"/>
                <w:u w:val="none"/>
                <w:lang w:eastAsia="zh-CN"/>
              </w:rPr>
              <w:t>（</w:t>
            </w:r>
            <w:r>
              <w:rPr>
                <w:rFonts w:hint="eastAsia" w:ascii="仿宋_GB2312" w:hAnsi="仿宋_GB2312" w:eastAsia="仿宋_GB2312" w:cs="仿宋_GB2312"/>
                <w:b/>
                <w:bCs/>
                <w:i w:val="0"/>
                <w:color w:val="auto"/>
                <w:kern w:val="0"/>
                <w:sz w:val="24"/>
                <w:szCs w:val="24"/>
                <w:highlight w:val="none"/>
                <w:u w:val="none"/>
                <w:lang w:val="en-US" w:eastAsia="zh-CN"/>
              </w:rPr>
              <w:t>二</w:t>
            </w:r>
            <w:r>
              <w:rPr>
                <w:rFonts w:hint="eastAsia" w:ascii="仿宋_GB2312" w:hAnsi="仿宋_GB2312" w:eastAsia="仿宋_GB2312" w:cs="仿宋_GB2312"/>
                <w:b/>
                <w:bCs/>
                <w:i w:val="0"/>
                <w:color w:val="auto"/>
                <w:kern w:val="0"/>
                <w:sz w:val="24"/>
                <w:szCs w:val="24"/>
                <w:highlight w:val="none"/>
                <w:u w:val="none"/>
                <w:lang w:eastAsia="zh-CN"/>
              </w:rPr>
              <w:t>）</w:t>
            </w:r>
            <w:r>
              <w:rPr>
                <w:rFonts w:hint="eastAsia" w:ascii="仿宋_GB2312" w:hAnsi="仿宋_GB2312" w:eastAsia="仿宋_GB2312" w:cs="仿宋_GB2312"/>
                <w:b/>
                <w:bCs/>
                <w:i w:val="0"/>
                <w:color w:val="auto"/>
                <w:kern w:val="0"/>
                <w:sz w:val="24"/>
                <w:szCs w:val="24"/>
                <w:highlight w:val="none"/>
                <w:u w:val="none"/>
                <w:lang w:val="en-US" w:eastAsia="zh-CN"/>
              </w:rPr>
              <w:t>显卡</w:t>
            </w:r>
            <w:r>
              <w:rPr>
                <w:rFonts w:hint="eastAsia" w:ascii="仿宋_GB2312" w:hAnsi="仿宋_GB2312" w:eastAsia="仿宋_GB2312" w:cs="仿宋_GB2312"/>
                <w:b/>
                <w:bCs/>
                <w:i w:val="0"/>
                <w:color w:val="auto"/>
                <w:kern w:val="0"/>
                <w:sz w:val="24"/>
                <w:szCs w:val="24"/>
                <w:highlight w:val="none"/>
                <w:u w:val="none"/>
                <w:lang w:eastAsia="zh-CN"/>
              </w:rPr>
              <w:t>功能</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1.显卡外接显示接口：至少支持VGA、HDMI、DVI、DP、Type-C中1种显示接口；</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2.显示功能：支持显示屏，同时应支持外接显示器。显示屏和外接显示器应支持多屏同时显示，显示模式应支持复制模式和扩展模式。</w:t>
            </w:r>
          </w:p>
          <w:p>
            <w:pPr>
              <w:pStyle w:val="247"/>
              <w:kinsoku w:val="0"/>
              <w:overflowPunct w:val="0"/>
              <w:spacing w:before="0" w:line="360" w:lineRule="exact"/>
              <w:ind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i w:val="0"/>
                <w:color w:val="auto"/>
                <w:kern w:val="0"/>
                <w:sz w:val="24"/>
                <w:szCs w:val="24"/>
                <w:highlight w:val="none"/>
                <w:u w:val="none"/>
                <w:lang w:eastAsia="zh-CN"/>
              </w:rPr>
              <w:t>（</w:t>
            </w:r>
            <w:r>
              <w:rPr>
                <w:rFonts w:hint="eastAsia" w:ascii="仿宋_GB2312" w:hAnsi="仿宋_GB2312" w:eastAsia="仿宋_GB2312" w:cs="仿宋_GB2312"/>
                <w:b/>
                <w:bCs/>
                <w:i w:val="0"/>
                <w:color w:val="auto"/>
                <w:kern w:val="0"/>
                <w:sz w:val="24"/>
                <w:szCs w:val="24"/>
                <w:highlight w:val="none"/>
                <w:u w:val="none"/>
                <w:lang w:val="en-US" w:eastAsia="zh-CN"/>
              </w:rPr>
              <w:t>三</w:t>
            </w:r>
            <w:r>
              <w:rPr>
                <w:rFonts w:hint="eastAsia" w:ascii="仿宋_GB2312" w:hAnsi="仿宋_GB2312" w:eastAsia="仿宋_GB2312" w:cs="仿宋_GB2312"/>
                <w:b/>
                <w:bCs/>
                <w:i w:val="0"/>
                <w:color w:val="auto"/>
                <w:kern w:val="0"/>
                <w:sz w:val="24"/>
                <w:szCs w:val="24"/>
                <w:highlight w:val="none"/>
                <w:u w:val="none"/>
                <w:lang w:eastAsia="zh-CN"/>
              </w:rPr>
              <w:t>）光驱功能</w:t>
            </w:r>
          </w:p>
          <w:p>
            <w:pPr>
              <w:pStyle w:val="247"/>
              <w:kinsoku w:val="0"/>
              <w:overflowPunct w:val="0"/>
              <w:spacing w:before="0" w:line="360" w:lineRule="exact"/>
              <w:ind w:left="0" w:firstLine="240" w:firstLineChars="100"/>
              <w:rPr>
                <w:rFonts w:hint="eastAsia" w:ascii="仿宋_GB2312" w:hAnsi="仿宋_GB2312" w:eastAsia="仿宋_GB2312" w:cs="仿宋_GB2312"/>
                <w:i w:val="0"/>
                <w:color w:val="auto"/>
                <w:kern w:val="0"/>
                <w:sz w:val="24"/>
                <w:szCs w:val="24"/>
                <w:highlight w:val="none"/>
                <w:u w:val="none"/>
                <w:lang w:val="en-US" w:eastAsia="zh-CN"/>
              </w:rPr>
            </w:pPr>
            <w:r>
              <w:rPr>
                <w:rFonts w:hint="eastAsia" w:ascii="仿宋_GB2312" w:hAnsi="仿宋_GB2312" w:eastAsia="仿宋_GB2312" w:cs="仿宋_GB2312"/>
                <w:i w:val="0"/>
                <w:color w:val="auto"/>
                <w:kern w:val="0"/>
                <w:sz w:val="24"/>
                <w:szCs w:val="24"/>
                <w:highlight w:val="none"/>
                <w:u w:val="none"/>
                <w:lang w:val="en-US" w:eastAsia="zh-CN"/>
              </w:rPr>
              <w:t>光驱应支持只读、刻录等类型；最大读取速度CD不低于24×150KB/s；最大读取速度DVD不低于8×358KB/s；最大刻录速度CD不低于24×150KB/s；最大刻录速度DVD不低于6×1358KB/s；兼容光盘类型包含只读光盘、可读写光盘、可擦写光盘等。</w:t>
            </w:r>
          </w:p>
          <w:p>
            <w:pPr>
              <w:pStyle w:val="247"/>
              <w:kinsoku w:val="0"/>
              <w:overflowPunct w:val="0"/>
              <w:spacing w:before="0" w:line="360" w:lineRule="exact"/>
              <w:ind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i w:val="0"/>
                <w:color w:val="auto"/>
                <w:kern w:val="0"/>
                <w:sz w:val="24"/>
                <w:szCs w:val="24"/>
                <w:highlight w:val="none"/>
                <w:u w:val="none"/>
                <w:lang w:eastAsia="zh-CN"/>
              </w:rPr>
              <w:t>（</w:t>
            </w:r>
            <w:r>
              <w:rPr>
                <w:rFonts w:hint="eastAsia" w:ascii="仿宋_GB2312" w:hAnsi="仿宋_GB2312" w:eastAsia="仿宋_GB2312" w:cs="仿宋_GB2312"/>
                <w:b/>
                <w:bCs/>
                <w:i w:val="0"/>
                <w:color w:val="auto"/>
                <w:kern w:val="0"/>
                <w:sz w:val="24"/>
                <w:szCs w:val="24"/>
                <w:highlight w:val="none"/>
                <w:u w:val="none"/>
                <w:lang w:val="en-US" w:eastAsia="zh-CN"/>
              </w:rPr>
              <w:t>四</w:t>
            </w:r>
            <w:r>
              <w:rPr>
                <w:rFonts w:hint="eastAsia" w:ascii="仿宋_GB2312" w:hAnsi="仿宋_GB2312" w:eastAsia="仿宋_GB2312" w:cs="仿宋_GB2312"/>
                <w:b/>
                <w:bCs/>
                <w:i w:val="0"/>
                <w:color w:val="auto"/>
                <w:kern w:val="0"/>
                <w:sz w:val="24"/>
                <w:szCs w:val="24"/>
                <w:highlight w:val="none"/>
                <w:u w:val="none"/>
                <w:lang w:eastAsia="zh-CN"/>
              </w:rPr>
              <w:t>）</w:t>
            </w:r>
            <w:r>
              <w:rPr>
                <w:rFonts w:hint="eastAsia" w:ascii="仿宋_GB2312" w:hAnsi="仿宋_GB2312" w:eastAsia="仿宋_GB2312" w:cs="仿宋_GB2312"/>
                <w:b/>
                <w:bCs/>
                <w:i w:val="0"/>
                <w:color w:val="auto"/>
                <w:kern w:val="0"/>
                <w:sz w:val="24"/>
                <w:szCs w:val="24"/>
                <w:highlight w:val="none"/>
                <w:u w:val="none"/>
                <w:lang w:val="en-US" w:eastAsia="zh-CN"/>
              </w:rPr>
              <w:t>存储</w:t>
            </w:r>
            <w:r>
              <w:rPr>
                <w:rFonts w:hint="eastAsia" w:ascii="仿宋_GB2312" w:hAnsi="仿宋_GB2312" w:eastAsia="仿宋_GB2312" w:cs="仿宋_GB2312"/>
                <w:b/>
                <w:bCs/>
                <w:i w:val="0"/>
                <w:color w:val="auto"/>
                <w:kern w:val="0"/>
                <w:sz w:val="24"/>
                <w:szCs w:val="24"/>
                <w:highlight w:val="none"/>
                <w:u w:val="none"/>
                <w:lang w:eastAsia="zh-CN"/>
              </w:rPr>
              <w:t>功能</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存储功能：支持信息存储功能，包括支持易失性存储功能和非易失性存储功能。为提升存储性能和降低存储功耗，非易失性存储宜支持固态存储设备，如SSD/UFS。产品应支持外出接口可以与独立的存储设备进行数据交互。</w:t>
            </w:r>
          </w:p>
          <w:p>
            <w:pPr>
              <w:pStyle w:val="247"/>
              <w:kinsoku w:val="0"/>
              <w:overflowPunct w:val="0"/>
              <w:spacing w:before="0" w:line="360" w:lineRule="exact"/>
              <w:ind w:firstLine="241" w:firstLineChars="100"/>
              <w:rPr>
                <w:rFonts w:hint="eastAsia" w:ascii="仿宋_GB2312" w:hAnsi="仿宋_GB2312" w:eastAsia="仿宋_GB2312" w:cs="仿宋_GB2312"/>
                <w:b/>
                <w:bCs/>
                <w:i w:val="0"/>
                <w:color w:val="auto"/>
                <w:kern w:val="0"/>
                <w:sz w:val="24"/>
                <w:szCs w:val="24"/>
                <w:highlight w:val="none"/>
                <w:u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i w:val="0"/>
                <w:color w:val="auto"/>
                <w:kern w:val="0"/>
                <w:sz w:val="24"/>
                <w:szCs w:val="24"/>
                <w:highlight w:val="none"/>
                <w:u w:val="none"/>
                <w:lang w:eastAsia="zh-CN"/>
              </w:rPr>
              <w:t>（</w:t>
            </w:r>
            <w:r>
              <w:rPr>
                <w:rFonts w:hint="eastAsia" w:ascii="仿宋_GB2312" w:hAnsi="仿宋_GB2312" w:eastAsia="仿宋_GB2312" w:cs="仿宋_GB2312"/>
                <w:b/>
                <w:bCs/>
                <w:i w:val="0"/>
                <w:color w:val="auto"/>
                <w:kern w:val="0"/>
                <w:sz w:val="24"/>
                <w:szCs w:val="24"/>
                <w:highlight w:val="none"/>
                <w:u w:val="none"/>
                <w:lang w:val="en-US" w:eastAsia="zh-CN"/>
              </w:rPr>
              <w:t>五</w:t>
            </w:r>
            <w:r>
              <w:rPr>
                <w:rFonts w:hint="eastAsia" w:ascii="仿宋_GB2312" w:hAnsi="仿宋_GB2312" w:eastAsia="仿宋_GB2312" w:cs="仿宋_GB2312"/>
                <w:b/>
                <w:bCs/>
                <w:i w:val="0"/>
                <w:color w:val="auto"/>
                <w:kern w:val="0"/>
                <w:sz w:val="24"/>
                <w:szCs w:val="24"/>
                <w:highlight w:val="none"/>
                <w:u w:val="none"/>
                <w:lang w:eastAsia="zh-CN"/>
              </w:rPr>
              <w:t>）</w:t>
            </w:r>
            <w:r>
              <w:rPr>
                <w:rFonts w:hint="eastAsia" w:ascii="仿宋_GB2312" w:hAnsi="仿宋_GB2312" w:eastAsia="仿宋_GB2312" w:cs="仿宋_GB2312"/>
                <w:b/>
                <w:bCs/>
                <w:i w:val="0"/>
                <w:color w:val="auto"/>
                <w:kern w:val="0"/>
                <w:sz w:val="24"/>
                <w:szCs w:val="24"/>
                <w:highlight w:val="none"/>
                <w:u w:val="none"/>
                <w:lang w:val="en-US" w:eastAsia="zh-CN"/>
              </w:rPr>
              <w:t>网络设备功能</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1.网络功能：a)支持网络连接、网络开启/关闭功能；b)支持访问网络和数据交换功能；</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2.无线网卡频段：支持双频段；</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3.数据传输：支持数据传输能力，并提供数据流量和异常日志记录功能；</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4.蓝牙协议：支持蓝牙模块，蓝牙协议不低于5.0版本；</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5.无线网卡标准：符合GB15629.11所有部分。</w:t>
            </w:r>
          </w:p>
          <w:p>
            <w:pPr>
              <w:pStyle w:val="247"/>
              <w:kinsoku w:val="0"/>
              <w:overflowPunct w:val="0"/>
              <w:spacing w:before="0" w:line="360" w:lineRule="exact"/>
              <w:ind w:firstLine="241" w:firstLineChars="100"/>
              <w:rPr>
                <w:rFonts w:hint="eastAsia" w:ascii="仿宋_GB2312" w:hAnsi="仿宋_GB2312" w:eastAsia="仿宋_GB2312" w:cs="仿宋_GB2312"/>
                <w:b/>
                <w:bCs/>
                <w:i w:val="0"/>
                <w:color w:val="auto"/>
                <w:kern w:val="0"/>
                <w:sz w:val="24"/>
                <w:szCs w:val="24"/>
                <w:highlight w:val="none"/>
                <w:u w:val="none"/>
                <w:lang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i w:val="0"/>
                <w:color w:val="auto"/>
                <w:kern w:val="0"/>
                <w:sz w:val="24"/>
                <w:szCs w:val="24"/>
                <w:highlight w:val="none"/>
                <w:u w:val="none"/>
                <w:lang w:val="en-US" w:eastAsia="zh-CN"/>
              </w:rPr>
              <w:t>（六）外部接口功能</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1.音频接口类型：不少于1个，宜支持3.5mm孔径的3段式或4段式接口。若支持4段式接口，宜支持线序的自动识别及切换功能；</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2.视频接口类型：至少支持VGA、HDMI、DVI、DP、Type-C中1种显示接口；</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3.HDMI、DP、Type-C显示接口要求：若提供HDMI或DP或Type-C作为显示接口，应支持音频和视频同步输出；</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4.输入充电接口类型：DCin或Type-C接口。</w:t>
            </w:r>
          </w:p>
          <w:p>
            <w:pPr>
              <w:pStyle w:val="247"/>
              <w:kinsoku w:val="0"/>
              <w:overflowPunct w:val="0"/>
              <w:spacing w:before="0" w:line="360" w:lineRule="exact"/>
              <w:ind w:firstLine="241" w:firstLineChars="100"/>
              <w:rPr>
                <w:rFonts w:hint="eastAsia" w:ascii="仿宋_GB2312" w:hAnsi="仿宋_GB2312" w:eastAsia="仿宋_GB2312" w:cs="仿宋_GB2312"/>
                <w:b/>
                <w:bCs/>
                <w:i w:val="0"/>
                <w:color w:val="auto"/>
                <w:kern w:val="0"/>
                <w:sz w:val="24"/>
                <w:szCs w:val="24"/>
                <w:highlight w:val="none"/>
                <w:u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i w:val="0"/>
                <w:color w:val="auto"/>
                <w:kern w:val="0"/>
                <w:sz w:val="24"/>
                <w:szCs w:val="24"/>
                <w:highlight w:val="none"/>
                <w:u w:val="none"/>
                <w:lang w:val="en-US" w:eastAsia="zh-CN"/>
              </w:rPr>
              <w:t>（七）电源功能</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电源线适配能力：符合GB15934-2008，对于可拆线插头GB15934不做要求。</w:t>
            </w:r>
          </w:p>
          <w:p>
            <w:pPr>
              <w:pStyle w:val="247"/>
              <w:kinsoku w:val="0"/>
              <w:overflowPunct w:val="0"/>
              <w:spacing w:before="0" w:line="360" w:lineRule="exact"/>
              <w:ind w:firstLine="241" w:firstLineChars="100"/>
              <w:rPr>
                <w:rFonts w:hint="eastAsia" w:ascii="仿宋_GB2312" w:hAnsi="仿宋_GB2312" w:eastAsia="仿宋_GB2312" w:cs="仿宋_GB2312"/>
                <w:b/>
                <w:bCs/>
                <w:i w:val="0"/>
                <w:color w:val="auto"/>
                <w:kern w:val="0"/>
                <w:sz w:val="24"/>
                <w:szCs w:val="24"/>
                <w:highlight w:val="none"/>
                <w:u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i w:val="0"/>
                <w:color w:val="auto"/>
                <w:kern w:val="0"/>
                <w:sz w:val="24"/>
                <w:szCs w:val="24"/>
                <w:highlight w:val="none"/>
                <w:u w:val="none"/>
                <w:lang w:val="en-US" w:eastAsia="zh-CN"/>
              </w:rPr>
              <w:t>（八）操作系统及软件功能</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1.中文信息处理要求：符合GB18030的相关规定；</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2.操作系统备份及还原功能：支持操作系统备份及还原功能；</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3.固件备份还原能力：支持备份及还原固件的功能；</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4.操作系统及驱动升级：支持通过网络、闪存盘等方式对操作系统、驱动进行升级；</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5.BIOS支持关闭通讯接口：支持BIOS关闭以太网及USB接口功能；</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6.固件查看信息：支持查看固件版本、内存信息、主板信息、处理器信息和系统时间信息等功能；</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7.固件设置启动顺序：支持设置启动顺序功能，并按照设置的启动顺序启动；</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8.固件设置口令：支持设置口令、修改口令、验证口令功能；</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9.固件设置网络引导：支持网络引导启动和关闭功能。</w:t>
            </w:r>
          </w:p>
          <w:p>
            <w:pPr>
              <w:pStyle w:val="247"/>
              <w:kinsoku w:val="0"/>
              <w:overflowPunct w:val="0"/>
              <w:spacing w:before="0" w:line="360" w:lineRule="exac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四、存储设备可靠性要求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1.固态存储寿命：TBW≥80TB（条件：512GB硬盘容量）；</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2.机械硬盘寿命：通电时间≥5万小时。</w:t>
            </w:r>
          </w:p>
          <w:p>
            <w:pPr>
              <w:pStyle w:val="247"/>
              <w:kinsoku w:val="0"/>
              <w:overflowPunct w:val="0"/>
              <w:spacing w:before="0" w:line="360" w:lineRule="exac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五、显示设备可靠性要求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显示屏屏幕失效点：符合GB/T9813.2的要求。</w:t>
            </w:r>
          </w:p>
          <w:p>
            <w:pPr>
              <w:pStyle w:val="247"/>
              <w:kinsoku w:val="0"/>
              <w:overflowPunct w:val="0"/>
              <w:spacing w:before="0" w:line="360" w:lineRule="exac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六、外设可靠性要求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1.键盘按键寿命：≥1000万次；</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2.鼠标按键寿命：≥500万次；</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3.键盘鼠标线材寿命：键盘鼠标所用线材经±60°弯折不低于3000次，功能、外观完好；</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4.风扇寿命：≥4万小时。</w:t>
            </w:r>
          </w:p>
          <w:p>
            <w:pPr>
              <w:pStyle w:val="247"/>
              <w:kinsoku w:val="0"/>
              <w:overflowPunct w:val="0"/>
              <w:spacing w:before="0" w:line="360" w:lineRule="exac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七、整机可靠性要求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1.电磁兼容性要求的抗扰度：符合GB/T9254.2的规定；</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2.环境条件要求的气候环境适应性：符合GB/T9813.2中规定；</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3.环境条件要求的振动适应性：符合GB/T9813.2中规定；</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4.环境条件要求的冲击适应性：符合GB/T9813.2中规定；</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5.环境条件要求的碰撞适应性：符合GB/T9813.2中规定；</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6.环境条件要求的自由跌落适应性：符合GB/T9813.2中规定；</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7.环境条件要求的运输包装件跌落适应性：符合GB/T9813.2中规定；</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8.MTBF测试：MTBF(m1)≥3万小时。</w:t>
            </w:r>
          </w:p>
          <w:p>
            <w:pPr>
              <w:pStyle w:val="247"/>
              <w:kinsoku w:val="0"/>
              <w:overflowPunct w:val="0"/>
              <w:spacing w:before="0" w:line="360" w:lineRule="exac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八、兼容要求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1.常用软件兼容：支持流式软件、版式软件、浏览器、邮件采购人端、解压软件、多媒体、图形图像处理等常用软件；</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2.数据库兼容：兼容3个及以上厂商的数据库产品；</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3.中间件兼容：兼容3个及以上厂商中间件产品；</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4.平台软件兼容：兼容3个及以上厂商云计算及大数据平台。</w:t>
            </w:r>
            <w:r>
              <w:rPr>
                <w:rFonts w:hint="eastAsia" w:ascii="仿宋_GB2312" w:hAnsi="仿宋_GB2312" w:eastAsia="仿宋_GB2312" w:cs="仿宋_GB2312"/>
                <w:color w:val="auto"/>
                <w:sz w:val="24"/>
                <w:szCs w:val="24"/>
                <w:highlight w:val="none"/>
                <w:lang w:val="en-US" w:eastAsia="zh-CN"/>
              </w:rPr>
              <w:cr/>
            </w: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九、包装及运输要求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标志、包装、运输和贮存：符合GB/T9813.1和商品包装政府采购需求标准的相关规定。</w:t>
            </w:r>
          </w:p>
          <w:p>
            <w:pPr>
              <w:pStyle w:val="247"/>
              <w:kinsoku w:val="0"/>
              <w:overflowPunct w:val="0"/>
              <w:spacing w:before="0" w:line="360" w:lineRule="exac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十、服务要求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1.配置检查工具：供应商提供自检测试工具；</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2.服务响应：a）提供产品3年维保及上门服务（满足同城4小时、异地12小时响应要求）；b）提供政企专线7*24在线服务；c）现场保障技术服务团队员，国内上门服务地级市覆盖率达100%；</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3.服务周期：a)支持产品延保≥3 年；b)提供每年延保服务报价；c)提供备件服务能力≥6 年（自购买之日起）；</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预装操作系统：预装符合桌面操作系统政府采购需求标准的正版操作系统；预装的操作系统符合《操作系统政府采购需求标准》中加*指标要求（财政部工业和信息化部关于印发《操作系统政府采购需求标准（2023年版）》的通知）；</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5.培训服务：供应商提供培训材料、产品手册、培训视频等培训相关内容；</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6.典型问题解决手册：供应商提供典型问题解决说明文档或视频；</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7.厂家升级软件与扩容服务：供应商提供上门升级部件/软件与扩容的增值服务；</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8.整机质量服务要求：免费服务周期（含换件和维修）应不小于3年；</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9.合格证书要求：供应商提供产品合格证；</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10.开箱组装/使用指导要求：供应商提供开箱组装/使用指导；</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11.驱动下载服务要求：供应商提供驱动光盘或下载方式；</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12.兼容适配软件下载服务要求：供应商提供兼容适配软件下载渠道（光盘、网站）。</w:t>
            </w:r>
          </w:p>
          <w:p>
            <w:pPr>
              <w:pStyle w:val="247"/>
              <w:kinsoku w:val="0"/>
              <w:overflowPunct w:val="0"/>
              <w:spacing w:before="0" w:line="360" w:lineRule="exac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十一、供应链合规性要求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产品部件保障：供应商保障产品主要部件，提供6年的备件服务能力（自购买之日起），或提供可兼容原设备的升级换代产品。</w:t>
            </w:r>
          </w:p>
          <w:p>
            <w:pPr>
              <w:pStyle w:val="247"/>
              <w:kinsoku w:val="0"/>
              <w:overflowPunct w:val="0"/>
              <w:spacing w:before="0" w:line="360" w:lineRule="exac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十二、供应链质量要求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1.抗干扰性：当产品部件出现供应风险时，供应商应通知采购人并提供风险应对方案确保产品的服务保障；</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2.供应能力证明：供应商承诺提供稳定的供应链，确保产品的部件在产品服务周期内稳定供货。</w:t>
            </w:r>
          </w:p>
          <w:p>
            <w:pPr>
              <w:pStyle w:val="247"/>
              <w:kinsoku w:val="0"/>
              <w:overflowPunct w:val="0"/>
              <w:spacing w:before="0" w:line="360" w:lineRule="exac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十三、关键部件安全要求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关键部件安全要求：CPU和操作系统等关键部件应当符合安全可靠测评要求，通过政府有关部门指定的中国信息安全测评中心和国家保密科技测评中心网站查看安全可靠测评结果。</w:t>
            </w:r>
          </w:p>
          <w:p>
            <w:pPr>
              <w:pStyle w:val="247"/>
              <w:kinsoku w:val="0"/>
              <w:overflowPunct w:val="0"/>
              <w:spacing w:before="0" w:line="360" w:lineRule="exact"/>
              <w:ind w:left="0" w:firstLine="482"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000000"/>
                <w:sz w:val="24"/>
                <w:szCs w:val="24"/>
                <w:highlight w:val="none"/>
                <w:lang w:eastAsia="zh-CN"/>
              </w:rPr>
              <w:t>注：投标人在填写《技术响应表》时，在“投标</w:t>
            </w:r>
            <w:r>
              <w:rPr>
                <w:rFonts w:hint="eastAsia" w:ascii="仿宋_GB2312" w:hAnsi="仿宋_GB2312" w:eastAsia="仿宋_GB2312" w:cs="仿宋_GB2312"/>
                <w:b/>
                <w:bCs/>
                <w:color w:val="000000"/>
                <w:sz w:val="24"/>
                <w:szCs w:val="24"/>
                <w:highlight w:val="none"/>
                <w:lang w:val="en-US" w:eastAsia="zh-CN"/>
              </w:rPr>
              <w:t>文件</w:t>
            </w:r>
            <w:r>
              <w:rPr>
                <w:rFonts w:hint="eastAsia" w:ascii="仿宋_GB2312" w:hAnsi="仿宋_GB2312" w:eastAsia="仿宋_GB2312" w:cs="仿宋_GB2312"/>
                <w:b/>
                <w:bCs/>
                <w:color w:val="000000"/>
                <w:sz w:val="24"/>
                <w:szCs w:val="24"/>
                <w:highlight w:val="none"/>
                <w:lang w:eastAsia="zh-CN"/>
              </w:rPr>
              <w:t>响应技术参数”明确给出所投</w:t>
            </w:r>
            <w:r>
              <w:rPr>
                <w:rFonts w:hint="eastAsia" w:ascii="仿宋_GB2312" w:hAnsi="仿宋_GB2312" w:eastAsia="仿宋_GB2312" w:cs="仿宋_GB2312"/>
                <w:b/>
                <w:bCs/>
                <w:color w:val="000000"/>
                <w:sz w:val="24"/>
                <w:szCs w:val="24"/>
                <w:highlight w:val="none"/>
                <w:lang w:val="en-US" w:eastAsia="zh-CN"/>
              </w:rPr>
              <w:t>便携式</w:t>
            </w:r>
            <w:r>
              <w:rPr>
                <w:rFonts w:hint="eastAsia" w:ascii="仿宋_GB2312" w:hAnsi="仿宋_GB2312" w:eastAsia="仿宋_GB2312" w:cs="仿宋_GB2312"/>
                <w:b/>
                <w:bCs/>
                <w:color w:val="000000"/>
                <w:sz w:val="24"/>
                <w:szCs w:val="24"/>
                <w:highlight w:val="none"/>
                <w:lang w:eastAsia="zh-CN"/>
              </w:rPr>
              <w:t>计算机</w:t>
            </w:r>
            <w:r>
              <w:rPr>
                <w:rFonts w:hint="eastAsia" w:ascii="仿宋_GB2312" w:hAnsi="仿宋_GB2312" w:eastAsia="仿宋_GB2312" w:cs="仿宋_GB2312"/>
                <w:b/>
                <w:bCs/>
                <w:color w:val="000000"/>
                <w:sz w:val="24"/>
                <w:szCs w:val="24"/>
                <w:highlight w:val="none"/>
                <w:lang w:val="en-US" w:eastAsia="zh-CN"/>
              </w:rPr>
              <w:t>1</w:t>
            </w:r>
            <w:r>
              <w:rPr>
                <w:rFonts w:hint="eastAsia" w:ascii="仿宋_GB2312" w:hAnsi="仿宋_GB2312" w:eastAsia="仿宋_GB2312" w:cs="仿宋_GB2312"/>
                <w:b/>
                <w:bCs/>
                <w:color w:val="000000"/>
                <w:sz w:val="24"/>
                <w:szCs w:val="24"/>
                <w:highlight w:val="none"/>
                <w:lang w:eastAsia="zh-CN"/>
              </w:rPr>
              <w:t>“</w:t>
            </w:r>
            <w:r>
              <w:rPr>
                <w:rFonts w:hint="eastAsia" w:ascii="仿宋_GB2312" w:hAnsi="仿宋_GB2312" w:eastAsia="仿宋_GB2312" w:cs="仿宋_GB2312"/>
                <w:b/>
                <w:bCs/>
                <w:color w:val="000000"/>
                <w:sz w:val="24"/>
                <w:szCs w:val="24"/>
                <w:highlight w:val="none"/>
                <w:lang w:val="en-US" w:eastAsia="zh-CN"/>
              </w:rPr>
              <w:t>CPU型号</w:t>
            </w:r>
            <w:r>
              <w:rPr>
                <w:rFonts w:hint="eastAsia" w:ascii="仿宋_GB2312" w:hAnsi="仿宋_GB2312" w:eastAsia="仿宋_GB2312" w:cs="仿宋_GB2312"/>
                <w:b/>
                <w:bCs/>
                <w:color w:val="000000"/>
                <w:sz w:val="24"/>
                <w:szCs w:val="24"/>
                <w:highlight w:val="none"/>
                <w:lang w:eastAsia="zh-CN"/>
              </w:rPr>
              <w:t>”</w:t>
            </w:r>
            <w:r>
              <w:rPr>
                <w:rFonts w:hint="eastAsia" w:ascii="仿宋_GB2312" w:hAnsi="仿宋_GB2312" w:eastAsia="仿宋_GB2312" w:cs="仿宋_GB2312"/>
                <w:b/>
                <w:bCs/>
                <w:color w:val="000000"/>
                <w:sz w:val="24"/>
                <w:szCs w:val="24"/>
                <w:highlight w:val="none"/>
                <w:lang w:val="en-US" w:eastAsia="zh-CN"/>
              </w:rPr>
              <w:t>及“</w:t>
            </w:r>
            <w:r>
              <w:rPr>
                <w:rFonts w:hint="eastAsia" w:ascii="仿宋_GB2312" w:hAnsi="仿宋_GB2312" w:eastAsia="仿宋_GB2312" w:cs="仿宋_GB2312"/>
                <w:b/>
                <w:bCs/>
                <w:color w:val="000000"/>
                <w:sz w:val="24"/>
                <w:szCs w:val="24"/>
                <w:highlight w:val="none"/>
                <w:lang w:eastAsia="zh-CN"/>
              </w:rPr>
              <w:t>操作系统</w:t>
            </w:r>
            <w:r>
              <w:rPr>
                <w:rFonts w:hint="eastAsia" w:ascii="仿宋_GB2312" w:hAnsi="仿宋_GB2312" w:eastAsia="仿宋_GB2312" w:cs="仿宋_GB2312"/>
                <w:b/>
                <w:bCs/>
                <w:color w:val="000000"/>
                <w:sz w:val="24"/>
                <w:szCs w:val="24"/>
                <w:highlight w:val="none"/>
                <w:lang w:val="en-US" w:eastAsia="zh-CN"/>
              </w:rPr>
              <w:t>”</w:t>
            </w:r>
            <w:r>
              <w:rPr>
                <w:rFonts w:hint="eastAsia" w:ascii="仿宋_GB2312" w:hAnsi="仿宋_GB2312" w:eastAsia="仿宋_GB2312" w:cs="仿宋_GB2312"/>
                <w:b/>
                <w:bCs/>
                <w:color w:val="000000"/>
                <w:sz w:val="24"/>
                <w:szCs w:val="24"/>
                <w:highlight w:val="none"/>
                <w:lang w:eastAsia="zh-CN"/>
              </w:rPr>
              <w:t>名称，否则视为投标无效。</w:t>
            </w:r>
          </w:p>
          <w:p>
            <w:pPr>
              <w:pStyle w:val="247"/>
              <w:kinsoku w:val="0"/>
              <w:overflowPunct w:val="0"/>
              <w:spacing w:before="0" w:line="360" w:lineRule="exac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十四、整机安全性要求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1.密码算法实现：CPU芯片应符合GM/T0008的相关规定，或芯片密码模块应符合GB/T37092或GM/T0028的相关规定，通过商用密码检测机构检测并经商用密码认证机构认证合格。</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信息安全基本要求：a)产品应符合GB/T39276的5.2的规定；b)生产厂商应建立漏洞跟踪表，保证产品版本涉及到的漏洞(如驱动程序等)可查看；c）产品不得包含已知的恶意代码或漏洞，不存在未声明的指令、功能、接口；</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3.固件安全启动：支持固件安全启动功能，固件启动过程中只有通过启动校验才能正常启动；</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4.限用物质的限量要求：符合GB/T26572中规定。</w:t>
            </w:r>
          </w:p>
          <w:p>
            <w:pPr>
              <w:pStyle w:val="247"/>
              <w:kinsoku w:val="0"/>
              <w:overflowPunct w:val="0"/>
              <w:spacing w:before="0" w:line="360" w:lineRule="exac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十五、其他要求：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1.适配服务要求：投标人须提供与广西自治区综合办公平台适配的便携式计算机产品</w:t>
            </w:r>
            <w:r>
              <w:rPr>
                <w:rFonts w:hint="eastAsia" w:ascii="仿宋_GB2312" w:hAnsi="仿宋_GB2312" w:eastAsia="仿宋_GB2312" w:cs="仿宋_GB2312"/>
                <w:b/>
                <w:bCs/>
                <w:color w:val="auto"/>
                <w:sz w:val="24"/>
                <w:szCs w:val="24"/>
                <w:highlight w:val="none"/>
                <w:lang w:val="en-US" w:eastAsia="zh-CN"/>
              </w:rPr>
              <w:t>（采购人将设置现场踏勘，以便投标人了解适配情况）</w:t>
            </w:r>
            <w:r>
              <w:rPr>
                <w:rFonts w:hint="eastAsia" w:ascii="仿宋_GB2312" w:hAnsi="仿宋_GB2312" w:eastAsia="仿宋_GB2312" w:cs="仿宋_GB2312"/>
                <w:color w:val="auto"/>
                <w:sz w:val="24"/>
                <w:szCs w:val="24"/>
                <w:highlight w:val="none"/>
                <w:lang w:val="en-US" w:eastAsia="zh-CN"/>
              </w:rPr>
              <w:t>。</w:t>
            </w:r>
          </w:p>
          <w:p>
            <w:pPr>
              <w:pStyle w:val="247"/>
              <w:kinsoku w:val="0"/>
              <w:overflowPunct w:val="0"/>
              <w:spacing w:before="0" w:line="360" w:lineRule="exact"/>
              <w:ind w:firstLine="241" w:firstLineChars="100"/>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2.供货服务要求：投标人需具备足够宽敞的仓库，在送给使用单位前办理完到货验收手续；按照采购人提出供货要求制定合理、科学的分配方案，制定合理的送货计划和办理交接手续，确保供货及时和货物到场上桌规范。本项目涉及多家使用单位，要求投标人具备有专业的实施保障能力和专业的售后服务能力，合理配置相关技术人员</w:t>
            </w:r>
            <w:r>
              <w:rPr>
                <w:rFonts w:hint="eastAsia" w:ascii="仿宋_GB2312" w:hAnsi="仿宋_GB2312" w:eastAsia="仿宋_GB2312" w:cs="仿宋_GB2312"/>
                <w:b w:val="0"/>
                <w:bCs w:val="0"/>
                <w:i w:val="0"/>
                <w:color w:val="auto"/>
                <w:kern w:val="0"/>
                <w:sz w:val="24"/>
                <w:szCs w:val="24"/>
                <w:highlight w:val="none"/>
                <w:u w:val="none"/>
                <w:lang w:val="en-US" w:eastAsia="zh-CN"/>
              </w:rPr>
              <w:t>。</w:t>
            </w:r>
          </w:p>
        </w:tc>
        <w:tc>
          <w:tcPr>
            <w:tcW w:w="1020" w:type="dxa"/>
            <w:tcBorders>
              <w:top w:val="single" w:color="auto" w:sz="4" w:space="0"/>
              <w:left w:val="single" w:color="auto" w:sz="4" w:space="0"/>
              <w:right w:val="single" w:color="auto" w:sz="4" w:space="0"/>
            </w:tcBorders>
            <w:vAlign w:val="center"/>
          </w:tcPr>
          <w:p>
            <w:pPr>
              <w:spacing w:line="360" w:lineRule="exact"/>
              <w:ind w:left="420" w:leftChars="0" w:hanging="42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100台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0" w:type="dxa"/>
            <w:tcBorders>
              <w:top w:val="single" w:color="auto" w:sz="4" w:space="0"/>
              <w:left w:val="single" w:color="auto" w:sz="4" w:space="0"/>
              <w:bottom w:val="single" w:color="auto" w:sz="4" w:space="0"/>
              <w:right w:val="single" w:color="auto" w:sz="4" w:space="0"/>
            </w:tcBorders>
            <w:vAlign w:val="center"/>
          </w:tcPr>
          <w:p>
            <w:pPr>
              <w:pStyle w:val="245"/>
              <w:snapToGrid w:val="0"/>
              <w:spacing w:line="36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w:t>
            </w:r>
          </w:p>
        </w:tc>
        <w:tc>
          <w:tcPr>
            <w:tcW w:w="969" w:type="dxa"/>
            <w:tcBorders>
              <w:top w:val="single" w:color="auto" w:sz="4" w:space="0"/>
              <w:left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便携式</w:t>
            </w:r>
          </w:p>
          <w:p>
            <w:pPr>
              <w:widowControl/>
              <w:spacing w:line="36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计算机</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b/>
                <w:bCs/>
                <w:color w:val="auto"/>
                <w:sz w:val="24"/>
                <w:szCs w:val="24"/>
                <w:highlight w:val="none"/>
              </w:rPr>
              <w:t>（强制采购节能产品，详见采购需求说明第八点）</w:t>
            </w:r>
          </w:p>
        </w:tc>
        <w:tc>
          <w:tcPr>
            <w:tcW w:w="6586" w:type="dxa"/>
            <w:tcBorders>
              <w:top w:val="single" w:color="auto" w:sz="4" w:space="0"/>
              <w:left w:val="single" w:color="auto" w:sz="4" w:space="0"/>
              <w:bottom w:val="single" w:color="auto" w:sz="4" w:space="0"/>
              <w:right w:val="single" w:color="auto" w:sz="4" w:space="0"/>
            </w:tcBorders>
            <w:vAlign w:val="center"/>
          </w:tcPr>
          <w:p>
            <w:pPr>
              <w:pStyle w:val="247"/>
              <w:kinsoku w:val="0"/>
              <w:overflowPunct w:val="0"/>
              <w:spacing w:before="0" w:line="360" w:lineRule="exact"/>
              <w:ind w:left="0" w:firstLine="0" w:firstLineChars="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一、产品规格要求</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一</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CPU规格</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1.CPU：≥8核</w:t>
            </w:r>
            <w:r>
              <w:rPr>
                <w:rFonts w:hint="eastAsia" w:ascii="仿宋_GB2312" w:hAnsi="仿宋_GB2312" w:eastAsia="仿宋_GB2312" w:cs="仿宋_GB2312"/>
                <w:color w:val="auto"/>
                <w:sz w:val="24"/>
                <w:szCs w:val="24"/>
                <w:highlight w:val="none"/>
                <w:lang w:val="en-US" w:eastAsia="zh-CN"/>
              </w:rPr>
              <w:t>8</w:t>
            </w:r>
            <w:r>
              <w:rPr>
                <w:rFonts w:hint="eastAsia" w:ascii="仿宋_GB2312" w:hAnsi="仿宋_GB2312" w:eastAsia="仿宋_GB2312" w:cs="仿宋_GB2312"/>
                <w:color w:val="auto"/>
                <w:sz w:val="24"/>
                <w:szCs w:val="24"/>
                <w:highlight w:val="none"/>
              </w:rPr>
              <w:t>线程，主频≥</w:t>
            </w:r>
            <w:r>
              <w:rPr>
                <w:rFonts w:hint="eastAsia" w:ascii="仿宋_GB2312" w:hAnsi="仿宋_GB2312" w:eastAsia="仿宋_GB2312" w:cs="仿宋_GB2312"/>
                <w:color w:val="auto"/>
                <w:sz w:val="24"/>
                <w:szCs w:val="24"/>
                <w:highlight w:val="none"/>
                <w:lang w:val="en-US" w:eastAsia="zh-CN"/>
              </w:rPr>
              <w:t>2.7</w:t>
            </w:r>
            <w:r>
              <w:rPr>
                <w:rFonts w:hint="eastAsia" w:ascii="仿宋_GB2312" w:hAnsi="仿宋_GB2312" w:eastAsia="仿宋_GB2312" w:cs="仿宋_GB2312"/>
                <w:color w:val="auto"/>
                <w:sz w:val="24"/>
                <w:szCs w:val="24"/>
                <w:highlight w:val="none"/>
              </w:rPr>
              <w:t>GHz</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末级缓存≥2M，</w:t>
            </w:r>
            <w:r>
              <w:rPr>
                <w:rFonts w:hint="eastAsia" w:ascii="仿宋_GB2312" w:hAnsi="仿宋_GB2312" w:eastAsia="仿宋_GB2312" w:cs="仿宋_GB2312"/>
                <w:color w:val="auto"/>
                <w:sz w:val="24"/>
                <w:szCs w:val="24"/>
                <w:highlight w:val="none"/>
                <w:lang w:val="en-US" w:eastAsia="zh-CN"/>
              </w:rPr>
              <w:t>CPU</w:t>
            </w:r>
            <w:r>
              <w:rPr>
                <w:rFonts w:hint="eastAsia" w:ascii="仿宋_GB2312" w:hAnsi="仿宋_GB2312" w:eastAsia="仿宋_GB2312" w:cs="仿宋_GB2312"/>
                <w:color w:val="auto"/>
                <w:sz w:val="24"/>
                <w:szCs w:val="24"/>
                <w:highlight w:val="none"/>
              </w:rPr>
              <w:t>内存≥双通道DDR4</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2666MT/s；</w:t>
            </w:r>
            <w:r>
              <w:rPr>
                <w:rFonts w:hint="eastAsia" w:ascii="仿宋_GB2312" w:hAnsi="仿宋_GB2312" w:eastAsia="仿宋_GB2312" w:cs="仿宋_GB2312"/>
                <w:color w:val="auto"/>
                <w:kern w:val="2"/>
                <w:sz w:val="24"/>
                <w:szCs w:val="24"/>
                <w:highlight w:val="none"/>
                <w:lang w:val="en-US" w:eastAsia="zh-CN" w:bidi="ar-SA"/>
              </w:rPr>
              <w:t>设计功耗</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kern w:val="2"/>
                <w:sz w:val="24"/>
                <w:szCs w:val="24"/>
                <w:highlight w:val="none"/>
                <w:lang w:val="en-US" w:eastAsia="zh-CN" w:bidi="ar-SA"/>
              </w:rPr>
              <w:t>80W，位宽≥64位。</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二</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内存规格</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1.内存配置容量：≥</w:t>
            </w:r>
            <w:r>
              <w:rPr>
                <w:rFonts w:hint="eastAsia" w:ascii="仿宋_GB2312" w:hAnsi="仿宋_GB2312" w:eastAsia="仿宋_GB2312" w:cs="仿宋_GB2312"/>
                <w:color w:val="auto"/>
                <w:sz w:val="24"/>
                <w:szCs w:val="24"/>
                <w:highlight w:val="none"/>
                <w:lang w:val="en-US" w:eastAsia="zh-CN"/>
              </w:rPr>
              <w:t>16</w:t>
            </w:r>
            <w:r>
              <w:rPr>
                <w:rFonts w:hint="eastAsia" w:ascii="仿宋_GB2312" w:hAnsi="仿宋_GB2312" w:eastAsia="仿宋_GB2312" w:cs="仿宋_GB2312"/>
                <w:color w:val="auto"/>
                <w:sz w:val="24"/>
                <w:szCs w:val="24"/>
                <w:highlight w:val="none"/>
              </w:rPr>
              <w:t>GB；</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2.内存条配置数量(板载内存不涉及)≥</w:t>
            </w:r>
            <w:r>
              <w:rPr>
                <w:rFonts w:hint="eastAsia" w:ascii="仿宋_GB2312" w:hAnsi="仿宋_GB2312" w:eastAsia="仿宋_GB2312" w:cs="仿宋_GB2312"/>
                <w:color w:val="auto"/>
                <w:sz w:val="24"/>
                <w:szCs w:val="24"/>
                <w:highlight w:val="none"/>
                <w:lang w:val="en-US" w:eastAsia="zh-CN"/>
              </w:rPr>
              <w:t>1；</w:t>
            </w:r>
          </w:p>
          <w:p>
            <w:pPr>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3.支持DDR4/LPDDR4/LPDDR4X及以上内存类型。</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三</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主板规格</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1.主板集成模块：集成资源扩展模块、计算处理模块、音频扩展模块等，主板的互联拓扑可通过处理器或交换电路实现；</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2.主板支持的CPU和内存情况：CPU≥8核</w:t>
            </w:r>
            <w:r>
              <w:rPr>
                <w:rFonts w:hint="eastAsia" w:ascii="仿宋_GB2312" w:hAnsi="仿宋_GB2312" w:eastAsia="仿宋_GB2312" w:cs="仿宋_GB2312"/>
                <w:color w:val="auto"/>
                <w:sz w:val="24"/>
                <w:szCs w:val="24"/>
                <w:highlight w:val="none"/>
                <w:lang w:val="en-US" w:eastAsia="zh-CN"/>
              </w:rPr>
              <w:t>8</w:t>
            </w:r>
            <w:r>
              <w:rPr>
                <w:rFonts w:hint="eastAsia" w:ascii="仿宋_GB2312" w:hAnsi="仿宋_GB2312" w:eastAsia="仿宋_GB2312" w:cs="仿宋_GB2312"/>
                <w:color w:val="auto"/>
                <w:sz w:val="24"/>
                <w:szCs w:val="24"/>
                <w:highlight w:val="none"/>
              </w:rPr>
              <w:t>线程，主频≥</w:t>
            </w:r>
            <w:r>
              <w:rPr>
                <w:rFonts w:hint="eastAsia" w:ascii="仿宋_GB2312" w:hAnsi="仿宋_GB2312" w:eastAsia="仿宋_GB2312" w:cs="仿宋_GB2312"/>
                <w:color w:val="auto"/>
                <w:sz w:val="24"/>
                <w:szCs w:val="24"/>
                <w:highlight w:val="none"/>
                <w:lang w:val="en-US" w:eastAsia="zh-CN"/>
              </w:rPr>
              <w:t>2.7</w:t>
            </w:r>
            <w:r>
              <w:rPr>
                <w:rFonts w:hint="eastAsia" w:ascii="仿宋_GB2312" w:hAnsi="仿宋_GB2312" w:eastAsia="仿宋_GB2312" w:cs="仿宋_GB2312"/>
                <w:color w:val="auto"/>
                <w:sz w:val="24"/>
                <w:szCs w:val="24"/>
                <w:highlight w:val="none"/>
              </w:rPr>
              <w:t>GHz，</w:t>
            </w:r>
            <w:r>
              <w:rPr>
                <w:rFonts w:hint="eastAsia" w:ascii="仿宋_GB2312" w:hAnsi="仿宋_GB2312" w:eastAsia="仿宋_GB2312" w:cs="仿宋_GB2312"/>
                <w:color w:val="auto"/>
                <w:sz w:val="24"/>
                <w:szCs w:val="24"/>
                <w:highlight w:val="none"/>
                <w:lang w:val="en-US" w:eastAsia="zh-CN"/>
              </w:rPr>
              <w:t>末级</w:t>
            </w:r>
            <w:r>
              <w:rPr>
                <w:rFonts w:hint="eastAsia" w:ascii="仿宋_GB2312" w:hAnsi="仿宋_GB2312" w:eastAsia="仿宋_GB2312" w:cs="仿宋_GB2312"/>
                <w:color w:val="auto"/>
                <w:sz w:val="24"/>
                <w:szCs w:val="24"/>
                <w:highlight w:val="none"/>
              </w:rPr>
              <w:t>缓存≥2M，内存≥双通道DDR4-2666MT/s，内存条数量≥1（板载内存不涉及）；</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单内存插槽最大可支持容量</w:t>
            </w:r>
            <w:bookmarkStart w:id="34" w:name="OLE_LINK8"/>
            <w:r>
              <w:rPr>
                <w:rFonts w:hint="eastAsia" w:ascii="仿宋_GB2312" w:hAnsi="仿宋_GB2312" w:eastAsia="仿宋_GB2312" w:cs="仿宋_GB2312"/>
                <w:color w:val="auto"/>
                <w:sz w:val="24"/>
                <w:szCs w:val="24"/>
                <w:highlight w:val="none"/>
              </w:rPr>
              <w:t>（板载内存不涉及）</w:t>
            </w:r>
            <w:bookmarkEnd w:id="34"/>
            <w:r>
              <w:rPr>
                <w:rFonts w:hint="eastAsia" w:ascii="仿宋_GB2312" w:hAnsi="仿宋_GB2312" w:eastAsia="仿宋_GB2312" w:cs="仿宋_GB2312"/>
                <w:color w:val="auto"/>
                <w:sz w:val="24"/>
                <w:szCs w:val="24"/>
                <w:highlight w:val="none"/>
              </w:rPr>
              <w:t>：≥8GB；</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.内存插槽满配时提供的最高内存总容量：≥</w:t>
            </w:r>
            <w:r>
              <w:rPr>
                <w:rFonts w:hint="eastAsia" w:ascii="仿宋_GB2312" w:hAnsi="仿宋_GB2312" w:eastAsia="仿宋_GB2312" w:cs="仿宋_GB2312"/>
                <w:color w:val="auto"/>
                <w:sz w:val="24"/>
                <w:szCs w:val="24"/>
                <w:highlight w:val="none"/>
                <w:lang w:val="en-US" w:eastAsia="zh-CN"/>
              </w:rPr>
              <w:t>16</w:t>
            </w:r>
            <w:r>
              <w:rPr>
                <w:rFonts w:hint="eastAsia" w:ascii="仿宋_GB2312" w:hAnsi="仿宋_GB2312" w:eastAsia="仿宋_GB2312" w:cs="仿宋_GB2312"/>
                <w:color w:val="auto"/>
                <w:sz w:val="24"/>
                <w:szCs w:val="24"/>
                <w:highlight w:val="none"/>
              </w:rPr>
              <w:t>GB</w:t>
            </w:r>
            <w:r>
              <w:rPr>
                <w:rFonts w:hint="eastAsia" w:ascii="仿宋_GB2312" w:hAnsi="仿宋_GB2312" w:eastAsia="仿宋_GB2312" w:cs="仿宋_GB2312"/>
                <w:color w:val="auto"/>
                <w:sz w:val="24"/>
                <w:szCs w:val="24"/>
                <w:highlight w:val="none"/>
                <w:lang w:eastAsia="zh-CN"/>
              </w:rPr>
              <w:t>。</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lang w:val="en-US" w:eastAsia="zh-CN"/>
              </w:rPr>
              <w:t>四</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存储设备规格</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1.固态盘数量：≥1个；</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2.固态存储容量：≥</w:t>
            </w:r>
            <w:r>
              <w:rPr>
                <w:rFonts w:hint="eastAsia" w:ascii="仿宋_GB2312" w:hAnsi="仿宋_GB2312" w:eastAsia="仿宋_GB2312" w:cs="仿宋_GB2312"/>
                <w:color w:val="auto"/>
                <w:sz w:val="24"/>
                <w:szCs w:val="24"/>
                <w:highlight w:val="none"/>
                <w:lang w:val="en-US" w:eastAsia="zh-CN"/>
              </w:rPr>
              <w:t>512</w:t>
            </w:r>
            <w:r>
              <w:rPr>
                <w:rFonts w:hint="eastAsia" w:ascii="仿宋_GB2312" w:hAnsi="仿宋_GB2312" w:eastAsia="仿宋_GB2312" w:cs="仿宋_GB2312"/>
                <w:color w:val="auto"/>
                <w:sz w:val="24"/>
                <w:szCs w:val="24"/>
                <w:highlight w:val="none"/>
              </w:rPr>
              <w:t>GB；</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.固态存储形态：采用插卡或板载等形态，可选用符合M.2或2.5寸SATA或mSATA等标准的插卡形态；</w:t>
            </w:r>
          </w:p>
          <w:p>
            <w:pPr>
              <w:pStyle w:val="247"/>
              <w:kinsoku w:val="0"/>
              <w:overflowPunct w:val="0"/>
              <w:spacing w:before="0" w:line="360" w:lineRule="exact"/>
              <w:ind w:firstLine="240" w:firstLineChars="100"/>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4.储存设备扩展盘位</w:t>
            </w:r>
            <w:r>
              <w:rPr>
                <w:rFonts w:hint="eastAsia" w:ascii="宋体" w:hAnsi="宋体" w:eastAsia="宋体" w:cs="宋体"/>
                <w:color w:val="auto"/>
                <w:sz w:val="24"/>
                <w:szCs w:val="24"/>
                <w:highlight w:val="none"/>
                <w:lang w:val="en-US" w:eastAsia="zh-CN"/>
              </w:rPr>
              <w:t>≥</w:t>
            </w:r>
            <w:r>
              <w:rPr>
                <w:rFonts w:hint="eastAsia" w:ascii="仿宋_GB2312" w:hAnsi="仿宋_GB2312" w:eastAsia="仿宋_GB2312" w:cs="仿宋_GB2312"/>
                <w:color w:val="auto"/>
                <w:sz w:val="24"/>
                <w:szCs w:val="24"/>
                <w:highlight w:val="none"/>
                <w:lang w:val="en-US" w:eastAsia="zh-CN"/>
              </w:rPr>
              <w:t>0；</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.存储设备其他参数要求：a)固态盘应符合SJ/T11654相关规定；侧面固定螺丝孔数量可为4孔或6孔；工作状态环境温度应满足5℃</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55℃；其它参数应符合GB/T12628相关规定</w:t>
            </w:r>
            <w:r>
              <w:rPr>
                <w:rFonts w:hint="eastAsia" w:ascii="仿宋_GB2312" w:hAnsi="仿宋_GB2312" w:eastAsia="仿宋_GB2312" w:cs="仿宋_GB2312"/>
                <w:color w:val="auto"/>
                <w:sz w:val="24"/>
                <w:szCs w:val="24"/>
                <w:highlight w:val="none"/>
                <w:lang w:eastAsia="zh-CN"/>
              </w:rPr>
              <w:t>。</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五</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显卡规格</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1.显卡类型：独立显卡或集成显卡；</w:t>
            </w:r>
          </w:p>
          <w:p>
            <w:pPr>
              <w:pStyle w:val="247"/>
              <w:keepNext w:val="0"/>
              <w:keepLines w:val="0"/>
              <w:pageBreakBefore w:val="0"/>
              <w:widowControl w:val="0"/>
              <w:kinsoku w:val="0"/>
              <w:wordWrap w:val="0"/>
              <w:overflowPunct/>
              <w:topLinePunct w:val="0"/>
              <w:autoSpaceDE w:val="0"/>
              <w:autoSpaceDN w:val="0"/>
              <w:bidi w:val="0"/>
              <w:adjustRightInd w:val="0"/>
              <w:snapToGrid/>
              <w:spacing w:before="0" w:line="360" w:lineRule="exact"/>
              <w:ind w:firstLine="240" w:firstLineChars="1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2.独立显卡显存类型（集成显卡不涉及）：若配置独立显卡，显存类型应为DDR3/DDR4/GDDR5/GDDR6/LPDDR4；</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3.独立显卡显存位宽（集成显卡不涉及）：若配置独立显卡，显存位宽≥32位；</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highlight w:val="none"/>
                <w:lang w:val="en-US" w:eastAsia="zh-CN"/>
              </w:rPr>
              <w:t>4.独立显卡显存容量（集成显卡不涉及）：若配置独立显卡，显存容量≥1GB。</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六</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显示设备规格</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1.显示屏屏占比：≥80%；</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2.显示屏分辨率：≥1920x1080；</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3.显示屏尺寸：≥</w:t>
            </w:r>
            <w:r>
              <w:rPr>
                <w:rFonts w:hint="eastAsia" w:ascii="仿宋_GB2312" w:hAnsi="仿宋_GB2312" w:eastAsia="仿宋_GB2312" w:cs="仿宋_GB2312"/>
                <w:color w:val="auto"/>
                <w:sz w:val="24"/>
                <w:szCs w:val="24"/>
                <w:highlight w:val="none"/>
                <w:lang w:val="en-US" w:eastAsia="zh-CN"/>
              </w:rPr>
              <w:t>14</w:t>
            </w:r>
            <w:r>
              <w:rPr>
                <w:rFonts w:hint="eastAsia" w:ascii="仿宋_GB2312" w:hAnsi="仿宋_GB2312" w:eastAsia="仿宋_GB2312" w:cs="仿宋_GB2312"/>
                <w:color w:val="auto"/>
                <w:sz w:val="24"/>
                <w:szCs w:val="24"/>
                <w:highlight w:val="none"/>
              </w:rPr>
              <w:t>英寸；</w:t>
            </w:r>
          </w:p>
          <w:p>
            <w:pPr>
              <w:pStyle w:val="247"/>
              <w:kinsoku w:val="0"/>
              <w:overflowPunct w:val="0"/>
              <w:spacing w:before="1"/>
              <w:ind w:left="239" w:leftChars="114"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4.显示屏屏幕比例：</w:t>
            </w:r>
            <w:r>
              <w:rPr>
                <w:rFonts w:hint="eastAsia" w:ascii="仿宋_GB2312" w:hAnsi="仿宋_GB2312" w:eastAsia="仿宋_GB2312" w:cs="仿宋_GB2312"/>
                <w:color w:val="auto"/>
                <w:kern w:val="0"/>
                <w:sz w:val="24"/>
                <w:szCs w:val="24"/>
                <w:highlight w:val="none"/>
                <w:lang w:val="en-US" w:eastAsia="zh-CN" w:bidi="ar-SA"/>
              </w:rPr>
              <w:t>16:9/3:2/21:9/16:10等</w:t>
            </w:r>
            <w:r>
              <w:rPr>
                <w:rFonts w:hint="eastAsia" w:ascii="仿宋_GB2312" w:hAnsi="仿宋_GB2312" w:eastAsia="仿宋_GB2312" w:cs="仿宋_GB2312"/>
                <w:color w:val="auto"/>
                <w:sz w:val="24"/>
                <w:szCs w:val="24"/>
                <w:highlight w:val="none"/>
                <w:lang w:val="en-US" w:eastAsia="zh-CN"/>
              </w:rPr>
              <w:t>；</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.显示屏防蓝光：支持防蓝光模式，蓝光加权辐射亮度比应≤0.0012W/(·cd·sr)（瓦每坎特拉每球面度）；</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.显示屏低频闪：显示屏应支持低频闪≤-35dB；</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rPr>
              <w:t>.显示屏防炫目：显示屏镜面反射率≤10%</w:t>
            </w:r>
            <w:r>
              <w:rPr>
                <w:rFonts w:hint="eastAsia" w:ascii="仿宋_GB2312" w:hAnsi="仿宋_GB2312" w:eastAsia="仿宋_GB2312" w:cs="仿宋_GB2312"/>
                <w:color w:val="auto"/>
                <w:sz w:val="24"/>
                <w:szCs w:val="24"/>
                <w:highlight w:val="none"/>
                <w:lang w:eastAsia="zh-CN"/>
              </w:rPr>
              <w:t>。</w:t>
            </w:r>
          </w:p>
          <w:p>
            <w:pPr>
              <w:pStyle w:val="247"/>
              <w:kinsoku w:val="0"/>
              <w:overflowPunct w:val="0"/>
              <w:spacing w:before="0" w:line="360" w:lineRule="exact"/>
              <w:ind w:left="0" w:firstLine="241"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七</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外设规格</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1.传声器数量：≥1个；</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2.扬声器数量：≥1个；</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3.鼠标数量：≥1个；</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4.键盘数量：≥1个；</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5.触控板数量：≥1个；</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6.摄像头数量：≥1个；</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7.键盘按键数目：</w:t>
            </w:r>
            <w:r>
              <w:rPr>
                <w:rFonts w:hint="eastAsia" w:ascii="宋体" w:hAnsi="宋体" w:eastAsia="宋体" w:cs="宋体"/>
                <w:color w:val="auto"/>
                <w:sz w:val="24"/>
                <w:szCs w:val="24"/>
                <w:highlight w:val="none"/>
                <w:lang w:val="en-US" w:eastAsia="zh-CN"/>
              </w:rPr>
              <w:t>≥</w:t>
            </w:r>
            <w:r>
              <w:rPr>
                <w:rFonts w:hint="eastAsia" w:ascii="仿宋_GB2312" w:hAnsi="仿宋_GB2312" w:eastAsia="仿宋_GB2312" w:cs="仿宋_GB2312"/>
                <w:color w:val="auto"/>
                <w:sz w:val="24"/>
                <w:szCs w:val="24"/>
                <w:highlight w:val="none"/>
                <w:lang w:val="en-US" w:eastAsia="zh-CN"/>
              </w:rPr>
              <w:t>62键；</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8.摄像头像素≥100万；</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9.摄像头分辨率≥1280x720；</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10.内置扬声器功率：≥1瓦/个；</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11.内置扬声器频率范围：100Hz-20kHz，其中100Hz-200Hz：35dB及以上；200Hz-12kHz：55dB及以上；12kHz-18kHz：35dB及以上；</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12.内置扬声器总谐波失真：总谐波失真在300Hz-7kHz频率范围内宜不高于5%；</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lang w:val="en-US" w:eastAsia="zh-CN"/>
              </w:rPr>
              <w:t>13.内置扬声器最大声压级：最大声压级在粉红噪声播放场景下，工作距离处声压级宜不低于70dB；</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lang w:val="en-US" w:eastAsia="zh-CN"/>
              </w:rPr>
              <w:t>14.键盘键程：0.9mm～2.3mm；</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lang w:val="en-US" w:eastAsia="zh-CN"/>
              </w:rPr>
              <w:t>15.键盘按键压力：按键压力宜在0.3～0.8N之间；</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lang w:val="en-US" w:eastAsia="zh-CN"/>
              </w:rPr>
              <w:t>16.键盘颜色：黑色；</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17.鼠标连接方式：有线或无线；</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lang w:val="en-US" w:eastAsia="zh-CN"/>
              </w:rPr>
              <w:t>18.有线鼠标连接线：≥1.5米；</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19.鼠标DPI分辨率：800-1600；</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20.鼠标颜色：黑色；</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21.鼠标其他要求：其它参数应符合GB/T26245的相关规定；</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lang w:val="en-US" w:eastAsia="zh-CN"/>
              </w:rPr>
              <w:t>22.触控板尺寸：≥70mm×50mm；</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lang w:val="en-US" w:eastAsia="zh-CN"/>
              </w:rPr>
              <w:t>23.触控板材质：采用麦拉片或玻璃等材质。</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八</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网络设备规格</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有线网卡数量：≥1</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可通过扩展坞支持</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；10/100/1000M自适应</w:t>
            </w:r>
            <w:r>
              <w:rPr>
                <w:rFonts w:hint="eastAsia" w:ascii="仿宋_GB2312" w:hAnsi="仿宋_GB2312" w:eastAsia="仿宋_GB2312" w:cs="仿宋_GB2312"/>
                <w:color w:val="auto"/>
                <w:sz w:val="24"/>
                <w:szCs w:val="24"/>
                <w:highlight w:val="none"/>
                <w:lang w:eastAsia="zh-CN"/>
              </w:rPr>
              <w:t>。</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九</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外部接口规格</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1.USB接口数量：≥3个，至少包含1个USB3.0及以上标准接口</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可通过拓展坞实现</w:t>
            </w:r>
            <w:r>
              <w:rPr>
                <w:rFonts w:hint="eastAsia" w:ascii="仿宋_GB2312" w:hAnsi="仿宋_GB2312" w:eastAsia="仿宋_GB2312" w:cs="仿宋_GB2312"/>
                <w:color w:val="auto"/>
                <w:sz w:val="24"/>
                <w:szCs w:val="24"/>
                <w:highlight w:val="none"/>
                <w:lang w:eastAsia="zh-CN"/>
              </w:rPr>
              <w:t>）；</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2.视频接口数量：≥1；</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3.音频接口数量：≥1；</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4.输入充电接口数量：≥1。</w:t>
            </w:r>
          </w:p>
          <w:p>
            <w:pPr>
              <w:pStyle w:val="247"/>
              <w:kinsoku w:val="0"/>
              <w:overflowPunct w:val="0"/>
              <w:spacing w:before="0" w:line="360" w:lineRule="exact"/>
              <w:ind w:firstLine="241" w:firstLineChars="10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lang w:val="en-US" w:eastAsia="zh-CN"/>
              </w:rPr>
              <w:t>十</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i w:val="0"/>
                <w:color w:val="auto"/>
                <w:kern w:val="0"/>
                <w:sz w:val="24"/>
                <w:szCs w:val="24"/>
                <w:highlight w:val="none"/>
                <w:u w:val="none"/>
                <w:lang w:val="en-US" w:eastAsia="zh-CN"/>
              </w:rPr>
              <w:t>电池规格</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电池额定能量≥50Wh</w:t>
            </w:r>
            <w:r>
              <w:rPr>
                <w:rFonts w:hint="eastAsia" w:ascii="仿宋_GB2312" w:hAnsi="仿宋_GB2312" w:eastAsia="仿宋_GB2312" w:cs="仿宋_GB2312"/>
                <w:color w:val="auto"/>
                <w:sz w:val="24"/>
                <w:szCs w:val="24"/>
                <w:highlight w:val="none"/>
                <w:lang w:eastAsia="zh-CN"/>
              </w:rPr>
              <w:t>；</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2.电池充放电次数：≥500次（常温下500次充放电后电池容量应不低于原始容量的80%）；</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3.电池安全要求：符合GB31241的规定。</w:t>
            </w:r>
          </w:p>
          <w:p>
            <w:pPr>
              <w:pStyle w:val="247"/>
              <w:kinsoku w:val="0"/>
              <w:overflowPunct w:val="0"/>
              <w:spacing w:before="0" w:line="360" w:lineRule="exact"/>
              <w:ind w:firstLine="241" w:firstLineChars="10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lang w:val="en-US" w:eastAsia="zh-CN"/>
              </w:rPr>
              <w:t>十一</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i w:val="0"/>
                <w:color w:val="auto"/>
                <w:kern w:val="0"/>
                <w:sz w:val="24"/>
                <w:szCs w:val="24"/>
                <w:highlight w:val="none"/>
                <w:u w:val="none"/>
                <w:lang w:val="en-US" w:eastAsia="zh-CN"/>
              </w:rPr>
              <w:t>整机基础规格</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整机外观：a)产品表面不应有凹痕、划伤、裂缝、变形和污染等。表面涂层均匀，不应起泡、龟裂、脱落和磨损，金属零部件无锈蚀及其它机械损伤；b)产品表面说明功能的文字、符号、标志，应清晰、端正、牢固；c）宜在产品显著位置提供运行状态指示功能；并由生产产商提供详细参数；</w:t>
            </w:r>
          </w:p>
          <w:p>
            <w:pPr>
              <w:pStyle w:val="247"/>
              <w:keepNext w:val="0"/>
              <w:keepLines w:val="0"/>
              <w:pageBreakBefore w:val="0"/>
              <w:widowControl w:val="0"/>
              <w:kinsoku w:val="0"/>
              <w:wordWrap w:val="0"/>
              <w:overflowPunct/>
              <w:topLinePunct w:val="0"/>
              <w:autoSpaceDE w:val="0"/>
              <w:autoSpaceDN w:val="0"/>
              <w:bidi w:val="0"/>
              <w:adjustRightInd w:val="0"/>
              <w:snapToGrid/>
              <w:spacing w:before="0" w:line="360" w:lineRule="exact"/>
              <w:ind w:left="0" w:firstLine="240" w:firstLineChars="1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整机结构：a)产品应符合GB/T4208的相关规定；b)产品内部结构应符合通用部件的安装需要；c)所有输入输出接口应符合相关国家或行业标准；d)产品零部件应紧固无松动，可插拔部件应可靠连接，开关、按钮和其它控制部件应灵活可靠，布局应方便使用；e)所有I/O连接器及需插接线缆的部位应预留用户操作空间，方便插拔解锁与插拔线缆；f)可插拔板卡插槽部位应预留安装、拆卸或更换板卡空间；g)拆装可能接触到的金属剪口或金属尖角部位应做防划伤处理，以保证安全；h)整机内部走线应规整，固线结构和位置要合理可靠并做防割线处理，需便于理线和插拔操作，走线应不影响系统各主要部件组装和拆卸；i)如需通过孔走线，过线孔应做防割线处理；j)各插头位置和插拔方向应合理，应做到插拔无障碍设计，具备防呆设计，有效避免误操作；k)各主要部件拆装无障碍，使用常规工具拆装，无特殊拆装工具需求；l)各主要部件拆装步骤要少，各自拆装需避免相互干扰；m)对于整机或零部件外表面为高亮面的，应粘贴保护膜，保护膜需粘贴牢固，运输、组装等过程不易脱落，撕下无残留；n)显示屏的开合机械寿命应能承受至少15000次的显示屏开合，显示屏机械转轴的扭力应保持初始状态下扭力的75%以上；o)其它要求应符合GB/T9813.2的相关规定；</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3.整机噪音：25℃环温条件，空闲小于等于38dBA满载小于等于45dBA；</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整机散热：产品在环境温度25℃且运行在满载的状态下，可触及面温度范围内应不高于45℃，各表面温度应符合以下要求：a)键帽温度不高于38℃；b)键盘间隙温度不高于40℃；c)掌托温度不高于38℃；d)触控板温度不高于38℃；e)底壳温度不高于45℃；</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5.整机能效限定值：产品能效限定值应达到GB28380-2012标准中能效等级2级及以上；</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6.机身颜色：</w:t>
            </w:r>
            <w:r>
              <w:rPr>
                <w:rFonts w:hint="eastAsia" w:ascii="仿宋_GB2312" w:hAnsi="仿宋_GB2312" w:eastAsia="仿宋_GB2312" w:cs="仿宋_GB2312"/>
                <w:color w:val="auto"/>
                <w:kern w:val="0"/>
                <w:sz w:val="24"/>
                <w:szCs w:val="24"/>
                <w:highlight w:val="none"/>
                <w:u w:val="none"/>
                <w:lang w:val="en-US" w:eastAsia="zh-CN"/>
              </w:rPr>
              <w:t>一般选用灰色/黑色等商务色系</w:t>
            </w:r>
            <w:r>
              <w:rPr>
                <w:rFonts w:hint="eastAsia" w:ascii="仿宋_GB2312" w:hAnsi="仿宋_GB2312" w:eastAsia="仿宋_GB2312" w:cs="仿宋_GB2312"/>
                <w:color w:val="auto"/>
                <w:sz w:val="24"/>
                <w:szCs w:val="24"/>
                <w:highlight w:val="none"/>
                <w:lang w:val="en-US" w:eastAsia="zh-CN"/>
              </w:rPr>
              <w:t>；</w:t>
            </w:r>
          </w:p>
          <w:p>
            <w:pPr>
              <w:pStyle w:val="247"/>
              <w:kinsoku w:val="0"/>
              <w:overflowPunct w:val="0"/>
              <w:spacing w:before="0" w:line="360" w:lineRule="exact"/>
              <w:ind w:firstLine="240" w:firstLineChars="100"/>
              <w:rPr>
                <w:rFonts w:hint="eastAsia" w:ascii="仿宋_GB2312" w:hAnsi="仿宋_GB2312" w:eastAsia="仿宋_GB2312" w:cs="仿宋_GB2312"/>
                <w:i w:val="0"/>
                <w:color w:val="auto"/>
                <w:kern w:val="0"/>
                <w:sz w:val="24"/>
                <w:szCs w:val="24"/>
                <w:highlight w:val="none"/>
                <w:u w:val="none"/>
                <w:lang w:val="en-US" w:eastAsia="zh-CN"/>
              </w:rPr>
            </w:pPr>
            <w:r>
              <w:rPr>
                <w:rFonts w:hint="eastAsia" w:ascii="仿宋_GB2312" w:hAnsi="仿宋_GB2312" w:eastAsia="仿宋_GB2312" w:cs="仿宋_GB2312"/>
                <w:b w:val="0"/>
                <w:bCs w:val="0"/>
                <w:i w:val="0"/>
                <w:color w:val="auto"/>
                <w:kern w:val="0"/>
                <w:sz w:val="24"/>
                <w:szCs w:val="24"/>
                <w:highlight w:val="none"/>
                <w:u w:val="none"/>
                <w:lang w:val="en-US" w:eastAsia="zh-CN"/>
              </w:rPr>
              <w:t>7.</w:t>
            </w:r>
            <w:r>
              <w:rPr>
                <w:rFonts w:hint="eastAsia" w:ascii="仿宋_GB2312" w:hAnsi="仿宋_GB2312" w:eastAsia="仿宋_GB2312" w:cs="仿宋_GB2312"/>
                <w:i w:val="0"/>
                <w:color w:val="auto"/>
                <w:kern w:val="0"/>
                <w:sz w:val="24"/>
                <w:szCs w:val="24"/>
                <w:highlight w:val="none"/>
                <w:u w:val="none"/>
                <w:lang w:val="en-US" w:eastAsia="zh-CN"/>
              </w:rPr>
              <w:t>整机重量≤2.2kg；</w:t>
            </w:r>
          </w:p>
          <w:p>
            <w:pPr>
              <w:pStyle w:val="247"/>
              <w:kinsoku w:val="0"/>
              <w:overflowPunct w:val="0"/>
              <w:spacing w:before="0" w:line="360" w:lineRule="exact"/>
              <w:ind w:firstLine="240" w:firstLineChars="100"/>
              <w:rPr>
                <w:rFonts w:hint="eastAsia" w:ascii="仿宋_GB2312" w:hAnsi="仿宋_GB2312" w:eastAsia="仿宋_GB2312" w:cs="仿宋_GB2312"/>
                <w:i w:val="0"/>
                <w:color w:val="auto"/>
                <w:kern w:val="0"/>
                <w:sz w:val="24"/>
                <w:szCs w:val="24"/>
                <w:highlight w:val="none"/>
                <w:u w:val="none"/>
                <w:lang w:val="en-US" w:eastAsia="zh-CN"/>
              </w:rPr>
            </w:pPr>
            <w:r>
              <w:rPr>
                <w:rFonts w:hint="eastAsia" w:ascii="仿宋_GB2312" w:hAnsi="仿宋_GB2312" w:eastAsia="仿宋_GB2312" w:cs="仿宋_GB2312"/>
                <w:i w:val="0"/>
                <w:color w:val="auto"/>
                <w:kern w:val="0"/>
                <w:sz w:val="24"/>
                <w:szCs w:val="24"/>
                <w:highlight w:val="none"/>
                <w:u w:val="none"/>
                <w:lang w:val="en-US" w:eastAsia="zh-CN"/>
              </w:rPr>
              <w:t>8.整机厚度≤22mm（不含脚垫）；</w:t>
            </w:r>
          </w:p>
          <w:p>
            <w:pPr>
              <w:pStyle w:val="247"/>
              <w:kinsoku w:val="0"/>
              <w:overflowPunct w:val="0"/>
              <w:spacing w:before="0" w:line="360" w:lineRule="exact"/>
              <w:ind w:firstLine="240" w:firstLineChars="100"/>
              <w:rPr>
                <w:rFonts w:hint="eastAsia" w:ascii="仿宋_GB2312" w:hAnsi="仿宋_GB2312" w:eastAsia="仿宋_GB2312" w:cs="仿宋_GB2312"/>
                <w:b w:val="0"/>
                <w:bCs w:val="0"/>
                <w:i w:val="0"/>
                <w:color w:val="auto"/>
                <w:kern w:val="0"/>
                <w:sz w:val="24"/>
                <w:szCs w:val="24"/>
                <w:highlight w:val="none"/>
                <w:u w:val="none"/>
                <w:lang w:val="en-US" w:eastAsia="zh-CN"/>
              </w:rPr>
            </w:pPr>
            <w:r>
              <w:rPr>
                <w:rFonts w:hint="eastAsia" w:ascii="仿宋_GB2312" w:hAnsi="仿宋_GB2312" w:eastAsia="仿宋_GB2312" w:cs="仿宋_GB2312"/>
                <w:i w:val="0"/>
                <w:color w:val="auto"/>
                <w:kern w:val="0"/>
                <w:sz w:val="24"/>
                <w:szCs w:val="24"/>
                <w:highlight w:val="none"/>
                <w:u w:val="none"/>
                <w:lang w:val="en-US" w:eastAsia="zh-CN"/>
              </w:rPr>
              <w:t>9.电脑包：</w:t>
            </w:r>
            <w:r>
              <w:rPr>
                <w:rFonts w:hint="eastAsia" w:ascii="仿宋_GB2312" w:hAnsi="仿宋_GB2312" w:eastAsia="仿宋_GB2312" w:cs="仿宋_GB2312"/>
                <w:color w:val="auto"/>
                <w:sz w:val="24"/>
                <w:szCs w:val="24"/>
                <w:highlight w:val="none"/>
              </w:rPr>
              <w:t>1个；</w:t>
            </w:r>
            <w:r>
              <w:rPr>
                <w:rFonts w:hint="eastAsia" w:ascii="仿宋_GB2312" w:hAnsi="仿宋_GB2312" w:eastAsia="仿宋_GB2312" w:cs="仿宋_GB2312"/>
                <w:i w:val="0"/>
                <w:color w:val="auto"/>
                <w:kern w:val="0"/>
                <w:sz w:val="24"/>
                <w:szCs w:val="24"/>
                <w:highlight w:val="none"/>
                <w:u w:val="none"/>
                <w:lang w:val="en-US" w:eastAsia="zh-CN"/>
              </w:rPr>
              <w:t>黑色，</w:t>
            </w:r>
            <w:r>
              <w:rPr>
                <w:rFonts w:hint="eastAsia" w:ascii="仿宋_GB2312" w:hAnsi="仿宋_GB2312" w:eastAsia="仿宋_GB2312" w:cs="仿宋_GB2312"/>
                <w:color w:val="auto"/>
                <w:kern w:val="0"/>
                <w:sz w:val="24"/>
                <w:szCs w:val="24"/>
                <w:highlight w:val="none"/>
                <w:u w:val="none"/>
                <w:lang w:val="en-US" w:eastAsia="zh-CN"/>
              </w:rPr>
              <w:t>一般选用灰色/黑色等商务色系</w:t>
            </w:r>
            <w:r>
              <w:rPr>
                <w:rFonts w:hint="eastAsia" w:ascii="仿宋_GB2312" w:hAnsi="仿宋_GB2312" w:eastAsia="仿宋_GB2312" w:cs="仿宋_GB2312"/>
                <w:i w:val="0"/>
                <w:color w:val="auto"/>
                <w:kern w:val="0"/>
                <w:sz w:val="24"/>
                <w:szCs w:val="24"/>
                <w:highlight w:val="none"/>
                <w:u w:val="none"/>
                <w:lang w:val="en-US" w:eastAsia="zh-CN"/>
              </w:rPr>
              <w:t>。</w:t>
            </w:r>
          </w:p>
          <w:p>
            <w:pPr>
              <w:pStyle w:val="247"/>
              <w:kinsoku w:val="0"/>
              <w:overflowPunct w:val="0"/>
              <w:spacing w:before="0" w:line="360" w:lineRule="exact"/>
              <w:ind w:left="0" w:firstLine="0" w:firstLineChars="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二、产品性能要求</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lang w:val="en-US" w:eastAsia="zh-CN"/>
              </w:rPr>
              <w:t>一</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CPU性能</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1.CPU物理核数：≥8；</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2.CPU主频：≥</w:t>
            </w:r>
            <w:r>
              <w:rPr>
                <w:rFonts w:hint="eastAsia" w:ascii="仿宋_GB2312" w:hAnsi="仿宋_GB2312" w:eastAsia="仿宋_GB2312" w:cs="仿宋_GB2312"/>
                <w:color w:val="auto"/>
                <w:sz w:val="24"/>
                <w:szCs w:val="24"/>
                <w:highlight w:val="none"/>
                <w:lang w:val="en-US" w:eastAsia="zh-CN"/>
              </w:rPr>
              <w:t>2.7</w:t>
            </w:r>
            <w:r>
              <w:rPr>
                <w:rFonts w:hint="eastAsia" w:ascii="仿宋_GB2312" w:hAnsi="仿宋_GB2312" w:eastAsia="仿宋_GB2312" w:cs="仿宋_GB2312"/>
                <w:color w:val="auto"/>
                <w:sz w:val="24"/>
                <w:szCs w:val="24"/>
                <w:highlight w:val="none"/>
              </w:rPr>
              <w:t>GHz；</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3.CPU末级缓存容量≥2MB</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4.CPU支持的内存最高速率≥2666MT/s。</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二</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内存性能</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内存读写速率：≥2666MT/s</w:t>
            </w:r>
            <w:r>
              <w:rPr>
                <w:rFonts w:hint="eastAsia" w:ascii="仿宋_GB2312" w:hAnsi="仿宋_GB2312" w:eastAsia="仿宋_GB2312" w:cs="仿宋_GB2312"/>
                <w:color w:val="auto"/>
                <w:sz w:val="24"/>
                <w:szCs w:val="24"/>
                <w:highlight w:val="none"/>
                <w:lang w:eastAsia="zh-CN"/>
              </w:rPr>
              <w:t>。</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三</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显卡性能</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1.显示分辨率：≥1920*1080；</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2.显卡显示芯片核心频率：≥300MHz；</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3.显存等效频率:≥1000MT/s；</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4.显卡可支持多屏同时显示数量:显卡应支持2块屏幕同时显示，分辨率应不低于1920×1080。</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四</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显示设备性能</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1.显示屏刷新率：≥</w:t>
            </w:r>
            <w:r>
              <w:rPr>
                <w:rFonts w:hint="eastAsia" w:ascii="仿宋_GB2312" w:hAnsi="仿宋_GB2312" w:eastAsia="仿宋_GB2312" w:cs="仿宋_GB2312"/>
                <w:color w:val="auto"/>
                <w:sz w:val="24"/>
                <w:szCs w:val="24"/>
                <w:highlight w:val="none"/>
                <w:lang w:val="en-US" w:eastAsia="zh-CN"/>
              </w:rPr>
              <w:t>60</w:t>
            </w:r>
            <w:r>
              <w:rPr>
                <w:rFonts w:hint="eastAsia" w:ascii="仿宋_GB2312" w:hAnsi="仿宋_GB2312" w:eastAsia="仿宋_GB2312" w:cs="仿宋_GB2312"/>
                <w:color w:val="auto"/>
                <w:sz w:val="24"/>
                <w:szCs w:val="24"/>
                <w:highlight w:val="none"/>
              </w:rPr>
              <w:t>Hz；</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2.显示屏位深：≥8位；</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3.显示屏色域：≥99%sRGB；</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4.显示屏色准：△E≤4；</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5.显示屏响应时间：</w:t>
            </w:r>
            <w:r>
              <w:rPr>
                <w:rFonts w:hint="eastAsia" w:ascii="仿宋_GB2312" w:hAnsi="仿宋_GB2312" w:eastAsia="仿宋_GB2312" w:cs="仿宋_GB2312"/>
                <w:i w:val="0"/>
                <w:color w:val="auto"/>
                <w:kern w:val="0"/>
                <w:sz w:val="24"/>
                <w:szCs w:val="24"/>
                <w:highlight w:val="none"/>
                <w:u w:val="none"/>
                <w:lang w:val="en-US" w:eastAsia="zh-CN"/>
              </w:rPr>
              <w:t>≤30ms；</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6.显示屏亮度：≥250尼特；</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7.显示屏亮度一致性：≥70%；</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8.显示屏对比度：≥500：1；</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9.显示屏其他参数:其它参数应符合SJ/T11292的相关规定。</w:t>
            </w:r>
          </w:p>
          <w:p>
            <w:pPr>
              <w:pStyle w:val="247"/>
              <w:kinsoku w:val="0"/>
              <w:overflowPunct w:val="0"/>
              <w:spacing w:before="0" w:line="360" w:lineRule="exact"/>
              <w:ind w:firstLine="241"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五</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网络设备性能</w:t>
            </w:r>
          </w:p>
          <w:p>
            <w:pPr>
              <w:pStyle w:val="247"/>
              <w:keepNext w:val="0"/>
              <w:keepLines w:val="0"/>
              <w:pageBreakBefore w:val="0"/>
              <w:widowControl w:val="0"/>
              <w:kinsoku w:val="0"/>
              <w:wordWrap w:val="0"/>
              <w:overflowPunct/>
              <w:topLinePunct w:val="0"/>
              <w:autoSpaceDE w:val="0"/>
              <w:autoSpaceDN w:val="0"/>
              <w:bidi w:val="0"/>
              <w:adjustRightInd w:val="0"/>
              <w:snapToGrid/>
              <w:spacing w:before="1"/>
              <w:ind w:firstLine="240" w:firstLineChars="1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1.有线网卡速率：最高速率应不低于1000Mbps，应支持10Mbps、100Mbps、1000Mbps速率自适应；</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2.支持无线网络通信技术协议：支持WAPI或WiFi5.0及以上协议；</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3.无线网卡频宽:≥20MHz。</w:t>
            </w:r>
          </w:p>
          <w:p>
            <w:pPr>
              <w:pStyle w:val="247"/>
              <w:kinsoku w:val="0"/>
              <w:overflowPunct w:val="0"/>
              <w:spacing w:before="0" w:line="360" w:lineRule="exact"/>
              <w:ind w:firstLine="241" w:firstLineChars="100"/>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（六）电源适配器性能</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电源适配器电源效率：在20%/50%/100%负载下效率均应不低于87%。</w:t>
            </w:r>
          </w:p>
          <w:p>
            <w:pPr>
              <w:pStyle w:val="247"/>
              <w:kinsoku w:val="0"/>
              <w:overflowPunct w:val="0"/>
              <w:spacing w:before="0" w:line="360" w:lineRule="exact"/>
              <w:ind w:firstLine="241" w:firstLineChars="10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（七）待机性能</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满载待机性能（LTP）≥1.5小时。</w:t>
            </w:r>
          </w:p>
          <w:p>
            <w:pPr>
              <w:pStyle w:val="247"/>
              <w:kinsoku w:val="0"/>
              <w:overflowPunct w:val="0"/>
              <w:spacing w:before="0" w:line="360" w:lineRule="exact"/>
              <w:ind w:left="0" w:firstLine="0" w:firstLineChars="0"/>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val="en-US" w:eastAsia="zh-CN"/>
              </w:rPr>
              <w:t>三、产品功能要求</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lang w:val="en-US" w:eastAsia="zh-CN"/>
              </w:rPr>
              <w:t>一</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主板功能</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1.内存扩展接口(板载内存不涉及)：≥1个；</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2.主板USB瞬间过流保护：支持瞬间过流保护功能；</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3.主板防静电保护：支持防静电保护功能；</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I/O接口功能：内置或通过扩展坞支持数据传输接口、视频接口、音频接口、网络接口、电源接口等各类标准接口产品应集成键盘、触控板输入部件，同时应具备接入键盘、鼠标、写字板等外设的能力，宜支持触摸屏、语音交互、手写笔等人机交互功能。</w:t>
            </w:r>
          </w:p>
          <w:p>
            <w:pPr>
              <w:pStyle w:val="247"/>
              <w:kinsoku w:val="0"/>
              <w:overflowPunct w:val="0"/>
              <w:spacing w:before="0" w:line="360" w:lineRule="exact"/>
              <w:ind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i w:val="0"/>
                <w:color w:val="auto"/>
                <w:kern w:val="0"/>
                <w:sz w:val="24"/>
                <w:szCs w:val="24"/>
                <w:highlight w:val="none"/>
                <w:u w:val="none"/>
                <w:lang w:eastAsia="zh-CN"/>
              </w:rPr>
              <w:t>（</w:t>
            </w:r>
            <w:r>
              <w:rPr>
                <w:rFonts w:hint="eastAsia" w:ascii="仿宋_GB2312" w:hAnsi="仿宋_GB2312" w:eastAsia="仿宋_GB2312" w:cs="仿宋_GB2312"/>
                <w:b/>
                <w:bCs/>
                <w:i w:val="0"/>
                <w:color w:val="auto"/>
                <w:kern w:val="0"/>
                <w:sz w:val="24"/>
                <w:szCs w:val="24"/>
                <w:highlight w:val="none"/>
                <w:u w:val="none"/>
                <w:lang w:val="en-US" w:eastAsia="zh-CN"/>
              </w:rPr>
              <w:t>二</w:t>
            </w:r>
            <w:r>
              <w:rPr>
                <w:rFonts w:hint="eastAsia" w:ascii="仿宋_GB2312" w:hAnsi="仿宋_GB2312" w:eastAsia="仿宋_GB2312" w:cs="仿宋_GB2312"/>
                <w:b/>
                <w:bCs/>
                <w:i w:val="0"/>
                <w:color w:val="auto"/>
                <w:kern w:val="0"/>
                <w:sz w:val="24"/>
                <w:szCs w:val="24"/>
                <w:highlight w:val="none"/>
                <w:u w:val="none"/>
                <w:lang w:eastAsia="zh-CN"/>
              </w:rPr>
              <w:t>）</w:t>
            </w:r>
            <w:r>
              <w:rPr>
                <w:rFonts w:hint="eastAsia" w:ascii="仿宋_GB2312" w:hAnsi="仿宋_GB2312" w:eastAsia="仿宋_GB2312" w:cs="仿宋_GB2312"/>
                <w:b/>
                <w:bCs/>
                <w:i w:val="0"/>
                <w:color w:val="auto"/>
                <w:kern w:val="0"/>
                <w:sz w:val="24"/>
                <w:szCs w:val="24"/>
                <w:highlight w:val="none"/>
                <w:u w:val="none"/>
                <w:lang w:val="en-US" w:eastAsia="zh-CN"/>
              </w:rPr>
              <w:t>显卡</w:t>
            </w:r>
            <w:r>
              <w:rPr>
                <w:rFonts w:hint="eastAsia" w:ascii="仿宋_GB2312" w:hAnsi="仿宋_GB2312" w:eastAsia="仿宋_GB2312" w:cs="仿宋_GB2312"/>
                <w:b/>
                <w:bCs/>
                <w:i w:val="0"/>
                <w:color w:val="auto"/>
                <w:kern w:val="0"/>
                <w:sz w:val="24"/>
                <w:szCs w:val="24"/>
                <w:highlight w:val="none"/>
                <w:u w:val="none"/>
                <w:lang w:eastAsia="zh-CN"/>
              </w:rPr>
              <w:t>功能</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1.显卡外接显示接口：至少支持VGA、HDMI、DVI、DP、Type-C中1种显示接口；</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2.显示功能：支持显示屏，同时应支持外接显示器。显示屏和外接显示器应支持多屏同时显示，显示模式应支持复制模式和扩展模式。</w:t>
            </w:r>
          </w:p>
          <w:p>
            <w:pPr>
              <w:pStyle w:val="247"/>
              <w:kinsoku w:val="0"/>
              <w:overflowPunct w:val="0"/>
              <w:spacing w:before="0" w:line="360" w:lineRule="exact"/>
              <w:ind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i w:val="0"/>
                <w:color w:val="auto"/>
                <w:kern w:val="0"/>
                <w:sz w:val="24"/>
                <w:szCs w:val="24"/>
                <w:highlight w:val="none"/>
                <w:u w:val="none"/>
                <w:lang w:eastAsia="zh-CN"/>
              </w:rPr>
              <w:t>（</w:t>
            </w:r>
            <w:r>
              <w:rPr>
                <w:rFonts w:hint="eastAsia" w:ascii="仿宋_GB2312" w:hAnsi="仿宋_GB2312" w:eastAsia="仿宋_GB2312" w:cs="仿宋_GB2312"/>
                <w:b/>
                <w:bCs/>
                <w:i w:val="0"/>
                <w:color w:val="auto"/>
                <w:kern w:val="0"/>
                <w:sz w:val="24"/>
                <w:szCs w:val="24"/>
                <w:highlight w:val="none"/>
                <w:u w:val="none"/>
                <w:lang w:val="en-US" w:eastAsia="zh-CN"/>
              </w:rPr>
              <w:t>三</w:t>
            </w:r>
            <w:r>
              <w:rPr>
                <w:rFonts w:hint="eastAsia" w:ascii="仿宋_GB2312" w:hAnsi="仿宋_GB2312" w:eastAsia="仿宋_GB2312" w:cs="仿宋_GB2312"/>
                <w:b/>
                <w:bCs/>
                <w:i w:val="0"/>
                <w:color w:val="auto"/>
                <w:kern w:val="0"/>
                <w:sz w:val="24"/>
                <w:szCs w:val="24"/>
                <w:highlight w:val="none"/>
                <w:u w:val="none"/>
                <w:lang w:eastAsia="zh-CN"/>
              </w:rPr>
              <w:t>）光驱功能</w:t>
            </w:r>
          </w:p>
          <w:p>
            <w:pPr>
              <w:pStyle w:val="247"/>
              <w:kinsoku w:val="0"/>
              <w:overflowPunct w:val="0"/>
              <w:spacing w:before="0" w:line="360" w:lineRule="exact"/>
              <w:ind w:left="0" w:firstLine="240" w:firstLineChars="100"/>
              <w:rPr>
                <w:rFonts w:hint="eastAsia" w:ascii="仿宋_GB2312" w:hAnsi="仿宋_GB2312" w:eastAsia="仿宋_GB2312" w:cs="仿宋_GB2312"/>
                <w:i w:val="0"/>
                <w:color w:val="auto"/>
                <w:kern w:val="0"/>
                <w:sz w:val="24"/>
                <w:szCs w:val="24"/>
                <w:highlight w:val="none"/>
                <w:u w:val="none"/>
                <w:lang w:val="en-US" w:eastAsia="zh-CN"/>
              </w:rPr>
            </w:pPr>
            <w:r>
              <w:rPr>
                <w:rFonts w:hint="eastAsia" w:ascii="仿宋_GB2312" w:hAnsi="仿宋_GB2312" w:eastAsia="仿宋_GB2312" w:cs="仿宋_GB2312"/>
                <w:i w:val="0"/>
                <w:color w:val="auto"/>
                <w:kern w:val="0"/>
                <w:sz w:val="24"/>
                <w:szCs w:val="24"/>
                <w:highlight w:val="none"/>
                <w:u w:val="none"/>
                <w:lang w:val="en-US" w:eastAsia="zh-CN"/>
              </w:rPr>
              <w:t>光驱应支持只读、刻录等类型；最大读取速度CD不低于24×150KB/s；最大读取速度DVD不低于8×358KB/s；最大刻录速度CD不低于24×150KB/s；最大刻录速度DVD不低于6×1358KB/s；兼容光盘类型包含只读光盘、可读写光盘、可擦写光盘等。</w:t>
            </w:r>
          </w:p>
          <w:p>
            <w:pPr>
              <w:pStyle w:val="247"/>
              <w:kinsoku w:val="0"/>
              <w:overflowPunct w:val="0"/>
              <w:spacing w:before="0" w:line="360" w:lineRule="exact"/>
              <w:ind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i w:val="0"/>
                <w:color w:val="auto"/>
                <w:kern w:val="0"/>
                <w:sz w:val="24"/>
                <w:szCs w:val="24"/>
                <w:highlight w:val="none"/>
                <w:u w:val="none"/>
                <w:lang w:eastAsia="zh-CN"/>
              </w:rPr>
              <w:t>（</w:t>
            </w:r>
            <w:r>
              <w:rPr>
                <w:rFonts w:hint="eastAsia" w:ascii="仿宋_GB2312" w:hAnsi="仿宋_GB2312" w:eastAsia="仿宋_GB2312" w:cs="仿宋_GB2312"/>
                <w:b/>
                <w:bCs/>
                <w:i w:val="0"/>
                <w:color w:val="auto"/>
                <w:kern w:val="0"/>
                <w:sz w:val="24"/>
                <w:szCs w:val="24"/>
                <w:highlight w:val="none"/>
                <w:u w:val="none"/>
                <w:lang w:val="en-US" w:eastAsia="zh-CN"/>
              </w:rPr>
              <w:t>四</w:t>
            </w:r>
            <w:r>
              <w:rPr>
                <w:rFonts w:hint="eastAsia" w:ascii="仿宋_GB2312" w:hAnsi="仿宋_GB2312" w:eastAsia="仿宋_GB2312" w:cs="仿宋_GB2312"/>
                <w:b/>
                <w:bCs/>
                <w:i w:val="0"/>
                <w:color w:val="auto"/>
                <w:kern w:val="0"/>
                <w:sz w:val="24"/>
                <w:szCs w:val="24"/>
                <w:highlight w:val="none"/>
                <w:u w:val="none"/>
                <w:lang w:eastAsia="zh-CN"/>
              </w:rPr>
              <w:t>）</w:t>
            </w:r>
            <w:r>
              <w:rPr>
                <w:rFonts w:hint="eastAsia" w:ascii="仿宋_GB2312" w:hAnsi="仿宋_GB2312" w:eastAsia="仿宋_GB2312" w:cs="仿宋_GB2312"/>
                <w:b/>
                <w:bCs/>
                <w:i w:val="0"/>
                <w:color w:val="auto"/>
                <w:kern w:val="0"/>
                <w:sz w:val="24"/>
                <w:szCs w:val="24"/>
                <w:highlight w:val="none"/>
                <w:u w:val="none"/>
                <w:lang w:val="en-US" w:eastAsia="zh-CN"/>
              </w:rPr>
              <w:t>存储</w:t>
            </w:r>
            <w:r>
              <w:rPr>
                <w:rFonts w:hint="eastAsia" w:ascii="仿宋_GB2312" w:hAnsi="仿宋_GB2312" w:eastAsia="仿宋_GB2312" w:cs="仿宋_GB2312"/>
                <w:b/>
                <w:bCs/>
                <w:i w:val="0"/>
                <w:color w:val="auto"/>
                <w:kern w:val="0"/>
                <w:sz w:val="24"/>
                <w:szCs w:val="24"/>
                <w:highlight w:val="none"/>
                <w:u w:val="none"/>
                <w:lang w:eastAsia="zh-CN"/>
              </w:rPr>
              <w:t>功能</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存储功能：支持信息存储功能，包括支持易失性存储功能和非易失性存储功能。为提升存储性能和降低存储功耗，非易失性存储宜支持固态存储设备，如SSD/UFS。产品应支持外出接口可以与独立的存储设备进行数据交互。</w:t>
            </w:r>
          </w:p>
          <w:p>
            <w:pPr>
              <w:pStyle w:val="247"/>
              <w:kinsoku w:val="0"/>
              <w:overflowPunct w:val="0"/>
              <w:spacing w:before="0" w:line="360" w:lineRule="exact"/>
              <w:ind w:firstLine="241" w:firstLineChars="100"/>
              <w:rPr>
                <w:rFonts w:hint="eastAsia" w:ascii="仿宋_GB2312" w:hAnsi="仿宋_GB2312" w:eastAsia="仿宋_GB2312" w:cs="仿宋_GB2312"/>
                <w:b/>
                <w:bCs/>
                <w:i w:val="0"/>
                <w:color w:val="auto"/>
                <w:kern w:val="0"/>
                <w:sz w:val="24"/>
                <w:szCs w:val="24"/>
                <w:highlight w:val="none"/>
                <w:u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i w:val="0"/>
                <w:color w:val="auto"/>
                <w:kern w:val="0"/>
                <w:sz w:val="24"/>
                <w:szCs w:val="24"/>
                <w:highlight w:val="none"/>
                <w:u w:val="none"/>
                <w:lang w:eastAsia="zh-CN"/>
              </w:rPr>
              <w:t>（</w:t>
            </w:r>
            <w:r>
              <w:rPr>
                <w:rFonts w:hint="eastAsia" w:ascii="仿宋_GB2312" w:hAnsi="仿宋_GB2312" w:eastAsia="仿宋_GB2312" w:cs="仿宋_GB2312"/>
                <w:b/>
                <w:bCs/>
                <w:i w:val="0"/>
                <w:color w:val="auto"/>
                <w:kern w:val="0"/>
                <w:sz w:val="24"/>
                <w:szCs w:val="24"/>
                <w:highlight w:val="none"/>
                <w:u w:val="none"/>
                <w:lang w:val="en-US" w:eastAsia="zh-CN"/>
              </w:rPr>
              <w:t>五</w:t>
            </w:r>
            <w:r>
              <w:rPr>
                <w:rFonts w:hint="eastAsia" w:ascii="仿宋_GB2312" w:hAnsi="仿宋_GB2312" w:eastAsia="仿宋_GB2312" w:cs="仿宋_GB2312"/>
                <w:b/>
                <w:bCs/>
                <w:i w:val="0"/>
                <w:color w:val="auto"/>
                <w:kern w:val="0"/>
                <w:sz w:val="24"/>
                <w:szCs w:val="24"/>
                <w:highlight w:val="none"/>
                <w:u w:val="none"/>
                <w:lang w:eastAsia="zh-CN"/>
              </w:rPr>
              <w:t>）</w:t>
            </w:r>
            <w:r>
              <w:rPr>
                <w:rFonts w:hint="eastAsia" w:ascii="仿宋_GB2312" w:hAnsi="仿宋_GB2312" w:eastAsia="仿宋_GB2312" w:cs="仿宋_GB2312"/>
                <w:b/>
                <w:bCs/>
                <w:i w:val="0"/>
                <w:color w:val="auto"/>
                <w:kern w:val="0"/>
                <w:sz w:val="24"/>
                <w:szCs w:val="24"/>
                <w:highlight w:val="none"/>
                <w:u w:val="none"/>
                <w:lang w:val="en-US" w:eastAsia="zh-CN"/>
              </w:rPr>
              <w:t>网络设备功能</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1.网络功能：a)支持网络连接、网络开启/关闭功能；b)支持访问网络和数据交换功能；</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2.无线网卡频段：支持双频段；</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3.数据传输：支持数据传输能力，并提供数据流量和异常日志记录功能；</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4.蓝牙协议：支持蓝牙模块，蓝牙协议不低于5.0版本；</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5.无线网卡标准：符合GB15629.11所有部分。</w:t>
            </w:r>
          </w:p>
          <w:p>
            <w:pPr>
              <w:pStyle w:val="247"/>
              <w:kinsoku w:val="0"/>
              <w:overflowPunct w:val="0"/>
              <w:spacing w:before="0" w:line="360" w:lineRule="exact"/>
              <w:ind w:firstLine="241" w:firstLineChars="100"/>
              <w:rPr>
                <w:rFonts w:hint="eastAsia" w:ascii="仿宋_GB2312" w:hAnsi="仿宋_GB2312" w:eastAsia="仿宋_GB2312" w:cs="仿宋_GB2312"/>
                <w:b/>
                <w:bCs/>
                <w:i w:val="0"/>
                <w:color w:val="auto"/>
                <w:kern w:val="0"/>
                <w:sz w:val="24"/>
                <w:szCs w:val="24"/>
                <w:highlight w:val="none"/>
                <w:u w:val="none"/>
                <w:lang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i w:val="0"/>
                <w:color w:val="auto"/>
                <w:kern w:val="0"/>
                <w:sz w:val="24"/>
                <w:szCs w:val="24"/>
                <w:highlight w:val="none"/>
                <w:u w:val="none"/>
                <w:lang w:val="en-US" w:eastAsia="zh-CN"/>
              </w:rPr>
              <w:t>（六）外部接口功能</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1.音频接口类型：不少于1个，宜支持3.5mm孔径的3段式或4段式接口。若支持4段式接口，宜支持线序的自动识别及切换功能；</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2.视频接口类型：至少支持VGA、HDMI、DVI、DP、Type-C中1种显示接口；</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3.HDMI、DP、Type-C显示接口要求：若提供HDMI或DP或Type-C作为显示接口，应支持音频和视频同步输出；</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4.输入充电接口类型：DCin或Type-C接口。</w:t>
            </w:r>
          </w:p>
          <w:p>
            <w:pPr>
              <w:pStyle w:val="247"/>
              <w:kinsoku w:val="0"/>
              <w:overflowPunct w:val="0"/>
              <w:spacing w:before="0" w:line="360" w:lineRule="exact"/>
              <w:ind w:firstLine="241" w:firstLineChars="100"/>
              <w:rPr>
                <w:rFonts w:hint="eastAsia" w:ascii="仿宋_GB2312" w:hAnsi="仿宋_GB2312" w:eastAsia="仿宋_GB2312" w:cs="仿宋_GB2312"/>
                <w:b/>
                <w:bCs/>
                <w:i w:val="0"/>
                <w:color w:val="auto"/>
                <w:kern w:val="0"/>
                <w:sz w:val="24"/>
                <w:szCs w:val="24"/>
                <w:highlight w:val="none"/>
                <w:u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i w:val="0"/>
                <w:color w:val="auto"/>
                <w:kern w:val="0"/>
                <w:sz w:val="24"/>
                <w:szCs w:val="24"/>
                <w:highlight w:val="none"/>
                <w:u w:val="none"/>
                <w:lang w:val="en-US" w:eastAsia="zh-CN"/>
              </w:rPr>
              <w:t>（七）电源功能</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电源线适配能力：符合GB15934-2008，对于可拆线插头GB15934不做要求。</w:t>
            </w:r>
          </w:p>
          <w:p>
            <w:pPr>
              <w:pStyle w:val="247"/>
              <w:kinsoku w:val="0"/>
              <w:overflowPunct w:val="0"/>
              <w:spacing w:before="0" w:line="360" w:lineRule="exact"/>
              <w:ind w:firstLine="241" w:firstLineChars="100"/>
              <w:rPr>
                <w:rFonts w:hint="eastAsia" w:ascii="仿宋_GB2312" w:hAnsi="仿宋_GB2312" w:eastAsia="仿宋_GB2312" w:cs="仿宋_GB2312"/>
                <w:b/>
                <w:bCs/>
                <w:i w:val="0"/>
                <w:color w:val="auto"/>
                <w:kern w:val="0"/>
                <w:sz w:val="24"/>
                <w:szCs w:val="24"/>
                <w:highlight w:val="none"/>
                <w:u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i w:val="0"/>
                <w:color w:val="auto"/>
                <w:kern w:val="0"/>
                <w:sz w:val="24"/>
                <w:szCs w:val="24"/>
                <w:highlight w:val="none"/>
                <w:u w:val="none"/>
                <w:lang w:val="en-US" w:eastAsia="zh-CN"/>
              </w:rPr>
              <w:t>（八）操作系统及软件功能</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1.中文信息处理要求：符合GB18030的相关规定；</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2.操作系统备份及还原功能：支持操作系统备份及还原功能；</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3.固件备份还原能力：支持备份及还原固件的功能；</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4.操作系统及驱动升级：支持通过网络、闪存盘等方式对操作系统、驱动进行升级；</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5.BIOS支持关闭通讯接口：支持BIOS关闭以太网及USB接口功能；</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6.固件查看信息：支持查看固件版本、内存信息、主板信息、处理器信息和系统时间信息等功能；</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7.固件设置启动顺序：支持设置启动顺序功能，并按照设置的启动顺序启动；</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8.固件设置口令：支持设置口令、修改口令、验证口令功能；</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9.固件设置网络引导：支持网络引导启动和关闭功能。</w:t>
            </w:r>
          </w:p>
          <w:p>
            <w:pPr>
              <w:pStyle w:val="247"/>
              <w:kinsoku w:val="0"/>
              <w:overflowPunct w:val="0"/>
              <w:spacing w:before="0" w:line="360" w:lineRule="exac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四、存储设备可靠性要求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1.固态存储寿命：TBW≥80TB（条件：512GB硬盘容量）；</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2.机械硬盘寿命：通电时间≥5万小时。</w:t>
            </w:r>
          </w:p>
          <w:p>
            <w:pPr>
              <w:pStyle w:val="247"/>
              <w:kinsoku w:val="0"/>
              <w:overflowPunct w:val="0"/>
              <w:spacing w:before="0" w:line="360" w:lineRule="exac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五、显示设备可靠性要求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显示屏屏幕失效点：符合GB/T9813.2的要求。</w:t>
            </w:r>
          </w:p>
          <w:p>
            <w:pPr>
              <w:pStyle w:val="247"/>
              <w:kinsoku w:val="0"/>
              <w:overflowPunct w:val="0"/>
              <w:spacing w:before="0" w:line="360" w:lineRule="exac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六、外设可靠性要求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1.键盘按键寿命：≥1000万次；</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2.鼠标按键寿命：≥500万次；</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3.键盘鼠标线材寿命：键盘鼠标所用线材经±60°弯折不低于3000次，功能、外观完好；</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4.风扇寿命：≥4万小时。</w:t>
            </w:r>
          </w:p>
          <w:p>
            <w:pPr>
              <w:pStyle w:val="247"/>
              <w:kinsoku w:val="0"/>
              <w:overflowPunct w:val="0"/>
              <w:spacing w:before="0" w:line="360" w:lineRule="exac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七、整机可靠性要求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1.电磁兼容性要求的抗扰度：符合GB/T9254.2的规定；</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2.环境条件要求的气候环境适应性：符合GB/T9813.2中规定；</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3.环境条件要求的振动适应性：符合GB/T9813.2中规定；</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4.环境条件要求的冲击适应性：符合GB/T9813.2中规定；</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5.环境条件要求的碰撞适应性：符合GB/T9813.2中规定；</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6.环境条件要求的自由跌落适应性：符合GB/T9813.2中规定；</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7.环境条件要求的运输包装件跌落适应性：符合GB/T9813.2中规定；</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8.MTBF测试：MTBF(m1)≥3万小时。</w:t>
            </w:r>
          </w:p>
          <w:p>
            <w:pPr>
              <w:pStyle w:val="247"/>
              <w:kinsoku w:val="0"/>
              <w:overflowPunct w:val="0"/>
              <w:spacing w:before="0" w:line="360" w:lineRule="exac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八、兼容要求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1.常用软件兼容：支持流式软件、版式软件、浏览器、邮件采购人端、解压软件、多媒体、图形图像处理等常用软件；</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2.数据库兼容：兼容3个及以上厂商的数据库产品；</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3.中间件兼容：兼容3个及以上厂商中间件产品；</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4.平台软件兼容：兼容3个及以上厂商云计算及大数据平台。</w:t>
            </w:r>
            <w:r>
              <w:rPr>
                <w:rFonts w:hint="eastAsia" w:ascii="仿宋_GB2312" w:hAnsi="仿宋_GB2312" w:eastAsia="仿宋_GB2312" w:cs="仿宋_GB2312"/>
                <w:color w:val="auto"/>
                <w:sz w:val="24"/>
                <w:szCs w:val="24"/>
                <w:highlight w:val="none"/>
                <w:lang w:val="en-US" w:eastAsia="zh-CN"/>
              </w:rPr>
              <w:cr/>
            </w: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九、包装及运输要求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标志、包装、运输和贮存：符合GB/T9813.1和商品包装政府采购需求标准的相关规定。</w:t>
            </w:r>
          </w:p>
          <w:p>
            <w:pPr>
              <w:pStyle w:val="247"/>
              <w:kinsoku w:val="0"/>
              <w:overflowPunct w:val="0"/>
              <w:spacing w:before="0" w:line="360" w:lineRule="exac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十、服务要求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1.配置检查工具：供应商提供自检测试工具；</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2.服务响应：a）提供产品3年维保及上门服务（满足同城4小时、异地12小时响应要求）；b）提供政企专线7*24在线服务；c）现场保障技术服务团队员，国内上门服务地级市覆盖率达100%；</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3.服务周期：a)支持产品延保≥3 年；b)提供每年延保服务报价；c)提供备件服务能力≥6 年（自购买之日起）；</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预装操作系统：预装符合桌面操作系统政府采购需求标准的正版操作系统；预装的操作系统符合《操作系统政府采购需求标准》中加*指标要求（财政部工业和信息化部关于印发《操作系统政府采购需求标准（2023年版）》的通知）；</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5.培训服务：供应商提供培训材料、产品手册、培训视频等培训相关内容；</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6.典型问题解决手册：供应商提供典型问题解决说明文档或视频；</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7.厂家升级软件与扩容服务：供应商提供上门升级部件/软件与扩容的增值服务；</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8.整机质量服务要求：免费服务周期（含换件和维修）应不小于3年；</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9.合格证书要求：供应商提供产品合格证；</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10.开箱组装/使用指导要求：供应商提供开箱组装/使用指导；</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11.驱动下载服务要求：供应商提供驱动光盘或下载方式；</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12.兼容适配软件下载服务要求：供应商提供兼容适配软件下载渠道（光盘、网站）。</w:t>
            </w:r>
          </w:p>
          <w:p>
            <w:pPr>
              <w:pStyle w:val="247"/>
              <w:kinsoku w:val="0"/>
              <w:overflowPunct w:val="0"/>
              <w:spacing w:before="0" w:line="360" w:lineRule="exac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十一、供应链合规性要求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产品部件保障：供应商保障产品主要部件，提供6年的备件服务能力（自购买之日起），或提供可兼容原设备的升级换代产品。</w:t>
            </w:r>
          </w:p>
          <w:p>
            <w:pPr>
              <w:pStyle w:val="247"/>
              <w:kinsoku w:val="0"/>
              <w:overflowPunct w:val="0"/>
              <w:spacing w:before="0" w:line="360" w:lineRule="exac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十二、供应链质量要求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1.抗干扰性：当产品部件出现供应风险时，供应商应通知采购人并提供风险应对方案确保产品的服务保障；</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2.供应能力证明：供应商承诺提供稳定的供应链，确保产品的部件在产品服务周期内稳定供货。</w:t>
            </w:r>
          </w:p>
          <w:p>
            <w:pPr>
              <w:pStyle w:val="247"/>
              <w:kinsoku w:val="0"/>
              <w:overflowPunct w:val="0"/>
              <w:spacing w:before="0" w:line="360" w:lineRule="exac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十三、关键部件安全要求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关键部件安全要求：CPU和操作系统等关键部件应当符合安全可靠测评要求，通过政府有关部门指定的中国信息安全测评中心和国家保密科技测评中心网站查看安全可靠测评结果。</w:t>
            </w:r>
          </w:p>
          <w:p>
            <w:pPr>
              <w:pStyle w:val="247"/>
              <w:kinsoku w:val="0"/>
              <w:overflowPunct w:val="0"/>
              <w:spacing w:before="0" w:line="360" w:lineRule="exact"/>
              <w:ind w:left="0" w:firstLine="482"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000000"/>
                <w:sz w:val="24"/>
                <w:szCs w:val="24"/>
                <w:highlight w:val="none"/>
                <w:lang w:eastAsia="zh-CN"/>
              </w:rPr>
              <w:t>注：投标人在填写《技术响应表》时，在“投标</w:t>
            </w:r>
            <w:r>
              <w:rPr>
                <w:rFonts w:hint="eastAsia" w:ascii="仿宋_GB2312" w:hAnsi="仿宋_GB2312" w:eastAsia="仿宋_GB2312" w:cs="仿宋_GB2312"/>
                <w:b/>
                <w:bCs/>
                <w:color w:val="000000"/>
                <w:sz w:val="24"/>
                <w:szCs w:val="24"/>
                <w:highlight w:val="none"/>
                <w:lang w:val="en-US" w:eastAsia="zh-CN"/>
              </w:rPr>
              <w:t>文件</w:t>
            </w:r>
            <w:r>
              <w:rPr>
                <w:rFonts w:hint="eastAsia" w:ascii="仿宋_GB2312" w:hAnsi="仿宋_GB2312" w:eastAsia="仿宋_GB2312" w:cs="仿宋_GB2312"/>
                <w:b/>
                <w:bCs/>
                <w:color w:val="000000"/>
                <w:sz w:val="24"/>
                <w:szCs w:val="24"/>
                <w:highlight w:val="none"/>
                <w:lang w:eastAsia="zh-CN"/>
              </w:rPr>
              <w:t>响应技术参数”明确给出所投</w:t>
            </w:r>
            <w:r>
              <w:rPr>
                <w:rFonts w:hint="eastAsia" w:ascii="仿宋_GB2312" w:hAnsi="仿宋_GB2312" w:eastAsia="仿宋_GB2312" w:cs="仿宋_GB2312"/>
                <w:b/>
                <w:bCs/>
                <w:color w:val="000000"/>
                <w:sz w:val="24"/>
                <w:szCs w:val="24"/>
                <w:highlight w:val="none"/>
                <w:lang w:val="en-US" w:eastAsia="zh-CN"/>
              </w:rPr>
              <w:t>便携式</w:t>
            </w:r>
            <w:r>
              <w:rPr>
                <w:rFonts w:hint="eastAsia" w:ascii="仿宋_GB2312" w:hAnsi="仿宋_GB2312" w:eastAsia="仿宋_GB2312" w:cs="仿宋_GB2312"/>
                <w:b/>
                <w:bCs/>
                <w:color w:val="000000"/>
                <w:sz w:val="24"/>
                <w:szCs w:val="24"/>
                <w:highlight w:val="none"/>
                <w:lang w:eastAsia="zh-CN"/>
              </w:rPr>
              <w:t>计算机</w:t>
            </w:r>
            <w:r>
              <w:rPr>
                <w:rFonts w:hint="eastAsia" w:ascii="仿宋_GB2312" w:hAnsi="仿宋_GB2312" w:eastAsia="仿宋_GB2312" w:cs="仿宋_GB2312"/>
                <w:b/>
                <w:bCs/>
                <w:color w:val="000000"/>
                <w:sz w:val="24"/>
                <w:szCs w:val="24"/>
                <w:highlight w:val="none"/>
                <w:lang w:val="en-US" w:eastAsia="zh-CN"/>
              </w:rPr>
              <w:t>2</w:t>
            </w:r>
            <w:r>
              <w:rPr>
                <w:rFonts w:hint="eastAsia" w:ascii="仿宋_GB2312" w:hAnsi="仿宋_GB2312" w:eastAsia="仿宋_GB2312" w:cs="仿宋_GB2312"/>
                <w:b/>
                <w:bCs/>
                <w:color w:val="000000"/>
                <w:sz w:val="24"/>
                <w:szCs w:val="24"/>
                <w:highlight w:val="none"/>
                <w:lang w:eastAsia="zh-CN"/>
              </w:rPr>
              <w:t>“</w:t>
            </w:r>
            <w:r>
              <w:rPr>
                <w:rFonts w:hint="eastAsia" w:ascii="仿宋_GB2312" w:hAnsi="仿宋_GB2312" w:eastAsia="仿宋_GB2312" w:cs="仿宋_GB2312"/>
                <w:b/>
                <w:bCs/>
                <w:color w:val="000000"/>
                <w:sz w:val="24"/>
                <w:szCs w:val="24"/>
                <w:highlight w:val="none"/>
                <w:lang w:val="en-US" w:eastAsia="zh-CN"/>
              </w:rPr>
              <w:t>CPU型号</w:t>
            </w:r>
            <w:r>
              <w:rPr>
                <w:rFonts w:hint="eastAsia" w:ascii="仿宋_GB2312" w:hAnsi="仿宋_GB2312" w:eastAsia="仿宋_GB2312" w:cs="仿宋_GB2312"/>
                <w:b/>
                <w:bCs/>
                <w:color w:val="000000"/>
                <w:sz w:val="24"/>
                <w:szCs w:val="24"/>
                <w:highlight w:val="none"/>
                <w:lang w:eastAsia="zh-CN"/>
              </w:rPr>
              <w:t>”</w:t>
            </w:r>
            <w:r>
              <w:rPr>
                <w:rFonts w:hint="eastAsia" w:ascii="仿宋_GB2312" w:hAnsi="仿宋_GB2312" w:eastAsia="仿宋_GB2312" w:cs="仿宋_GB2312"/>
                <w:b/>
                <w:bCs/>
                <w:color w:val="000000"/>
                <w:sz w:val="24"/>
                <w:szCs w:val="24"/>
                <w:highlight w:val="none"/>
                <w:lang w:val="en-US" w:eastAsia="zh-CN"/>
              </w:rPr>
              <w:t>及“</w:t>
            </w:r>
            <w:r>
              <w:rPr>
                <w:rFonts w:hint="eastAsia" w:ascii="仿宋_GB2312" w:hAnsi="仿宋_GB2312" w:eastAsia="仿宋_GB2312" w:cs="仿宋_GB2312"/>
                <w:b/>
                <w:bCs/>
                <w:color w:val="000000"/>
                <w:sz w:val="24"/>
                <w:szCs w:val="24"/>
                <w:highlight w:val="none"/>
                <w:lang w:eastAsia="zh-CN"/>
              </w:rPr>
              <w:t>操作系统</w:t>
            </w:r>
            <w:r>
              <w:rPr>
                <w:rFonts w:hint="eastAsia" w:ascii="仿宋_GB2312" w:hAnsi="仿宋_GB2312" w:eastAsia="仿宋_GB2312" w:cs="仿宋_GB2312"/>
                <w:b/>
                <w:bCs/>
                <w:color w:val="000000"/>
                <w:sz w:val="24"/>
                <w:szCs w:val="24"/>
                <w:highlight w:val="none"/>
                <w:lang w:val="en-US" w:eastAsia="zh-CN"/>
              </w:rPr>
              <w:t>”</w:t>
            </w:r>
            <w:r>
              <w:rPr>
                <w:rFonts w:hint="eastAsia" w:ascii="仿宋_GB2312" w:hAnsi="仿宋_GB2312" w:eastAsia="仿宋_GB2312" w:cs="仿宋_GB2312"/>
                <w:b/>
                <w:bCs/>
                <w:color w:val="000000"/>
                <w:sz w:val="24"/>
                <w:szCs w:val="24"/>
                <w:highlight w:val="none"/>
                <w:lang w:eastAsia="zh-CN"/>
              </w:rPr>
              <w:t>名称，否则视为投标无效。</w:t>
            </w:r>
          </w:p>
          <w:p>
            <w:pPr>
              <w:pStyle w:val="247"/>
              <w:kinsoku w:val="0"/>
              <w:overflowPunct w:val="0"/>
              <w:spacing w:before="0" w:line="360" w:lineRule="exac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十四、整机安全性要求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1.密码算法实现：CPU芯片应符合GM/T0008的相关规定，或芯片密码模块应符合GB/T37092或GM/T0028的相关规定，通过商用密码检测机构检测并经商用密码认证机构认证合格。</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信息安全基本要求：a)产品应符合GB/T39276的5.2的规定；b)生产厂商应建立漏洞跟踪表，保证产品版本涉及到的漏洞(如驱动程序等)可查看；c）产品不得包含已知的恶意代码或漏洞，不存在未声明的指令、功能、接口；</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3.固件安全启动：支持固件安全启动功能，固件启动过程中只有通过启动校验才能正常启动；</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4.限用物质的限量要求：符合GB/T26572中规定。</w:t>
            </w:r>
          </w:p>
          <w:p>
            <w:pPr>
              <w:pStyle w:val="247"/>
              <w:kinsoku w:val="0"/>
              <w:overflowPunct w:val="0"/>
              <w:spacing w:before="0" w:line="360" w:lineRule="exac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十五、其他要求：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1.适配服务要求：投标人须提供与广西自治区综合办公平台适配的便携式计算机产品</w:t>
            </w:r>
            <w:r>
              <w:rPr>
                <w:rFonts w:hint="eastAsia" w:ascii="仿宋_GB2312" w:hAnsi="仿宋_GB2312" w:eastAsia="仿宋_GB2312" w:cs="仿宋_GB2312"/>
                <w:b/>
                <w:bCs/>
                <w:color w:val="auto"/>
                <w:sz w:val="24"/>
                <w:szCs w:val="24"/>
                <w:highlight w:val="none"/>
                <w:lang w:val="en-US" w:eastAsia="zh-CN"/>
              </w:rPr>
              <w:t>（采购人将设置现场踏勘，以便投标人了解适配情况）</w:t>
            </w:r>
            <w:r>
              <w:rPr>
                <w:rFonts w:hint="eastAsia" w:ascii="仿宋_GB2312" w:hAnsi="仿宋_GB2312" w:eastAsia="仿宋_GB2312" w:cs="仿宋_GB2312"/>
                <w:color w:val="auto"/>
                <w:sz w:val="24"/>
                <w:szCs w:val="24"/>
                <w:highlight w:val="none"/>
                <w:lang w:val="en-US" w:eastAsia="zh-CN"/>
              </w:rPr>
              <w:t>。</w:t>
            </w:r>
          </w:p>
          <w:p>
            <w:pPr>
              <w:pStyle w:val="247"/>
              <w:kinsoku w:val="0"/>
              <w:overflowPunct w:val="0"/>
              <w:spacing w:before="0" w:line="360" w:lineRule="exact"/>
              <w:ind w:firstLine="241"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2.供货服务要求：投标人需具备足够宽敞的仓库，在送给使用单位前办理完到货验收手续；按照采购人提出供货要求制定合理、科学的分配方案，制定合理的送货计划和办理交接手续，确保供货及时和货物到场上桌规范。本项目涉及多家使用单位，要求投标人具备有专业的实施保障能力和专业的售后服务能力，合理配置相关技术人员</w:t>
            </w:r>
            <w:r>
              <w:rPr>
                <w:rFonts w:hint="eastAsia" w:ascii="仿宋_GB2312" w:hAnsi="仿宋_GB2312" w:eastAsia="仿宋_GB2312" w:cs="仿宋_GB2312"/>
                <w:b w:val="0"/>
                <w:bCs w:val="0"/>
                <w:i w:val="0"/>
                <w:color w:val="auto"/>
                <w:kern w:val="0"/>
                <w:sz w:val="24"/>
                <w:szCs w:val="24"/>
                <w:highlight w:val="none"/>
                <w:u w:val="none"/>
                <w:lang w:val="en-US" w:eastAsia="zh-CN"/>
              </w:rPr>
              <w:t>。</w:t>
            </w:r>
          </w:p>
        </w:tc>
        <w:tc>
          <w:tcPr>
            <w:tcW w:w="1020" w:type="dxa"/>
            <w:tcBorders>
              <w:top w:val="single" w:color="auto" w:sz="4" w:space="0"/>
              <w:left w:val="single" w:color="auto" w:sz="4" w:space="0"/>
              <w:right w:val="single" w:color="auto" w:sz="4" w:space="0"/>
            </w:tcBorders>
            <w:vAlign w:val="center"/>
          </w:tcPr>
          <w:p>
            <w:pPr>
              <w:spacing w:line="360" w:lineRule="exact"/>
              <w:ind w:left="420" w:leftChars="0" w:hanging="42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97台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0" w:type="dxa"/>
            <w:tcBorders>
              <w:top w:val="single" w:color="auto" w:sz="4" w:space="0"/>
              <w:left w:val="single" w:color="auto" w:sz="4" w:space="0"/>
              <w:bottom w:val="single" w:color="auto" w:sz="4" w:space="0"/>
              <w:right w:val="single" w:color="auto" w:sz="4" w:space="0"/>
            </w:tcBorders>
            <w:vAlign w:val="center"/>
          </w:tcPr>
          <w:p>
            <w:pPr>
              <w:pStyle w:val="245"/>
              <w:snapToGrid w:val="0"/>
              <w:spacing w:line="36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8</w:t>
            </w:r>
          </w:p>
        </w:tc>
        <w:tc>
          <w:tcPr>
            <w:tcW w:w="969" w:type="dxa"/>
            <w:tcBorders>
              <w:top w:val="single" w:color="auto" w:sz="4" w:space="0"/>
              <w:left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便携式</w:t>
            </w:r>
          </w:p>
          <w:p>
            <w:pPr>
              <w:widowControl/>
              <w:spacing w:line="36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计算机</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b/>
                <w:bCs/>
                <w:color w:val="auto"/>
                <w:sz w:val="24"/>
                <w:szCs w:val="24"/>
                <w:highlight w:val="none"/>
              </w:rPr>
              <w:t>（强制采购节能产品，详见采购需求说明第八点）</w:t>
            </w:r>
          </w:p>
        </w:tc>
        <w:tc>
          <w:tcPr>
            <w:tcW w:w="6586" w:type="dxa"/>
            <w:tcBorders>
              <w:top w:val="single" w:color="auto" w:sz="4" w:space="0"/>
              <w:left w:val="single" w:color="auto" w:sz="4" w:space="0"/>
              <w:bottom w:val="single" w:color="auto" w:sz="4" w:space="0"/>
              <w:right w:val="single" w:color="auto" w:sz="4" w:space="0"/>
            </w:tcBorders>
            <w:vAlign w:val="center"/>
          </w:tcPr>
          <w:p>
            <w:pPr>
              <w:pStyle w:val="247"/>
              <w:kinsoku w:val="0"/>
              <w:overflowPunct w:val="0"/>
              <w:spacing w:before="0" w:line="360" w:lineRule="exact"/>
              <w:ind w:left="0" w:firstLine="0" w:firstLineChars="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一、产品规格要求</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一</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CPU规格</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1.CPU：≥8核</w:t>
            </w:r>
            <w:r>
              <w:rPr>
                <w:rFonts w:hint="eastAsia" w:ascii="仿宋_GB2312" w:hAnsi="仿宋_GB2312" w:eastAsia="仿宋_GB2312" w:cs="仿宋_GB2312"/>
                <w:color w:val="auto"/>
                <w:sz w:val="24"/>
                <w:szCs w:val="24"/>
                <w:highlight w:val="none"/>
                <w:lang w:val="en-US" w:eastAsia="zh-CN"/>
              </w:rPr>
              <w:t>8</w:t>
            </w:r>
            <w:r>
              <w:rPr>
                <w:rFonts w:hint="eastAsia" w:ascii="仿宋_GB2312" w:hAnsi="仿宋_GB2312" w:eastAsia="仿宋_GB2312" w:cs="仿宋_GB2312"/>
                <w:color w:val="auto"/>
                <w:sz w:val="24"/>
                <w:szCs w:val="24"/>
                <w:highlight w:val="none"/>
              </w:rPr>
              <w:t>线程，主频≥</w:t>
            </w:r>
            <w:r>
              <w:rPr>
                <w:rFonts w:hint="eastAsia" w:ascii="仿宋_GB2312" w:hAnsi="仿宋_GB2312" w:eastAsia="仿宋_GB2312" w:cs="仿宋_GB2312"/>
                <w:color w:val="auto"/>
                <w:sz w:val="24"/>
                <w:szCs w:val="24"/>
                <w:highlight w:val="none"/>
                <w:lang w:val="en-US" w:eastAsia="zh-CN"/>
              </w:rPr>
              <w:t>2.5</w:t>
            </w:r>
            <w:r>
              <w:rPr>
                <w:rFonts w:hint="eastAsia" w:ascii="仿宋_GB2312" w:hAnsi="仿宋_GB2312" w:eastAsia="仿宋_GB2312" w:cs="仿宋_GB2312"/>
                <w:color w:val="auto"/>
                <w:sz w:val="24"/>
                <w:szCs w:val="24"/>
                <w:highlight w:val="none"/>
              </w:rPr>
              <w:t>GHz</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末级缓存≥2M，</w:t>
            </w:r>
            <w:r>
              <w:rPr>
                <w:rFonts w:hint="eastAsia" w:ascii="仿宋_GB2312" w:hAnsi="仿宋_GB2312" w:eastAsia="仿宋_GB2312" w:cs="仿宋_GB2312"/>
                <w:color w:val="auto"/>
                <w:sz w:val="24"/>
                <w:szCs w:val="24"/>
                <w:highlight w:val="none"/>
                <w:lang w:val="en-US" w:eastAsia="zh-CN"/>
              </w:rPr>
              <w:t>CPU</w:t>
            </w:r>
            <w:r>
              <w:rPr>
                <w:rFonts w:hint="eastAsia" w:ascii="仿宋_GB2312" w:hAnsi="仿宋_GB2312" w:eastAsia="仿宋_GB2312" w:cs="仿宋_GB2312"/>
                <w:color w:val="auto"/>
                <w:sz w:val="24"/>
                <w:szCs w:val="24"/>
                <w:highlight w:val="none"/>
              </w:rPr>
              <w:t>内存≥双通道DDR4</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2666MT/s；</w:t>
            </w:r>
            <w:r>
              <w:rPr>
                <w:rFonts w:hint="eastAsia" w:ascii="仿宋_GB2312" w:hAnsi="仿宋_GB2312" w:eastAsia="仿宋_GB2312" w:cs="仿宋_GB2312"/>
                <w:color w:val="auto"/>
                <w:sz w:val="24"/>
                <w:szCs w:val="24"/>
                <w:highlight w:val="none"/>
                <w:lang w:val="en-US" w:eastAsia="zh-CN"/>
              </w:rPr>
              <w:t>热</w:t>
            </w:r>
            <w:r>
              <w:rPr>
                <w:rFonts w:hint="eastAsia" w:ascii="仿宋_GB2312" w:hAnsi="仿宋_GB2312" w:eastAsia="仿宋_GB2312" w:cs="仿宋_GB2312"/>
                <w:color w:val="auto"/>
                <w:kern w:val="2"/>
                <w:sz w:val="24"/>
                <w:szCs w:val="24"/>
                <w:highlight w:val="none"/>
                <w:lang w:val="en-US" w:eastAsia="zh-CN" w:bidi="ar-SA"/>
              </w:rPr>
              <w:t>设计功耗</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kern w:val="2"/>
                <w:sz w:val="24"/>
                <w:szCs w:val="24"/>
                <w:highlight w:val="none"/>
                <w:lang w:val="en-US" w:eastAsia="zh-CN" w:bidi="ar-SA"/>
              </w:rPr>
              <w:t>80W，位宽≥64位。</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二</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内存规格</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1.内存配置容量：≥</w:t>
            </w:r>
            <w:r>
              <w:rPr>
                <w:rFonts w:hint="eastAsia" w:ascii="仿宋_GB2312" w:hAnsi="仿宋_GB2312" w:eastAsia="仿宋_GB2312" w:cs="仿宋_GB2312"/>
                <w:color w:val="auto"/>
                <w:sz w:val="24"/>
                <w:szCs w:val="24"/>
                <w:highlight w:val="none"/>
                <w:lang w:val="en-US" w:eastAsia="zh-CN"/>
              </w:rPr>
              <w:t>16</w:t>
            </w:r>
            <w:r>
              <w:rPr>
                <w:rFonts w:hint="eastAsia" w:ascii="仿宋_GB2312" w:hAnsi="仿宋_GB2312" w:eastAsia="仿宋_GB2312" w:cs="仿宋_GB2312"/>
                <w:color w:val="auto"/>
                <w:sz w:val="24"/>
                <w:szCs w:val="24"/>
                <w:highlight w:val="none"/>
              </w:rPr>
              <w:t>GB；</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2.内存条配置数量(板载内存不涉及)≥</w:t>
            </w:r>
            <w:r>
              <w:rPr>
                <w:rFonts w:hint="eastAsia" w:ascii="仿宋_GB2312" w:hAnsi="仿宋_GB2312" w:eastAsia="仿宋_GB2312" w:cs="仿宋_GB2312"/>
                <w:color w:val="auto"/>
                <w:sz w:val="24"/>
                <w:szCs w:val="24"/>
                <w:highlight w:val="none"/>
                <w:lang w:val="en-US" w:eastAsia="zh-CN"/>
              </w:rPr>
              <w:t>1；</w:t>
            </w:r>
          </w:p>
          <w:p>
            <w:pPr>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3.支持DDR4/LPDDR4/LPDDR4X及以上内存类型。</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三</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主板规格</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1.主板集成模块：集成资源扩展模块、计算处理模块、音频扩展模块等，主板的互联拓扑可通过处理器或交换电路实现；</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2.主板支持的CPU和内存情况：CPU≥8核</w:t>
            </w:r>
            <w:r>
              <w:rPr>
                <w:rFonts w:hint="eastAsia" w:ascii="仿宋_GB2312" w:hAnsi="仿宋_GB2312" w:eastAsia="仿宋_GB2312" w:cs="仿宋_GB2312"/>
                <w:color w:val="auto"/>
                <w:sz w:val="24"/>
                <w:szCs w:val="24"/>
                <w:highlight w:val="none"/>
                <w:lang w:val="en-US" w:eastAsia="zh-CN"/>
              </w:rPr>
              <w:t>8</w:t>
            </w:r>
            <w:r>
              <w:rPr>
                <w:rFonts w:hint="eastAsia" w:ascii="仿宋_GB2312" w:hAnsi="仿宋_GB2312" w:eastAsia="仿宋_GB2312" w:cs="仿宋_GB2312"/>
                <w:color w:val="auto"/>
                <w:sz w:val="24"/>
                <w:szCs w:val="24"/>
                <w:highlight w:val="none"/>
              </w:rPr>
              <w:t>线程，主频≥</w:t>
            </w:r>
            <w:r>
              <w:rPr>
                <w:rFonts w:hint="eastAsia" w:ascii="仿宋_GB2312" w:hAnsi="仿宋_GB2312" w:eastAsia="仿宋_GB2312" w:cs="仿宋_GB2312"/>
                <w:color w:val="auto"/>
                <w:sz w:val="24"/>
                <w:szCs w:val="24"/>
                <w:highlight w:val="none"/>
                <w:lang w:val="en-US" w:eastAsia="zh-CN"/>
              </w:rPr>
              <w:t>2.5</w:t>
            </w:r>
            <w:r>
              <w:rPr>
                <w:rFonts w:hint="eastAsia" w:ascii="仿宋_GB2312" w:hAnsi="仿宋_GB2312" w:eastAsia="仿宋_GB2312" w:cs="仿宋_GB2312"/>
                <w:color w:val="auto"/>
                <w:sz w:val="24"/>
                <w:szCs w:val="24"/>
                <w:highlight w:val="none"/>
              </w:rPr>
              <w:t>GHz，</w:t>
            </w:r>
            <w:r>
              <w:rPr>
                <w:rFonts w:hint="eastAsia" w:ascii="仿宋_GB2312" w:hAnsi="仿宋_GB2312" w:eastAsia="仿宋_GB2312" w:cs="仿宋_GB2312"/>
                <w:color w:val="auto"/>
                <w:sz w:val="24"/>
                <w:szCs w:val="24"/>
                <w:highlight w:val="none"/>
                <w:lang w:val="en-US" w:eastAsia="zh-CN"/>
              </w:rPr>
              <w:t>末级</w:t>
            </w:r>
            <w:r>
              <w:rPr>
                <w:rFonts w:hint="eastAsia" w:ascii="仿宋_GB2312" w:hAnsi="仿宋_GB2312" w:eastAsia="仿宋_GB2312" w:cs="仿宋_GB2312"/>
                <w:color w:val="auto"/>
                <w:sz w:val="24"/>
                <w:szCs w:val="24"/>
                <w:highlight w:val="none"/>
              </w:rPr>
              <w:t>缓存≥2M，内存≥双通道DDR4-2666MT/s，内存条数量≥1</w:t>
            </w:r>
            <w:r>
              <w:rPr>
                <w:rFonts w:hint="eastAsia" w:ascii="仿宋_GB2312" w:hAnsi="仿宋_GB2312" w:eastAsia="仿宋_GB2312" w:cs="仿宋_GB2312"/>
              </w:rPr>
              <w:t>(板载内存不涉及)</w:t>
            </w:r>
            <w:r>
              <w:rPr>
                <w:rFonts w:hint="eastAsia" w:ascii="仿宋_GB2312" w:hAnsi="仿宋_GB2312" w:eastAsia="仿宋_GB2312" w:cs="仿宋_GB2312"/>
                <w:color w:val="auto"/>
                <w:sz w:val="24"/>
                <w:szCs w:val="24"/>
                <w:highlight w:val="none"/>
              </w:rPr>
              <w:t>；</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单内存插槽最大可支持容量（板载内存不涉及）：≥8GB；</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.内存插槽满配时提供的最高内存总容量：≥</w:t>
            </w:r>
            <w:r>
              <w:rPr>
                <w:rFonts w:hint="eastAsia" w:ascii="仿宋_GB2312" w:hAnsi="仿宋_GB2312" w:eastAsia="仿宋_GB2312" w:cs="仿宋_GB2312"/>
                <w:color w:val="auto"/>
                <w:sz w:val="24"/>
                <w:szCs w:val="24"/>
                <w:highlight w:val="none"/>
                <w:lang w:val="en-US" w:eastAsia="zh-CN"/>
              </w:rPr>
              <w:t>16</w:t>
            </w:r>
            <w:r>
              <w:rPr>
                <w:rFonts w:hint="eastAsia" w:ascii="仿宋_GB2312" w:hAnsi="仿宋_GB2312" w:eastAsia="仿宋_GB2312" w:cs="仿宋_GB2312"/>
                <w:color w:val="auto"/>
                <w:sz w:val="24"/>
                <w:szCs w:val="24"/>
                <w:highlight w:val="none"/>
              </w:rPr>
              <w:t>GB</w:t>
            </w:r>
            <w:r>
              <w:rPr>
                <w:rFonts w:hint="eastAsia" w:ascii="仿宋_GB2312" w:hAnsi="仿宋_GB2312" w:eastAsia="仿宋_GB2312" w:cs="仿宋_GB2312"/>
                <w:color w:val="auto"/>
                <w:sz w:val="24"/>
                <w:szCs w:val="24"/>
                <w:highlight w:val="none"/>
                <w:lang w:eastAsia="zh-CN"/>
              </w:rPr>
              <w:t>。</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lang w:val="en-US" w:eastAsia="zh-CN"/>
              </w:rPr>
              <w:t>四</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存储设备规格</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1.固态盘数量：≥1个；</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2.固态存储容量：≥</w:t>
            </w:r>
            <w:r>
              <w:rPr>
                <w:rFonts w:hint="eastAsia" w:ascii="仿宋_GB2312" w:hAnsi="仿宋_GB2312" w:eastAsia="仿宋_GB2312" w:cs="仿宋_GB2312"/>
                <w:color w:val="auto"/>
                <w:sz w:val="24"/>
                <w:szCs w:val="24"/>
                <w:highlight w:val="none"/>
                <w:lang w:val="en-US" w:eastAsia="zh-CN"/>
              </w:rPr>
              <w:t>512</w:t>
            </w:r>
            <w:r>
              <w:rPr>
                <w:rFonts w:hint="eastAsia" w:ascii="仿宋_GB2312" w:hAnsi="仿宋_GB2312" w:eastAsia="仿宋_GB2312" w:cs="仿宋_GB2312"/>
                <w:color w:val="auto"/>
                <w:sz w:val="24"/>
                <w:szCs w:val="24"/>
                <w:highlight w:val="none"/>
              </w:rPr>
              <w:t>GB；</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.固态存储形态：采用插卡或板载等形态，可选用符合M.2或2.5寸SATA或mSATA等标准的插卡形态；</w:t>
            </w:r>
          </w:p>
          <w:p>
            <w:pPr>
              <w:pStyle w:val="247"/>
              <w:kinsoku w:val="0"/>
              <w:overflowPunct w:val="0"/>
              <w:spacing w:before="0" w:line="360" w:lineRule="exact"/>
              <w:ind w:firstLine="240" w:firstLineChars="100"/>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4.储存设备扩展盘位</w:t>
            </w:r>
            <w:r>
              <w:rPr>
                <w:rFonts w:hint="eastAsia" w:ascii="宋体" w:hAnsi="宋体" w:eastAsia="宋体" w:cs="宋体"/>
                <w:color w:val="auto"/>
                <w:sz w:val="24"/>
                <w:szCs w:val="24"/>
                <w:highlight w:val="none"/>
                <w:lang w:val="en-US" w:eastAsia="zh-CN"/>
              </w:rPr>
              <w:t>≥</w:t>
            </w:r>
            <w:r>
              <w:rPr>
                <w:rFonts w:hint="eastAsia" w:ascii="仿宋_GB2312" w:hAnsi="仿宋_GB2312" w:eastAsia="仿宋_GB2312" w:cs="仿宋_GB2312"/>
                <w:color w:val="auto"/>
                <w:sz w:val="24"/>
                <w:szCs w:val="24"/>
                <w:highlight w:val="none"/>
                <w:lang w:val="en-US" w:eastAsia="zh-CN"/>
              </w:rPr>
              <w:t>0；</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.存储设备其他参数要求：a)固态盘应符合SJ/T11654相关规定；侧面固定螺丝孔数量可为4孔或6孔；工作状态环境温度应满足5℃</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55℃；其它参数应符合GB/T12628相关规定</w:t>
            </w:r>
            <w:r>
              <w:rPr>
                <w:rFonts w:hint="eastAsia" w:ascii="仿宋_GB2312" w:hAnsi="仿宋_GB2312" w:eastAsia="仿宋_GB2312" w:cs="仿宋_GB2312"/>
                <w:color w:val="auto"/>
                <w:sz w:val="24"/>
                <w:szCs w:val="24"/>
                <w:highlight w:val="none"/>
                <w:lang w:eastAsia="zh-CN"/>
              </w:rPr>
              <w:t>。</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五</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显卡规格</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1.显卡类型：独立显卡或集成显卡；</w:t>
            </w:r>
          </w:p>
          <w:p>
            <w:pPr>
              <w:pStyle w:val="247"/>
              <w:keepNext w:val="0"/>
              <w:keepLines w:val="0"/>
              <w:pageBreakBefore w:val="0"/>
              <w:widowControl w:val="0"/>
              <w:kinsoku w:val="0"/>
              <w:wordWrap w:val="0"/>
              <w:overflowPunct/>
              <w:topLinePunct w:val="0"/>
              <w:autoSpaceDE w:val="0"/>
              <w:autoSpaceDN w:val="0"/>
              <w:bidi w:val="0"/>
              <w:adjustRightInd w:val="0"/>
              <w:snapToGrid/>
              <w:spacing w:before="0" w:line="360" w:lineRule="exact"/>
              <w:ind w:firstLine="240" w:firstLineChars="1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2.独立显卡显存类型（集成显卡不涉及）：若配置独立显卡，显存类型应为DDR3/DDR4/GDDR5/GDDR6/LPDDR4；</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3.独立显卡显存位宽（集成显卡不涉及）：若配置独立显卡，显存位宽≥32位；</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highlight w:val="none"/>
                <w:lang w:val="en-US" w:eastAsia="zh-CN"/>
              </w:rPr>
              <w:t>4.独立显卡显存容量（集成显卡不涉及）：若配置独立显卡，显存容量≥1GB。</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六</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显示设备规格</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1.显示屏屏占比：≥80%；</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2.显示屏分辨率：≥1920x1080；</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3.显示屏尺寸：≥</w:t>
            </w:r>
            <w:r>
              <w:rPr>
                <w:rFonts w:hint="eastAsia" w:ascii="仿宋_GB2312" w:hAnsi="仿宋_GB2312" w:eastAsia="仿宋_GB2312" w:cs="仿宋_GB2312"/>
                <w:color w:val="auto"/>
                <w:sz w:val="24"/>
                <w:szCs w:val="24"/>
                <w:highlight w:val="none"/>
                <w:lang w:val="en-US" w:eastAsia="zh-CN"/>
              </w:rPr>
              <w:t>14</w:t>
            </w:r>
            <w:r>
              <w:rPr>
                <w:rFonts w:hint="eastAsia" w:ascii="仿宋_GB2312" w:hAnsi="仿宋_GB2312" w:eastAsia="仿宋_GB2312" w:cs="仿宋_GB2312"/>
                <w:color w:val="auto"/>
                <w:sz w:val="24"/>
                <w:szCs w:val="24"/>
                <w:highlight w:val="none"/>
              </w:rPr>
              <w:t>英寸；</w:t>
            </w:r>
          </w:p>
          <w:p>
            <w:pPr>
              <w:pStyle w:val="247"/>
              <w:kinsoku w:val="0"/>
              <w:overflowPunct w:val="0"/>
              <w:spacing w:before="1"/>
              <w:ind w:left="239" w:leftChars="114"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4.显示屏屏幕比例：</w:t>
            </w:r>
            <w:r>
              <w:rPr>
                <w:rFonts w:hint="eastAsia" w:ascii="仿宋_GB2312" w:hAnsi="仿宋_GB2312" w:eastAsia="仿宋_GB2312" w:cs="仿宋_GB2312"/>
                <w:color w:val="auto"/>
                <w:kern w:val="0"/>
                <w:sz w:val="24"/>
                <w:szCs w:val="24"/>
                <w:highlight w:val="none"/>
                <w:lang w:val="en-US" w:eastAsia="zh-CN" w:bidi="ar-SA"/>
              </w:rPr>
              <w:t>16:9/3:2/21:9/16:10等</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cr/>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.显示屏防蓝光：支持防蓝光模式，蓝光加权辐射亮度比应≤0.0012W/(·cd·sr)（瓦每坎特拉每球面度）；</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.显示屏低频闪：显示屏应支持低频闪≤-35dB；</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rPr>
              <w:t>.显示屏防炫目：显示屏镜面反射率≤10%</w:t>
            </w:r>
            <w:r>
              <w:rPr>
                <w:rFonts w:hint="eastAsia" w:ascii="仿宋_GB2312" w:hAnsi="仿宋_GB2312" w:eastAsia="仿宋_GB2312" w:cs="仿宋_GB2312"/>
                <w:color w:val="auto"/>
                <w:sz w:val="24"/>
                <w:szCs w:val="24"/>
                <w:highlight w:val="none"/>
                <w:lang w:eastAsia="zh-CN"/>
              </w:rPr>
              <w:t>。</w:t>
            </w:r>
          </w:p>
          <w:p>
            <w:pPr>
              <w:pStyle w:val="247"/>
              <w:kinsoku w:val="0"/>
              <w:overflowPunct w:val="0"/>
              <w:spacing w:before="0" w:line="360" w:lineRule="exact"/>
              <w:ind w:left="0" w:firstLine="241"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七</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外设规格</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1.传声器数量：≥1个；</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2.扬声器数量：≥1个；</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3.鼠标数量：≥1个；</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4.键盘数量：≥1个；</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5.触控板数量：≥1个；</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6.摄像头数量：≥1个；</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7.键盘按键数目：</w:t>
            </w:r>
            <w:r>
              <w:rPr>
                <w:rFonts w:hint="eastAsia" w:ascii="宋体" w:hAnsi="宋体" w:eastAsia="宋体" w:cs="宋体"/>
                <w:color w:val="auto"/>
                <w:sz w:val="24"/>
                <w:szCs w:val="24"/>
                <w:highlight w:val="none"/>
                <w:lang w:val="en-US" w:eastAsia="zh-CN"/>
              </w:rPr>
              <w:t>≥</w:t>
            </w:r>
            <w:r>
              <w:rPr>
                <w:rFonts w:hint="eastAsia" w:ascii="仿宋_GB2312" w:hAnsi="仿宋_GB2312" w:eastAsia="仿宋_GB2312" w:cs="仿宋_GB2312"/>
                <w:color w:val="auto"/>
                <w:sz w:val="24"/>
                <w:szCs w:val="24"/>
                <w:highlight w:val="none"/>
                <w:lang w:val="en-US" w:eastAsia="zh-CN"/>
              </w:rPr>
              <w:t>62键；</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8.摄像头像素≥100万；</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9.摄像头分辨率≥1280x720；</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10.内置扬声器功率：≥1瓦/个；</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11.内置扬声器频率范围：100Hz-20kHz，其中100Hz-200Hz：35dB及以上；200Hz-12kHz：55dB及以上；12kHz-18kHz：35dB及以上；</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12.内置扬声器总谐波失真：总谐波失真在300Hz-7kHz频率范围内宜不高于5%；</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lang w:val="en-US" w:eastAsia="zh-CN"/>
              </w:rPr>
              <w:t>13.内置扬声器最大声压级：最大声压级在粉红噪声播放场景下，工作距离处声压级宜不低于70dB；</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lang w:val="en-US" w:eastAsia="zh-CN"/>
              </w:rPr>
              <w:t>14.键盘键程：0.9mm～2.3mm；</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lang w:val="en-US" w:eastAsia="zh-CN"/>
              </w:rPr>
              <w:t>15.键盘按键压力：按键压力宜在0.3～0.8N之间；</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lang w:val="en-US" w:eastAsia="zh-CN"/>
              </w:rPr>
              <w:t>16.键盘颜色：黑色；</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17.鼠标连接方式：有线或无线；</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lang w:val="en-US" w:eastAsia="zh-CN"/>
              </w:rPr>
              <w:t>18.有线鼠标连接线：≥1.5米；</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19.鼠标DPI分辨率：800-1600；</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20.鼠标颜色：黑色；</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21.鼠标其他要求：其它参数应符合GB/T26245的相关规定；</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lang w:val="en-US" w:eastAsia="zh-CN"/>
              </w:rPr>
              <w:t>22.触控板尺寸：≥70mm×50mm；</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lang w:val="en-US" w:eastAsia="zh-CN"/>
              </w:rPr>
              <w:t>23.触控板材质：采用麦拉片或玻璃等材质。</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八</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网络设备规格</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有线网卡数量：≥1</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可通过扩展坞支持</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；10/100/1000M自适应</w:t>
            </w:r>
            <w:r>
              <w:rPr>
                <w:rFonts w:hint="eastAsia" w:ascii="仿宋_GB2312" w:hAnsi="仿宋_GB2312" w:eastAsia="仿宋_GB2312" w:cs="仿宋_GB2312"/>
                <w:color w:val="auto"/>
                <w:sz w:val="24"/>
                <w:szCs w:val="24"/>
                <w:highlight w:val="none"/>
                <w:lang w:eastAsia="zh-CN"/>
              </w:rPr>
              <w:t>。</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九</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外部接口规格</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1.USB接口数量：≥3个，至少包含1个USB3.0及以上标准接口</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可通过拓展坞实现</w:t>
            </w:r>
            <w:r>
              <w:rPr>
                <w:rFonts w:hint="eastAsia" w:ascii="仿宋_GB2312" w:hAnsi="仿宋_GB2312" w:eastAsia="仿宋_GB2312" w:cs="仿宋_GB2312"/>
                <w:color w:val="auto"/>
                <w:sz w:val="24"/>
                <w:szCs w:val="24"/>
                <w:highlight w:val="none"/>
                <w:lang w:eastAsia="zh-CN"/>
              </w:rPr>
              <w:t>）；</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2.视频接口数量：≥1；</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3.音频接口数量：≥1；</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4.输入充电接口数量：≥1。</w:t>
            </w:r>
          </w:p>
          <w:p>
            <w:pPr>
              <w:pStyle w:val="247"/>
              <w:kinsoku w:val="0"/>
              <w:overflowPunct w:val="0"/>
              <w:spacing w:before="0" w:line="360" w:lineRule="exact"/>
              <w:ind w:firstLine="241" w:firstLineChars="10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lang w:val="en-US" w:eastAsia="zh-CN"/>
              </w:rPr>
              <w:t>十</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i w:val="0"/>
                <w:color w:val="auto"/>
                <w:kern w:val="0"/>
                <w:sz w:val="24"/>
                <w:szCs w:val="24"/>
                <w:highlight w:val="none"/>
                <w:u w:val="none"/>
                <w:lang w:val="en-US" w:eastAsia="zh-CN"/>
              </w:rPr>
              <w:t>电池规格</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电池额定能量≥50Wh</w:t>
            </w:r>
            <w:r>
              <w:rPr>
                <w:rFonts w:hint="eastAsia" w:ascii="仿宋_GB2312" w:hAnsi="仿宋_GB2312" w:eastAsia="仿宋_GB2312" w:cs="仿宋_GB2312"/>
                <w:color w:val="auto"/>
                <w:sz w:val="24"/>
                <w:szCs w:val="24"/>
                <w:highlight w:val="none"/>
                <w:lang w:eastAsia="zh-CN"/>
              </w:rPr>
              <w:t>；</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2.电池充放电次数：≥500次（常温下500次充放电后电池容量应不低于原始容量的80%）；</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3.电池安全要求：符合GB31241的规定。</w:t>
            </w:r>
          </w:p>
          <w:p>
            <w:pPr>
              <w:pStyle w:val="247"/>
              <w:kinsoku w:val="0"/>
              <w:overflowPunct w:val="0"/>
              <w:spacing w:before="0" w:line="360" w:lineRule="exact"/>
              <w:ind w:firstLine="241" w:firstLineChars="10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lang w:val="en-US" w:eastAsia="zh-CN"/>
              </w:rPr>
              <w:t>十一</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i w:val="0"/>
                <w:color w:val="auto"/>
                <w:kern w:val="0"/>
                <w:sz w:val="24"/>
                <w:szCs w:val="24"/>
                <w:highlight w:val="none"/>
                <w:u w:val="none"/>
                <w:lang w:val="en-US" w:eastAsia="zh-CN"/>
              </w:rPr>
              <w:t>整机基础规格</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整机外观：a)产品表面不应有凹痕、划伤、裂缝、变形和污染等。表面涂层均匀，不应起泡、龟裂、脱落和磨损，金属零部件无锈蚀及其它机械损伤；b)产品表面说明功能的文字、符号、标志，应清晰、端正、牢固；c）宜在产品显著位置提供运行状态指示功能；并由生产产商提供详细参数；</w:t>
            </w:r>
          </w:p>
          <w:p>
            <w:pPr>
              <w:pStyle w:val="247"/>
              <w:keepNext w:val="0"/>
              <w:keepLines w:val="0"/>
              <w:pageBreakBefore w:val="0"/>
              <w:widowControl w:val="0"/>
              <w:kinsoku w:val="0"/>
              <w:wordWrap w:val="0"/>
              <w:overflowPunct/>
              <w:topLinePunct w:val="0"/>
              <w:autoSpaceDE w:val="0"/>
              <w:autoSpaceDN w:val="0"/>
              <w:bidi w:val="0"/>
              <w:adjustRightInd w:val="0"/>
              <w:snapToGrid/>
              <w:spacing w:before="0" w:line="360" w:lineRule="exact"/>
              <w:ind w:left="0" w:firstLine="240" w:firstLineChars="1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整机结构：a)产品应符合GB/T4208的相关规定；b)产品内部结构应符合通用部件的安装需要；c)所有输入输出接口应符合相关国家或行业标准；d)产品零部件应紧固无松动，可插拔部件应可靠连接，开关、按钮和其它控制部件应灵活可靠，布局应方便使用；e)所有I/O连接器及需插接线缆的部位应预留用户操作空间，方便插拔解锁与插拔线缆；f)可插拔板卡插槽部位应预留安装、拆卸或更换板卡空间；g)拆装可能接触到的金属剪口或金属尖角部位应做防划伤处理，以保证安全；h)整机内部走线应规整，固线结构和位置要合理可靠并做防割线处理，需便于理线和插拔操作，走线应不影响系统各主要部件组装和拆卸；i)如需通过孔走线，过线孔应做防割线处理；j)各插头位置和插拔方向应合理，应做到插拔无障碍设计，具备防呆设计，有效避免误操作；k)各主要部件拆装无障碍，使用常规工具拆装，无特殊拆装工具需求；l)各主要部件拆装步骤要少，各自拆装需避免相互干扰；m)对于整机或零部件外表面为高亮面的，应粘贴保护膜，保护膜需粘贴牢固，运输、组装等过程不易脱落，撕下无残留；n)显示屏的开合机械寿命应能承受至少15000次的显示屏开合，显示屏机械转轴的扭力应保持初始状态下扭力的75%以上；o)其它要求应符合GB/T9813.2的相关规定；</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3.整机噪音：25℃环温条件，空闲小于等于38dBA满载小于等于45dBA；</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整机散热：产品在环境温度25℃且运行在满载的状态下，可触及面温度范围内应不高于45℃，各表面温度应符合以下要求：a)键帽温度不高于38℃；b)键盘间隙温度不高于40℃；c)掌托温度不高于38℃；d)触控板温度不高于38℃；e)底壳温度不高于45℃；</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5.整机能效限定值：产品能效限定值应达到GB28380-2012标准中能效等级2级及以上；</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6.机身颜色：</w:t>
            </w:r>
            <w:r>
              <w:rPr>
                <w:rFonts w:hint="eastAsia" w:ascii="仿宋_GB2312" w:hAnsi="仿宋_GB2312" w:eastAsia="仿宋_GB2312" w:cs="仿宋_GB2312"/>
                <w:color w:val="auto"/>
                <w:kern w:val="0"/>
                <w:sz w:val="24"/>
                <w:szCs w:val="24"/>
                <w:highlight w:val="none"/>
                <w:u w:val="none"/>
                <w:lang w:val="en-US" w:eastAsia="zh-CN"/>
              </w:rPr>
              <w:t>一般选用灰色/黑色等商务色系</w:t>
            </w:r>
            <w:r>
              <w:rPr>
                <w:rFonts w:hint="eastAsia" w:ascii="仿宋_GB2312" w:hAnsi="仿宋_GB2312" w:eastAsia="仿宋_GB2312" w:cs="仿宋_GB2312"/>
                <w:color w:val="auto"/>
                <w:sz w:val="24"/>
                <w:szCs w:val="24"/>
                <w:highlight w:val="none"/>
                <w:lang w:val="en-US" w:eastAsia="zh-CN"/>
              </w:rPr>
              <w:t>；</w:t>
            </w:r>
          </w:p>
          <w:p>
            <w:pPr>
              <w:pStyle w:val="247"/>
              <w:kinsoku w:val="0"/>
              <w:overflowPunct w:val="0"/>
              <w:spacing w:before="0" w:line="360" w:lineRule="exact"/>
              <w:ind w:firstLine="240" w:firstLineChars="100"/>
              <w:rPr>
                <w:rFonts w:hint="eastAsia" w:ascii="仿宋_GB2312" w:hAnsi="仿宋_GB2312" w:eastAsia="仿宋_GB2312" w:cs="仿宋_GB2312"/>
                <w:i w:val="0"/>
                <w:color w:val="auto"/>
                <w:kern w:val="0"/>
                <w:sz w:val="24"/>
                <w:szCs w:val="24"/>
                <w:highlight w:val="none"/>
                <w:u w:val="none"/>
                <w:lang w:val="en-US" w:eastAsia="zh-CN"/>
              </w:rPr>
            </w:pPr>
            <w:r>
              <w:rPr>
                <w:rFonts w:hint="eastAsia" w:ascii="仿宋_GB2312" w:hAnsi="仿宋_GB2312" w:eastAsia="仿宋_GB2312" w:cs="仿宋_GB2312"/>
                <w:b w:val="0"/>
                <w:bCs w:val="0"/>
                <w:i w:val="0"/>
                <w:color w:val="auto"/>
                <w:kern w:val="0"/>
                <w:sz w:val="24"/>
                <w:szCs w:val="24"/>
                <w:highlight w:val="none"/>
                <w:u w:val="none"/>
                <w:lang w:val="en-US" w:eastAsia="zh-CN"/>
              </w:rPr>
              <w:t>7.</w:t>
            </w:r>
            <w:r>
              <w:rPr>
                <w:rFonts w:hint="eastAsia" w:ascii="仿宋_GB2312" w:hAnsi="仿宋_GB2312" w:eastAsia="仿宋_GB2312" w:cs="仿宋_GB2312"/>
                <w:i w:val="0"/>
                <w:color w:val="auto"/>
                <w:kern w:val="0"/>
                <w:sz w:val="24"/>
                <w:szCs w:val="24"/>
                <w:highlight w:val="none"/>
                <w:u w:val="none"/>
                <w:lang w:val="en-US" w:eastAsia="zh-CN"/>
              </w:rPr>
              <w:t>整机重量≤2.2kg；</w:t>
            </w:r>
          </w:p>
          <w:p>
            <w:pPr>
              <w:pStyle w:val="247"/>
              <w:kinsoku w:val="0"/>
              <w:overflowPunct w:val="0"/>
              <w:spacing w:before="0" w:line="360" w:lineRule="exact"/>
              <w:ind w:firstLine="240" w:firstLineChars="100"/>
              <w:rPr>
                <w:rFonts w:hint="eastAsia" w:ascii="仿宋_GB2312" w:hAnsi="仿宋_GB2312" w:eastAsia="仿宋_GB2312" w:cs="仿宋_GB2312"/>
                <w:i w:val="0"/>
                <w:color w:val="auto"/>
                <w:kern w:val="0"/>
                <w:sz w:val="24"/>
                <w:szCs w:val="24"/>
                <w:highlight w:val="none"/>
                <w:u w:val="none"/>
                <w:lang w:val="en-US" w:eastAsia="zh-CN"/>
              </w:rPr>
            </w:pPr>
            <w:r>
              <w:rPr>
                <w:rFonts w:hint="eastAsia" w:ascii="仿宋_GB2312" w:hAnsi="仿宋_GB2312" w:eastAsia="仿宋_GB2312" w:cs="仿宋_GB2312"/>
                <w:i w:val="0"/>
                <w:color w:val="auto"/>
                <w:kern w:val="0"/>
                <w:sz w:val="24"/>
                <w:szCs w:val="24"/>
                <w:highlight w:val="none"/>
                <w:u w:val="none"/>
                <w:lang w:val="en-US" w:eastAsia="zh-CN"/>
              </w:rPr>
              <w:t>8.整机厚度≤22mm（不含脚垫）；</w:t>
            </w:r>
          </w:p>
          <w:p>
            <w:pPr>
              <w:pStyle w:val="247"/>
              <w:kinsoku w:val="0"/>
              <w:overflowPunct w:val="0"/>
              <w:spacing w:before="0" w:line="360" w:lineRule="exact"/>
              <w:ind w:firstLine="240" w:firstLineChars="100"/>
              <w:rPr>
                <w:rFonts w:hint="eastAsia" w:ascii="仿宋_GB2312" w:hAnsi="仿宋_GB2312" w:eastAsia="仿宋_GB2312" w:cs="仿宋_GB2312"/>
                <w:b w:val="0"/>
                <w:bCs w:val="0"/>
                <w:i w:val="0"/>
                <w:color w:val="auto"/>
                <w:kern w:val="0"/>
                <w:sz w:val="24"/>
                <w:szCs w:val="24"/>
                <w:highlight w:val="none"/>
                <w:u w:val="none"/>
                <w:lang w:val="en-US" w:eastAsia="zh-CN"/>
              </w:rPr>
            </w:pPr>
            <w:r>
              <w:rPr>
                <w:rFonts w:hint="eastAsia" w:ascii="仿宋_GB2312" w:hAnsi="仿宋_GB2312" w:eastAsia="仿宋_GB2312" w:cs="仿宋_GB2312"/>
                <w:i w:val="0"/>
                <w:color w:val="auto"/>
                <w:kern w:val="0"/>
                <w:sz w:val="24"/>
                <w:szCs w:val="24"/>
                <w:highlight w:val="none"/>
                <w:u w:val="none"/>
                <w:lang w:val="en-US" w:eastAsia="zh-CN"/>
              </w:rPr>
              <w:t>9.电脑包：</w:t>
            </w:r>
            <w:r>
              <w:rPr>
                <w:rFonts w:hint="eastAsia" w:ascii="仿宋_GB2312" w:hAnsi="仿宋_GB2312" w:eastAsia="仿宋_GB2312" w:cs="仿宋_GB2312"/>
                <w:color w:val="auto"/>
                <w:sz w:val="24"/>
                <w:szCs w:val="24"/>
                <w:highlight w:val="none"/>
              </w:rPr>
              <w:t>1个；</w:t>
            </w:r>
            <w:r>
              <w:rPr>
                <w:rFonts w:hint="eastAsia" w:ascii="仿宋_GB2312" w:hAnsi="仿宋_GB2312" w:eastAsia="仿宋_GB2312" w:cs="仿宋_GB2312"/>
                <w:color w:val="auto"/>
                <w:kern w:val="0"/>
                <w:sz w:val="24"/>
                <w:szCs w:val="24"/>
                <w:highlight w:val="none"/>
                <w:u w:val="none"/>
                <w:lang w:val="en-US" w:eastAsia="zh-CN"/>
              </w:rPr>
              <w:t>一般选用灰色/黑色等商务色系</w:t>
            </w:r>
            <w:r>
              <w:rPr>
                <w:rFonts w:hint="eastAsia" w:ascii="仿宋_GB2312" w:hAnsi="仿宋_GB2312" w:eastAsia="仿宋_GB2312" w:cs="仿宋_GB2312"/>
                <w:i w:val="0"/>
                <w:color w:val="auto"/>
                <w:kern w:val="0"/>
                <w:sz w:val="24"/>
                <w:szCs w:val="24"/>
                <w:highlight w:val="none"/>
                <w:u w:val="none"/>
                <w:lang w:val="en-US" w:eastAsia="zh-CN"/>
              </w:rPr>
              <w:t>。</w:t>
            </w:r>
          </w:p>
          <w:p>
            <w:pPr>
              <w:pStyle w:val="247"/>
              <w:kinsoku w:val="0"/>
              <w:overflowPunct w:val="0"/>
              <w:spacing w:before="0" w:line="360" w:lineRule="exact"/>
              <w:ind w:left="0" w:firstLine="0" w:firstLineChars="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二、产品性能要求</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lang w:val="en-US" w:eastAsia="zh-CN"/>
              </w:rPr>
              <w:t>一</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CPU性能</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1.CPU物理核数：≥8；</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2.CPU主频：≥</w:t>
            </w:r>
            <w:r>
              <w:rPr>
                <w:rFonts w:hint="eastAsia" w:ascii="仿宋_GB2312" w:hAnsi="仿宋_GB2312" w:eastAsia="仿宋_GB2312" w:cs="仿宋_GB2312"/>
                <w:color w:val="auto"/>
                <w:sz w:val="24"/>
                <w:szCs w:val="24"/>
                <w:highlight w:val="none"/>
                <w:lang w:val="en-US" w:eastAsia="zh-CN"/>
              </w:rPr>
              <w:t>2.5</w:t>
            </w:r>
            <w:r>
              <w:rPr>
                <w:rFonts w:hint="eastAsia" w:ascii="仿宋_GB2312" w:hAnsi="仿宋_GB2312" w:eastAsia="仿宋_GB2312" w:cs="仿宋_GB2312"/>
                <w:color w:val="auto"/>
                <w:sz w:val="24"/>
                <w:szCs w:val="24"/>
                <w:highlight w:val="none"/>
              </w:rPr>
              <w:t>GHz；</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3.CPU末级缓存容量≥2MB</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4.CPU支持的内存最高速率≥2666MT/s。</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二</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内存性能</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内存读写速率：≥2666MT/s</w:t>
            </w:r>
            <w:r>
              <w:rPr>
                <w:rFonts w:hint="eastAsia" w:ascii="仿宋_GB2312" w:hAnsi="仿宋_GB2312" w:eastAsia="仿宋_GB2312" w:cs="仿宋_GB2312"/>
                <w:color w:val="auto"/>
                <w:sz w:val="24"/>
                <w:szCs w:val="24"/>
                <w:highlight w:val="none"/>
                <w:lang w:eastAsia="zh-CN"/>
              </w:rPr>
              <w:t>。</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三</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显卡性能</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1.显示分辨率：≥1920*1080；</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2.显卡显示芯片核心频率：≥300MHz；</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3.显存等效频率:≥1000MT/s；</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4.显卡可支持多屏同时显示数量:显卡应支持2块屏幕同时显示，分辨率应不低于1920×1080。</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四</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显示设备性能</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1.显示屏刷新率：≥</w:t>
            </w:r>
            <w:r>
              <w:rPr>
                <w:rFonts w:hint="eastAsia" w:ascii="仿宋_GB2312" w:hAnsi="仿宋_GB2312" w:eastAsia="仿宋_GB2312" w:cs="仿宋_GB2312"/>
                <w:color w:val="auto"/>
                <w:sz w:val="24"/>
                <w:szCs w:val="24"/>
                <w:highlight w:val="none"/>
                <w:lang w:val="en-US" w:eastAsia="zh-CN"/>
              </w:rPr>
              <w:t>60</w:t>
            </w:r>
            <w:r>
              <w:rPr>
                <w:rFonts w:hint="eastAsia" w:ascii="仿宋_GB2312" w:hAnsi="仿宋_GB2312" w:eastAsia="仿宋_GB2312" w:cs="仿宋_GB2312"/>
                <w:color w:val="auto"/>
                <w:sz w:val="24"/>
                <w:szCs w:val="24"/>
                <w:highlight w:val="none"/>
              </w:rPr>
              <w:t>Hz；</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2.显示屏位深：≥8位；</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3.显示屏色域：≥99%sRGB；</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4.显示屏色准：△E≤4；</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5.显示屏响应时间：</w:t>
            </w:r>
            <w:r>
              <w:rPr>
                <w:rFonts w:hint="eastAsia" w:ascii="仿宋_GB2312" w:hAnsi="仿宋_GB2312" w:eastAsia="仿宋_GB2312" w:cs="仿宋_GB2312"/>
                <w:i w:val="0"/>
                <w:color w:val="auto"/>
                <w:kern w:val="0"/>
                <w:sz w:val="24"/>
                <w:szCs w:val="24"/>
                <w:highlight w:val="none"/>
                <w:u w:val="none"/>
                <w:lang w:val="en-US" w:eastAsia="zh-CN"/>
              </w:rPr>
              <w:t>≤30ms；</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6.显示屏亮度：≥250尼特；</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7.显示屏亮度一致性：≥70%；</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8.显示屏对比度：≥500：1；</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9.显示屏其他参数:其它参数应符合SJ/T11292的相关规定。</w:t>
            </w:r>
          </w:p>
          <w:p>
            <w:pPr>
              <w:pStyle w:val="247"/>
              <w:kinsoku w:val="0"/>
              <w:overflowPunct w:val="0"/>
              <w:spacing w:before="0" w:line="360" w:lineRule="exact"/>
              <w:ind w:firstLine="241"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五</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网络设备性能</w:t>
            </w:r>
          </w:p>
          <w:p>
            <w:pPr>
              <w:pStyle w:val="247"/>
              <w:keepNext w:val="0"/>
              <w:keepLines w:val="0"/>
              <w:pageBreakBefore w:val="0"/>
              <w:widowControl w:val="0"/>
              <w:kinsoku w:val="0"/>
              <w:wordWrap w:val="0"/>
              <w:overflowPunct/>
              <w:topLinePunct w:val="0"/>
              <w:autoSpaceDE w:val="0"/>
              <w:autoSpaceDN w:val="0"/>
              <w:bidi w:val="0"/>
              <w:adjustRightInd w:val="0"/>
              <w:snapToGrid/>
              <w:spacing w:before="1"/>
              <w:ind w:firstLine="240" w:firstLineChars="1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1.有线网卡速率：最高速率应不低于1000Mbps，应支持10Mbps、100Mbps、1000Mbps速率自适应；</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2.支持无线网络通信技术协议：支持WAPI或WiFi5.0及以上协议；</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3.无线网卡频宽:≥20MHz。</w:t>
            </w:r>
          </w:p>
          <w:p>
            <w:pPr>
              <w:pStyle w:val="247"/>
              <w:kinsoku w:val="0"/>
              <w:overflowPunct w:val="0"/>
              <w:spacing w:before="0" w:line="360" w:lineRule="exact"/>
              <w:ind w:firstLine="241" w:firstLineChars="100"/>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（六）电源适配器性能</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电源适配器电源效率：在20%/50%/100%负载下效率均应不低于87%。</w:t>
            </w:r>
          </w:p>
          <w:p>
            <w:pPr>
              <w:pStyle w:val="247"/>
              <w:kinsoku w:val="0"/>
              <w:overflowPunct w:val="0"/>
              <w:spacing w:before="0" w:line="360" w:lineRule="exact"/>
              <w:ind w:firstLine="241" w:firstLineChars="10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（七）待机性能</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满载待机性能（LTP）≥1.5小时。</w:t>
            </w:r>
          </w:p>
          <w:p>
            <w:pPr>
              <w:pStyle w:val="247"/>
              <w:kinsoku w:val="0"/>
              <w:overflowPunct w:val="0"/>
              <w:spacing w:before="0" w:line="360" w:lineRule="exact"/>
              <w:ind w:left="0" w:firstLine="0" w:firstLineChars="0"/>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val="en-US" w:eastAsia="zh-CN"/>
              </w:rPr>
              <w:t>三、产品功能要求</w:t>
            </w:r>
          </w:p>
          <w:p>
            <w:pPr>
              <w:pStyle w:val="247"/>
              <w:kinsoku w:val="0"/>
              <w:overflowPunct w:val="0"/>
              <w:spacing w:before="0" w:line="360" w:lineRule="exact"/>
              <w:ind w:left="0"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lang w:val="en-US" w:eastAsia="zh-CN"/>
              </w:rPr>
              <w:t>一</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主板功能</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1.内存扩展接口(板载内存不涉及)：≥1个；</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2.主板USB瞬间过流保护：支持瞬间过流保护功能；</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3.主板防静电保护：支持防静电保护功能；</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I/O接口功能：内置或通过扩展坞支持数据传输接口、视频接口、音频接口、网络接口、电源接口等各类标准接口产品应集成键盘、触控板输入部件，同时应具备接入键盘、鼠标、写字板等外设的能力，宜支持触摸屏、语音交互、手写笔等人机交互功能。</w:t>
            </w:r>
          </w:p>
          <w:p>
            <w:pPr>
              <w:pStyle w:val="247"/>
              <w:kinsoku w:val="0"/>
              <w:overflowPunct w:val="0"/>
              <w:spacing w:before="0" w:line="360" w:lineRule="exact"/>
              <w:ind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i w:val="0"/>
                <w:color w:val="auto"/>
                <w:kern w:val="0"/>
                <w:sz w:val="24"/>
                <w:szCs w:val="24"/>
                <w:highlight w:val="none"/>
                <w:u w:val="none"/>
                <w:lang w:eastAsia="zh-CN"/>
              </w:rPr>
              <w:t>（</w:t>
            </w:r>
            <w:r>
              <w:rPr>
                <w:rFonts w:hint="eastAsia" w:ascii="仿宋_GB2312" w:hAnsi="仿宋_GB2312" w:eastAsia="仿宋_GB2312" w:cs="仿宋_GB2312"/>
                <w:b/>
                <w:bCs/>
                <w:i w:val="0"/>
                <w:color w:val="auto"/>
                <w:kern w:val="0"/>
                <w:sz w:val="24"/>
                <w:szCs w:val="24"/>
                <w:highlight w:val="none"/>
                <w:u w:val="none"/>
                <w:lang w:val="en-US" w:eastAsia="zh-CN"/>
              </w:rPr>
              <w:t>二</w:t>
            </w:r>
            <w:r>
              <w:rPr>
                <w:rFonts w:hint="eastAsia" w:ascii="仿宋_GB2312" w:hAnsi="仿宋_GB2312" w:eastAsia="仿宋_GB2312" w:cs="仿宋_GB2312"/>
                <w:b/>
                <w:bCs/>
                <w:i w:val="0"/>
                <w:color w:val="auto"/>
                <w:kern w:val="0"/>
                <w:sz w:val="24"/>
                <w:szCs w:val="24"/>
                <w:highlight w:val="none"/>
                <w:u w:val="none"/>
                <w:lang w:eastAsia="zh-CN"/>
              </w:rPr>
              <w:t>）</w:t>
            </w:r>
            <w:r>
              <w:rPr>
                <w:rFonts w:hint="eastAsia" w:ascii="仿宋_GB2312" w:hAnsi="仿宋_GB2312" w:eastAsia="仿宋_GB2312" w:cs="仿宋_GB2312"/>
                <w:b/>
                <w:bCs/>
                <w:i w:val="0"/>
                <w:color w:val="auto"/>
                <w:kern w:val="0"/>
                <w:sz w:val="24"/>
                <w:szCs w:val="24"/>
                <w:highlight w:val="none"/>
                <w:u w:val="none"/>
                <w:lang w:val="en-US" w:eastAsia="zh-CN"/>
              </w:rPr>
              <w:t>显卡</w:t>
            </w:r>
            <w:r>
              <w:rPr>
                <w:rFonts w:hint="eastAsia" w:ascii="仿宋_GB2312" w:hAnsi="仿宋_GB2312" w:eastAsia="仿宋_GB2312" w:cs="仿宋_GB2312"/>
                <w:b/>
                <w:bCs/>
                <w:i w:val="0"/>
                <w:color w:val="auto"/>
                <w:kern w:val="0"/>
                <w:sz w:val="24"/>
                <w:szCs w:val="24"/>
                <w:highlight w:val="none"/>
                <w:u w:val="none"/>
                <w:lang w:eastAsia="zh-CN"/>
              </w:rPr>
              <w:t>功能</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1.显卡外接显示接口：至少支持VGA、HDMI、DVI、DP、Type-C中1种显示接口；</w:t>
            </w:r>
          </w:p>
          <w:p>
            <w:pPr>
              <w:pStyle w:val="247"/>
              <w:kinsoku w:val="0"/>
              <w:overflowPunct w:val="0"/>
              <w:spacing w:before="1"/>
              <w:ind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2.显示功能：支持显示屏，同时应支持外接显示器。显示屏和外接显示器应支持多屏同时显示，显示模式应支持复制模式和扩展模式。</w:t>
            </w:r>
          </w:p>
          <w:p>
            <w:pPr>
              <w:pStyle w:val="247"/>
              <w:kinsoku w:val="0"/>
              <w:overflowPunct w:val="0"/>
              <w:spacing w:before="0" w:line="360" w:lineRule="exact"/>
              <w:ind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i w:val="0"/>
                <w:color w:val="auto"/>
                <w:kern w:val="0"/>
                <w:sz w:val="24"/>
                <w:szCs w:val="24"/>
                <w:highlight w:val="none"/>
                <w:u w:val="none"/>
                <w:lang w:eastAsia="zh-CN"/>
              </w:rPr>
              <w:t>（</w:t>
            </w:r>
            <w:r>
              <w:rPr>
                <w:rFonts w:hint="eastAsia" w:ascii="仿宋_GB2312" w:hAnsi="仿宋_GB2312" w:eastAsia="仿宋_GB2312" w:cs="仿宋_GB2312"/>
                <w:b/>
                <w:bCs/>
                <w:i w:val="0"/>
                <w:color w:val="auto"/>
                <w:kern w:val="0"/>
                <w:sz w:val="24"/>
                <w:szCs w:val="24"/>
                <w:highlight w:val="none"/>
                <w:u w:val="none"/>
                <w:lang w:val="en-US" w:eastAsia="zh-CN"/>
              </w:rPr>
              <w:t>三</w:t>
            </w:r>
            <w:r>
              <w:rPr>
                <w:rFonts w:hint="eastAsia" w:ascii="仿宋_GB2312" w:hAnsi="仿宋_GB2312" w:eastAsia="仿宋_GB2312" w:cs="仿宋_GB2312"/>
                <w:b/>
                <w:bCs/>
                <w:i w:val="0"/>
                <w:color w:val="auto"/>
                <w:kern w:val="0"/>
                <w:sz w:val="24"/>
                <w:szCs w:val="24"/>
                <w:highlight w:val="none"/>
                <w:u w:val="none"/>
                <w:lang w:eastAsia="zh-CN"/>
              </w:rPr>
              <w:t>）光驱功能</w:t>
            </w:r>
          </w:p>
          <w:p>
            <w:pPr>
              <w:pStyle w:val="247"/>
              <w:kinsoku w:val="0"/>
              <w:overflowPunct w:val="0"/>
              <w:spacing w:before="0" w:line="360" w:lineRule="exact"/>
              <w:ind w:left="0" w:firstLine="240" w:firstLineChars="100"/>
              <w:rPr>
                <w:rFonts w:hint="eastAsia" w:ascii="仿宋_GB2312" w:hAnsi="仿宋_GB2312" w:eastAsia="仿宋_GB2312" w:cs="仿宋_GB2312"/>
                <w:i w:val="0"/>
                <w:color w:val="auto"/>
                <w:kern w:val="0"/>
                <w:sz w:val="24"/>
                <w:szCs w:val="24"/>
                <w:highlight w:val="none"/>
                <w:u w:val="none"/>
                <w:lang w:val="en-US" w:eastAsia="zh-CN"/>
              </w:rPr>
            </w:pPr>
            <w:r>
              <w:rPr>
                <w:rFonts w:hint="eastAsia" w:ascii="仿宋_GB2312" w:hAnsi="仿宋_GB2312" w:eastAsia="仿宋_GB2312" w:cs="仿宋_GB2312"/>
                <w:i w:val="0"/>
                <w:color w:val="auto"/>
                <w:kern w:val="0"/>
                <w:sz w:val="24"/>
                <w:szCs w:val="24"/>
                <w:highlight w:val="none"/>
                <w:u w:val="none"/>
                <w:lang w:val="en-US" w:eastAsia="zh-CN"/>
              </w:rPr>
              <w:t>光驱应支持只读、刻录等类型；最大读取速度CD不低于24×150KB/s；最大读取速度DVD不低于8×358KB/s；最大刻录速度CD不低于24×150KB/s；最大刻录速度DVD不低于6×1358KB/s；兼容光盘类型包含只读光盘、可读写光盘、可擦写光盘等。</w:t>
            </w:r>
          </w:p>
          <w:p>
            <w:pPr>
              <w:pStyle w:val="247"/>
              <w:kinsoku w:val="0"/>
              <w:overflowPunct w:val="0"/>
              <w:spacing w:before="0" w:line="360" w:lineRule="exact"/>
              <w:ind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i w:val="0"/>
                <w:color w:val="auto"/>
                <w:kern w:val="0"/>
                <w:sz w:val="24"/>
                <w:szCs w:val="24"/>
                <w:highlight w:val="none"/>
                <w:u w:val="none"/>
                <w:lang w:eastAsia="zh-CN"/>
              </w:rPr>
              <w:t>（</w:t>
            </w:r>
            <w:r>
              <w:rPr>
                <w:rFonts w:hint="eastAsia" w:ascii="仿宋_GB2312" w:hAnsi="仿宋_GB2312" w:eastAsia="仿宋_GB2312" w:cs="仿宋_GB2312"/>
                <w:b/>
                <w:bCs/>
                <w:i w:val="0"/>
                <w:color w:val="auto"/>
                <w:kern w:val="0"/>
                <w:sz w:val="24"/>
                <w:szCs w:val="24"/>
                <w:highlight w:val="none"/>
                <w:u w:val="none"/>
                <w:lang w:val="en-US" w:eastAsia="zh-CN"/>
              </w:rPr>
              <w:t>四</w:t>
            </w:r>
            <w:r>
              <w:rPr>
                <w:rFonts w:hint="eastAsia" w:ascii="仿宋_GB2312" w:hAnsi="仿宋_GB2312" w:eastAsia="仿宋_GB2312" w:cs="仿宋_GB2312"/>
                <w:b/>
                <w:bCs/>
                <w:i w:val="0"/>
                <w:color w:val="auto"/>
                <w:kern w:val="0"/>
                <w:sz w:val="24"/>
                <w:szCs w:val="24"/>
                <w:highlight w:val="none"/>
                <w:u w:val="none"/>
                <w:lang w:eastAsia="zh-CN"/>
              </w:rPr>
              <w:t>）</w:t>
            </w:r>
            <w:r>
              <w:rPr>
                <w:rFonts w:hint="eastAsia" w:ascii="仿宋_GB2312" w:hAnsi="仿宋_GB2312" w:eastAsia="仿宋_GB2312" w:cs="仿宋_GB2312"/>
                <w:b/>
                <w:bCs/>
                <w:i w:val="0"/>
                <w:color w:val="auto"/>
                <w:kern w:val="0"/>
                <w:sz w:val="24"/>
                <w:szCs w:val="24"/>
                <w:highlight w:val="none"/>
                <w:u w:val="none"/>
                <w:lang w:val="en-US" w:eastAsia="zh-CN"/>
              </w:rPr>
              <w:t>存储</w:t>
            </w:r>
            <w:r>
              <w:rPr>
                <w:rFonts w:hint="eastAsia" w:ascii="仿宋_GB2312" w:hAnsi="仿宋_GB2312" w:eastAsia="仿宋_GB2312" w:cs="仿宋_GB2312"/>
                <w:b/>
                <w:bCs/>
                <w:i w:val="0"/>
                <w:color w:val="auto"/>
                <w:kern w:val="0"/>
                <w:sz w:val="24"/>
                <w:szCs w:val="24"/>
                <w:highlight w:val="none"/>
                <w:u w:val="none"/>
                <w:lang w:eastAsia="zh-CN"/>
              </w:rPr>
              <w:t>功能</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存储功能：支持信息存储功能，包括支持易失性存储功能和非易失性存储功能。为提升存储性能和降低存储功耗，非易失性存储宜支持固态存储设备，如SSD/UFS。产品应支持外出接口可以与独立的存储设备进行数据交互。</w:t>
            </w:r>
          </w:p>
          <w:p>
            <w:pPr>
              <w:pStyle w:val="247"/>
              <w:kinsoku w:val="0"/>
              <w:overflowPunct w:val="0"/>
              <w:spacing w:before="0" w:line="360" w:lineRule="exact"/>
              <w:ind w:firstLine="241" w:firstLineChars="100"/>
              <w:rPr>
                <w:rFonts w:hint="eastAsia" w:ascii="仿宋_GB2312" w:hAnsi="仿宋_GB2312" w:eastAsia="仿宋_GB2312" w:cs="仿宋_GB2312"/>
                <w:b/>
                <w:bCs/>
                <w:i w:val="0"/>
                <w:color w:val="auto"/>
                <w:kern w:val="0"/>
                <w:sz w:val="24"/>
                <w:szCs w:val="24"/>
                <w:highlight w:val="none"/>
                <w:u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i w:val="0"/>
                <w:color w:val="auto"/>
                <w:kern w:val="0"/>
                <w:sz w:val="24"/>
                <w:szCs w:val="24"/>
                <w:highlight w:val="none"/>
                <w:u w:val="none"/>
                <w:lang w:eastAsia="zh-CN"/>
              </w:rPr>
              <w:t>（</w:t>
            </w:r>
            <w:r>
              <w:rPr>
                <w:rFonts w:hint="eastAsia" w:ascii="仿宋_GB2312" w:hAnsi="仿宋_GB2312" w:eastAsia="仿宋_GB2312" w:cs="仿宋_GB2312"/>
                <w:b/>
                <w:bCs/>
                <w:i w:val="0"/>
                <w:color w:val="auto"/>
                <w:kern w:val="0"/>
                <w:sz w:val="24"/>
                <w:szCs w:val="24"/>
                <w:highlight w:val="none"/>
                <w:u w:val="none"/>
                <w:lang w:val="en-US" w:eastAsia="zh-CN"/>
              </w:rPr>
              <w:t>五</w:t>
            </w:r>
            <w:r>
              <w:rPr>
                <w:rFonts w:hint="eastAsia" w:ascii="仿宋_GB2312" w:hAnsi="仿宋_GB2312" w:eastAsia="仿宋_GB2312" w:cs="仿宋_GB2312"/>
                <w:b/>
                <w:bCs/>
                <w:i w:val="0"/>
                <w:color w:val="auto"/>
                <w:kern w:val="0"/>
                <w:sz w:val="24"/>
                <w:szCs w:val="24"/>
                <w:highlight w:val="none"/>
                <w:u w:val="none"/>
                <w:lang w:eastAsia="zh-CN"/>
              </w:rPr>
              <w:t>）</w:t>
            </w:r>
            <w:r>
              <w:rPr>
                <w:rFonts w:hint="eastAsia" w:ascii="仿宋_GB2312" w:hAnsi="仿宋_GB2312" w:eastAsia="仿宋_GB2312" w:cs="仿宋_GB2312"/>
                <w:b/>
                <w:bCs/>
                <w:i w:val="0"/>
                <w:color w:val="auto"/>
                <w:kern w:val="0"/>
                <w:sz w:val="24"/>
                <w:szCs w:val="24"/>
                <w:highlight w:val="none"/>
                <w:u w:val="none"/>
                <w:lang w:val="en-US" w:eastAsia="zh-CN"/>
              </w:rPr>
              <w:t>网络设备功能</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1.网络功能：a)支持网络连接、网络开启/关闭功能；b)支持访问网络和数据交换功能；</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2.无线网卡频段：支持双频段；</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3.数据传输：支持数据传输能力，并提供数据流量和异常日志记录功能；</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4.蓝牙协议：支持蓝牙模块，蓝牙协议不低于5.0版本；</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5.无线网卡标准：符合GB15629.11所有部分。</w:t>
            </w:r>
          </w:p>
          <w:p>
            <w:pPr>
              <w:pStyle w:val="247"/>
              <w:kinsoku w:val="0"/>
              <w:overflowPunct w:val="0"/>
              <w:spacing w:before="0" w:line="360" w:lineRule="exact"/>
              <w:ind w:firstLine="241" w:firstLineChars="100"/>
              <w:rPr>
                <w:rFonts w:hint="eastAsia" w:ascii="仿宋_GB2312" w:hAnsi="仿宋_GB2312" w:eastAsia="仿宋_GB2312" w:cs="仿宋_GB2312"/>
                <w:b/>
                <w:bCs/>
                <w:i w:val="0"/>
                <w:color w:val="auto"/>
                <w:kern w:val="0"/>
                <w:sz w:val="24"/>
                <w:szCs w:val="24"/>
                <w:highlight w:val="none"/>
                <w:u w:val="none"/>
                <w:lang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i w:val="0"/>
                <w:color w:val="auto"/>
                <w:kern w:val="0"/>
                <w:sz w:val="24"/>
                <w:szCs w:val="24"/>
                <w:highlight w:val="none"/>
                <w:u w:val="none"/>
                <w:lang w:val="en-US" w:eastAsia="zh-CN"/>
              </w:rPr>
              <w:t>（六）外部接口功能</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1.音频接口类型：不少于1个，宜支持3.5mm孔径的3段式或4段式接口。若支持4段式接口，宜支持线序的自动识别及切换功能；</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2.视频接口类型：至少支持VGA、HDMI、DVI、DP、Type-C中1种显示接口；</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3.HDMI、DP、Type-C显示接口要求：若提供HDMI或DP或Type-C作为显示接口，应支持音频和视频同步输出；</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4.输入充电接口类型：DCin或Type-C接口。</w:t>
            </w:r>
          </w:p>
          <w:p>
            <w:pPr>
              <w:pStyle w:val="247"/>
              <w:kinsoku w:val="0"/>
              <w:overflowPunct w:val="0"/>
              <w:spacing w:before="0" w:line="360" w:lineRule="exact"/>
              <w:ind w:firstLine="241" w:firstLineChars="100"/>
              <w:rPr>
                <w:rFonts w:hint="eastAsia" w:ascii="仿宋_GB2312" w:hAnsi="仿宋_GB2312" w:eastAsia="仿宋_GB2312" w:cs="仿宋_GB2312"/>
                <w:b/>
                <w:bCs/>
                <w:i w:val="0"/>
                <w:color w:val="auto"/>
                <w:kern w:val="0"/>
                <w:sz w:val="24"/>
                <w:szCs w:val="24"/>
                <w:highlight w:val="none"/>
                <w:u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i w:val="0"/>
                <w:color w:val="auto"/>
                <w:kern w:val="0"/>
                <w:sz w:val="24"/>
                <w:szCs w:val="24"/>
                <w:highlight w:val="none"/>
                <w:u w:val="none"/>
                <w:lang w:val="en-US" w:eastAsia="zh-CN"/>
              </w:rPr>
              <w:t>（七）电源功能</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电源线适配能力：符合GB15934-2008，对于可拆线插头GB15934不做要求。</w:t>
            </w:r>
          </w:p>
          <w:p>
            <w:pPr>
              <w:pStyle w:val="247"/>
              <w:kinsoku w:val="0"/>
              <w:overflowPunct w:val="0"/>
              <w:spacing w:before="0" w:line="360" w:lineRule="exact"/>
              <w:ind w:firstLine="241" w:firstLineChars="100"/>
              <w:rPr>
                <w:rFonts w:hint="eastAsia" w:ascii="仿宋_GB2312" w:hAnsi="仿宋_GB2312" w:eastAsia="仿宋_GB2312" w:cs="仿宋_GB2312"/>
                <w:b/>
                <w:bCs/>
                <w:i w:val="0"/>
                <w:color w:val="auto"/>
                <w:kern w:val="0"/>
                <w:sz w:val="24"/>
                <w:szCs w:val="24"/>
                <w:highlight w:val="none"/>
                <w:u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i w:val="0"/>
                <w:color w:val="auto"/>
                <w:kern w:val="0"/>
                <w:sz w:val="24"/>
                <w:szCs w:val="24"/>
                <w:highlight w:val="none"/>
                <w:u w:val="none"/>
                <w:lang w:val="en-US" w:eastAsia="zh-CN"/>
              </w:rPr>
              <w:t>（八）操作系统及软件功能</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1.中文信息处理要求：符合GB18030的相关规定；</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2.操作系统备份及还原功能：支持操作系统备份及还原功能；</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3.固件备份还原能力：支持备份及还原固件的功能；</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4.操作系统及驱动升级：支持通过网络、闪存盘等方式对操作系统、驱动进行升级；</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5.BIOS支持关闭通讯接口：支持BIOS关闭以太网及USB接口功能；</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6.固件查看信息：支持查看固件版本、内存信息、主板信息、处理器信息和系统时间信息等功能；</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7.固件设置启动顺序：支持设置启动顺序功能，并按照设置的启动顺序启动；</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8.固件设置口令：支持设置口令、修改口令、验证口令功能；</w:t>
            </w:r>
          </w:p>
          <w:p>
            <w:pPr>
              <w:keepNext w:val="0"/>
              <w:keepLines w:val="0"/>
              <w:widowControl/>
              <w:suppressLineNumbers w:val="0"/>
              <w:ind w:firstLine="240" w:firstLineChars="10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9.固件设置网络引导：支持网络引导启动和关闭功能。</w:t>
            </w:r>
          </w:p>
          <w:p>
            <w:pPr>
              <w:pStyle w:val="247"/>
              <w:kinsoku w:val="0"/>
              <w:overflowPunct w:val="0"/>
              <w:spacing w:before="0" w:line="360" w:lineRule="exac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四、存储设备可靠性要求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1.固态存储寿命：TBW≥80TB（条件：512GB硬盘容量）；</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2.机械硬盘寿命：通电时间≥5万小时。</w:t>
            </w:r>
          </w:p>
          <w:p>
            <w:pPr>
              <w:pStyle w:val="247"/>
              <w:kinsoku w:val="0"/>
              <w:overflowPunct w:val="0"/>
              <w:spacing w:before="0" w:line="360" w:lineRule="exac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五、显示设备可靠性要求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显示屏屏幕失效点：符合GB/T9813.2的要求。</w:t>
            </w:r>
          </w:p>
          <w:p>
            <w:pPr>
              <w:pStyle w:val="247"/>
              <w:kinsoku w:val="0"/>
              <w:overflowPunct w:val="0"/>
              <w:spacing w:before="0" w:line="360" w:lineRule="exac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六、外设可靠性要求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1.键盘按键寿命：≥1000万次；</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2.鼠标按键寿命：≥500万次；</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3.键盘鼠标线材寿命：键盘鼠标所用线材经±60°弯折不低于3000次，功能、外观完好；</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4.风扇寿命：≥4万小时。</w:t>
            </w:r>
          </w:p>
          <w:p>
            <w:pPr>
              <w:pStyle w:val="247"/>
              <w:kinsoku w:val="0"/>
              <w:overflowPunct w:val="0"/>
              <w:spacing w:before="0" w:line="360" w:lineRule="exac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七、整机可靠性要求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1.电磁兼容性要求的抗扰度：符合GB/T9254.2的规定；</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2.环境条件要求的气候环境适应性：符合GB/T9813.2中规定；</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3.环境条件要求的振动适应性：符合GB/T9813.2中规定；</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4.环境条件要求的冲击适应性：符合GB/T9813.2中规定；</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5.环境条件要求的碰撞适应性：符合GB/T9813.2中规定；</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6.环境条件要求的自由跌落适应性：符合GB/T9813.2中规定；</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7.环境条件要求的运输包装件跌落适应性：符合GB/T9813.2中规定；</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8.MTBF测试：MTBF(m1)≥3万小时。</w:t>
            </w:r>
          </w:p>
          <w:p>
            <w:pPr>
              <w:pStyle w:val="247"/>
              <w:kinsoku w:val="0"/>
              <w:overflowPunct w:val="0"/>
              <w:spacing w:before="0" w:line="360" w:lineRule="exac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八、兼容要求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1.常用软件兼容：支持流式软件、版式软件、浏览器、邮件采购人端、解压软件、多媒体、图形图像处理等常用软件；</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2.数据库兼容：兼容3个及以上厂商的数据库产品；</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3.中间件兼容：兼容3个及以上厂商中间件产品；</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4.平台软件兼容：兼容3个及以上厂商云计算及大数据平台。</w:t>
            </w:r>
            <w:r>
              <w:rPr>
                <w:rFonts w:hint="eastAsia" w:ascii="仿宋_GB2312" w:hAnsi="仿宋_GB2312" w:eastAsia="仿宋_GB2312" w:cs="仿宋_GB2312"/>
                <w:color w:val="auto"/>
                <w:sz w:val="24"/>
                <w:szCs w:val="24"/>
                <w:highlight w:val="none"/>
                <w:lang w:val="en-US" w:eastAsia="zh-CN"/>
              </w:rPr>
              <w:cr/>
            </w: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九、包装及运输要求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标志、包装、运输和贮存：符合GB/T9813.1和商品包装政府采购需求标准的相关规定。</w:t>
            </w:r>
          </w:p>
          <w:p>
            <w:pPr>
              <w:pStyle w:val="247"/>
              <w:kinsoku w:val="0"/>
              <w:overflowPunct w:val="0"/>
              <w:spacing w:before="0" w:line="360" w:lineRule="exac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十、服务要求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1.配置检查工具：供应商提供自检测试工具；</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2.服务响应：a）提供产品3年维保及上门服务（满足同城4小时、异地12小时响应要求）；b）提供政企专线7*24在线服务；c）现场保障技术服务团队员，国内上门服务地级市覆盖率达100%；</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3.服务周期：a)支持产品延保≥3 年；b)提供每年延保服务报价；c)提供备件服务能力≥6 年（自购买之日起）；</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预装操作系统：预装符合桌面操作系统政府采购需求标准的正版操作系统；预装的操作系统符合《操作系统政府采购需求标准》中加*指标要求（财政部工业和信息化部关于印发《操作系统政府采购需求标准（2023年版）》的通知）；</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5.培训服务：供应商提供培训材料、产品手册、培训视频等培训相关内容；</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6.典型问题解决手册：供应商提供典型问题解决说明文档或视频；</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7.厂家升级软件与扩容服务：供应商提供上门升级部件/软件与扩容的增值服务；</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8.整机质量服务要求：免费服务周期（含换件和维修）应不小于3年；</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9.合格证书要求：供应商提供产品合格证；</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10.开箱组装/使用指导要求：供应商提供开箱组装/使用指导；</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11.驱动下载服务要求：供应商提供驱动光盘或下载方式；</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12.兼容适配软件下载服务要求：供应商提供兼容适配软件下载渠道（光盘、网站）。</w:t>
            </w:r>
          </w:p>
          <w:p>
            <w:pPr>
              <w:pStyle w:val="247"/>
              <w:kinsoku w:val="0"/>
              <w:overflowPunct w:val="0"/>
              <w:spacing w:before="0" w:line="360" w:lineRule="exac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十一、供应链合规性要求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产品部件保障：供应商保障产品主要部件，提供6年的备件服务能力（自购买之日起），或提供可兼容原设备的升级换代产品。</w:t>
            </w:r>
          </w:p>
          <w:p>
            <w:pPr>
              <w:pStyle w:val="247"/>
              <w:kinsoku w:val="0"/>
              <w:overflowPunct w:val="0"/>
              <w:spacing w:before="0" w:line="360" w:lineRule="exac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十二、供应链质量要求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1.抗干扰性：当产品部件出现供应风险时，供应商应通知采购人并提供风险应对方案确保产品的服务保障；</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2.供应能力证明：供应商承诺提供稳定的供应链，确保产品的部件在产品服务周期内稳定供货。</w:t>
            </w:r>
          </w:p>
          <w:p>
            <w:pPr>
              <w:pStyle w:val="247"/>
              <w:kinsoku w:val="0"/>
              <w:overflowPunct w:val="0"/>
              <w:spacing w:before="0" w:line="360" w:lineRule="exac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十三、关键部件安全要求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关键部件安全要求：CPU和操作系统等关键部件应当符合安全可靠测评要求，通过政府有关部门指定的中国信息安全测评中心和国家保密科技测评中心网站查看安全可靠测评结果。</w:t>
            </w:r>
          </w:p>
          <w:p>
            <w:pPr>
              <w:pStyle w:val="247"/>
              <w:kinsoku w:val="0"/>
              <w:overflowPunct w:val="0"/>
              <w:spacing w:before="0" w:line="360" w:lineRule="exact"/>
              <w:ind w:left="0" w:firstLine="482"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000000"/>
                <w:sz w:val="24"/>
                <w:szCs w:val="24"/>
                <w:highlight w:val="none"/>
                <w:lang w:eastAsia="zh-CN"/>
              </w:rPr>
              <w:t>注：投标人在填写《技术响应表》时，在“投标</w:t>
            </w:r>
            <w:r>
              <w:rPr>
                <w:rFonts w:hint="eastAsia" w:ascii="仿宋_GB2312" w:hAnsi="仿宋_GB2312" w:eastAsia="仿宋_GB2312" w:cs="仿宋_GB2312"/>
                <w:b/>
                <w:bCs/>
                <w:color w:val="000000"/>
                <w:sz w:val="24"/>
                <w:szCs w:val="24"/>
                <w:highlight w:val="none"/>
                <w:lang w:val="en-US" w:eastAsia="zh-CN"/>
              </w:rPr>
              <w:t>文件</w:t>
            </w:r>
            <w:r>
              <w:rPr>
                <w:rFonts w:hint="eastAsia" w:ascii="仿宋_GB2312" w:hAnsi="仿宋_GB2312" w:eastAsia="仿宋_GB2312" w:cs="仿宋_GB2312"/>
                <w:b/>
                <w:bCs/>
                <w:color w:val="000000"/>
                <w:sz w:val="24"/>
                <w:szCs w:val="24"/>
                <w:highlight w:val="none"/>
                <w:lang w:eastAsia="zh-CN"/>
              </w:rPr>
              <w:t>响应技术参数”明确给出所投</w:t>
            </w:r>
            <w:r>
              <w:rPr>
                <w:rFonts w:hint="eastAsia" w:ascii="仿宋_GB2312" w:hAnsi="仿宋_GB2312" w:eastAsia="仿宋_GB2312" w:cs="仿宋_GB2312"/>
                <w:b/>
                <w:bCs/>
                <w:color w:val="000000"/>
                <w:sz w:val="24"/>
                <w:szCs w:val="24"/>
                <w:highlight w:val="none"/>
                <w:lang w:val="en-US" w:eastAsia="zh-CN"/>
              </w:rPr>
              <w:t>便携式</w:t>
            </w:r>
            <w:r>
              <w:rPr>
                <w:rFonts w:hint="eastAsia" w:ascii="仿宋_GB2312" w:hAnsi="仿宋_GB2312" w:eastAsia="仿宋_GB2312" w:cs="仿宋_GB2312"/>
                <w:b/>
                <w:bCs/>
                <w:color w:val="000000"/>
                <w:sz w:val="24"/>
                <w:szCs w:val="24"/>
                <w:highlight w:val="none"/>
                <w:lang w:eastAsia="zh-CN"/>
              </w:rPr>
              <w:t>计算机</w:t>
            </w:r>
            <w:r>
              <w:rPr>
                <w:rFonts w:hint="eastAsia" w:ascii="仿宋_GB2312" w:hAnsi="仿宋_GB2312" w:eastAsia="仿宋_GB2312" w:cs="仿宋_GB2312"/>
                <w:b/>
                <w:bCs/>
                <w:color w:val="000000"/>
                <w:sz w:val="24"/>
                <w:szCs w:val="24"/>
                <w:highlight w:val="none"/>
                <w:lang w:val="en-US" w:eastAsia="zh-CN"/>
              </w:rPr>
              <w:t>3</w:t>
            </w:r>
            <w:r>
              <w:rPr>
                <w:rFonts w:hint="eastAsia" w:ascii="仿宋_GB2312" w:hAnsi="仿宋_GB2312" w:eastAsia="仿宋_GB2312" w:cs="仿宋_GB2312"/>
                <w:b/>
                <w:bCs/>
                <w:color w:val="000000"/>
                <w:sz w:val="24"/>
                <w:szCs w:val="24"/>
                <w:highlight w:val="none"/>
                <w:lang w:eastAsia="zh-CN"/>
              </w:rPr>
              <w:t>“</w:t>
            </w:r>
            <w:r>
              <w:rPr>
                <w:rFonts w:hint="eastAsia" w:ascii="仿宋_GB2312" w:hAnsi="仿宋_GB2312" w:eastAsia="仿宋_GB2312" w:cs="仿宋_GB2312"/>
                <w:b/>
                <w:bCs/>
                <w:color w:val="000000"/>
                <w:sz w:val="24"/>
                <w:szCs w:val="24"/>
                <w:highlight w:val="none"/>
                <w:lang w:val="en-US" w:eastAsia="zh-CN"/>
              </w:rPr>
              <w:t>CPU型号</w:t>
            </w:r>
            <w:r>
              <w:rPr>
                <w:rFonts w:hint="eastAsia" w:ascii="仿宋_GB2312" w:hAnsi="仿宋_GB2312" w:eastAsia="仿宋_GB2312" w:cs="仿宋_GB2312"/>
                <w:b/>
                <w:bCs/>
                <w:color w:val="000000"/>
                <w:sz w:val="24"/>
                <w:szCs w:val="24"/>
                <w:highlight w:val="none"/>
                <w:lang w:eastAsia="zh-CN"/>
              </w:rPr>
              <w:t>”</w:t>
            </w:r>
            <w:r>
              <w:rPr>
                <w:rFonts w:hint="eastAsia" w:ascii="仿宋_GB2312" w:hAnsi="仿宋_GB2312" w:eastAsia="仿宋_GB2312" w:cs="仿宋_GB2312"/>
                <w:b/>
                <w:bCs/>
                <w:color w:val="000000"/>
                <w:sz w:val="24"/>
                <w:szCs w:val="24"/>
                <w:highlight w:val="none"/>
                <w:lang w:val="en-US" w:eastAsia="zh-CN"/>
              </w:rPr>
              <w:t>及“</w:t>
            </w:r>
            <w:r>
              <w:rPr>
                <w:rFonts w:hint="eastAsia" w:ascii="仿宋_GB2312" w:hAnsi="仿宋_GB2312" w:eastAsia="仿宋_GB2312" w:cs="仿宋_GB2312"/>
                <w:b/>
                <w:bCs/>
                <w:color w:val="000000"/>
                <w:sz w:val="24"/>
                <w:szCs w:val="24"/>
                <w:highlight w:val="none"/>
                <w:lang w:eastAsia="zh-CN"/>
              </w:rPr>
              <w:t>操作系统</w:t>
            </w:r>
            <w:r>
              <w:rPr>
                <w:rFonts w:hint="eastAsia" w:ascii="仿宋_GB2312" w:hAnsi="仿宋_GB2312" w:eastAsia="仿宋_GB2312" w:cs="仿宋_GB2312"/>
                <w:b/>
                <w:bCs/>
                <w:color w:val="000000"/>
                <w:sz w:val="24"/>
                <w:szCs w:val="24"/>
                <w:highlight w:val="none"/>
                <w:lang w:val="en-US" w:eastAsia="zh-CN"/>
              </w:rPr>
              <w:t>”</w:t>
            </w:r>
            <w:r>
              <w:rPr>
                <w:rFonts w:hint="eastAsia" w:ascii="仿宋_GB2312" w:hAnsi="仿宋_GB2312" w:eastAsia="仿宋_GB2312" w:cs="仿宋_GB2312"/>
                <w:b/>
                <w:bCs/>
                <w:color w:val="000000"/>
                <w:sz w:val="24"/>
                <w:szCs w:val="24"/>
                <w:highlight w:val="none"/>
                <w:lang w:eastAsia="zh-CN"/>
              </w:rPr>
              <w:t>名称，否则视为投标无效。</w:t>
            </w:r>
          </w:p>
          <w:p>
            <w:pPr>
              <w:pStyle w:val="247"/>
              <w:kinsoku w:val="0"/>
              <w:overflowPunct w:val="0"/>
              <w:spacing w:before="0" w:line="360" w:lineRule="exac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十四、整机安全性要求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1.密码算法实现：CPU芯片应符合GM/T0008的相关规定，或芯片密码模块应符合GB/T37092或GM/T0028的相关规定，通过商用密码检测机构检测并经商用密码认证机构认证合格。</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信息安全基本要求：a)产品应符合GB/T39276的5.2的规定；b)生产厂商应建立漏洞跟踪表，保证产品版本涉及到的漏洞(如驱动程序等)可查看；c）产品不得包含已知的恶意代码或漏洞，不存在未声明的指令、功能、接口；</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3.固件安全启动：支持固件安全启动功能，固件启动过程中只有通过启动校验才能正常启动；</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4.限用物质的限量要求：符合GB/T26572中规定。</w:t>
            </w:r>
          </w:p>
          <w:p>
            <w:pPr>
              <w:pStyle w:val="247"/>
              <w:kinsoku w:val="0"/>
              <w:overflowPunct w:val="0"/>
              <w:spacing w:before="0" w:line="360" w:lineRule="exac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十五、其他要求：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1.适配服务要求：投标人须提供与广西自治区综合办公平台适配的便携式计算机产品</w:t>
            </w:r>
            <w:r>
              <w:rPr>
                <w:rFonts w:hint="eastAsia" w:ascii="仿宋_GB2312" w:hAnsi="仿宋_GB2312" w:eastAsia="仿宋_GB2312" w:cs="仿宋_GB2312"/>
                <w:b/>
                <w:bCs/>
                <w:color w:val="auto"/>
                <w:sz w:val="24"/>
                <w:szCs w:val="24"/>
                <w:highlight w:val="none"/>
                <w:lang w:val="en-US" w:eastAsia="zh-CN"/>
              </w:rPr>
              <w:t>（采购人将设置现场踏勘，以便投标人了解适配情况）</w:t>
            </w:r>
            <w:r>
              <w:rPr>
                <w:rFonts w:hint="eastAsia" w:ascii="仿宋_GB2312" w:hAnsi="仿宋_GB2312" w:eastAsia="仿宋_GB2312" w:cs="仿宋_GB2312"/>
                <w:color w:val="auto"/>
                <w:sz w:val="24"/>
                <w:szCs w:val="24"/>
                <w:highlight w:val="none"/>
                <w:lang w:val="en-US" w:eastAsia="zh-CN"/>
              </w:rPr>
              <w:t>。</w:t>
            </w:r>
          </w:p>
          <w:p>
            <w:pPr>
              <w:pStyle w:val="247"/>
              <w:kinsoku w:val="0"/>
              <w:overflowPunct w:val="0"/>
              <w:spacing w:before="0" w:line="360" w:lineRule="exact"/>
              <w:ind w:firstLine="241"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2.供货服务要求：投标人需具备足够宽敞的仓库，在送给使用单位前办理完到货验收手续；按照采购人提出供货要求制定合理、科学的分配方案，制定合理的送货计划和办理交接手续，确保供货及时和货物到场上桌规范。本项目涉及多家使用单位，要求投标人具备有专业的实施保障能力和专业的售后服务能力，合理配置相关技术人员</w:t>
            </w:r>
            <w:r>
              <w:rPr>
                <w:rFonts w:hint="eastAsia" w:ascii="仿宋_GB2312" w:hAnsi="仿宋_GB2312" w:eastAsia="仿宋_GB2312" w:cs="仿宋_GB2312"/>
                <w:b w:val="0"/>
                <w:bCs w:val="0"/>
                <w:i w:val="0"/>
                <w:color w:val="auto"/>
                <w:kern w:val="0"/>
                <w:sz w:val="24"/>
                <w:szCs w:val="24"/>
                <w:highlight w:val="none"/>
                <w:u w:val="none"/>
                <w:lang w:val="en-US" w:eastAsia="zh-CN"/>
              </w:rPr>
              <w:t>。</w:t>
            </w:r>
          </w:p>
        </w:tc>
        <w:tc>
          <w:tcPr>
            <w:tcW w:w="1020" w:type="dxa"/>
            <w:tcBorders>
              <w:top w:val="single" w:color="auto" w:sz="4" w:space="0"/>
              <w:left w:val="single" w:color="auto" w:sz="4" w:space="0"/>
              <w:right w:val="single" w:color="auto" w:sz="4" w:space="0"/>
            </w:tcBorders>
            <w:vAlign w:val="center"/>
          </w:tcPr>
          <w:p>
            <w:pPr>
              <w:spacing w:line="360" w:lineRule="exact"/>
              <w:ind w:left="420" w:leftChars="0" w:hanging="42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025" w:type="dxa"/>
            <w:gridSpan w:val="4"/>
            <w:tcBorders>
              <w:top w:val="single" w:color="auto" w:sz="4" w:space="0"/>
              <w:left w:val="single" w:color="auto" w:sz="4" w:space="0"/>
              <w:bottom w:val="single" w:color="auto" w:sz="4" w:space="0"/>
              <w:right w:val="single" w:color="auto" w:sz="4" w:space="0"/>
            </w:tcBorders>
            <w:vAlign w:val="center"/>
          </w:tcPr>
          <w:p>
            <w:pPr>
              <w:rPr>
                <w:rFonts w:hint="default" w:ascii="仿宋_GB2312" w:hAnsi="仿宋_GB2312" w:eastAsia="仿宋_GB2312" w:cs="仿宋_GB2312"/>
                <w:color w:val="auto"/>
                <w:sz w:val="24"/>
                <w:szCs w:val="24"/>
                <w:highlight w:val="none"/>
                <w:lang w:val="en-US"/>
              </w:rPr>
            </w:pPr>
            <w:r>
              <w:rPr>
                <w:rFonts w:hint="eastAsia" w:ascii="仿宋_GB2312" w:hAnsi="仿宋_GB2312" w:eastAsia="仿宋_GB2312" w:cs="仿宋_GB2312"/>
                <w:b/>
                <w:bCs w:val="0"/>
                <w:color w:val="auto"/>
                <w:sz w:val="24"/>
                <w:szCs w:val="24"/>
                <w:highlight w:val="none"/>
                <w:u w:val="none"/>
                <w:lang w:val="en-US" w:eastAsia="zh-CN"/>
              </w:rPr>
              <w:t>（二）</w:t>
            </w:r>
            <w:r>
              <w:rPr>
                <w:rFonts w:hint="eastAsia" w:ascii="仿宋_GB2312" w:hAnsi="仿宋_GB2312" w:eastAsia="仿宋_GB2312" w:cs="仿宋_GB2312"/>
                <w:b/>
                <w:bCs w:val="0"/>
                <w:i w:val="0"/>
                <w:iCs w:val="0"/>
                <w:color w:val="auto"/>
                <w:kern w:val="0"/>
                <w:sz w:val="24"/>
                <w:szCs w:val="24"/>
                <w:highlight w:val="none"/>
                <w:u w:val="none"/>
                <w:lang w:val="en-US" w:eastAsia="zh-CN" w:bidi="ar-SA"/>
              </w:rPr>
              <w:t>基础软件采购适配及软件预装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450" w:type="dxa"/>
            <w:tcBorders>
              <w:top w:val="single" w:color="auto" w:sz="4" w:space="0"/>
              <w:left w:val="single" w:color="auto" w:sz="4" w:space="0"/>
              <w:bottom w:val="single" w:color="auto" w:sz="4" w:space="0"/>
              <w:right w:val="single" w:color="auto" w:sz="4" w:space="0"/>
            </w:tcBorders>
            <w:vAlign w:val="center"/>
          </w:tcPr>
          <w:p>
            <w:pPr>
              <w:pStyle w:val="245"/>
              <w:snapToGrid w:val="0"/>
              <w:spacing w:line="36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96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i w:val="0"/>
                <w:iCs w:val="0"/>
                <w:color w:val="auto"/>
                <w:kern w:val="2"/>
                <w:sz w:val="24"/>
                <w:szCs w:val="24"/>
                <w:highlight w:val="none"/>
                <w:u w:val="none"/>
                <w:lang w:val="en-US" w:eastAsia="zh-CN"/>
              </w:rPr>
              <w:t>桌面操作系统</w:t>
            </w:r>
          </w:p>
        </w:tc>
        <w:tc>
          <w:tcPr>
            <w:tcW w:w="6586" w:type="dxa"/>
            <w:tcBorders>
              <w:top w:val="single" w:color="auto" w:sz="4" w:space="0"/>
              <w:left w:val="single" w:color="auto" w:sz="4" w:space="0"/>
              <w:bottom w:val="single" w:color="auto" w:sz="4" w:space="0"/>
              <w:right w:val="single" w:color="auto" w:sz="4" w:space="0"/>
            </w:tcBorders>
            <w:vAlign w:val="center"/>
          </w:tcPr>
          <w:p>
            <w:pPr>
              <w:pStyle w:val="247"/>
              <w:numPr>
                <w:ilvl w:val="-1"/>
                <w:numId w:val="0"/>
              </w:numPr>
              <w:kinsoku w:val="0"/>
              <w:overflowPunct w:val="0"/>
              <w:spacing w:before="0" w:line="360" w:lineRule="exact"/>
              <w:ind w:firstLine="241" w:firstLineChars="100"/>
              <w:rPr>
                <w:rFonts w:hint="eastAsia" w:ascii="仿宋_GB2312" w:hAnsi="仿宋_GB2312" w:eastAsia="仿宋_GB2312" w:cs="仿宋_GB2312"/>
                <w:b/>
                <w:bCs/>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u w:val="none"/>
                <w:lang w:val="en-US" w:eastAsia="zh-CN"/>
              </w:rPr>
              <w:t>一、功能要求：</w:t>
            </w:r>
          </w:p>
          <w:bookmarkEnd w:id="9"/>
          <w:p>
            <w:pPr>
              <w:pStyle w:val="247"/>
              <w:kinsoku w:val="0"/>
              <w:overflowPunct w:val="0"/>
              <w:spacing w:before="0" w:line="360" w:lineRule="exact"/>
              <w:ind w:firstLine="241" w:firstLineChars="100"/>
              <w:jc w:val="left"/>
              <w:rPr>
                <w:rFonts w:hint="eastAsia" w:ascii="仿宋_GB2312" w:hAnsi="仿宋_GB2312" w:eastAsia="仿宋_GB2312" w:cs="仿宋_GB2312"/>
                <w:b/>
                <w:bCs/>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1.操作系统支持多CPU架构：</w:t>
            </w:r>
          </w:p>
          <w:p>
            <w:pPr>
              <w:pStyle w:val="247"/>
              <w:kinsoku w:val="0"/>
              <w:overflowPunct w:val="0"/>
              <w:spacing w:before="0" w:line="360" w:lineRule="exact"/>
              <w:ind w:firstLine="240"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操作系统同源兼容ARM、LoongArch、MIPS、SW64、x86等平台架构的CPU。</w:t>
            </w:r>
          </w:p>
          <w:p>
            <w:pPr>
              <w:pStyle w:val="247"/>
              <w:kinsoku w:val="0"/>
              <w:overflowPunct w:val="0"/>
              <w:spacing w:before="0" w:line="360" w:lineRule="exact"/>
              <w:ind w:firstLine="241" w:firstLineChars="100"/>
              <w:jc w:val="left"/>
              <w:rPr>
                <w:rFonts w:hint="eastAsia" w:ascii="仿宋_GB2312" w:hAnsi="仿宋_GB2312" w:eastAsia="仿宋_GB2312" w:cs="仿宋_GB2312"/>
                <w:b/>
                <w:bCs/>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2.操作系统支持CPU内置功能：</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多核支持：</w:t>
            </w:r>
            <w:r>
              <w:rPr>
                <w:rFonts w:hint="eastAsia" w:ascii="仿宋_GB2312" w:hAnsi="仿宋_GB2312" w:eastAsia="仿宋_GB2312" w:cs="仿宋_GB2312"/>
                <w:color w:val="auto"/>
                <w:sz w:val="24"/>
                <w:szCs w:val="24"/>
                <w:highlight w:val="none"/>
                <w:u w:val="none"/>
                <w:lang w:val="en-US" w:eastAsia="zh-CN"/>
              </w:rPr>
              <w:t>操作系统支持双核及多核处理器，支持核间负载均衡、线程绑定，并提供系统多核访问及调度接口。</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CPU虚拟化支持：</w:t>
            </w:r>
            <w:r>
              <w:rPr>
                <w:rFonts w:hint="eastAsia" w:ascii="仿宋_GB2312" w:hAnsi="仿宋_GB2312" w:eastAsia="仿宋_GB2312" w:cs="仿宋_GB2312"/>
                <w:color w:val="auto"/>
                <w:sz w:val="24"/>
                <w:szCs w:val="24"/>
                <w:highlight w:val="none"/>
                <w:u w:val="none"/>
                <w:lang w:val="en-US" w:eastAsia="zh-CN"/>
              </w:rPr>
              <w:t>操作系统支持CPU虚拟化技术。</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动态调节CPU运行频率：</w:t>
            </w:r>
            <w:r>
              <w:rPr>
                <w:rFonts w:hint="eastAsia" w:ascii="仿宋_GB2312" w:hAnsi="仿宋_GB2312" w:eastAsia="仿宋_GB2312" w:cs="仿宋_GB2312"/>
                <w:color w:val="auto"/>
                <w:sz w:val="24"/>
                <w:szCs w:val="24"/>
                <w:highlight w:val="none"/>
                <w:u w:val="none"/>
                <w:lang w:val="en-US" w:eastAsia="zh-CN"/>
              </w:rPr>
              <w:t>操作系统根据负载情况，自动调节CPU的运行频率。</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支持CPU运行时低功耗状态切换：</w:t>
            </w:r>
            <w:r>
              <w:rPr>
                <w:rFonts w:hint="eastAsia" w:ascii="仿宋_GB2312" w:hAnsi="仿宋_GB2312" w:eastAsia="仿宋_GB2312" w:cs="仿宋_GB2312"/>
                <w:color w:val="auto"/>
                <w:sz w:val="24"/>
                <w:szCs w:val="24"/>
                <w:highlight w:val="none"/>
                <w:u w:val="none"/>
                <w:lang w:val="en-US" w:eastAsia="zh-CN"/>
              </w:rPr>
              <w:t>操作系统根据负载的情况，自动切换CPU的低功耗状态。</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支持CPU内置安全功能：</w:t>
            </w:r>
            <w:r>
              <w:rPr>
                <w:rFonts w:hint="eastAsia" w:ascii="仿宋_GB2312" w:hAnsi="仿宋_GB2312" w:eastAsia="仿宋_GB2312" w:cs="仿宋_GB2312"/>
                <w:color w:val="auto"/>
                <w:sz w:val="24"/>
                <w:szCs w:val="24"/>
                <w:highlight w:val="none"/>
                <w:u w:val="none"/>
                <w:lang w:val="en-US" w:eastAsia="zh-CN"/>
              </w:rPr>
              <w:t>操作系统支持CPU硬件密码运算与随机数生成等功能，并提供标准接口供应用程序调用。</w:t>
            </w:r>
          </w:p>
          <w:p>
            <w:pPr>
              <w:pStyle w:val="247"/>
              <w:numPr>
                <w:ilvl w:val="-1"/>
                <w:numId w:val="0"/>
              </w:numPr>
              <w:kinsoku w:val="0"/>
              <w:overflowPunct w:val="0"/>
              <w:spacing w:before="0" w:line="360" w:lineRule="exact"/>
              <w:ind w:firstLine="241" w:firstLineChars="100"/>
              <w:jc w:val="left"/>
              <w:rPr>
                <w:rFonts w:hint="eastAsia" w:ascii="仿宋_GB2312" w:hAnsi="仿宋_GB2312" w:eastAsia="仿宋_GB2312" w:cs="仿宋_GB2312"/>
                <w:b/>
                <w:bCs/>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3.安装部署：</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安装方式：</w:t>
            </w:r>
            <w:r>
              <w:rPr>
                <w:rFonts w:hint="eastAsia" w:ascii="仿宋_GB2312" w:hAnsi="仿宋_GB2312" w:eastAsia="仿宋_GB2312" w:cs="仿宋_GB2312"/>
                <w:color w:val="auto"/>
                <w:sz w:val="24"/>
                <w:szCs w:val="24"/>
                <w:highlight w:val="none"/>
                <w:u w:val="none"/>
                <w:lang w:val="en-US" w:eastAsia="zh-CN"/>
              </w:rPr>
              <w:t>操作系统支持光盘、USB闪存盘和网络等安装方式。</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安装过程配置：</w:t>
            </w:r>
            <w:r>
              <w:rPr>
                <w:rFonts w:hint="eastAsia" w:ascii="仿宋_GB2312" w:hAnsi="仿宋_GB2312" w:eastAsia="仿宋_GB2312" w:cs="仿宋_GB2312"/>
                <w:color w:val="auto"/>
                <w:sz w:val="24"/>
                <w:szCs w:val="24"/>
                <w:highlight w:val="none"/>
                <w:u w:val="none"/>
                <w:lang w:val="en-US" w:eastAsia="zh-CN"/>
              </w:rPr>
              <w:t>操作系统支持安装界面文种设置，默认为简化汉字方式显示，提供时区设置、计算机名设置等。</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硬盘分区：</w:t>
            </w:r>
            <w:r>
              <w:rPr>
                <w:rFonts w:hint="eastAsia" w:ascii="仿宋_GB2312" w:hAnsi="仿宋_GB2312" w:eastAsia="仿宋_GB2312" w:cs="仿宋_GB2312"/>
                <w:color w:val="auto"/>
                <w:sz w:val="24"/>
                <w:szCs w:val="24"/>
                <w:highlight w:val="none"/>
                <w:u w:val="none"/>
                <w:lang w:val="en-US" w:eastAsia="zh-CN"/>
              </w:rPr>
              <w:t>操作系统支持整个硬盘自动分区、自定义分区，支持逻辑分区配置（如LVM），支持创建备份分区；自定义分区时能自动检测分区设置的合规性，删除已有分区或格式化硬盘提示告警信息。</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双硬盘安装：</w:t>
            </w:r>
            <w:r>
              <w:rPr>
                <w:rFonts w:hint="eastAsia" w:ascii="仿宋_GB2312" w:hAnsi="仿宋_GB2312" w:eastAsia="仿宋_GB2312" w:cs="仿宋_GB2312"/>
                <w:color w:val="auto"/>
                <w:sz w:val="24"/>
                <w:szCs w:val="24"/>
                <w:highlight w:val="none"/>
                <w:u w:val="none"/>
                <w:lang w:val="en-US" w:eastAsia="zh-CN"/>
              </w:rPr>
              <w:t>当计算机同时存在固态硬盘和机械硬盘时，自动分区优先将系统盘（或分区）设置在固态硬盘，优先将数据盘（或分区）设置在机械硬盘。</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多系统安装：</w:t>
            </w:r>
            <w:r>
              <w:rPr>
                <w:rFonts w:hint="eastAsia" w:ascii="仿宋_GB2312" w:hAnsi="仿宋_GB2312" w:eastAsia="仿宋_GB2312" w:cs="仿宋_GB2312"/>
                <w:color w:val="auto"/>
                <w:sz w:val="24"/>
                <w:szCs w:val="24"/>
                <w:highlight w:val="none"/>
                <w:u w:val="none"/>
                <w:lang w:val="en-US" w:eastAsia="zh-CN"/>
              </w:rPr>
              <w:t>操作系统能够识别已安装的其他系统，可自动复用引导分区等，并实现多系统引导。</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加密：</w:t>
            </w:r>
            <w:r>
              <w:rPr>
                <w:rFonts w:hint="eastAsia" w:ascii="仿宋_GB2312" w:hAnsi="仿宋_GB2312" w:eastAsia="仿宋_GB2312" w:cs="仿宋_GB2312"/>
                <w:color w:val="auto"/>
                <w:sz w:val="24"/>
                <w:szCs w:val="24"/>
                <w:highlight w:val="none"/>
                <w:u w:val="none"/>
                <w:lang w:val="en-US" w:eastAsia="zh-CN"/>
              </w:rPr>
              <w:t>操作系统应提供基于分区的用户数据加密功能，保护用户存储区数据安全。</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初始化备份：</w:t>
            </w:r>
            <w:r>
              <w:rPr>
                <w:rFonts w:hint="eastAsia" w:ascii="仿宋_GB2312" w:hAnsi="仿宋_GB2312" w:eastAsia="仿宋_GB2312" w:cs="仿宋_GB2312"/>
                <w:color w:val="auto"/>
                <w:sz w:val="24"/>
                <w:szCs w:val="24"/>
                <w:highlight w:val="none"/>
                <w:u w:val="none"/>
                <w:lang w:val="en-US" w:eastAsia="zh-CN"/>
              </w:rPr>
              <w:t>操作系统应提供用户备份初始系统环境的功能。</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保留用户数据：</w:t>
            </w:r>
            <w:r>
              <w:rPr>
                <w:rFonts w:hint="eastAsia" w:ascii="仿宋_GB2312" w:hAnsi="仿宋_GB2312" w:eastAsia="仿宋_GB2312" w:cs="仿宋_GB2312"/>
                <w:color w:val="auto"/>
                <w:sz w:val="24"/>
                <w:szCs w:val="24"/>
                <w:highlight w:val="none"/>
                <w:u w:val="none"/>
                <w:lang w:val="en-US" w:eastAsia="zh-CN"/>
              </w:rPr>
              <w:t>用户重装操作系统时提供保留用户数据的功能。</w:t>
            </w:r>
          </w:p>
          <w:p>
            <w:pPr>
              <w:pStyle w:val="247"/>
              <w:kinsoku w:val="0"/>
              <w:overflowPunct w:val="0"/>
              <w:spacing w:before="0" w:line="360" w:lineRule="exact"/>
              <w:ind w:firstLine="241" w:firstLineChars="100"/>
              <w:jc w:val="left"/>
              <w:rPr>
                <w:rFonts w:hint="eastAsia" w:ascii="仿宋_GB2312" w:hAnsi="仿宋_GB2312" w:eastAsia="仿宋_GB2312" w:cs="仿宋_GB2312"/>
                <w:b/>
                <w:bCs/>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4.系统引导：</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引导模式：</w:t>
            </w:r>
            <w:r>
              <w:rPr>
                <w:rFonts w:hint="eastAsia" w:ascii="仿宋_GB2312" w:hAnsi="仿宋_GB2312" w:eastAsia="仿宋_GB2312" w:cs="仿宋_GB2312"/>
                <w:color w:val="auto"/>
                <w:sz w:val="24"/>
                <w:szCs w:val="24"/>
                <w:highlight w:val="none"/>
                <w:u w:val="none"/>
                <w:lang w:val="en-US" w:eastAsia="zh-CN"/>
              </w:rPr>
              <w:t>操作系统应支持UEFI2.0及以上规范固件引导：a）当计算机以UEFI模式启动安装时，安装程序应分配ESP，并在ESP中放置启动引导文件，使操作系统能以UEFI模式引导；b)当计算机固件不支持UEFI模式时，安装程序根据计算机固件提供的引导方式，安装系统引导代码或配置系统引导选单，使安装完的系统可以正常引导。</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引导修复：</w:t>
            </w:r>
            <w:r>
              <w:rPr>
                <w:rFonts w:hint="eastAsia" w:ascii="仿宋_GB2312" w:hAnsi="仿宋_GB2312" w:eastAsia="仿宋_GB2312" w:cs="仿宋_GB2312"/>
                <w:color w:val="auto"/>
                <w:sz w:val="24"/>
                <w:szCs w:val="24"/>
                <w:highlight w:val="none"/>
                <w:u w:val="none"/>
                <w:lang w:val="en-US" w:eastAsia="zh-CN"/>
              </w:rPr>
              <w:t>安装程序提供系统引导修复功能，当已安装的操作系统引导被破坏时，可重建系统引导。</w:t>
            </w:r>
          </w:p>
          <w:p>
            <w:pPr>
              <w:pStyle w:val="247"/>
              <w:kinsoku w:val="0"/>
              <w:overflowPunct w:val="0"/>
              <w:spacing w:before="0" w:line="360" w:lineRule="exact"/>
              <w:ind w:firstLine="241" w:firstLineChars="100"/>
              <w:jc w:val="left"/>
              <w:rPr>
                <w:rFonts w:hint="eastAsia" w:ascii="仿宋_GB2312" w:hAnsi="仿宋_GB2312" w:eastAsia="仿宋_GB2312" w:cs="仿宋_GB2312"/>
                <w:b/>
                <w:bCs/>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5.其他安装要求：</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图形化显示：</w:t>
            </w:r>
            <w:r>
              <w:rPr>
                <w:rFonts w:hint="eastAsia" w:ascii="仿宋_GB2312" w:hAnsi="仿宋_GB2312" w:eastAsia="仿宋_GB2312" w:cs="仿宋_GB2312"/>
                <w:color w:val="auto"/>
                <w:sz w:val="24"/>
                <w:szCs w:val="24"/>
                <w:highlight w:val="none"/>
                <w:u w:val="none"/>
                <w:lang w:val="en-US" w:eastAsia="zh-CN"/>
              </w:rPr>
              <w:t>操作系统应提供安装过程图形化显示。</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安装提示：</w:t>
            </w:r>
            <w:r>
              <w:rPr>
                <w:rFonts w:hint="eastAsia" w:ascii="仿宋_GB2312" w:hAnsi="仿宋_GB2312" w:eastAsia="仿宋_GB2312" w:cs="仿宋_GB2312"/>
                <w:color w:val="auto"/>
                <w:sz w:val="24"/>
                <w:szCs w:val="24"/>
                <w:highlight w:val="none"/>
                <w:u w:val="none"/>
                <w:lang w:val="en-US" w:eastAsia="zh-CN"/>
              </w:rPr>
              <w:t>操作系统在安装执行前明确提示用户可能会删除已有数据，并提供退出或取消功能；当用户取消安装时，不改变硬盘上已有数据；如用户自定义的某些配置可能会影响后续的正常使用，予以明确提示；</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分辨率自适应：</w:t>
            </w:r>
            <w:r>
              <w:rPr>
                <w:rFonts w:hint="eastAsia" w:ascii="仿宋_GB2312" w:hAnsi="仿宋_GB2312" w:eastAsia="仿宋_GB2312" w:cs="仿宋_GB2312"/>
                <w:color w:val="auto"/>
                <w:sz w:val="24"/>
                <w:szCs w:val="24"/>
                <w:highlight w:val="none"/>
                <w:u w:val="none"/>
                <w:lang w:val="en-US" w:eastAsia="zh-CN"/>
              </w:rPr>
              <w:t>操作系统安装完成后自动适配显示器最佳分辨率。</w:t>
            </w:r>
          </w:p>
          <w:p>
            <w:pPr>
              <w:pStyle w:val="247"/>
              <w:kinsoku w:val="0"/>
              <w:overflowPunct w:val="0"/>
              <w:spacing w:before="0" w:line="360" w:lineRule="exact"/>
              <w:ind w:firstLine="241" w:firstLineChars="100"/>
              <w:jc w:val="left"/>
              <w:rPr>
                <w:rFonts w:hint="eastAsia" w:ascii="仿宋_GB2312" w:hAnsi="仿宋_GB2312" w:eastAsia="仿宋_GB2312" w:cs="仿宋_GB2312"/>
                <w:b/>
                <w:bCs/>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6.系统内核：</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内核要求：</w:t>
            </w:r>
            <w:r>
              <w:rPr>
                <w:rFonts w:hint="eastAsia" w:ascii="仿宋_GB2312" w:hAnsi="仿宋_GB2312" w:eastAsia="仿宋_GB2312" w:cs="仿宋_GB2312"/>
                <w:color w:val="auto"/>
                <w:sz w:val="24"/>
                <w:szCs w:val="24"/>
                <w:highlight w:val="none"/>
                <w:u w:val="none"/>
                <w:lang w:val="en-US" w:eastAsia="zh-CN"/>
              </w:rPr>
              <w:t>a)若操作系统是基于Linux内核的微型计算机操作系统应兼容5.4版内核主要功能，包括进程管理、内存管理、任务调度、中断处理、并发与同步处理等；b)若操作系统属于其他类型内核不做要求。</w:t>
            </w:r>
          </w:p>
          <w:p>
            <w:pPr>
              <w:pStyle w:val="247"/>
              <w:kinsoku w:val="0"/>
              <w:overflowPunct w:val="0"/>
              <w:spacing w:before="0" w:line="360" w:lineRule="exact"/>
              <w:ind w:firstLine="241" w:firstLineChars="100"/>
              <w:jc w:val="left"/>
              <w:rPr>
                <w:rFonts w:hint="eastAsia" w:ascii="仿宋_GB2312" w:hAnsi="仿宋_GB2312" w:eastAsia="仿宋_GB2312" w:cs="仿宋_GB2312"/>
                <w:b/>
                <w:bCs/>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7.进程管理：</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进程调度：</w:t>
            </w:r>
            <w:r>
              <w:rPr>
                <w:rFonts w:hint="eastAsia" w:ascii="仿宋_GB2312" w:hAnsi="仿宋_GB2312" w:eastAsia="仿宋_GB2312" w:cs="仿宋_GB2312"/>
                <w:color w:val="auto"/>
                <w:sz w:val="24"/>
                <w:szCs w:val="24"/>
                <w:highlight w:val="none"/>
                <w:u w:val="none"/>
                <w:lang w:val="en-US" w:eastAsia="zh-CN"/>
              </w:rPr>
              <w:t>操作系统支持进程创建、分组、删除及进程信息获取；</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优先级设置:</w:t>
            </w:r>
            <w:r>
              <w:rPr>
                <w:rFonts w:hint="eastAsia" w:ascii="仿宋_GB2312" w:hAnsi="仿宋_GB2312" w:eastAsia="仿宋_GB2312" w:cs="仿宋_GB2312"/>
                <w:color w:val="auto"/>
                <w:sz w:val="24"/>
                <w:szCs w:val="24"/>
                <w:highlight w:val="none"/>
                <w:u w:val="none"/>
                <w:lang w:val="en-US" w:eastAsia="zh-CN"/>
              </w:rPr>
              <w:t>操作系统支持进程优先级设置，包括优先级范围设置、优先级调度策略设置等；</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地址映射:</w:t>
            </w:r>
            <w:r>
              <w:rPr>
                <w:rFonts w:hint="eastAsia" w:ascii="仿宋_GB2312" w:hAnsi="仿宋_GB2312" w:eastAsia="仿宋_GB2312" w:cs="仿宋_GB2312"/>
                <w:color w:val="auto"/>
                <w:sz w:val="24"/>
                <w:szCs w:val="24"/>
                <w:highlight w:val="none"/>
                <w:u w:val="none"/>
                <w:lang w:val="en-US" w:eastAsia="zh-CN"/>
              </w:rPr>
              <w:t>操作系统支持进程内存地址的正向映射和反向映射。</w:t>
            </w:r>
          </w:p>
          <w:p>
            <w:pPr>
              <w:pStyle w:val="247"/>
              <w:kinsoku w:val="0"/>
              <w:overflowPunct w:val="0"/>
              <w:spacing w:before="0" w:line="360" w:lineRule="exact"/>
              <w:ind w:firstLine="241" w:firstLineChars="100"/>
              <w:jc w:val="left"/>
              <w:rPr>
                <w:rFonts w:hint="eastAsia" w:ascii="仿宋_GB2312" w:hAnsi="仿宋_GB2312" w:eastAsia="仿宋_GB2312" w:cs="仿宋_GB2312"/>
                <w:b/>
                <w:bCs/>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8.内存管理：</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内存地址管理:</w:t>
            </w:r>
            <w:r>
              <w:rPr>
                <w:rFonts w:hint="eastAsia" w:ascii="仿宋_GB2312" w:hAnsi="仿宋_GB2312" w:eastAsia="仿宋_GB2312" w:cs="仿宋_GB2312"/>
                <w:color w:val="auto"/>
                <w:sz w:val="24"/>
                <w:szCs w:val="24"/>
                <w:highlight w:val="none"/>
                <w:u w:val="none"/>
                <w:lang w:val="en-US" w:eastAsia="zh-CN"/>
              </w:rPr>
              <w:t>操作系统支持基础连续虚拟地址、连续物理地址的申请、回收和释放。</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内存管理单元:</w:t>
            </w:r>
            <w:r>
              <w:rPr>
                <w:rFonts w:hint="eastAsia" w:ascii="仿宋_GB2312" w:hAnsi="仿宋_GB2312" w:eastAsia="仿宋_GB2312" w:cs="仿宋_GB2312"/>
                <w:color w:val="auto"/>
                <w:sz w:val="24"/>
                <w:szCs w:val="24"/>
                <w:highlight w:val="none"/>
                <w:u w:val="none"/>
                <w:lang w:val="en-US" w:eastAsia="zh-CN"/>
              </w:rPr>
              <w:t>操作系统支持内存管理单元，通过页表映射实现虚拟地址和物理地址的映射关系。</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buddy分配器:</w:t>
            </w:r>
            <w:r>
              <w:rPr>
                <w:rFonts w:hint="eastAsia" w:ascii="仿宋_GB2312" w:hAnsi="仿宋_GB2312" w:eastAsia="仿宋_GB2312" w:cs="仿宋_GB2312"/>
                <w:color w:val="auto"/>
                <w:sz w:val="24"/>
                <w:szCs w:val="24"/>
                <w:highlight w:val="none"/>
                <w:u w:val="none"/>
                <w:lang w:val="en-US" w:eastAsia="zh-CN"/>
              </w:rPr>
              <w:t>a)若操作系统基于Linux内核，支持buddy分配器，支持slob、slub或slab分配器；b)若操作系统属于其他类型内核不做要求；</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DMA内存：</w:t>
            </w:r>
            <w:r>
              <w:rPr>
                <w:rFonts w:hint="eastAsia" w:ascii="仿宋_GB2312" w:hAnsi="仿宋_GB2312" w:eastAsia="仿宋_GB2312" w:cs="仿宋_GB2312"/>
                <w:color w:val="auto"/>
                <w:sz w:val="24"/>
                <w:szCs w:val="24"/>
                <w:highlight w:val="none"/>
                <w:u w:val="none"/>
                <w:lang w:val="en-US" w:eastAsia="zh-CN"/>
              </w:rPr>
              <w:t>操作系统支持DMA内存的申请和释放，包括流式DMA、一致性DMA以及大内存DMA；</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内存zone管理：</w:t>
            </w:r>
            <w:r>
              <w:rPr>
                <w:rFonts w:hint="eastAsia" w:ascii="仿宋_GB2312" w:hAnsi="仿宋_GB2312" w:eastAsia="仿宋_GB2312" w:cs="仿宋_GB2312"/>
                <w:color w:val="auto"/>
                <w:sz w:val="24"/>
                <w:szCs w:val="24"/>
                <w:highlight w:val="none"/>
                <w:u w:val="none"/>
                <w:lang w:val="en-US" w:eastAsia="zh-CN"/>
              </w:rPr>
              <w:t>a)若操作系统基于Linux内核，操作系统支持内存zone管理；b)若操作系统属于其他类型内核不做要求；</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内存分配方式：</w:t>
            </w:r>
            <w:r>
              <w:rPr>
                <w:rFonts w:hint="eastAsia" w:ascii="仿宋_GB2312" w:hAnsi="仿宋_GB2312" w:eastAsia="仿宋_GB2312" w:cs="仿宋_GB2312"/>
                <w:color w:val="auto"/>
                <w:sz w:val="24"/>
                <w:szCs w:val="24"/>
                <w:highlight w:val="none"/>
                <w:u w:val="none"/>
                <w:lang w:val="en-US" w:eastAsia="zh-CN"/>
              </w:rPr>
              <w:t>操作系统支持不交换硬盘的内存分配方式；</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调用接口：</w:t>
            </w:r>
            <w:r>
              <w:rPr>
                <w:rFonts w:hint="eastAsia" w:ascii="仿宋_GB2312" w:hAnsi="仿宋_GB2312" w:eastAsia="仿宋_GB2312" w:cs="仿宋_GB2312"/>
                <w:color w:val="auto"/>
                <w:sz w:val="24"/>
                <w:szCs w:val="24"/>
                <w:highlight w:val="none"/>
                <w:u w:val="none"/>
                <w:lang w:val="en-US" w:eastAsia="zh-CN"/>
              </w:rPr>
              <w:t>操作系统提供非文件形式的内存动态函数库调用接口，以满足敏感内存动态库的非文件形式调用需求。</w:t>
            </w:r>
          </w:p>
          <w:p>
            <w:pPr>
              <w:pStyle w:val="247"/>
              <w:kinsoku w:val="0"/>
              <w:overflowPunct w:val="0"/>
              <w:spacing w:before="0" w:line="360" w:lineRule="exact"/>
              <w:ind w:firstLine="241" w:firstLineChars="100"/>
              <w:jc w:val="left"/>
              <w:rPr>
                <w:rFonts w:hint="eastAsia" w:ascii="仿宋_GB2312" w:hAnsi="仿宋_GB2312" w:eastAsia="仿宋_GB2312" w:cs="仿宋_GB2312"/>
                <w:b/>
                <w:bCs/>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9.任务调度：</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上下文切换：</w:t>
            </w:r>
            <w:r>
              <w:rPr>
                <w:rFonts w:hint="eastAsia" w:ascii="仿宋_GB2312" w:hAnsi="仿宋_GB2312" w:eastAsia="仿宋_GB2312" w:cs="仿宋_GB2312"/>
                <w:color w:val="auto"/>
                <w:sz w:val="24"/>
                <w:szCs w:val="24"/>
                <w:highlight w:val="none"/>
                <w:u w:val="none"/>
                <w:lang w:val="en-US" w:eastAsia="zh-CN"/>
              </w:rPr>
              <w:t>操作系统支持进程上下文切换；</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进程负载均衡：</w:t>
            </w:r>
            <w:r>
              <w:rPr>
                <w:rFonts w:hint="eastAsia" w:ascii="仿宋_GB2312" w:hAnsi="仿宋_GB2312" w:eastAsia="仿宋_GB2312" w:cs="仿宋_GB2312"/>
                <w:color w:val="auto"/>
                <w:sz w:val="24"/>
                <w:szCs w:val="24"/>
                <w:highlight w:val="none"/>
                <w:u w:val="none"/>
                <w:lang w:val="en-US" w:eastAsia="zh-CN"/>
              </w:rPr>
              <w:t>操作系统支持进程负载均衡调度方式；</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调度方式：</w:t>
            </w:r>
            <w:r>
              <w:rPr>
                <w:rFonts w:hint="eastAsia" w:ascii="仿宋_GB2312" w:hAnsi="仿宋_GB2312" w:eastAsia="仿宋_GB2312" w:cs="仿宋_GB2312"/>
                <w:color w:val="auto"/>
                <w:sz w:val="24"/>
                <w:szCs w:val="24"/>
                <w:highlight w:val="none"/>
                <w:u w:val="none"/>
                <w:lang w:val="en-US" w:eastAsia="zh-CN"/>
              </w:rPr>
              <w:t>操作系统支持进程基于时间片的调度方式；</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抢占调度方式：</w:t>
            </w:r>
            <w:r>
              <w:rPr>
                <w:rFonts w:hint="eastAsia" w:ascii="仿宋_GB2312" w:hAnsi="仿宋_GB2312" w:eastAsia="仿宋_GB2312" w:cs="仿宋_GB2312"/>
                <w:color w:val="auto"/>
                <w:sz w:val="24"/>
                <w:szCs w:val="24"/>
                <w:highlight w:val="none"/>
                <w:u w:val="none"/>
                <w:lang w:val="en-US" w:eastAsia="zh-CN"/>
              </w:rPr>
              <w:t>操作系统支持进程抢占调度方式。</w:t>
            </w:r>
          </w:p>
          <w:p>
            <w:pPr>
              <w:pStyle w:val="247"/>
              <w:kinsoku w:val="0"/>
              <w:overflowPunct w:val="0"/>
              <w:spacing w:before="0" w:line="360" w:lineRule="exact"/>
              <w:ind w:firstLine="241" w:firstLineChars="100"/>
              <w:jc w:val="left"/>
              <w:rPr>
                <w:rFonts w:hint="eastAsia" w:ascii="仿宋_GB2312" w:hAnsi="仿宋_GB2312" w:eastAsia="仿宋_GB2312" w:cs="仿宋_GB2312"/>
                <w:b/>
                <w:bCs/>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10.中断处理：</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中断处理：</w:t>
            </w:r>
            <w:r>
              <w:rPr>
                <w:rFonts w:hint="eastAsia" w:ascii="仿宋_GB2312" w:hAnsi="仿宋_GB2312" w:eastAsia="仿宋_GB2312" w:cs="仿宋_GB2312"/>
                <w:color w:val="auto"/>
                <w:sz w:val="24"/>
                <w:szCs w:val="24"/>
                <w:highlight w:val="none"/>
                <w:u w:val="none"/>
                <w:lang w:val="en-US" w:eastAsia="zh-CN"/>
              </w:rPr>
              <w:t>操作系统支持硬件中断号和软件中断号的映射、注册和处理；支持高精度时钟中断、类软中断和类tasklet下半部中断处理；支持中断使能、屏蔽、亲和力处理以及中断抢占；支持中断工作队列处理，包括工作队列创建、初始化、调度和回收等。</w:t>
            </w:r>
          </w:p>
          <w:p>
            <w:pPr>
              <w:pStyle w:val="247"/>
              <w:kinsoku w:val="0"/>
              <w:overflowPunct w:val="0"/>
              <w:spacing w:before="0" w:line="360" w:lineRule="exact"/>
              <w:ind w:firstLine="241" w:firstLineChars="100"/>
              <w:jc w:val="left"/>
              <w:rPr>
                <w:rFonts w:hint="eastAsia" w:ascii="仿宋_GB2312" w:hAnsi="仿宋_GB2312" w:eastAsia="仿宋_GB2312" w:cs="仿宋_GB2312"/>
                <w:b/>
                <w:bCs/>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11.并发与同步处理：</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并发同步处理：</w:t>
            </w:r>
            <w:r>
              <w:rPr>
                <w:rFonts w:hint="eastAsia" w:ascii="仿宋_GB2312" w:hAnsi="仿宋_GB2312" w:eastAsia="仿宋_GB2312" w:cs="仿宋_GB2312"/>
                <w:color w:val="auto"/>
                <w:sz w:val="24"/>
                <w:szCs w:val="24"/>
                <w:highlight w:val="none"/>
                <w:u w:val="none"/>
                <w:lang w:val="en-US" w:eastAsia="zh-CN"/>
              </w:rPr>
              <w:t>操作系统支持自旋锁、信号量、互斥体等原子操作；支持读写锁、类RCU原子操作；支持内存屏障操作。</w:t>
            </w:r>
          </w:p>
          <w:p>
            <w:pPr>
              <w:pStyle w:val="247"/>
              <w:kinsoku w:val="0"/>
              <w:overflowPunct w:val="0"/>
              <w:spacing w:before="0" w:line="360" w:lineRule="exact"/>
              <w:ind w:firstLine="241" w:firstLineChars="100"/>
              <w:jc w:val="left"/>
              <w:rPr>
                <w:rFonts w:hint="eastAsia" w:ascii="仿宋_GB2312" w:hAnsi="仿宋_GB2312" w:eastAsia="仿宋_GB2312" w:cs="仿宋_GB2312"/>
                <w:b/>
                <w:bCs/>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12.中文支持要求：</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字符编码：</w:t>
            </w:r>
            <w:r>
              <w:rPr>
                <w:rFonts w:hint="eastAsia" w:ascii="仿宋_GB2312" w:hAnsi="仿宋_GB2312" w:eastAsia="仿宋_GB2312" w:cs="仿宋_GB2312"/>
                <w:color w:val="auto"/>
                <w:sz w:val="24"/>
                <w:szCs w:val="24"/>
                <w:highlight w:val="none"/>
                <w:u w:val="none"/>
                <w:lang w:val="en-US" w:eastAsia="zh-CN"/>
              </w:rPr>
              <w:t>操作系统符合GB18030的要求；</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字库：</w:t>
            </w:r>
            <w:r>
              <w:rPr>
                <w:rFonts w:hint="eastAsia" w:ascii="仿宋_GB2312" w:hAnsi="仿宋_GB2312" w:eastAsia="仿宋_GB2312" w:cs="仿宋_GB2312"/>
                <w:color w:val="auto"/>
                <w:sz w:val="24"/>
                <w:szCs w:val="24"/>
                <w:highlight w:val="none"/>
                <w:u w:val="none"/>
                <w:lang w:val="en-US" w:eastAsia="zh-CN"/>
              </w:rPr>
              <w:t>操作系统提供符合GB18030标准的字库，至少包括宋体、仿宋体、黑体、楷体及小标宋体在内的5种字库；支持曲线字库，可无级放缩字形大小，以适应不同分辨率的输出设备，输出字形应字形正确，字体规范；支持用户扩展安装字库；</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输入法：</w:t>
            </w:r>
            <w:r>
              <w:rPr>
                <w:rFonts w:hint="eastAsia" w:ascii="仿宋_GB2312" w:hAnsi="仿宋_GB2312" w:eastAsia="仿宋_GB2312" w:cs="仿宋_GB2312"/>
                <w:color w:val="auto"/>
                <w:sz w:val="24"/>
                <w:szCs w:val="24"/>
                <w:highlight w:val="none"/>
                <w:u w:val="none"/>
                <w:lang w:val="en-US" w:eastAsia="zh-CN"/>
              </w:rPr>
              <w:t>操作系统应内置输入法框架；至少提供一种音码和一种型码输入法；支持GB18030中已编码的语言文字输入法的安装使用；</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输入法标准：</w:t>
            </w:r>
            <w:r>
              <w:rPr>
                <w:rFonts w:hint="eastAsia" w:ascii="仿宋_GB2312" w:hAnsi="仿宋_GB2312" w:eastAsia="仿宋_GB2312" w:cs="仿宋_GB2312"/>
                <w:color w:val="auto"/>
                <w:sz w:val="24"/>
                <w:szCs w:val="24"/>
                <w:highlight w:val="none"/>
                <w:u w:val="none"/>
                <w:lang w:val="en-US" w:eastAsia="zh-CN"/>
              </w:rPr>
              <w:t>操作系统提供的通用键盘输入法应符合GB/T19246—2003要求；如提供手写输入法，应符合GB/T18790—2010要求；如提供语音输入法，应符合GB/T21023—2007要求；</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输出：</w:t>
            </w:r>
            <w:r>
              <w:rPr>
                <w:rFonts w:hint="eastAsia" w:ascii="仿宋_GB2312" w:hAnsi="仿宋_GB2312" w:eastAsia="仿宋_GB2312" w:cs="仿宋_GB2312"/>
                <w:color w:val="auto"/>
                <w:sz w:val="24"/>
                <w:szCs w:val="24"/>
                <w:highlight w:val="none"/>
                <w:u w:val="none"/>
                <w:lang w:val="en-US" w:eastAsia="zh-CN"/>
              </w:rPr>
              <w:t>系统配置的字库能被工具或软件正常调用打印和显示；</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表示：</w:t>
            </w:r>
            <w:r>
              <w:rPr>
                <w:rFonts w:hint="eastAsia" w:ascii="仿宋_GB2312" w:hAnsi="仿宋_GB2312" w:eastAsia="仿宋_GB2312" w:cs="仿宋_GB2312"/>
                <w:color w:val="auto"/>
                <w:sz w:val="24"/>
                <w:szCs w:val="24"/>
                <w:highlight w:val="none"/>
                <w:u w:val="none"/>
                <w:lang w:val="en-US" w:eastAsia="zh-CN"/>
              </w:rPr>
              <w:t>操作系统提供中文界面显示，提供符合要求的日期、星期、上下午、时间、货币、数字等显示及表示方式。</w:t>
            </w:r>
          </w:p>
          <w:p>
            <w:pPr>
              <w:pStyle w:val="247"/>
              <w:kinsoku w:val="0"/>
              <w:overflowPunct w:val="0"/>
              <w:spacing w:before="0" w:line="360" w:lineRule="exact"/>
              <w:ind w:firstLine="241" w:firstLineChars="100"/>
              <w:jc w:val="left"/>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highlight w:val="none"/>
                <w:u w:val="none"/>
                <w:lang w:val="en-US" w:eastAsia="zh-CN"/>
              </w:rPr>
              <w:t>13.</w:t>
            </w:r>
            <w:r>
              <w:rPr>
                <w:rFonts w:hint="eastAsia" w:ascii="仿宋_GB2312" w:hAnsi="仿宋_GB2312" w:eastAsia="仿宋_GB2312" w:cs="仿宋_GB2312"/>
                <w:b/>
                <w:bCs/>
                <w:color w:val="auto"/>
                <w:sz w:val="24"/>
                <w:szCs w:val="24"/>
              </w:rPr>
              <w:t>系统管理要求</w:t>
            </w:r>
            <w:r>
              <w:rPr>
                <w:rFonts w:hint="eastAsia" w:ascii="仿宋_GB2312" w:hAnsi="仿宋_GB2312" w:eastAsia="仿宋_GB2312" w:cs="仿宋_GB2312"/>
                <w:b/>
                <w:bCs/>
                <w:color w:val="auto"/>
                <w:sz w:val="24"/>
                <w:szCs w:val="24"/>
                <w:lang w:eastAsia="zh-CN"/>
              </w:rPr>
              <w:t>：</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系统信息：</w:t>
            </w:r>
            <w:r>
              <w:rPr>
                <w:rFonts w:hint="eastAsia" w:ascii="仿宋_GB2312" w:hAnsi="仿宋_GB2312" w:eastAsia="仿宋_GB2312" w:cs="仿宋_GB2312"/>
                <w:color w:val="auto"/>
                <w:sz w:val="24"/>
                <w:szCs w:val="24"/>
                <w:highlight w:val="none"/>
                <w:u w:val="none"/>
                <w:lang w:val="en-US" w:eastAsia="zh-CN"/>
              </w:rPr>
              <w:t>操作系统提供系统信息查看工具，支持用户查看系统版本、内核版本、内存容量、CPU型号等信息；</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系统资源管理：</w:t>
            </w:r>
            <w:r>
              <w:rPr>
                <w:rFonts w:hint="eastAsia" w:ascii="仿宋_GB2312" w:hAnsi="仿宋_GB2312" w:eastAsia="仿宋_GB2312" w:cs="仿宋_GB2312"/>
                <w:color w:val="auto"/>
                <w:sz w:val="24"/>
                <w:szCs w:val="24"/>
                <w:highlight w:val="none"/>
                <w:u w:val="none"/>
                <w:lang w:val="en-US" w:eastAsia="zh-CN"/>
              </w:rPr>
              <w:t>操作系统提供系统资源管理工具并图形化显示进程信息、资源信息、文件资源信息等；</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硬盘管理：</w:t>
            </w:r>
            <w:r>
              <w:rPr>
                <w:rFonts w:hint="eastAsia" w:ascii="仿宋_GB2312" w:hAnsi="仿宋_GB2312" w:eastAsia="仿宋_GB2312" w:cs="仿宋_GB2312"/>
                <w:color w:val="auto"/>
                <w:sz w:val="24"/>
                <w:szCs w:val="24"/>
                <w:highlight w:val="none"/>
                <w:u w:val="none"/>
                <w:lang w:val="en-US" w:eastAsia="zh-CN"/>
              </w:rPr>
              <w:t>操作系统提供硬盘管理工具，显示硬盘容量及硬盘信息，支持新建和删除硬盘分区，分区支持EXT3、EXT4、FAT32、NTFS、XFS、exFAT、Btrfs等文件系统格式；</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设备信息：</w:t>
            </w:r>
            <w:r>
              <w:rPr>
                <w:rFonts w:hint="eastAsia" w:ascii="仿宋_GB2312" w:hAnsi="仿宋_GB2312" w:eastAsia="仿宋_GB2312" w:cs="仿宋_GB2312"/>
                <w:color w:val="auto"/>
                <w:sz w:val="24"/>
                <w:szCs w:val="24"/>
                <w:highlight w:val="none"/>
                <w:u w:val="none"/>
                <w:lang w:val="en-US" w:eastAsia="zh-CN"/>
              </w:rPr>
              <w:t>操作系统提供设备信息工具，显示CPU、内存、主板、存储、网卡、声卡、电源、USB、蓝牙等参数信息，显示硬件信息、计算机型号和操作系统信息、设备驱动状态（启用或禁用），并支持设备启用、禁用状态设置；</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文件管理器：</w:t>
            </w:r>
            <w:r>
              <w:rPr>
                <w:rFonts w:hint="eastAsia" w:ascii="仿宋_GB2312" w:hAnsi="仿宋_GB2312" w:eastAsia="仿宋_GB2312" w:cs="仿宋_GB2312"/>
                <w:color w:val="auto"/>
                <w:sz w:val="24"/>
                <w:szCs w:val="24"/>
                <w:highlight w:val="none"/>
                <w:u w:val="none"/>
                <w:lang w:val="en-US" w:eastAsia="zh-CN"/>
              </w:rPr>
              <w:t>操作系统支持按文件名、文件类型、文件修改时间、文件大小排序显示文件；支持文本文件、图片文件和视频文件首帧的预览；显示当前用户的主目录、桌面、文档、下载、回收站等文件资源；支持对光驱、闪存盘的访问；支持对网络资源的访问，包括SMB、FTP、NFS等协议下的网络资源；支持通过地址栏输入绝对路径定位文件夹；支持文件按照列表显示或网格图标显示；支持新建文件、文件夹和快捷方式，并支持扩展新建的文件类型；支持全选当前文件夹所有文件，支持文件多选、反选；支持复制、粘贴、删除、剪切、重命名、压缩等文件操作；支持选择文件打开方式，可以使用默认用程序打开，并支持修改默认用程序；支持按文件名、修改时间、文件大小等搜索；</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本地帐户管理：</w:t>
            </w:r>
            <w:r>
              <w:rPr>
                <w:rFonts w:hint="eastAsia" w:ascii="仿宋_GB2312" w:hAnsi="仿宋_GB2312" w:eastAsia="仿宋_GB2312" w:cs="仿宋_GB2312"/>
                <w:color w:val="auto"/>
                <w:sz w:val="24"/>
                <w:szCs w:val="24"/>
                <w:highlight w:val="none"/>
                <w:u w:val="none"/>
                <w:lang w:val="en-US" w:eastAsia="zh-CN"/>
              </w:rPr>
              <w:t>操作系统提供图形管理界面，支持帐户和用户组管理，支持口令、头像、权限设置，支持口令修改，支持重设管理帐户口令；</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登录管理：</w:t>
            </w:r>
            <w:r>
              <w:rPr>
                <w:rFonts w:hint="eastAsia" w:ascii="仿宋_GB2312" w:hAnsi="仿宋_GB2312" w:eastAsia="仿宋_GB2312" w:cs="仿宋_GB2312"/>
                <w:color w:val="auto"/>
                <w:sz w:val="24"/>
                <w:szCs w:val="24"/>
                <w:highlight w:val="none"/>
                <w:u w:val="none"/>
                <w:lang w:val="en-US" w:eastAsia="zh-CN"/>
              </w:rPr>
              <w:t>操作系统支持本地帐户、LDAP帐户鉴别登录，提供口令、指纹、人脸、U-Key等多种鉴别方式登录，支持本地帐户免口令登录和自动登录；</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鼠标管理：</w:t>
            </w:r>
            <w:r>
              <w:rPr>
                <w:rFonts w:hint="eastAsia" w:ascii="仿宋_GB2312" w:hAnsi="仿宋_GB2312" w:eastAsia="仿宋_GB2312" w:cs="仿宋_GB2312"/>
                <w:color w:val="auto"/>
                <w:sz w:val="24"/>
                <w:szCs w:val="24"/>
                <w:highlight w:val="none"/>
                <w:u w:val="none"/>
                <w:lang w:val="en-US" w:eastAsia="zh-CN"/>
              </w:rPr>
              <w:t>操作系统提供图形化鼠标管理工具；支持鼠标灵敏度、滚轮方向的设置与测试；支持左右手习惯设置；对于带触控板的微型计算机，应具有触控板管理功能，包括启动与禁止及相应的防误触等功能；</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键盘管理：</w:t>
            </w:r>
            <w:r>
              <w:rPr>
                <w:rFonts w:hint="eastAsia" w:ascii="仿宋_GB2312" w:hAnsi="仿宋_GB2312" w:eastAsia="仿宋_GB2312" w:cs="仿宋_GB2312"/>
                <w:color w:val="auto"/>
                <w:sz w:val="24"/>
                <w:szCs w:val="24"/>
                <w:highlight w:val="none"/>
                <w:u w:val="none"/>
                <w:lang w:val="en-US" w:eastAsia="zh-CN"/>
              </w:rPr>
              <w:t>操作系统提供键盘图形化管理工具；支持重复键延时及速度设置；支持数字键盘、大写锁定提示；</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显示管理：</w:t>
            </w:r>
            <w:r>
              <w:rPr>
                <w:rFonts w:hint="eastAsia" w:ascii="仿宋_GB2312" w:hAnsi="仿宋_GB2312" w:eastAsia="仿宋_GB2312" w:cs="仿宋_GB2312"/>
                <w:color w:val="auto"/>
                <w:sz w:val="24"/>
                <w:szCs w:val="24"/>
                <w:highlight w:val="none"/>
                <w:u w:val="none"/>
                <w:lang w:val="en-US" w:eastAsia="zh-CN"/>
              </w:rPr>
              <w:t>操作系统支持屏幕分辨率设置；支持屏幕刷新率设置；支持屏幕亮度设置；支持屏幕显示冷暖色温手动、自动调节；支持多个屏幕以复制、扩展、单独方式输出显示，支持多个屏幕显示位置设置，支持各屏幕显示方向独立设置；支持4K高分辨率屏幕显示，支持手动和自适应匹配设置窗口等比缩放显示；支持超宽屏显示，如：21:9、32:9的显示器；支持触屏功能，包括选择、点击、双击、滚动等操作；支持登录界面、锁屏界面、系统桌面的背景图片设置；支持屏幕保护定时设置和帐户口令鉴权恢复；</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声音管理：</w:t>
            </w:r>
            <w:r>
              <w:rPr>
                <w:rFonts w:hint="eastAsia" w:ascii="仿宋_GB2312" w:hAnsi="仿宋_GB2312" w:eastAsia="仿宋_GB2312" w:cs="仿宋_GB2312"/>
                <w:color w:val="auto"/>
                <w:sz w:val="24"/>
                <w:szCs w:val="24"/>
                <w:highlight w:val="none"/>
                <w:u w:val="none"/>
                <w:lang w:val="en-US" w:eastAsia="zh-CN"/>
              </w:rPr>
              <w:t>操作系统支持输出音量大小设置、静音设置；支持系统默认音效配置；支持输入输出设备配置；支持输入噪音抑制开关设置；支持输出音量增强开关设置；支持输出声道左右平衡设置。</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快捷键管理:</w:t>
            </w:r>
            <w:r>
              <w:rPr>
                <w:rFonts w:hint="eastAsia" w:ascii="仿宋_GB2312" w:hAnsi="仿宋_GB2312" w:eastAsia="仿宋_GB2312" w:cs="仿宋_GB2312"/>
                <w:color w:val="auto"/>
                <w:sz w:val="24"/>
                <w:szCs w:val="24"/>
                <w:highlight w:val="none"/>
                <w:u w:val="none"/>
                <w:lang w:val="en-US" w:eastAsia="zh-CN"/>
              </w:rPr>
              <w:t>操作系统支持预先定义系统快捷键；支持自定义快捷键。</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时间日期管理：</w:t>
            </w:r>
            <w:r>
              <w:rPr>
                <w:rFonts w:hint="eastAsia" w:ascii="仿宋_GB2312" w:hAnsi="仿宋_GB2312" w:eastAsia="仿宋_GB2312" w:cs="仿宋_GB2312"/>
                <w:color w:val="auto"/>
                <w:sz w:val="24"/>
                <w:szCs w:val="24"/>
                <w:highlight w:val="none"/>
                <w:u w:val="none"/>
                <w:lang w:val="en-US" w:eastAsia="zh-CN"/>
              </w:rPr>
              <w:t>操作系统支持图形化显示；支持系统日期、时间设置；支持时区设置；支持网络时钟同步设置。</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电源管理：</w:t>
            </w:r>
            <w:r>
              <w:rPr>
                <w:rFonts w:hint="eastAsia" w:ascii="仿宋_GB2312" w:hAnsi="仿宋_GB2312" w:eastAsia="仿宋_GB2312" w:cs="仿宋_GB2312"/>
                <w:color w:val="auto"/>
                <w:sz w:val="24"/>
                <w:szCs w:val="24"/>
                <w:highlight w:val="none"/>
                <w:u w:val="none"/>
                <w:lang w:val="en-US" w:eastAsia="zh-CN"/>
              </w:rPr>
              <w:t>操作系统支持空闲时显示器转入待机的时间设置；支持空闲时计算机转入屏幕保护的时间设置；支持屏幕显示亮度设置；便携式计算机使用时支持高性能、平衡、节能等模式设置。</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输入法管理：</w:t>
            </w:r>
            <w:r>
              <w:rPr>
                <w:rFonts w:hint="eastAsia" w:ascii="仿宋_GB2312" w:hAnsi="仿宋_GB2312" w:eastAsia="仿宋_GB2312" w:cs="仿宋_GB2312"/>
                <w:color w:val="auto"/>
                <w:sz w:val="24"/>
                <w:szCs w:val="24"/>
                <w:highlight w:val="none"/>
                <w:u w:val="none"/>
                <w:lang w:val="en-US" w:eastAsia="zh-CN"/>
              </w:rPr>
              <w:t>操作系统支持添加和删除输入法；支持快捷键设置，包括输入法启动、输入法激活/非激活切换、顺序切换等；支持多种输入法共存。</w:t>
            </w:r>
          </w:p>
          <w:p>
            <w:pPr>
              <w:pStyle w:val="247"/>
              <w:kinsoku w:val="0"/>
              <w:overflowPunct w:val="0"/>
              <w:spacing w:before="0" w:line="360" w:lineRule="exact"/>
              <w:ind w:firstLine="241" w:firstLineChars="100"/>
              <w:jc w:val="left"/>
              <w:rPr>
                <w:rFonts w:hint="eastAsia" w:ascii="仿宋_GB2312" w:hAnsi="仿宋_GB2312" w:eastAsia="仿宋_GB2312" w:cs="仿宋_GB2312"/>
                <w:b w:val="0"/>
                <w:bCs w:val="0"/>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默认登录语言：</w:t>
            </w:r>
            <w:r>
              <w:rPr>
                <w:rFonts w:hint="eastAsia" w:ascii="仿宋_GB2312" w:hAnsi="仿宋_GB2312" w:eastAsia="仿宋_GB2312" w:cs="仿宋_GB2312"/>
                <w:b w:val="0"/>
                <w:bCs w:val="0"/>
                <w:color w:val="auto"/>
                <w:sz w:val="24"/>
                <w:szCs w:val="24"/>
                <w:highlight w:val="none"/>
                <w:u w:val="none"/>
                <w:lang w:val="en-US" w:eastAsia="zh-CN"/>
              </w:rPr>
              <w:t>按照安装时选择的文种类型作为初次登录系统文种。</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打印机管理：</w:t>
            </w:r>
            <w:r>
              <w:rPr>
                <w:rFonts w:hint="eastAsia" w:ascii="仿宋_GB2312" w:hAnsi="仿宋_GB2312" w:eastAsia="仿宋_GB2312" w:cs="仿宋_GB2312"/>
                <w:color w:val="auto"/>
                <w:sz w:val="24"/>
                <w:szCs w:val="24"/>
                <w:highlight w:val="none"/>
                <w:u w:val="none"/>
                <w:lang w:val="en-US" w:eastAsia="zh-CN"/>
              </w:rPr>
              <w:t>操作系统支持添加和删除打印机；支持添加本地打印机、网络打印机及共享打印机；支持打印机共享；支持查看打印机列表；支持任务队列管理，包括取消、暂停、挂起；支持页面设置；提供接口查询打印机打印状态，包括指定文件打印成功的页数、份数、页码及打印失败的文件名和页码等信息。</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外设管控：</w:t>
            </w:r>
            <w:r>
              <w:rPr>
                <w:rFonts w:hint="eastAsia" w:ascii="仿宋_GB2312" w:hAnsi="仿宋_GB2312" w:eastAsia="仿宋_GB2312" w:cs="仿宋_GB2312"/>
                <w:color w:val="auto"/>
                <w:sz w:val="24"/>
                <w:szCs w:val="24"/>
                <w:highlight w:val="none"/>
                <w:u w:val="none"/>
                <w:lang w:val="en-US" w:eastAsia="zh-CN"/>
              </w:rPr>
              <w:t>操作系统支持动态显示未授权设备信息；支持接口控制、设备控制、权限控制等（接口包括USB、蓝牙、网络接口等；设备包括打印机、摄录设备、USB存储设备等；权限包括读、写、执行等）；支持按设备类型、设备ID、接口等配置设备接入黑白名单策略；提供完整的连接记录，记录可追溯。</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隐私文件保护：</w:t>
            </w:r>
            <w:r>
              <w:rPr>
                <w:rFonts w:hint="eastAsia" w:ascii="仿宋_GB2312" w:hAnsi="仿宋_GB2312" w:eastAsia="仿宋_GB2312" w:cs="仿宋_GB2312"/>
                <w:color w:val="auto"/>
                <w:sz w:val="24"/>
                <w:szCs w:val="24"/>
                <w:highlight w:val="none"/>
                <w:u w:val="none"/>
                <w:lang w:val="en-US" w:eastAsia="zh-CN"/>
              </w:rPr>
              <w:t>操作系统提供基于独立口令和密钥保护的文件保险箱；支持口令和透明加解密鉴权访问文件保险箱内的文件和文件夹；支持手动上锁文件保险箱；支持通过密钥找回口令。</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网络管理：</w:t>
            </w:r>
            <w:r>
              <w:rPr>
                <w:rFonts w:hint="eastAsia" w:ascii="仿宋_GB2312" w:hAnsi="仿宋_GB2312" w:eastAsia="仿宋_GB2312" w:cs="仿宋_GB2312"/>
                <w:color w:val="auto"/>
                <w:sz w:val="24"/>
                <w:szCs w:val="24"/>
                <w:highlight w:val="none"/>
                <w:u w:val="none"/>
                <w:lang w:val="en-US" w:eastAsia="zh-CN"/>
              </w:rPr>
              <w:t>支持图形化显示；支持DNS设置；支持IPV4/IPV6地址配置；支持自动获取网络地址；支持网关设置；支持手动/自动设置网络代理服务器，支持HTTP、HTTPS、FTP、SOCKS等多种协议；支持无线网络管理，包括连接或断开网络、配置口令、手动刷新无线热点列表等；支持个人热点共享，包括有线、无线网络生成的网络热点； 支持L2TP、PPTP、OpenVPN、StrongSwan类型的VPN连接，支持新增、导入、编辑和删除连接配置，支持启用或禁用VPN自动连接。</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默认应用程序管理：</w:t>
            </w:r>
            <w:r>
              <w:rPr>
                <w:rFonts w:hint="eastAsia" w:ascii="仿宋_GB2312" w:hAnsi="仿宋_GB2312" w:eastAsia="仿宋_GB2312" w:cs="仿宋_GB2312"/>
                <w:color w:val="auto"/>
                <w:sz w:val="24"/>
                <w:szCs w:val="24"/>
                <w:highlight w:val="none"/>
                <w:u w:val="none"/>
                <w:lang w:val="en-US" w:eastAsia="zh-CN"/>
              </w:rPr>
              <w:t>操作系统提供默认用程序管理工具，支持预先定义和修改指定用类型的默认程序，包括图片、文本、音视频、网页、邮件。</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通知管理：</w:t>
            </w:r>
            <w:r>
              <w:rPr>
                <w:rFonts w:hint="eastAsia" w:ascii="仿宋_GB2312" w:hAnsi="仿宋_GB2312" w:eastAsia="仿宋_GB2312" w:cs="仿宋_GB2312"/>
                <w:color w:val="auto"/>
                <w:sz w:val="24"/>
                <w:szCs w:val="24"/>
                <w:highlight w:val="none"/>
                <w:u w:val="none"/>
                <w:lang w:val="en-US" w:eastAsia="zh-CN"/>
              </w:rPr>
              <w:t>操作系统任务栏提供通知中心图标，并显示消息提醒；系统和应用使用通知接口发送通知消息；支持对通知消息的管理，包括显示、删除、清理等。</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主题管理：</w:t>
            </w:r>
            <w:r>
              <w:rPr>
                <w:rFonts w:hint="eastAsia" w:ascii="仿宋_GB2312" w:hAnsi="仿宋_GB2312" w:eastAsia="仿宋_GB2312" w:cs="仿宋_GB2312"/>
                <w:color w:val="auto"/>
                <w:sz w:val="24"/>
                <w:szCs w:val="24"/>
                <w:highlight w:val="none"/>
                <w:u w:val="none"/>
                <w:lang w:val="en-US" w:eastAsia="zh-CN"/>
              </w:rPr>
              <w:t>操作系统提供图形化主题管理工具；支持以深色、浅色和昼夜切换自动配色方式显示系统图形化界面；支持系统主题颜色设置；支持系统图标主题设置；支持系统光标主题设置。</w:t>
            </w:r>
          </w:p>
          <w:p>
            <w:pPr>
              <w:pStyle w:val="247"/>
              <w:numPr>
                <w:ilvl w:val="-1"/>
                <w:numId w:val="0"/>
              </w:numPr>
              <w:kinsoku w:val="0"/>
              <w:overflowPunct w:val="0"/>
              <w:spacing w:before="0" w:line="360" w:lineRule="exact"/>
              <w:ind w:firstLine="241" w:firstLineChars="100"/>
              <w:jc w:val="left"/>
              <w:rPr>
                <w:rFonts w:hint="eastAsia" w:ascii="仿宋_GB2312" w:hAnsi="仿宋_GB2312" w:eastAsia="仿宋_GB2312" w:cs="仿宋_GB2312"/>
                <w:b/>
                <w:bCs/>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14.图形化要求：</w:t>
            </w:r>
          </w:p>
          <w:p>
            <w:pPr>
              <w:pStyle w:val="247"/>
              <w:numPr>
                <w:ilvl w:val="-1"/>
                <w:numId w:val="0"/>
              </w:numPr>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用户操作界面：</w:t>
            </w:r>
            <w:r>
              <w:rPr>
                <w:rFonts w:hint="eastAsia" w:ascii="仿宋_GB2312" w:hAnsi="仿宋_GB2312" w:eastAsia="仿宋_GB2312" w:cs="仿宋_GB2312"/>
                <w:color w:val="auto"/>
                <w:sz w:val="24"/>
                <w:szCs w:val="24"/>
                <w:highlight w:val="none"/>
                <w:u w:val="none"/>
                <w:lang w:val="en-US" w:eastAsia="zh-CN"/>
              </w:rPr>
              <w:t>操作系统提供图形化操作界面。</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桌面图标：</w:t>
            </w:r>
            <w:r>
              <w:rPr>
                <w:rFonts w:hint="eastAsia" w:ascii="仿宋_GB2312" w:hAnsi="仿宋_GB2312" w:eastAsia="仿宋_GB2312" w:cs="仿宋_GB2312"/>
                <w:color w:val="auto"/>
                <w:sz w:val="24"/>
                <w:szCs w:val="24"/>
                <w:highlight w:val="none"/>
                <w:u w:val="none"/>
                <w:lang w:val="en-US" w:eastAsia="zh-CN"/>
              </w:rPr>
              <w:t>操作系统默认提供我的系统、个人文档、回收站等图标。</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桌面图标管理：</w:t>
            </w:r>
            <w:r>
              <w:rPr>
                <w:rFonts w:hint="eastAsia" w:ascii="仿宋_GB2312" w:hAnsi="仿宋_GB2312" w:eastAsia="仿宋_GB2312" w:cs="仿宋_GB2312"/>
                <w:color w:val="auto"/>
                <w:sz w:val="24"/>
                <w:szCs w:val="24"/>
                <w:highlight w:val="none"/>
                <w:u w:val="none"/>
                <w:lang w:val="en-US" w:eastAsia="zh-CN"/>
              </w:rPr>
              <w:t>操作系统提供回收站工具，可收集要删除的文件和文件夹，并支持右键清空操作；支持应用程序快捷方式与文件共存；支持右键选单进行复制、剪切和粘贴文件操作；支持文件图标拖拽、摆放；支持图标名称修改；支持按照文件类别显示文件图标。</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桌面快捷选单：</w:t>
            </w:r>
            <w:r>
              <w:rPr>
                <w:rFonts w:hint="eastAsia" w:ascii="仿宋_GB2312" w:hAnsi="仿宋_GB2312" w:eastAsia="仿宋_GB2312" w:cs="仿宋_GB2312"/>
                <w:color w:val="auto"/>
                <w:sz w:val="24"/>
                <w:szCs w:val="24"/>
                <w:highlight w:val="none"/>
                <w:u w:val="none"/>
                <w:lang w:val="en-US" w:eastAsia="zh-CN"/>
              </w:rPr>
              <w:t>操作系统支持桌面图标按照网格排列；支持右键选单新建纯文本；支持右键选单新建文件夹；支持右键选单选择图标排列顺序，排序可按名称、类型、修改时间、文件大小。</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起始选单：</w:t>
            </w:r>
            <w:r>
              <w:rPr>
                <w:rFonts w:hint="eastAsia" w:ascii="仿宋_GB2312" w:hAnsi="仿宋_GB2312" w:eastAsia="仿宋_GB2312" w:cs="仿宋_GB2312"/>
                <w:color w:val="auto"/>
                <w:sz w:val="24"/>
                <w:szCs w:val="24"/>
                <w:highlight w:val="none"/>
                <w:u w:val="none"/>
                <w:lang w:val="en-US" w:eastAsia="zh-CN"/>
              </w:rPr>
              <w:t>操作系统支持分类显示系统已安装应用；支持创建应用的快捷方式到桌面；支持添加应用访问快捷方式到任务栏；支持多种方式搜索内容，支持拼音搜索、模糊搜索快捷查找系统应用；支持新安装应用与应用列表中其他应用以明显方式区分，包括突出显示、增加标识或单独分类；包含电源操作按钮，并可触发系统退出界面； 包含直接进入控制系统或配置系统的功能入口或应用图标。</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任务栏：</w:t>
            </w:r>
            <w:r>
              <w:rPr>
                <w:rFonts w:hint="eastAsia" w:ascii="仿宋_GB2312" w:hAnsi="仿宋_GB2312" w:eastAsia="仿宋_GB2312" w:cs="仿宋_GB2312"/>
                <w:color w:val="auto"/>
                <w:sz w:val="24"/>
                <w:szCs w:val="24"/>
                <w:highlight w:val="none"/>
                <w:u w:val="none"/>
                <w:lang w:val="en-US" w:eastAsia="zh-CN"/>
              </w:rPr>
              <w:t>操作系统应提供图形化任务管理工具栏，任务栏中应该包括快速启动栏、通知栏；提供快速启动应用程序区，可以添加或删除应用启动快捷方式；提供系统通知栏，显示网络、声音、电源、USB设备等，支持应用程序（如输入法等）的状态信息；提供显示桌面功能，支持最小化当前所有窗口，在有活动窗口的情况下快速切换成只显示用户桌面；对已切换成只显示用户桌面的状态，可以快速切换回活动窗口状态；直观区分任务栏应用运行与未运行的状态；支持任务栏隐藏；支持任务栏位置调整。</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桌面工作区：</w:t>
            </w:r>
            <w:r>
              <w:rPr>
                <w:rFonts w:hint="eastAsia" w:ascii="仿宋_GB2312" w:hAnsi="仿宋_GB2312" w:eastAsia="仿宋_GB2312" w:cs="仿宋_GB2312"/>
                <w:color w:val="auto"/>
                <w:sz w:val="24"/>
                <w:szCs w:val="24"/>
                <w:highlight w:val="none"/>
                <w:u w:val="none"/>
                <w:lang w:val="en-US" w:eastAsia="zh-CN"/>
              </w:rPr>
              <w:t>操作系统支持多工作区，支持应用跨工作区移动； 可配置工作区数量；可通过快捷键切换工作区。</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系统退出：</w:t>
            </w:r>
            <w:r>
              <w:rPr>
                <w:rFonts w:hint="eastAsia" w:ascii="仿宋_GB2312" w:hAnsi="仿宋_GB2312" w:eastAsia="仿宋_GB2312" w:cs="仿宋_GB2312"/>
                <w:color w:val="auto"/>
                <w:sz w:val="24"/>
                <w:szCs w:val="24"/>
                <w:highlight w:val="none"/>
                <w:u w:val="none"/>
                <w:lang w:val="en-US" w:eastAsia="zh-CN"/>
              </w:rPr>
              <w:t>操作系统退出界面应为模态或全屏界面，提供选择关机、重启、锁定、注销、休眠、待机等六种操作。</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窗口管理器：</w:t>
            </w:r>
            <w:r>
              <w:rPr>
                <w:rFonts w:hint="eastAsia" w:ascii="仿宋_GB2312" w:hAnsi="仿宋_GB2312" w:eastAsia="仿宋_GB2312" w:cs="仿宋_GB2312"/>
                <w:color w:val="auto"/>
                <w:sz w:val="24"/>
                <w:szCs w:val="24"/>
                <w:highlight w:val="none"/>
                <w:u w:val="none"/>
                <w:lang w:val="en-US" w:eastAsia="zh-CN"/>
              </w:rPr>
              <w:t>操作系统支持对窗口的操作，如最小化、最大化、移动、改变大小、总是置顶或在最前端、关闭；提供窗口显示最小化、最大化和关闭按钮；提供窗口标题，显示窗口名称，并区别显示选中和未选中窗口；窗口可以在不同工作区中移动；提供窗口防呆功能，防止窗口完全移出桌面范围内；提供窗口切换功能，通过快捷键可在打开的窗口中按一定顺序进行快速切换；提供多任务视图功能，可以预览当前工作区内已打开的所有窗口；支持一键操作移开桌面所有窗口，显示桌面；提供多窗口分屏功能，支持屏幕分割显示各窗口，支持同时调整窗口尺寸。</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图形特效：</w:t>
            </w:r>
            <w:r>
              <w:rPr>
                <w:rFonts w:hint="eastAsia" w:ascii="仿宋_GB2312" w:hAnsi="仿宋_GB2312" w:eastAsia="仿宋_GB2312" w:cs="仿宋_GB2312"/>
                <w:color w:val="auto"/>
                <w:sz w:val="24"/>
                <w:szCs w:val="24"/>
                <w:highlight w:val="none"/>
                <w:u w:val="none"/>
                <w:lang w:val="en-US" w:eastAsia="zh-CN"/>
              </w:rPr>
              <w:t>操作系统窗口显示支持模糊透明特效，当支持透明效果的窗口与其他窗口重叠时，前置窗口颜色能随背景窗口颜色的融合发生变化；提供窗口外观装饰效果设置，如边框、阴影、模糊、透明度、圆角等，且透明度可调节。</w:t>
            </w:r>
          </w:p>
          <w:p>
            <w:pPr>
              <w:pStyle w:val="247"/>
              <w:numPr>
                <w:ilvl w:val="-1"/>
                <w:numId w:val="0"/>
              </w:numPr>
              <w:kinsoku w:val="0"/>
              <w:overflowPunct w:val="0"/>
              <w:spacing w:before="0" w:line="360" w:lineRule="exact"/>
              <w:ind w:firstLine="241" w:firstLineChars="100"/>
              <w:jc w:val="left"/>
              <w:rPr>
                <w:rFonts w:hint="eastAsia" w:ascii="仿宋_GB2312" w:hAnsi="仿宋_GB2312" w:eastAsia="仿宋_GB2312" w:cs="仿宋_GB2312"/>
                <w:b/>
                <w:bCs/>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15.常用软件支持：</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应用软件安全要求：</w:t>
            </w:r>
            <w:r>
              <w:rPr>
                <w:rFonts w:hint="eastAsia" w:ascii="仿宋_GB2312" w:hAnsi="仿宋_GB2312" w:eastAsia="仿宋_GB2312" w:cs="仿宋_GB2312"/>
                <w:color w:val="auto"/>
                <w:sz w:val="24"/>
                <w:szCs w:val="24"/>
                <w:highlight w:val="none"/>
                <w:u w:val="none"/>
                <w:lang w:val="en-US" w:eastAsia="zh-CN"/>
              </w:rPr>
              <w:t>操作系统预装应用软件应进行签名认证，确保应用软件的安全性、稳定性、可靠性。</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压缩工具：</w:t>
            </w:r>
            <w:r>
              <w:rPr>
                <w:rFonts w:hint="eastAsia" w:ascii="仿宋_GB2312" w:hAnsi="仿宋_GB2312" w:eastAsia="仿宋_GB2312" w:cs="仿宋_GB2312"/>
                <w:color w:val="auto"/>
                <w:sz w:val="24"/>
                <w:szCs w:val="24"/>
                <w:highlight w:val="none"/>
                <w:u w:val="none"/>
                <w:lang w:val="en-US" w:eastAsia="zh-CN"/>
              </w:rPr>
              <w:t>操作系统提供压缩解压缩工具，支持zip、7z、tar、tar.7z、tar.bz2、tar.gz等压缩格式新建、打开、解压操作，以及对压缩文件中所含文件进行添加、删除、重命名等操作；支持解压rar格式文件；支持对压缩包进行加解密。</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音频播放工具：</w:t>
            </w:r>
            <w:r>
              <w:rPr>
                <w:rFonts w:hint="eastAsia" w:ascii="仿宋_GB2312" w:hAnsi="仿宋_GB2312" w:eastAsia="仿宋_GB2312" w:cs="仿宋_GB2312"/>
                <w:color w:val="auto"/>
                <w:sz w:val="24"/>
                <w:szCs w:val="24"/>
                <w:highlight w:val="none"/>
                <w:u w:val="none"/>
                <w:lang w:val="en-US" w:eastAsia="zh-CN"/>
              </w:rPr>
              <w:t>操作系统提供音频播放工具，支持MP3、OGG、WAV等音频格式文件；支持播放本地音频文件；支持本地音乐文件搜索功能；支持播放控制，可设置播放模式。</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音频录制工具：</w:t>
            </w:r>
            <w:r>
              <w:rPr>
                <w:rFonts w:hint="eastAsia" w:ascii="仿宋_GB2312" w:hAnsi="仿宋_GB2312" w:eastAsia="仿宋_GB2312" w:cs="仿宋_GB2312"/>
                <w:color w:val="auto"/>
                <w:sz w:val="24"/>
                <w:szCs w:val="24"/>
                <w:highlight w:val="none"/>
                <w:u w:val="none"/>
                <w:lang w:val="en-US" w:eastAsia="zh-CN"/>
              </w:rPr>
              <w:t>操作系统提供音频录制工具，支持系统播放和传声器输入的音频录制为文件；支持录制音频过程中的录制、暂停、续录和停止等操作。</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视频播放工具：</w:t>
            </w:r>
            <w:r>
              <w:rPr>
                <w:rFonts w:hint="eastAsia" w:ascii="仿宋_GB2312" w:hAnsi="仿宋_GB2312" w:eastAsia="仿宋_GB2312" w:cs="仿宋_GB2312"/>
                <w:color w:val="auto"/>
                <w:sz w:val="24"/>
                <w:szCs w:val="24"/>
                <w:highlight w:val="none"/>
                <w:u w:val="none"/>
                <w:lang w:val="en-US" w:eastAsia="zh-CN"/>
              </w:rPr>
              <w:t>操作系统提供视频播放工具，支持MKV、OGG等封装格式的视频文件；支持播放本地视频文件；支持自动加载本地字幕；支持播放控制功能；提供软件解码与硬件编解码切换选项，如硬件支持编解码，应优先使用。</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视频录制工具：</w:t>
            </w:r>
            <w:r>
              <w:rPr>
                <w:rFonts w:hint="eastAsia" w:ascii="仿宋_GB2312" w:hAnsi="仿宋_GB2312" w:eastAsia="仿宋_GB2312" w:cs="仿宋_GB2312"/>
                <w:color w:val="auto"/>
                <w:sz w:val="24"/>
                <w:szCs w:val="24"/>
                <w:highlight w:val="none"/>
                <w:u w:val="none"/>
                <w:lang w:val="en-US" w:eastAsia="zh-CN"/>
              </w:rPr>
              <w:t>操作系统提供视频录制工具，支持通过摄像头等设备拍摄图片和录制音视频文件；拍摄照片时，支持设置构图网格、快门音效、多张连拍、延时拍摄、镜像拍摄和图像分辨率；录制音视频时，支持延时录制。</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光盘刻录管理工具：</w:t>
            </w:r>
            <w:r>
              <w:rPr>
                <w:rFonts w:hint="eastAsia" w:ascii="仿宋_GB2312" w:hAnsi="仿宋_GB2312" w:eastAsia="仿宋_GB2312" w:cs="仿宋_GB2312"/>
                <w:color w:val="auto"/>
                <w:sz w:val="24"/>
                <w:szCs w:val="24"/>
                <w:highlight w:val="none"/>
                <w:u w:val="none"/>
                <w:lang w:val="en-US" w:eastAsia="zh-CN"/>
              </w:rPr>
              <w:t>操作系统提供光盘刻录管理工具，支持CD-R、CD-RW、DVD-R、DVD-RW、DVD+R、DVD+RW格式的光盘；支持将光盘复制为镜像文件保存到另一张光盘；支持将光盘镜像文件刻录到光盘；支持ISO9660、UDF格式光盘挂载、读取；支持ISO9660格式光盘追加刻录；支持检查光盘数据完整性。</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截图录屏：</w:t>
            </w:r>
            <w:r>
              <w:rPr>
                <w:rFonts w:hint="eastAsia" w:ascii="仿宋_GB2312" w:hAnsi="仿宋_GB2312" w:eastAsia="仿宋_GB2312" w:cs="仿宋_GB2312"/>
                <w:color w:val="auto"/>
                <w:sz w:val="24"/>
                <w:szCs w:val="24"/>
                <w:highlight w:val="none"/>
                <w:u w:val="none"/>
                <w:lang w:val="en-US" w:eastAsia="zh-CN"/>
              </w:rPr>
              <w:t>操作系统提供截图录屏工具，支持系统截图和录屏； 支持延时捕捉屏幕图像设置；支持录制光标移动、鼠标点击、键盘操作痕迹、系统音频、传声器输入、摄像头画中画内容；支持多种截图区域，包括全屏、程序窗口和自选区域；支持多种保存选项，包括保存到系统默认文件夹、桌面、指定存储路径、剪贴板；系统截图支持保存为PNG、JPG、BMP等格式，录屏支持保存为GIF、MP4、MKV等格式。</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图像查看工具：</w:t>
            </w:r>
            <w:r>
              <w:rPr>
                <w:rFonts w:hint="eastAsia" w:ascii="仿宋_GB2312" w:hAnsi="仿宋_GB2312" w:eastAsia="仿宋_GB2312" w:cs="仿宋_GB2312"/>
                <w:color w:val="auto"/>
                <w:sz w:val="24"/>
                <w:szCs w:val="24"/>
                <w:highlight w:val="none"/>
                <w:u w:val="none"/>
                <w:lang w:val="en-US" w:eastAsia="zh-CN"/>
              </w:rPr>
              <w:t>操作系统提供图像查看工具，支持查看图像文件，支持PNG、JPEG、TIFF、GIF、BMP等图像格式；支持显示图像文件的基本信息，包括文件大小、图像格式、宽度和高度等；支持对图像文件的操作，包括放大、缩小、旋转、打印等。</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文件扫描工具：</w:t>
            </w:r>
            <w:r>
              <w:rPr>
                <w:rFonts w:hint="eastAsia" w:ascii="仿宋_GB2312" w:hAnsi="仿宋_GB2312" w:eastAsia="仿宋_GB2312" w:cs="仿宋_GB2312"/>
                <w:color w:val="auto"/>
                <w:sz w:val="24"/>
                <w:szCs w:val="24"/>
                <w:highlight w:val="none"/>
                <w:u w:val="none"/>
                <w:lang w:val="en-US" w:eastAsia="zh-CN"/>
              </w:rPr>
              <w:t>操作系统提供文件扫描工具，支持扫描文件类型设置，包括PNG、JPEG、TIFF、BMP、PDF等；支持扫描颜色设置，包括彩色、灰度；支持扫描分辨率、幅面设置。</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浏览器：</w:t>
            </w:r>
            <w:r>
              <w:rPr>
                <w:rFonts w:hint="eastAsia" w:ascii="仿宋_GB2312" w:hAnsi="仿宋_GB2312" w:eastAsia="仿宋_GB2312" w:cs="仿宋_GB2312"/>
                <w:color w:val="auto"/>
                <w:sz w:val="24"/>
                <w:szCs w:val="24"/>
                <w:highlight w:val="none"/>
                <w:u w:val="none"/>
                <w:lang w:val="en-US" w:eastAsia="zh-CN"/>
              </w:rPr>
              <w:t>操作系统提供浏览器，支持HTML4、HTML5、ECMAScript、CSS等标准；支持符合国家密码管理要求的商用密码算法；支持国家电子认证根CA签发的符合相关要求的CA机构证书；支持符合GB/T38636—2020的TLCP。</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文件共享：</w:t>
            </w:r>
            <w:r>
              <w:rPr>
                <w:rFonts w:hint="eastAsia" w:ascii="仿宋_GB2312" w:hAnsi="仿宋_GB2312" w:eastAsia="仿宋_GB2312" w:cs="仿宋_GB2312"/>
                <w:color w:val="auto"/>
                <w:sz w:val="24"/>
                <w:szCs w:val="24"/>
                <w:highlight w:val="none"/>
                <w:u w:val="none"/>
                <w:lang w:val="en-US" w:eastAsia="zh-CN"/>
              </w:rPr>
              <w:t>操作系统提供文件共享工具，支持按用户身份进行读写权限设置。</w:t>
            </w:r>
          </w:p>
          <w:p>
            <w:pPr>
              <w:pStyle w:val="247"/>
              <w:numPr>
                <w:ilvl w:val="-1"/>
                <w:numId w:val="0"/>
              </w:numPr>
              <w:kinsoku w:val="0"/>
              <w:overflowPunct w:val="0"/>
              <w:spacing w:before="0" w:line="360" w:lineRule="exact"/>
              <w:ind w:firstLine="241" w:firstLineChars="100"/>
              <w:jc w:val="left"/>
              <w:rPr>
                <w:rFonts w:hint="eastAsia" w:ascii="仿宋_GB2312" w:hAnsi="仿宋_GB2312" w:eastAsia="仿宋_GB2312" w:cs="仿宋_GB2312"/>
                <w:b/>
                <w:bCs/>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16.开发环境：</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开发环境：</w:t>
            </w:r>
            <w:r>
              <w:rPr>
                <w:rFonts w:hint="eastAsia" w:ascii="仿宋_GB2312" w:hAnsi="仿宋_GB2312" w:eastAsia="仿宋_GB2312" w:cs="仿宋_GB2312"/>
                <w:color w:val="auto"/>
                <w:sz w:val="24"/>
                <w:szCs w:val="24"/>
                <w:highlight w:val="none"/>
                <w:u w:val="none"/>
                <w:lang w:val="en-US" w:eastAsia="zh-CN"/>
              </w:rPr>
              <w:t>操作系统通过内置、软件仓库或附加光盘等方式提供如Qt、Eclipse、VSCode等集成开发环境。</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开发库：</w:t>
            </w:r>
            <w:r>
              <w:rPr>
                <w:rFonts w:hint="eastAsia" w:ascii="仿宋_GB2312" w:hAnsi="仿宋_GB2312" w:eastAsia="仿宋_GB2312" w:cs="仿宋_GB2312"/>
                <w:color w:val="auto"/>
                <w:sz w:val="24"/>
                <w:szCs w:val="24"/>
                <w:highlight w:val="none"/>
                <w:u w:val="none"/>
                <w:lang w:val="en-US" w:eastAsia="zh-CN"/>
              </w:rPr>
              <w:t>操作系统通过内置、软件仓库或附加光盘等方式提供如GNU C、GNU C++、Java、Qt、Gtk+、Cairo、OpenGL、Perl、Python、Ruby、Rust、Golang、JS等开发库。</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编译开发工具：</w:t>
            </w:r>
            <w:r>
              <w:rPr>
                <w:rFonts w:hint="eastAsia" w:ascii="仿宋_GB2312" w:hAnsi="仿宋_GB2312" w:eastAsia="仿宋_GB2312" w:cs="仿宋_GB2312"/>
                <w:color w:val="auto"/>
                <w:sz w:val="24"/>
                <w:szCs w:val="24"/>
                <w:highlight w:val="none"/>
                <w:u w:val="none"/>
                <w:lang w:val="en-US" w:eastAsia="zh-CN"/>
              </w:rPr>
              <w:t>操作系统通过内置、软件仓库或附加光盘等方式提供如GCC、G++、Binutils、GDB、Make、CMake等语言编译器。</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文本编辑工具：</w:t>
            </w:r>
            <w:r>
              <w:rPr>
                <w:rFonts w:hint="eastAsia" w:ascii="仿宋_GB2312" w:hAnsi="仿宋_GB2312" w:eastAsia="仿宋_GB2312" w:cs="仿宋_GB2312"/>
                <w:color w:val="auto"/>
                <w:sz w:val="24"/>
                <w:szCs w:val="24"/>
                <w:highlight w:val="none"/>
                <w:u w:val="none"/>
                <w:lang w:val="en-US" w:eastAsia="zh-CN"/>
              </w:rPr>
              <w:t>操作系统通过内置、软件仓库或附加光盘等方式提供如Emacs、Vim等。</w:t>
            </w:r>
          </w:p>
          <w:p>
            <w:pPr>
              <w:pStyle w:val="247"/>
              <w:numPr>
                <w:ilvl w:val="-1"/>
                <w:numId w:val="0"/>
              </w:numPr>
              <w:kinsoku w:val="0"/>
              <w:overflowPunct w:val="0"/>
              <w:spacing w:before="0" w:line="360" w:lineRule="exact"/>
              <w:ind w:firstLine="241" w:firstLineChars="100"/>
              <w:jc w:val="left"/>
              <w:rPr>
                <w:rFonts w:hint="eastAsia" w:ascii="仿宋_GB2312" w:hAnsi="仿宋_GB2312" w:eastAsia="仿宋_GB2312" w:cs="仿宋_GB2312"/>
                <w:b/>
                <w:bCs/>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17.开发支持</w:t>
            </w:r>
          </w:p>
          <w:bookmarkEnd w:id="10"/>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开发文档：</w:t>
            </w:r>
            <w:r>
              <w:rPr>
                <w:rFonts w:hint="eastAsia" w:ascii="仿宋_GB2312" w:hAnsi="仿宋_GB2312" w:eastAsia="仿宋_GB2312" w:cs="仿宋_GB2312"/>
                <w:color w:val="auto"/>
                <w:sz w:val="24"/>
                <w:szCs w:val="24"/>
                <w:highlight w:val="none"/>
                <w:u w:val="none"/>
                <w:lang w:val="en-US" w:eastAsia="zh-CN"/>
              </w:rPr>
              <w:t>操作系统应内置或通过官方网站、社区等提供中文开发文档，包括：软件开发参考文档；驱动开发参考文档；应用移植开发文档；API文档。</w:t>
            </w:r>
          </w:p>
          <w:p>
            <w:pPr>
              <w:pStyle w:val="247"/>
              <w:numPr>
                <w:ilvl w:val="-1"/>
                <w:numId w:val="0"/>
              </w:numPr>
              <w:kinsoku w:val="0"/>
              <w:overflowPunct w:val="0"/>
              <w:spacing w:before="0" w:line="360" w:lineRule="exact"/>
              <w:ind w:firstLine="241" w:firstLineChars="100"/>
              <w:jc w:val="left"/>
              <w:rPr>
                <w:rFonts w:hint="eastAsia" w:ascii="仿宋_GB2312" w:hAnsi="仿宋_GB2312" w:eastAsia="仿宋_GB2312" w:cs="仿宋_GB2312"/>
                <w:b/>
                <w:bCs/>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u w:val="none"/>
                <w:lang w:val="en-US" w:eastAsia="zh-CN"/>
              </w:rPr>
              <w:t>二、兼容性要求：</w:t>
            </w:r>
          </w:p>
          <w:p>
            <w:pPr>
              <w:pStyle w:val="247"/>
              <w:numPr>
                <w:ilvl w:val="-1"/>
                <w:numId w:val="0"/>
              </w:numPr>
              <w:kinsoku w:val="0"/>
              <w:overflowPunct w:val="0"/>
              <w:spacing w:before="0" w:line="360" w:lineRule="exact"/>
              <w:ind w:firstLine="241" w:firstLineChars="100"/>
              <w:jc w:val="left"/>
              <w:rPr>
                <w:rFonts w:hint="eastAsia" w:ascii="仿宋_GB2312" w:hAnsi="仿宋_GB2312" w:eastAsia="仿宋_GB2312" w:cs="仿宋_GB2312"/>
                <w:b/>
                <w:bCs/>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1.运行环境兼容：</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版本兼容：</w:t>
            </w:r>
            <w:r>
              <w:rPr>
                <w:rFonts w:hint="eastAsia" w:ascii="仿宋_GB2312" w:hAnsi="仿宋_GB2312" w:eastAsia="仿宋_GB2312" w:cs="仿宋_GB2312"/>
                <w:color w:val="auto"/>
                <w:sz w:val="24"/>
                <w:szCs w:val="24"/>
                <w:highlight w:val="none"/>
                <w:u w:val="none"/>
                <w:lang w:val="en-US" w:eastAsia="zh-CN"/>
              </w:rPr>
              <w:t>操作系统基础运行库或开发环境向后（向下）兼容，即系统版本升级后，能兼容上一版本所运行的软件与设备；系统主版本兼容维护时间自发布之日起不低于5年，包括但不限于安全修复、功能升级、新硬件支持等；支持以增量升级包的方式实现版本更新。</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文件系统层次结构：</w:t>
            </w:r>
            <w:r>
              <w:rPr>
                <w:rFonts w:hint="eastAsia" w:ascii="仿宋_GB2312" w:hAnsi="仿宋_GB2312" w:eastAsia="仿宋_GB2312" w:cs="仿宋_GB2312"/>
                <w:color w:val="auto"/>
                <w:sz w:val="24"/>
                <w:szCs w:val="24"/>
                <w:highlight w:val="none"/>
                <w:u w:val="none"/>
                <w:lang w:val="en-US" w:eastAsia="zh-CN"/>
              </w:rPr>
              <w:t>供应商应给出长期兼容支持的文件系统层次结构。</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运行库：</w:t>
            </w:r>
            <w:r>
              <w:rPr>
                <w:rFonts w:hint="eastAsia" w:ascii="仿宋_GB2312" w:hAnsi="仿宋_GB2312" w:eastAsia="仿宋_GB2312" w:cs="仿宋_GB2312"/>
                <w:color w:val="auto"/>
                <w:sz w:val="24"/>
                <w:szCs w:val="24"/>
                <w:highlight w:val="none"/>
                <w:u w:val="none"/>
                <w:lang w:val="en-US" w:eastAsia="zh-CN"/>
              </w:rPr>
              <w:t>供应商应给出长期兼容支持的运行库。</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命令：</w:t>
            </w:r>
            <w:r>
              <w:rPr>
                <w:rFonts w:hint="eastAsia" w:ascii="仿宋_GB2312" w:hAnsi="仿宋_GB2312" w:eastAsia="仿宋_GB2312" w:cs="仿宋_GB2312"/>
                <w:color w:val="auto"/>
                <w:sz w:val="24"/>
                <w:szCs w:val="24"/>
                <w:highlight w:val="none"/>
                <w:u w:val="none"/>
                <w:lang w:val="en-US" w:eastAsia="zh-CN"/>
              </w:rPr>
              <w:t>供应商应给出长期兼容支持的常用命令。</w:t>
            </w:r>
          </w:p>
          <w:p>
            <w:pPr>
              <w:pStyle w:val="247"/>
              <w:numPr>
                <w:ilvl w:val="-1"/>
                <w:numId w:val="0"/>
              </w:numPr>
              <w:kinsoku w:val="0"/>
              <w:overflowPunct w:val="0"/>
              <w:spacing w:before="0" w:line="360" w:lineRule="exact"/>
              <w:ind w:firstLine="241" w:firstLineChars="100"/>
              <w:jc w:val="left"/>
              <w:rPr>
                <w:rFonts w:hint="eastAsia" w:ascii="仿宋_GB2312" w:hAnsi="仿宋_GB2312" w:eastAsia="仿宋_GB2312" w:cs="仿宋_GB2312"/>
                <w:b/>
                <w:bCs/>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2.软件包：</w:t>
            </w:r>
          </w:p>
          <w:p>
            <w:pPr>
              <w:pStyle w:val="247"/>
              <w:numPr>
                <w:ilvl w:val="-1"/>
                <w:numId w:val="0"/>
              </w:numPr>
              <w:kinsoku w:val="0"/>
              <w:overflowPunct w:val="0"/>
              <w:spacing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软件包管理：</w:t>
            </w:r>
            <w:r>
              <w:rPr>
                <w:rFonts w:hint="eastAsia" w:ascii="仿宋_GB2312" w:hAnsi="仿宋_GB2312" w:eastAsia="仿宋_GB2312" w:cs="仿宋_GB2312"/>
                <w:color w:val="auto"/>
                <w:sz w:val="24"/>
                <w:szCs w:val="24"/>
                <w:highlight w:val="none"/>
                <w:u w:val="none"/>
                <w:lang w:val="en-US" w:eastAsia="zh-CN"/>
              </w:rPr>
              <w:t>操作系统支持图形化方式下载、安装和卸载软件包；显示已安装软件包的描述和包含的文件；支持安装时优先自动进行缺失依赖软件包的下载和安装；自动检测本地安装包，当发现安装包未经签名认证时自动告警；在连接软件仓库/应用商店时（含局域网、广域网）能自动搜索并下载依赖的软件包。</w:t>
            </w:r>
          </w:p>
          <w:p>
            <w:pPr>
              <w:pStyle w:val="247"/>
              <w:numPr>
                <w:ilvl w:val="-1"/>
                <w:numId w:val="0"/>
              </w:numPr>
              <w:kinsoku w:val="0"/>
              <w:overflowPunct w:val="0"/>
              <w:spacing w:line="360" w:lineRule="exact"/>
              <w:ind w:firstLine="241" w:firstLineChars="100"/>
              <w:jc w:val="left"/>
              <w:rPr>
                <w:rFonts w:hint="eastAsia" w:ascii="仿宋_GB2312" w:hAnsi="仿宋_GB2312" w:eastAsia="仿宋_GB2312" w:cs="仿宋_GB2312"/>
                <w:b/>
                <w:bCs/>
                <w:color w:val="auto"/>
                <w:kern w:val="0"/>
                <w:sz w:val="24"/>
                <w:szCs w:val="24"/>
                <w:highlight w:val="none"/>
                <w:u w:val="none"/>
                <w:lang w:val="en-US" w:eastAsia="zh-CN"/>
              </w:rPr>
            </w:pPr>
            <w:r>
              <w:rPr>
                <w:rFonts w:hint="eastAsia" w:ascii="仿宋_GB2312" w:hAnsi="仿宋_GB2312" w:eastAsia="仿宋_GB2312" w:cs="仿宋_GB2312"/>
                <w:b/>
                <w:bCs/>
                <w:color w:val="auto"/>
                <w:kern w:val="0"/>
                <w:sz w:val="24"/>
                <w:szCs w:val="24"/>
                <w:highlight w:val="none"/>
                <w:u w:val="none"/>
                <w:lang w:val="en-US" w:eastAsia="zh-CN"/>
              </w:rPr>
              <w:t>3.硬件兼容（整机）：</w:t>
            </w:r>
          </w:p>
          <w:p>
            <w:pPr>
              <w:pStyle w:val="247"/>
              <w:numPr>
                <w:ilvl w:val="-1"/>
                <w:numId w:val="0"/>
              </w:numPr>
              <w:kinsoku w:val="0"/>
              <w:overflowPunct w:val="0"/>
              <w:spacing w:line="360" w:lineRule="exact"/>
              <w:ind w:firstLine="240" w:firstLineChars="100"/>
              <w:jc w:val="left"/>
              <w:rPr>
                <w:rFonts w:hint="eastAsia" w:ascii="仿宋_GB2312" w:hAnsi="仿宋_GB2312" w:eastAsia="仿宋_GB2312" w:cs="仿宋_GB2312"/>
                <w:b w:val="0"/>
                <w:bCs w:val="0"/>
                <w:color w:val="auto"/>
                <w:kern w:val="0"/>
                <w:sz w:val="24"/>
                <w:szCs w:val="24"/>
                <w:highlight w:val="none"/>
                <w:u w:val="none"/>
                <w:lang w:val="en-US" w:eastAsia="zh-CN"/>
              </w:rPr>
            </w:pPr>
            <w:r>
              <w:rPr>
                <w:rFonts w:hint="eastAsia" w:ascii="仿宋_GB2312" w:hAnsi="仿宋_GB2312" w:eastAsia="仿宋_GB2312" w:cs="仿宋_GB2312"/>
                <w:b w:val="0"/>
                <w:bCs w:val="0"/>
                <w:color w:val="auto"/>
                <w:kern w:val="0"/>
                <w:sz w:val="24"/>
                <w:szCs w:val="24"/>
                <w:highlight w:val="none"/>
                <w:u w:val="none"/>
                <w:lang w:val="en-US" w:eastAsia="zh-CN"/>
              </w:rPr>
              <w:t>兼容本项目所有采购的硬件（整机），包含台式计算机和便携式计算机。</w:t>
            </w:r>
          </w:p>
          <w:p>
            <w:pPr>
              <w:pStyle w:val="247"/>
              <w:numPr>
                <w:ilvl w:val="-1"/>
                <w:numId w:val="0"/>
              </w:numPr>
              <w:kinsoku w:val="0"/>
              <w:overflowPunct w:val="0"/>
              <w:spacing w:line="360" w:lineRule="exact"/>
              <w:ind w:firstLine="241" w:firstLineChars="100"/>
              <w:jc w:val="left"/>
              <w:rPr>
                <w:rFonts w:hint="eastAsia" w:ascii="仿宋_GB2312" w:hAnsi="仿宋_GB2312" w:eastAsia="仿宋_GB2312" w:cs="仿宋_GB2312"/>
                <w:b/>
                <w:bCs/>
                <w:color w:val="auto"/>
                <w:kern w:val="0"/>
                <w:sz w:val="24"/>
                <w:szCs w:val="24"/>
                <w:highlight w:val="none"/>
                <w:u w:val="none"/>
                <w:lang w:val="en-US" w:eastAsia="zh-CN"/>
              </w:rPr>
            </w:pPr>
            <w:r>
              <w:rPr>
                <w:rFonts w:hint="eastAsia" w:ascii="仿宋_GB2312" w:hAnsi="仿宋_GB2312" w:eastAsia="仿宋_GB2312" w:cs="仿宋_GB2312"/>
                <w:b/>
                <w:bCs/>
                <w:color w:val="auto"/>
                <w:kern w:val="0"/>
                <w:sz w:val="24"/>
                <w:szCs w:val="24"/>
                <w:highlight w:val="none"/>
                <w:u w:val="none"/>
                <w:lang w:val="en-US" w:eastAsia="zh-CN"/>
              </w:rPr>
              <w:t>4.硬件兼容（部件）：</w:t>
            </w:r>
          </w:p>
          <w:p>
            <w:pPr>
              <w:pStyle w:val="247"/>
              <w:numPr>
                <w:ilvl w:val="-1"/>
                <w:numId w:val="0"/>
              </w:numPr>
              <w:kinsoku w:val="0"/>
              <w:overflowPunct w:val="0"/>
              <w:spacing w:line="360" w:lineRule="exact"/>
              <w:ind w:firstLine="240" w:firstLineChars="100"/>
              <w:jc w:val="left"/>
              <w:rPr>
                <w:rFonts w:hint="eastAsia" w:ascii="仿宋_GB2312" w:hAnsi="仿宋_GB2312" w:eastAsia="仿宋_GB2312" w:cs="仿宋_GB2312"/>
                <w:color w:val="auto"/>
                <w:highlight w:val="none"/>
                <w:u w:val="none"/>
              </w:rPr>
            </w:pPr>
            <w:r>
              <w:rPr>
                <w:rFonts w:hint="eastAsia" w:ascii="仿宋_GB2312" w:hAnsi="仿宋_GB2312" w:eastAsia="仿宋_GB2312" w:cs="仿宋_GB2312"/>
                <w:b w:val="0"/>
                <w:bCs w:val="0"/>
                <w:color w:val="auto"/>
                <w:kern w:val="0"/>
                <w:sz w:val="24"/>
                <w:szCs w:val="24"/>
                <w:highlight w:val="none"/>
                <w:u w:val="none"/>
                <w:lang w:val="en-US" w:eastAsia="zh-CN"/>
              </w:rPr>
              <w:t>兼容本项目所有采购的硬件（部件），包含固件、显卡、网卡、蓝牙、显示设备、生物特征。</w:t>
            </w:r>
          </w:p>
          <w:p>
            <w:pPr>
              <w:pStyle w:val="247"/>
              <w:numPr>
                <w:ilvl w:val="-1"/>
                <w:numId w:val="0"/>
              </w:numPr>
              <w:kinsoku w:val="0"/>
              <w:overflowPunct w:val="0"/>
              <w:spacing w:line="360" w:lineRule="exact"/>
              <w:ind w:firstLine="241" w:firstLineChars="100"/>
              <w:jc w:val="left"/>
              <w:rPr>
                <w:rFonts w:hint="eastAsia" w:ascii="仿宋_GB2312" w:hAnsi="仿宋_GB2312" w:eastAsia="仿宋_GB2312" w:cs="仿宋_GB2312"/>
                <w:b/>
                <w:bCs/>
                <w:color w:val="auto"/>
                <w:kern w:val="0"/>
                <w:sz w:val="24"/>
                <w:szCs w:val="24"/>
                <w:highlight w:val="none"/>
                <w:u w:val="none"/>
                <w:lang w:val="en-US" w:eastAsia="zh-CN"/>
              </w:rPr>
            </w:pPr>
            <w:r>
              <w:rPr>
                <w:rFonts w:hint="eastAsia" w:ascii="仿宋_GB2312" w:hAnsi="仿宋_GB2312" w:eastAsia="仿宋_GB2312" w:cs="仿宋_GB2312"/>
                <w:b/>
                <w:bCs/>
                <w:color w:val="auto"/>
                <w:kern w:val="0"/>
                <w:sz w:val="24"/>
                <w:szCs w:val="24"/>
                <w:highlight w:val="none"/>
                <w:u w:val="none"/>
                <w:lang w:val="en-US" w:eastAsia="zh-CN"/>
              </w:rPr>
              <w:t>5.硬件兼容（外设）：</w:t>
            </w:r>
          </w:p>
          <w:p>
            <w:pPr>
              <w:pStyle w:val="247"/>
              <w:numPr>
                <w:ilvl w:val="-1"/>
                <w:numId w:val="0"/>
              </w:numPr>
              <w:kinsoku w:val="0"/>
              <w:overflowPunct w:val="0"/>
              <w:spacing w:line="360" w:lineRule="exact"/>
              <w:ind w:firstLine="240" w:firstLineChars="100"/>
              <w:jc w:val="left"/>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kern w:val="0"/>
                <w:sz w:val="24"/>
                <w:szCs w:val="24"/>
                <w:highlight w:val="none"/>
                <w:u w:val="none"/>
                <w:lang w:val="en-US" w:eastAsia="zh-CN"/>
              </w:rPr>
              <w:t>至少兼容一款打印机、扫描仪、摄录设备、存储设备、主流蓝牙设备</w:t>
            </w:r>
            <w:r>
              <w:rPr>
                <w:rFonts w:hint="eastAsia" w:ascii="仿宋_GB2312" w:hAnsi="仿宋_GB2312" w:eastAsia="仿宋_GB2312" w:cs="仿宋_GB2312"/>
                <w:color w:val="auto"/>
                <w:highlight w:val="none"/>
                <w:u w:val="none"/>
                <w:lang w:eastAsia="zh-CN"/>
              </w:rPr>
              <w:t>、</w:t>
            </w:r>
            <w:r>
              <w:rPr>
                <w:rFonts w:hint="eastAsia" w:ascii="仿宋_GB2312" w:hAnsi="仿宋_GB2312" w:eastAsia="仿宋_GB2312" w:cs="仿宋_GB2312"/>
                <w:color w:val="auto"/>
                <w:kern w:val="0"/>
                <w:sz w:val="24"/>
                <w:szCs w:val="24"/>
                <w:highlight w:val="none"/>
                <w:u w:val="none"/>
                <w:lang w:val="en-US" w:eastAsia="zh-CN"/>
              </w:rPr>
              <w:t>主流 USB 外设。</w:t>
            </w:r>
          </w:p>
          <w:p>
            <w:pPr>
              <w:pStyle w:val="247"/>
              <w:numPr>
                <w:ilvl w:val="-1"/>
                <w:numId w:val="0"/>
              </w:numPr>
              <w:kinsoku w:val="0"/>
              <w:overflowPunct w:val="0"/>
              <w:spacing w:line="360" w:lineRule="exact"/>
              <w:ind w:firstLine="241" w:firstLineChars="100"/>
              <w:jc w:val="left"/>
              <w:rPr>
                <w:rFonts w:hint="eastAsia" w:ascii="仿宋_GB2312" w:hAnsi="仿宋_GB2312" w:eastAsia="仿宋_GB2312" w:cs="仿宋_GB2312"/>
                <w:b/>
                <w:bCs/>
                <w:color w:val="auto"/>
                <w:kern w:val="0"/>
                <w:sz w:val="24"/>
                <w:szCs w:val="24"/>
                <w:highlight w:val="none"/>
                <w:u w:val="none"/>
                <w:lang w:val="en-US" w:eastAsia="zh-CN"/>
              </w:rPr>
            </w:pPr>
            <w:r>
              <w:rPr>
                <w:rFonts w:hint="eastAsia" w:ascii="仿宋_GB2312" w:hAnsi="仿宋_GB2312" w:eastAsia="仿宋_GB2312" w:cs="仿宋_GB2312"/>
                <w:b/>
                <w:bCs/>
                <w:color w:val="auto"/>
                <w:kern w:val="0"/>
                <w:sz w:val="24"/>
                <w:szCs w:val="24"/>
                <w:highlight w:val="none"/>
                <w:u w:val="none"/>
                <w:lang w:val="en-US" w:eastAsia="zh-CN"/>
              </w:rPr>
              <w:t>6.软件兼容（日常办公）：</w:t>
            </w:r>
          </w:p>
          <w:p>
            <w:pPr>
              <w:pStyle w:val="247"/>
              <w:numPr>
                <w:ilvl w:val="-1"/>
                <w:numId w:val="0"/>
              </w:numPr>
              <w:kinsoku w:val="0"/>
              <w:overflowPunct w:val="0"/>
              <w:spacing w:line="360" w:lineRule="exact"/>
              <w:ind w:firstLine="240" w:firstLineChars="100"/>
              <w:jc w:val="left"/>
              <w:rPr>
                <w:rFonts w:hint="eastAsia" w:ascii="仿宋_GB2312" w:hAnsi="仿宋_GB2312" w:eastAsia="仿宋_GB2312" w:cs="仿宋_GB2312"/>
                <w:color w:val="auto"/>
                <w:kern w:val="0"/>
                <w:sz w:val="24"/>
                <w:szCs w:val="24"/>
                <w:highlight w:val="none"/>
                <w:u w:val="none"/>
                <w:lang w:val="en-US" w:eastAsia="zh-CN"/>
              </w:rPr>
            </w:pPr>
            <w:r>
              <w:rPr>
                <w:rFonts w:hint="eastAsia" w:ascii="仿宋_GB2312" w:hAnsi="仿宋_GB2312" w:eastAsia="仿宋_GB2312" w:cs="仿宋_GB2312"/>
                <w:b w:val="0"/>
                <w:bCs w:val="0"/>
                <w:color w:val="auto"/>
                <w:kern w:val="0"/>
                <w:sz w:val="24"/>
                <w:szCs w:val="24"/>
                <w:highlight w:val="none"/>
                <w:u w:val="none"/>
                <w:lang w:val="en-US" w:eastAsia="zh-CN"/>
              </w:rPr>
              <w:t>兼容本项目所有采购的</w:t>
            </w:r>
            <w:r>
              <w:rPr>
                <w:rFonts w:hint="eastAsia" w:ascii="仿宋_GB2312" w:hAnsi="仿宋_GB2312" w:eastAsia="仿宋_GB2312" w:cs="仿宋_GB2312"/>
                <w:color w:val="auto"/>
                <w:kern w:val="0"/>
                <w:sz w:val="24"/>
                <w:szCs w:val="24"/>
                <w:highlight w:val="none"/>
                <w:u w:val="none"/>
                <w:lang w:val="en-US" w:eastAsia="zh-CN"/>
              </w:rPr>
              <w:t>办公软件、版式软件、签名软件等。</w:t>
            </w:r>
          </w:p>
          <w:p>
            <w:pPr>
              <w:pStyle w:val="247"/>
              <w:numPr>
                <w:ilvl w:val="-1"/>
                <w:numId w:val="0"/>
              </w:numPr>
              <w:kinsoku w:val="0"/>
              <w:overflowPunct w:val="0"/>
              <w:spacing w:line="360" w:lineRule="exact"/>
              <w:ind w:firstLine="241" w:firstLineChars="100"/>
              <w:jc w:val="left"/>
              <w:rPr>
                <w:rFonts w:hint="eastAsia" w:ascii="仿宋_GB2312" w:hAnsi="仿宋_GB2312" w:eastAsia="仿宋_GB2312" w:cs="仿宋_GB2312"/>
                <w:b/>
                <w:bCs/>
                <w:color w:val="auto"/>
                <w:kern w:val="0"/>
                <w:sz w:val="24"/>
                <w:szCs w:val="24"/>
                <w:highlight w:val="none"/>
                <w:u w:val="none"/>
                <w:lang w:val="en-US" w:eastAsia="zh-CN"/>
              </w:rPr>
            </w:pPr>
            <w:r>
              <w:rPr>
                <w:rFonts w:hint="eastAsia" w:ascii="仿宋_GB2312" w:hAnsi="仿宋_GB2312" w:eastAsia="仿宋_GB2312" w:cs="仿宋_GB2312"/>
                <w:b/>
                <w:bCs/>
                <w:color w:val="auto"/>
                <w:kern w:val="0"/>
                <w:sz w:val="24"/>
                <w:szCs w:val="24"/>
                <w:highlight w:val="none"/>
                <w:u w:val="none"/>
                <w:lang w:val="en-US" w:eastAsia="zh-CN"/>
              </w:rPr>
              <w:t>7.软件兼容（安全防护）：</w:t>
            </w:r>
          </w:p>
          <w:p>
            <w:pPr>
              <w:pStyle w:val="247"/>
              <w:keepNext w:val="0"/>
              <w:keepLines w:val="0"/>
              <w:widowControl/>
              <w:numPr>
                <w:ilvl w:val="0"/>
                <w:numId w:val="0"/>
              </w:numPr>
              <w:suppressLineNumbers w:val="0"/>
              <w:kinsoku w:val="0"/>
              <w:overflowPunct w:val="0"/>
              <w:spacing w:line="360" w:lineRule="exact"/>
              <w:ind w:firstLine="240" w:firstLineChars="100"/>
              <w:jc w:val="left"/>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szCs w:val="24"/>
                <w:highlight w:val="none"/>
                <w:u w:val="none"/>
                <w:lang w:val="en-US" w:eastAsia="zh-CN"/>
              </w:rPr>
              <w:t>至少兼容一款杀毒软件、身份鉴别系统、日志管理、防火墙。</w:t>
            </w:r>
          </w:p>
          <w:p>
            <w:pPr>
              <w:pStyle w:val="247"/>
              <w:numPr>
                <w:ilvl w:val="-1"/>
                <w:numId w:val="0"/>
              </w:numPr>
              <w:kinsoku w:val="0"/>
              <w:overflowPunct w:val="0"/>
              <w:spacing w:line="360" w:lineRule="exact"/>
              <w:ind w:firstLine="241" w:firstLineChars="100"/>
              <w:jc w:val="left"/>
              <w:rPr>
                <w:rFonts w:hint="eastAsia" w:ascii="仿宋_GB2312" w:hAnsi="仿宋_GB2312" w:eastAsia="仿宋_GB2312" w:cs="仿宋_GB2312"/>
                <w:b/>
                <w:bCs/>
                <w:color w:val="auto"/>
                <w:kern w:val="0"/>
                <w:sz w:val="24"/>
                <w:szCs w:val="24"/>
                <w:highlight w:val="none"/>
                <w:u w:val="none"/>
                <w:lang w:val="en-US" w:eastAsia="zh-CN"/>
              </w:rPr>
            </w:pPr>
            <w:r>
              <w:rPr>
                <w:rFonts w:hint="eastAsia" w:ascii="仿宋_GB2312" w:hAnsi="仿宋_GB2312" w:eastAsia="仿宋_GB2312" w:cs="仿宋_GB2312"/>
                <w:b/>
                <w:bCs/>
                <w:color w:val="auto"/>
                <w:kern w:val="0"/>
                <w:sz w:val="24"/>
                <w:szCs w:val="24"/>
                <w:highlight w:val="none"/>
                <w:u w:val="none"/>
                <w:lang w:val="en-US" w:eastAsia="zh-CN"/>
              </w:rPr>
              <w:t>8.软件兼容（网络应用）：</w:t>
            </w:r>
          </w:p>
          <w:p>
            <w:pPr>
              <w:pStyle w:val="247"/>
              <w:keepNext w:val="0"/>
              <w:keepLines w:val="0"/>
              <w:widowControl/>
              <w:numPr>
                <w:ilvl w:val="0"/>
                <w:numId w:val="0"/>
              </w:numPr>
              <w:suppressLineNumbers w:val="0"/>
              <w:kinsoku w:val="0"/>
              <w:overflowPunct w:val="0"/>
              <w:spacing w:line="360" w:lineRule="exact"/>
              <w:ind w:firstLine="240" w:firstLineChars="100"/>
              <w:jc w:val="left"/>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szCs w:val="24"/>
                <w:highlight w:val="none"/>
                <w:u w:val="none"/>
                <w:lang w:val="en-US" w:eastAsia="zh-CN"/>
              </w:rPr>
              <w:t>至少兼容一款网络会议、浏览器、新闻信息、社交软件。</w:t>
            </w:r>
          </w:p>
          <w:p>
            <w:pPr>
              <w:pStyle w:val="247"/>
              <w:numPr>
                <w:ilvl w:val="-1"/>
                <w:numId w:val="0"/>
              </w:numPr>
              <w:kinsoku w:val="0"/>
              <w:overflowPunct w:val="0"/>
              <w:spacing w:line="360" w:lineRule="exact"/>
              <w:ind w:firstLine="241" w:firstLineChars="100"/>
              <w:jc w:val="left"/>
              <w:rPr>
                <w:rFonts w:hint="eastAsia" w:ascii="仿宋_GB2312" w:hAnsi="仿宋_GB2312" w:eastAsia="仿宋_GB2312" w:cs="仿宋_GB2312"/>
                <w:b/>
                <w:bCs/>
                <w:color w:val="auto"/>
                <w:kern w:val="0"/>
                <w:sz w:val="24"/>
                <w:szCs w:val="24"/>
                <w:highlight w:val="none"/>
                <w:u w:val="none"/>
                <w:lang w:val="en-US" w:eastAsia="zh-CN"/>
              </w:rPr>
            </w:pPr>
            <w:r>
              <w:rPr>
                <w:rFonts w:hint="eastAsia" w:ascii="仿宋_GB2312" w:hAnsi="仿宋_GB2312" w:eastAsia="仿宋_GB2312" w:cs="仿宋_GB2312"/>
                <w:b/>
                <w:bCs/>
                <w:color w:val="auto"/>
                <w:kern w:val="0"/>
                <w:sz w:val="24"/>
                <w:szCs w:val="24"/>
                <w:highlight w:val="none"/>
                <w:u w:val="none"/>
                <w:lang w:val="en-US" w:eastAsia="zh-CN"/>
              </w:rPr>
              <w:t>9.软件兼容（多媒体）：</w:t>
            </w:r>
          </w:p>
          <w:p>
            <w:pPr>
              <w:pStyle w:val="247"/>
              <w:kinsoku w:val="0"/>
              <w:overflowPunct w:val="0"/>
              <w:spacing w:before="0" w:line="360" w:lineRule="exact"/>
              <w:ind w:firstLine="240" w:firstLineChars="100"/>
              <w:jc w:val="left"/>
              <w:rPr>
                <w:rFonts w:hint="eastAsia" w:ascii="仿宋_GB2312" w:hAnsi="仿宋_GB2312" w:eastAsia="仿宋_GB2312" w:cs="仿宋_GB2312"/>
                <w:color w:val="auto"/>
                <w:kern w:val="0"/>
                <w:sz w:val="24"/>
                <w:szCs w:val="24"/>
                <w:highlight w:val="none"/>
                <w:u w:val="none"/>
                <w:lang w:val="en-US" w:eastAsia="zh-CN"/>
              </w:rPr>
            </w:pPr>
            <w:r>
              <w:rPr>
                <w:rFonts w:hint="eastAsia" w:ascii="仿宋_GB2312" w:hAnsi="仿宋_GB2312" w:eastAsia="仿宋_GB2312" w:cs="仿宋_GB2312"/>
                <w:color w:val="auto"/>
                <w:kern w:val="0"/>
                <w:sz w:val="24"/>
                <w:szCs w:val="24"/>
                <w:highlight w:val="none"/>
                <w:u w:val="none"/>
                <w:lang w:val="en-US" w:eastAsia="zh-CN"/>
              </w:rPr>
              <w:t>至少兼容一款图形图像、媒体播放、音乐电台。</w:t>
            </w:r>
          </w:p>
          <w:p>
            <w:pPr>
              <w:pStyle w:val="247"/>
              <w:numPr>
                <w:ilvl w:val="-1"/>
                <w:numId w:val="0"/>
              </w:numPr>
              <w:kinsoku w:val="0"/>
              <w:overflowPunct w:val="0"/>
              <w:spacing w:before="0" w:line="360" w:lineRule="exact"/>
              <w:ind w:firstLine="241" w:firstLineChars="100"/>
              <w:jc w:val="left"/>
              <w:rPr>
                <w:rFonts w:hint="eastAsia" w:ascii="仿宋_GB2312" w:hAnsi="仿宋_GB2312" w:eastAsia="仿宋_GB2312" w:cs="仿宋_GB2312"/>
                <w:b/>
                <w:bCs/>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u w:val="none"/>
                <w:lang w:val="en-US" w:eastAsia="zh-CN"/>
              </w:rPr>
              <w:t>三、易用性要求：</w:t>
            </w:r>
          </w:p>
          <w:p>
            <w:pPr>
              <w:pStyle w:val="247"/>
              <w:numPr>
                <w:ilvl w:val="-1"/>
                <w:numId w:val="0"/>
              </w:numPr>
              <w:kinsoku w:val="0"/>
              <w:overflowPunct w:val="0"/>
              <w:spacing w:before="0" w:line="360" w:lineRule="exact"/>
              <w:ind w:firstLine="241" w:firstLineChars="100"/>
              <w:jc w:val="left"/>
              <w:rPr>
                <w:rFonts w:hint="eastAsia" w:ascii="仿宋_GB2312" w:hAnsi="仿宋_GB2312" w:eastAsia="仿宋_GB2312" w:cs="仿宋_GB2312"/>
                <w:b/>
                <w:bCs/>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1.便捷使用：</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帮助提示：</w:t>
            </w:r>
            <w:r>
              <w:rPr>
                <w:rFonts w:hint="eastAsia" w:ascii="仿宋_GB2312" w:hAnsi="仿宋_GB2312" w:eastAsia="仿宋_GB2312" w:cs="仿宋_GB2312"/>
                <w:color w:val="auto"/>
                <w:sz w:val="24"/>
                <w:szCs w:val="24"/>
                <w:highlight w:val="none"/>
                <w:u w:val="none"/>
                <w:lang w:val="en-US" w:eastAsia="zh-CN"/>
              </w:rPr>
              <w:t>操作系统提供内置系统和应用中文图文用户手册，包括使用说明、示例、常见故障处理等；对需要补充解释的部分，以合适方式提供中文提示。</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快捷键：</w:t>
            </w:r>
            <w:r>
              <w:rPr>
                <w:rFonts w:hint="eastAsia" w:ascii="仿宋_GB2312" w:hAnsi="仿宋_GB2312" w:eastAsia="仿宋_GB2312" w:cs="仿宋_GB2312"/>
                <w:color w:val="auto"/>
                <w:sz w:val="24"/>
                <w:szCs w:val="24"/>
                <w:highlight w:val="none"/>
                <w:u w:val="none"/>
                <w:lang w:val="en-US" w:eastAsia="zh-CN"/>
              </w:rPr>
              <w:t>操作系统支持以下快捷键：&lt;Super&gt;开始选单&lt;Alt&gt;+&lt;Tab&gt;遍历窗口&lt;Shift&gt;+&lt;Alt&gt;+&lt;Tab&gt;反向遍历窗口&lt;Alt&gt;+&lt;F4&gt;关闭当前窗口&lt;Ctrl&gt;+&lt;A&gt;全选&lt;Ctrl&gt;+&lt;X&gt;剪切&lt;Ctrl&gt;+&lt;C&gt;复制&lt;Ctrl&gt;+&lt;V&gt;粘贴&lt;Ctrl&gt;+&lt;Space&gt;开启/关闭输入法&lt;Ctrl&gt;+&lt;Shift&gt;切换输入法&lt;Super&gt;+&lt;L&gt;桌面锁定&lt;Super&gt;+&lt;D&gt;显示桌面&lt;Super&gt;+&lt;E&gt;打开文件管理器&lt;Ctrl&gt;+&lt;Alt&gt;+&lt;Delete&gt;退出界面。</w:t>
            </w:r>
          </w:p>
          <w:p>
            <w:pPr>
              <w:pStyle w:val="247"/>
              <w:numPr>
                <w:ilvl w:val="-1"/>
                <w:numId w:val="0"/>
              </w:numPr>
              <w:kinsoku w:val="0"/>
              <w:overflowPunct w:val="0"/>
              <w:spacing w:before="0" w:line="360" w:lineRule="exact"/>
              <w:ind w:firstLine="241" w:firstLineChars="100"/>
              <w:jc w:val="left"/>
              <w:rPr>
                <w:rFonts w:hint="eastAsia" w:ascii="仿宋_GB2312" w:hAnsi="仿宋_GB2312" w:eastAsia="仿宋_GB2312" w:cs="仿宋_GB2312"/>
                <w:b/>
                <w:bCs/>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u w:val="none"/>
                <w:lang w:val="en-US" w:eastAsia="zh-CN"/>
              </w:rPr>
              <w:t>四、可靠性要求：</w:t>
            </w:r>
          </w:p>
          <w:bookmarkEnd w:id="11"/>
          <w:p>
            <w:pPr>
              <w:pStyle w:val="247"/>
              <w:numPr>
                <w:ilvl w:val="-1"/>
                <w:numId w:val="0"/>
              </w:numPr>
              <w:kinsoku w:val="0"/>
              <w:overflowPunct w:val="0"/>
              <w:spacing w:before="0" w:line="360" w:lineRule="exact"/>
              <w:ind w:firstLine="241" w:firstLineChars="100"/>
              <w:jc w:val="left"/>
              <w:rPr>
                <w:rFonts w:hint="eastAsia" w:ascii="仿宋_GB2312" w:hAnsi="仿宋_GB2312" w:eastAsia="仿宋_GB2312" w:cs="仿宋_GB2312"/>
                <w:b/>
                <w:bCs/>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1.系统稳定性：</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操作系统连续运行72小时：</w:t>
            </w:r>
            <w:r>
              <w:rPr>
                <w:rFonts w:hint="eastAsia" w:ascii="仿宋_GB2312" w:hAnsi="仿宋_GB2312" w:eastAsia="仿宋_GB2312" w:cs="仿宋_GB2312"/>
                <w:color w:val="auto"/>
                <w:sz w:val="24"/>
                <w:szCs w:val="24"/>
                <w:highlight w:val="none"/>
                <w:u w:val="none"/>
                <w:lang w:val="en-US" w:eastAsia="zh-CN"/>
              </w:rPr>
              <w:t>操作系统在CPU占用大于等于80%，或内存占用大于等于80%压力情况下，连续运行72小时无故障。</w:t>
            </w:r>
          </w:p>
          <w:p>
            <w:pPr>
              <w:pStyle w:val="247"/>
              <w:numPr>
                <w:ilvl w:val="-1"/>
                <w:numId w:val="0"/>
              </w:numPr>
              <w:kinsoku w:val="0"/>
              <w:overflowPunct w:val="0"/>
              <w:spacing w:before="0" w:line="360" w:lineRule="exact"/>
              <w:ind w:firstLine="241" w:firstLineChars="100"/>
              <w:jc w:val="left"/>
              <w:rPr>
                <w:rFonts w:hint="eastAsia" w:ascii="仿宋_GB2312" w:hAnsi="仿宋_GB2312" w:eastAsia="仿宋_GB2312" w:cs="仿宋_GB2312"/>
                <w:b/>
                <w:bCs/>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2.检查修复：</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系统修复：</w:t>
            </w:r>
            <w:r>
              <w:rPr>
                <w:rFonts w:hint="eastAsia" w:ascii="仿宋_GB2312" w:hAnsi="仿宋_GB2312" w:eastAsia="仿宋_GB2312" w:cs="仿宋_GB2312"/>
                <w:color w:val="auto"/>
                <w:sz w:val="24"/>
                <w:szCs w:val="24"/>
                <w:highlight w:val="none"/>
                <w:u w:val="none"/>
                <w:lang w:val="en-US" w:eastAsia="zh-CN"/>
              </w:rPr>
              <w:t>操作系统提供文件系统检查与修复功能，能自动修复文件系统错误或以显式方式提示用户进行手动文件系统修复。</w:t>
            </w:r>
          </w:p>
          <w:p>
            <w:pPr>
              <w:pStyle w:val="247"/>
              <w:kinsoku w:val="0"/>
              <w:overflowPunct w:val="0"/>
              <w:spacing w:before="0" w:line="360" w:lineRule="exact"/>
              <w:ind w:firstLine="241" w:firstLineChars="100"/>
              <w:jc w:val="left"/>
              <w:rPr>
                <w:rFonts w:hint="eastAsia" w:ascii="仿宋_GB2312" w:hAnsi="仿宋_GB2312" w:eastAsia="仿宋_GB2312" w:cs="仿宋_GB2312"/>
                <w:b/>
                <w:bCs/>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3.备份恢复：</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备份还原:</w:t>
            </w:r>
            <w:r>
              <w:rPr>
                <w:rFonts w:hint="eastAsia" w:ascii="仿宋_GB2312" w:hAnsi="仿宋_GB2312" w:eastAsia="仿宋_GB2312" w:cs="仿宋_GB2312"/>
                <w:color w:val="auto"/>
                <w:sz w:val="24"/>
                <w:szCs w:val="24"/>
                <w:highlight w:val="none"/>
                <w:u w:val="none"/>
                <w:lang w:val="en-US" w:eastAsia="zh-CN"/>
              </w:rPr>
              <w:t>操作系统提供备份还原功能：支持系统的备份和还原；支持全盘备份到外部存储设备；支持还原到指定备份点；支持保留用户数据的系统还原；支持系统无法正常进入状态时，可对系统进行还原。</w:t>
            </w:r>
          </w:p>
          <w:p>
            <w:pPr>
              <w:pStyle w:val="247"/>
              <w:numPr>
                <w:ilvl w:val="-1"/>
                <w:numId w:val="0"/>
              </w:numPr>
              <w:kinsoku w:val="0"/>
              <w:overflowPunct w:val="0"/>
              <w:spacing w:before="0" w:line="360" w:lineRule="exact"/>
              <w:ind w:firstLine="241" w:firstLineChars="100"/>
              <w:jc w:val="left"/>
              <w:rPr>
                <w:rFonts w:hint="eastAsia" w:ascii="仿宋_GB2312" w:hAnsi="仿宋_GB2312" w:eastAsia="仿宋_GB2312" w:cs="仿宋_GB2312"/>
                <w:b/>
                <w:bCs/>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u w:val="none"/>
                <w:lang w:val="en-US" w:eastAsia="zh-CN"/>
              </w:rPr>
              <w:t>五、可维护性要求：</w:t>
            </w:r>
          </w:p>
          <w:p>
            <w:pPr>
              <w:pStyle w:val="247"/>
              <w:keepNext w:val="0"/>
              <w:keepLines w:val="0"/>
              <w:widowControl/>
              <w:numPr>
                <w:ilvl w:val="0"/>
                <w:numId w:val="0"/>
              </w:numPr>
              <w:suppressLineNumbers w:val="0"/>
              <w:kinsoku w:val="0"/>
              <w:overflowPunct w:val="0"/>
              <w:spacing w:line="360" w:lineRule="exact"/>
              <w:ind w:firstLine="241" w:firstLineChars="100"/>
              <w:jc w:val="left"/>
              <w:rPr>
                <w:rFonts w:hint="eastAsia" w:ascii="仿宋_GB2312" w:hAnsi="仿宋_GB2312" w:eastAsia="仿宋_GB2312" w:cs="仿宋_GB2312"/>
                <w:color w:val="auto"/>
                <w:kern w:val="0"/>
                <w:sz w:val="24"/>
                <w:szCs w:val="24"/>
                <w:highlight w:val="none"/>
                <w:u w:val="none"/>
                <w:lang w:val="en-US" w:eastAsia="zh-CN"/>
              </w:rPr>
            </w:pPr>
            <w:r>
              <w:rPr>
                <w:rFonts w:hint="eastAsia" w:ascii="仿宋_GB2312" w:hAnsi="仿宋_GB2312" w:eastAsia="仿宋_GB2312" w:cs="仿宋_GB2312"/>
                <w:b/>
                <w:bCs/>
                <w:color w:val="auto"/>
                <w:kern w:val="0"/>
                <w:sz w:val="24"/>
                <w:szCs w:val="24"/>
                <w:highlight w:val="none"/>
                <w:u w:val="none"/>
                <w:lang w:val="en-US" w:eastAsia="zh-CN"/>
              </w:rPr>
              <w:t>1.日志管理：</w:t>
            </w:r>
            <w:r>
              <w:rPr>
                <w:rFonts w:hint="eastAsia" w:ascii="仿宋_GB2312" w:hAnsi="仿宋_GB2312" w:eastAsia="仿宋_GB2312" w:cs="仿宋_GB2312"/>
                <w:color w:val="auto"/>
                <w:kern w:val="0"/>
                <w:sz w:val="24"/>
                <w:szCs w:val="24"/>
                <w:highlight w:val="none"/>
                <w:u w:val="none"/>
                <w:lang w:val="en-US" w:eastAsia="zh-CN"/>
              </w:rPr>
              <w:t>操作系统提供日志管理工具：支持图形化显示；支持对系统日志信息的显示和刷新；支持对日志文件的查找和导出；支持对特定时间段内的日志进行筛选；支持系统日志定期清除功能。</w:t>
            </w:r>
          </w:p>
          <w:p>
            <w:pPr>
              <w:pStyle w:val="247"/>
              <w:keepNext w:val="0"/>
              <w:keepLines w:val="0"/>
              <w:widowControl/>
              <w:suppressLineNumbers w:val="0"/>
              <w:kinsoku w:val="0"/>
              <w:overflowPunct w:val="0"/>
              <w:spacing w:line="360" w:lineRule="exact"/>
              <w:ind w:firstLine="241" w:firstLineChars="100"/>
              <w:jc w:val="left"/>
              <w:rPr>
                <w:rFonts w:hint="eastAsia" w:ascii="仿宋_GB2312" w:hAnsi="仿宋_GB2312" w:eastAsia="仿宋_GB2312" w:cs="仿宋_GB2312"/>
                <w:color w:val="auto"/>
                <w:kern w:val="0"/>
                <w:sz w:val="24"/>
                <w:szCs w:val="24"/>
                <w:highlight w:val="none"/>
                <w:u w:val="none"/>
                <w:lang w:val="en-US" w:eastAsia="zh-CN"/>
              </w:rPr>
            </w:pPr>
            <w:r>
              <w:rPr>
                <w:rFonts w:hint="eastAsia" w:ascii="仿宋_GB2312" w:hAnsi="仿宋_GB2312" w:eastAsia="仿宋_GB2312" w:cs="仿宋_GB2312"/>
                <w:b/>
                <w:bCs/>
                <w:color w:val="auto"/>
                <w:kern w:val="0"/>
                <w:sz w:val="24"/>
                <w:highlight w:val="none"/>
                <w:u w:val="none"/>
                <w:lang w:val="en-US" w:eastAsia="zh-CN"/>
              </w:rPr>
              <w:t>2.</w:t>
            </w:r>
            <w:r>
              <w:rPr>
                <w:rFonts w:hint="eastAsia" w:ascii="仿宋_GB2312" w:hAnsi="仿宋_GB2312" w:eastAsia="仿宋_GB2312" w:cs="仿宋_GB2312"/>
                <w:b/>
                <w:bCs/>
                <w:color w:val="auto"/>
                <w:kern w:val="0"/>
                <w:sz w:val="24"/>
                <w:szCs w:val="24"/>
                <w:highlight w:val="none"/>
                <w:u w:val="none"/>
                <w:lang w:val="en-US" w:eastAsia="zh-CN"/>
              </w:rPr>
              <w:t>系统升级：</w:t>
            </w:r>
            <w:r>
              <w:rPr>
                <w:rFonts w:hint="eastAsia" w:ascii="仿宋_GB2312" w:hAnsi="仿宋_GB2312" w:eastAsia="仿宋_GB2312" w:cs="仿宋_GB2312"/>
                <w:color w:val="auto"/>
                <w:kern w:val="0"/>
                <w:sz w:val="24"/>
                <w:szCs w:val="24"/>
                <w:highlight w:val="none"/>
                <w:u w:val="none"/>
                <w:lang w:val="en-US" w:eastAsia="zh-CN"/>
              </w:rPr>
              <w:t>操作系统支持系统增量升级功能，对系统部件、安全补丁等升级；支持在线升级和离线升级；升级不得修改破坏用户数据；升级不得影响原有软硬件兼容性；提供升级回退机制，能卸载已升级的软件包，恢复系统原有状态；如升级为不可回退，则系统升级前以显式的提示告知用户。</w:t>
            </w:r>
          </w:p>
          <w:p>
            <w:pPr>
              <w:pStyle w:val="247"/>
              <w:keepNext w:val="0"/>
              <w:keepLines w:val="0"/>
              <w:widowControl/>
              <w:suppressLineNumbers w:val="0"/>
              <w:kinsoku w:val="0"/>
              <w:overflowPunct w:val="0"/>
              <w:spacing w:line="360" w:lineRule="exact"/>
              <w:ind w:firstLine="241" w:firstLineChars="100"/>
              <w:jc w:val="left"/>
              <w:rPr>
                <w:rFonts w:hint="eastAsia" w:ascii="仿宋_GB2312" w:hAnsi="仿宋_GB2312" w:eastAsia="仿宋_GB2312" w:cs="仿宋_GB2312"/>
                <w:b/>
                <w:bCs/>
                <w:color w:val="auto"/>
                <w:kern w:val="0"/>
                <w:sz w:val="24"/>
                <w:szCs w:val="24"/>
                <w:highlight w:val="none"/>
                <w:u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kern w:val="0"/>
                <w:sz w:val="24"/>
                <w:szCs w:val="24"/>
                <w:highlight w:val="none"/>
                <w:u w:val="none"/>
                <w:lang w:val="en-US" w:eastAsia="zh-CN"/>
              </w:rPr>
              <w:t>六、交付方式要求：</w:t>
            </w:r>
          </w:p>
          <w:p>
            <w:pPr>
              <w:pStyle w:val="247"/>
              <w:keepNext w:val="0"/>
              <w:keepLines w:val="0"/>
              <w:widowControl/>
              <w:suppressLineNumbers w:val="0"/>
              <w:kinsoku w:val="0"/>
              <w:overflowPunct w:val="0"/>
              <w:spacing w:line="360" w:lineRule="exact"/>
              <w:ind w:firstLine="240" w:firstLineChars="100"/>
              <w:jc w:val="left"/>
              <w:rPr>
                <w:rFonts w:hint="default"/>
                <w:lang w:val="en-US"/>
              </w:rPr>
            </w:pPr>
            <w:r>
              <w:rPr>
                <w:rFonts w:hint="eastAsia" w:ascii="仿宋_GB2312" w:hAnsi="仿宋_GB2312" w:eastAsia="仿宋_GB2312" w:cs="仿宋_GB2312"/>
                <w:color w:val="auto"/>
                <w:kern w:val="0"/>
                <w:sz w:val="24"/>
                <w:szCs w:val="24"/>
                <w:highlight w:val="none"/>
                <w:u w:val="none"/>
                <w:lang w:val="en-US" w:eastAsia="zh-CN"/>
              </w:rPr>
              <w:t>操作系统支持光盘、USB 闪存盘、镜像文件（下载）等交付方式。</w:t>
            </w:r>
          </w:p>
          <w:p>
            <w:pPr>
              <w:pStyle w:val="247"/>
              <w:numPr>
                <w:ilvl w:val="-1"/>
                <w:numId w:val="0"/>
              </w:numPr>
              <w:kinsoku w:val="0"/>
              <w:overflowPunct w:val="0"/>
              <w:spacing w:before="0" w:line="360" w:lineRule="exact"/>
              <w:ind w:firstLine="241" w:firstLineChars="100"/>
              <w:jc w:val="left"/>
              <w:rPr>
                <w:rFonts w:hint="eastAsia" w:ascii="仿宋_GB2312" w:hAnsi="仿宋_GB2312" w:eastAsia="仿宋_GB2312" w:cs="仿宋_GB2312"/>
                <w:b/>
                <w:bCs/>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u w:val="none"/>
                <w:lang w:val="en-US" w:eastAsia="zh-CN"/>
              </w:rPr>
              <w:t>七、服务要求：</w:t>
            </w:r>
          </w:p>
          <w:p>
            <w:pPr>
              <w:pStyle w:val="247"/>
              <w:keepNext w:val="0"/>
              <w:keepLines w:val="0"/>
              <w:widowControl/>
              <w:suppressLineNumbers w:val="0"/>
              <w:kinsoku w:val="0"/>
              <w:overflowPunct w:val="0"/>
              <w:spacing w:line="360" w:lineRule="exact"/>
              <w:ind w:firstLine="241" w:firstLineChars="100"/>
              <w:jc w:val="left"/>
              <w:rPr>
                <w:rFonts w:hint="eastAsia" w:ascii="仿宋_GB2312" w:hAnsi="仿宋_GB2312" w:eastAsia="仿宋_GB2312" w:cs="仿宋_GB2312"/>
                <w:b/>
                <w:bCs/>
                <w:color w:val="auto"/>
                <w:kern w:val="0"/>
                <w:sz w:val="24"/>
                <w:szCs w:val="24"/>
                <w:highlight w:val="none"/>
                <w:u w:val="none"/>
                <w:lang w:val="en-US" w:eastAsia="zh-CN"/>
              </w:rPr>
            </w:pPr>
            <w:r>
              <w:rPr>
                <w:rFonts w:hint="eastAsia" w:ascii="仿宋_GB2312" w:hAnsi="仿宋_GB2312" w:eastAsia="仿宋_GB2312" w:cs="仿宋_GB2312"/>
                <w:b/>
                <w:bCs/>
                <w:color w:val="auto"/>
                <w:kern w:val="0"/>
                <w:sz w:val="24"/>
                <w:szCs w:val="24"/>
                <w:highlight w:val="none"/>
                <w:u w:val="none"/>
                <w:lang w:val="en-US" w:eastAsia="zh-CN"/>
              </w:rPr>
              <w:t>1.产品维护服务周期：</w:t>
            </w:r>
          </w:p>
          <w:p>
            <w:pPr>
              <w:pStyle w:val="247"/>
              <w:keepNext w:val="0"/>
              <w:keepLines w:val="0"/>
              <w:widowControl/>
              <w:suppressLineNumbers w:val="0"/>
              <w:kinsoku w:val="0"/>
              <w:overflowPunct w:val="0"/>
              <w:spacing w:line="360" w:lineRule="exact"/>
              <w:ind w:firstLine="241" w:firstLineChars="100"/>
              <w:jc w:val="left"/>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b/>
                <w:bCs/>
                <w:color w:val="auto"/>
                <w:kern w:val="0"/>
                <w:sz w:val="24"/>
                <w:szCs w:val="24"/>
                <w:highlight w:val="none"/>
                <w:u w:val="none"/>
                <w:lang w:val="en-US" w:eastAsia="zh-CN"/>
              </w:rPr>
              <w:t>产品维护周期：</w:t>
            </w:r>
            <w:r>
              <w:rPr>
                <w:rFonts w:hint="eastAsia" w:ascii="仿宋_GB2312" w:hAnsi="仿宋_GB2312" w:eastAsia="仿宋_GB2312" w:cs="仿宋_GB2312"/>
                <w:color w:val="auto"/>
                <w:kern w:val="0"/>
                <w:sz w:val="24"/>
                <w:szCs w:val="24"/>
                <w:highlight w:val="none"/>
                <w:u w:val="none"/>
                <w:lang w:val="en-US" w:eastAsia="zh-CN"/>
              </w:rPr>
              <w:t>产品自发布之日起至产品停止功能升级（包含不限于新特性、新硬件支持、问题修复、安全补丁等）之日止≥5 年。</w:t>
            </w:r>
          </w:p>
          <w:p>
            <w:pPr>
              <w:pStyle w:val="247"/>
              <w:keepNext w:val="0"/>
              <w:keepLines w:val="0"/>
              <w:widowControl/>
              <w:suppressLineNumbers w:val="0"/>
              <w:kinsoku w:val="0"/>
              <w:overflowPunct w:val="0"/>
              <w:spacing w:line="360" w:lineRule="exact"/>
              <w:ind w:firstLine="241" w:firstLineChars="100"/>
              <w:jc w:val="left"/>
              <w:rPr>
                <w:rFonts w:hint="eastAsia" w:ascii="仿宋_GB2312" w:hAnsi="仿宋_GB2312" w:eastAsia="仿宋_GB2312" w:cs="仿宋_GB2312"/>
                <w:color w:val="auto"/>
                <w:kern w:val="0"/>
                <w:sz w:val="24"/>
                <w:szCs w:val="24"/>
                <w:highlight w:val="none"/>
                <w:u w:val="none"/>
                <w:lang w:val="en-US" w:eastAsia="zh-CN"/>
              </w:rPr>
            </w:pPr>
            <w:r>
              <w:rPr>
                <w:rFonts w:hint="eastAsia" w:ascii="仿宋_GB2312" w:hAnsi="仿宋_GB2312" w:eastAsia="仿宋_GB2312" w:cs="仿宋_GB2312"/>
                <w:b/>
                <w:bCs/>
                <w:color w:val="auto"/>
                <w:kern w:val="0"/>
                <w:sz w:val="24"/>
                <w:szCs w:val="24"/>
                <w:highlight w:val="none"/>
                <w:u w:val="none"/>
                <w:lang w:val="en-US" w:eastAsia="zh-CN"/>
              </w:rPr>
              <w:t>产品延伸服务周期：</w:t>
            </w:r>
            <w:r>
              <w:rPr>
                <w:rFonts w:hint="eastAsia" w:ascii="仿宋_GB2312" w:hAnsi="仿宋_GB2312" w:eastAsia="仿宋_GB2312" w:cs="仿宋_GB2312"/>
                <w:color w:val="auto"/>
                <w:kern w:val="0"/>
                <w:sz w:val="24"/>
                <w:szCs w:val="24"/>
                <w:highlight w:val="none"/>
                <w:u w:val="none"/>
                <w:lang w:val="en-US" w:eastAsia="zh-CN"/>
              </w:rPr>
              <w:t>产品停止功能升级之日起至产品停止功能维护（包括问题修复、安全补丁等）之日止≥4 年。</w:t>
            </w:r>
          </w:p>
          <w:p>
            <w:pPr>
              <w:pStyle w:val="247"/>
              <w:keepNext w:val="0"/>
              <w:keepLines w:val="0"/>
              <w:widowControl/>
              <w:suppressLineNumbers w:val="0"/>
              <w:kinsoku w:val="0"/>
              <w:overflowPunct w:val="0"/>
              <w:spacing w:line="360" w:lineRule="exact"/>
              <w:ind w:firstLine="241" w:firstLineChars="100"/>
              <w:jc w:val="left"/>
              <w:rPr>
                <w:rFonts w:hint="eastAsia" w:ascii="仿宋_GB2312" w:hAnsi="仿宋_GB2312" w:eastAsia="仿宋_GB2312" w:cs="仿宋_GB2312"/>
                <w:color w:val="auto"/>
                <w:kern w:val="0"/>
                <w:sz w:val="24"/>
                <w:szCs w:val="24"/>
                <w:highlight w:val="none"/>
                <w:u w:val="none"/>
                <w:lang w:val="en-US" w:eastAsia="zh-CN"/>
              </w:rPr>
            </w:pPr>
            <w:r>
              <w:rPr>
                <w:rFonts w:hint="eastAsia" w:ascii="仿宋_GB2312" w:hAnsi="仿宋_GB2312" w:eastAsia="仿宋_GB2312" w:cs="仿宋_GB2312"/>
                <w:b/>
                <w:bCs/>
                <w:color w:val="auto"/>
                <w:kern w:val="0"/>
                <w:sz w:val="24"/>
                <w:szCs w:val="24"/>
                <w:highlight w:val="none"/>
                <w:u w:val="none"/>
                <w:lang w:val="en-US" w:eastAsia="zh-CN"/>
              </w:rPr>
              <w:t>产品延伸安全服务周期：</w:t>
            </w:r>
            <w:r>
              <w:rPr>
                <w:rFonts w:hint="eastAsia" w:ascii="仿宋_GB2312" w:hAnsi="仿宋_GB2312" w:eastAsia="仿宋_GB2312" w:cs="仿宋_GB2312"/>
                <w:color w:val="auto"/>
                <w:kern w:val="0"/>
                <w:sz w:val="24"/>
                <w:szCs w:val="24"/>
                <w:highlight w:val="none"/>
                <w:u w:val="none"/>
                <w:lang w:val="en-US" w:eastAsia="zh-CN"/>
              </w:rPr>
              <w:t>产品功能维护停止之日起至产品停止安全维护（包括中高风险漏洞修复）之日止≥2 年。</w:t>
            </w:r>
          </w:p>
          <w:p>
            <w:pPr>
              <w:pStyle w:val="247"/>
              <w:keepNext w:val="0"/>
              <w:keepLines w:val="0"/>
              <w:widowControl/>
              <w:suppressLineNumbers w:val="0"/>
              <w:kinsoku w:val="0"/>
              <w:overflowPunct w:val="0"/>
              <w:spacing w:line="360" w:lineRule="exact"/>
              <w:ind w:firstLine="241" w:firstLineChars="100"/>
              <w:jc w:val="left"/>
              <w:rPr>
                <w:rFonts w:hint="eastAsia" w:ascii="仿宋_GB2312" w:hAnsi="仿宋_GB2312" w:eastAsia="仿宋_GB2312" w:cs="仿宋_GB2312"/>
                <w:color w:val="auto"/>
                <w:kern w:val="0"/>
                <w:sz w:val="24"/>
                <w:szCs w:val="24"/>
                <w:highlight w:val="none"/>
                <w:u w:val="none"/>
                <w:lang w:val="en-US" w:eastAsia="zh-CN"/>
              </w:rPr>
            </w:pPr>
            <w:r>
              <w:rPr>
                <w:rFonts w:hint="eastAsia" w:ascii="仿宋_GB2312" w:hAnsi="仿宋_GB2312" w:eastAsia="仿宋_GB2312" w:cs="仿宋_GB2312"/>
                <w:b/>
                <w:bCs/>
                <w:color w:val="auto"/>
                <w:kern w:val="0"/>
                <w:sz w:val="24"/>
                <w:szCs w:val="24"/>
                <w:highlight w:val="none"/>
                <w:u w:val="none"/>
                <w:lang w:val="en-US" w:eastAsia="zh-CN"/>
              </w:rPr>
              <w:t>产品售后服务周期：</w:t>
            </w:r>
            <w:r>
              <w:rPr>
                <w:rFonts w:hint="eastAsia" w:ascii="仿宋_GB2312" w:hAnsi="仿宋_GB2312" w:eastAsia="仿宋_GB2312" w:cs="仿宋_GB2312"/>
                <w:color w:val="auto"/>
                <w:kern w:val="0"/>
                <w:sz w:val="24"/>
                <w:szCs w:val="24"/>
                <w:highlight w:val="none"/>
                <w:u w:val="none"/>
                <w:lang w:val="en-US" w:eastAsia="zh-CN"/>
              </w:rPr>
              <w:t>≥6 年</w:t>
            </w:r>
          </w:p>
          <w:p>
            <w:pPr>
              <w:pStyle w:val="247"/>
              <w:keepNext w:val="0"/>
              <w:keepLines w:val="0"/>
              <w:widowControl/>
              <w:suppressLineNumbers w:val="0"/>
              <w:kinsoku w:val="0"/>
              <w:overflowPunct w:val="0"/>
              <w:spacing w:line="360" w:lineRule="exact"/>
              <w:ind w:firstLine="241" w:firstLineChars="100"/>
              <w:jc w:val="left"/>
              <w:rPr>
                <w:rFonts w:hint="eastAsia" w:ascii="仿宋_GB2312" w:hAnsi="仿宋_GB2312" w:eastAsia="仿宋_GB2312" w:cs="仿宋_GB2312"/>
                <w:b/>
                <w:bCs/>
                <w:color w:val="auto"/>
                <w:kern w:val="0"/>
                <w:sz w:val="24"/>
                <w:szCs w:val="24"/>
                <w:highlight w:val="none"/>
                <w:u w:val="none"/>
                <w:lang w:val="en-US" w:eastAsia="zh-CN"/>
              </w:rPr>
            </w:pPr>
            <w:r>
              <w:rPr>
                <w:rFonts w:hint="eastAsia" w:ascii="仿宋_GB2312" w:hAnsi="仿宋_GB2312" w:eastAsia="仿宋_GB2312" w:cs="仿宋_GB2312"/>
                <w:b/>
                <w:bCs/>
                <w:color w:val="auto"/>
                <w:kern w:val="0"/>
                <w:sz w:val="24"/>
                <w:szCs w:val="24"/>
                <w:highlight w:val="none"/>
                <w:u w:val="none"/>
                <w:lang w:val="en-US" w:eastAsia="zh-CN"/>
              </w:rPr>
              <w:t>2.售后服务：</w:t>
            </w:r>
          </w:p>
          <w:p>
            <w:pPr>
              <w:pStyle w:val="247"/>
              <w:keepNext w:val="0"/>
              <w:keepLines w:val="0"/>
              <w:widowControl/>
              <w:suppressLineNumbers w:val="0"/>
              <w:kinsoku w:val="0"/>
              <w:overflowPunct w:val="0"/>
              <w:spacing w:line="360" w:lineRule="exact"/>
              <w:ind w:firstLine="241" w:firstLineChars="100"/>
              <w:jc w:val="left"/>
              <w:rPr>
                <w:rFonts w:hint="eastAsia" w:ascii="仿宋_GB2312" w:hAnsi="仿宋_GB2312" w:eastAsia="仿宋_GB2312" w:cs="仿宋_GB2312"/>
                <w:color w:val="auto"/>
                <w:kern w:val="0"/>
                <w:sz w:val="24"/>
                <w:szCs w:val="24"/>
                <w:highlight w:val="none"/>
                <w:u w:val="none"/>
                <w:lang w:val="en-US" w:eastAsia="zh-CN"/>
              </w:rPr>
            </w:pPr>
            <w:r>
              <w:rPr>
                <w:rFonts w:hint="eastAsia" w:ascii="仿宋_GB2312" w:hAnsi="仿宋_GB2312" w:eastAsia="仿宋_GB2312" w:cs="仿宋_GB2312"/>
                <w:b/>
                <w:bCs/>
                <w:color w:val="auto"/>
                <w:kern w:val="0"/>
                <w:sz w:val="24"/>
                <w:szCs w:val="24"/>
                <w:highlight w:val="none"/>
                <w:u w:val="none"/>
                <w:lang w:val="en-US" w:eastAsia="zh-CN"/>
              </w:rPr>
              <w:t>原厂服务：</w:t>
            </w:r>
            <w:r>
              <w:rPr>
                <w:rFonts w:hint="eastAsia" w:ascii="仿宋_GB2312" w:hAnsi="仿宋_GB2312" w:eastAsia="仿宋_GB2312" w:cs="仿宋_GB2312"/>
                <w:color w:val="auto"/>
                <w:kern w:val="0"/>
                <w:sz w:val="24"/>
                <w:szCs w:val="24"/>
                <w:highlight w:val="none"/>
                <w:u w:val="none"/>
                <w:lang w:val="en-US" w:eastAsia="zh-CN"/>
              </w:rPr>
              <w:t>服务由操作系统厂商的正式员工提供，不由代理商提供。</w:t>
            </w:r>
          </w:p>
          <w:p>
            <w:pPr>
              <w:pStyle w:val="247"/>
              <w:keepNext w:val="0"/>
              <w:keepLines w:val="0"/>
              <w:widowControl/>
              <w:suppressLineNumbers w:val="0"/>
              <w:kinsoku w:val="0"/>
              <w:overflowPunct w:val="0"/>
              <w:spacing w:line="360" w:lineRule="exact"/>
              <w:ind w:firstLine="241" w:firstLineChars="100"/>
              <w:jc w:val="left"/>
              <w:rPr>
                <w:color w:val="auto"/>
              </w:rPr>
            </w:pPr>
            <w:r>
              <w:rPr>
                <w:rFonts w:hint="eastAsia" w:ascii="仿宋_GB2312" w:hAnsi="仿宋_GB2312" w:eastAsia="仿宋_GB2312" w:cs="仿宋_GB2312"/>
                <w:b/>
                <w:bCs/>
                <w:color w:val="auto"/>
                <w:kern w:val="0"/>
                <w:sz w:val="24"/>
                <w:szCs w:val="24"/>
                <w:highlight w:val="none"/>
                <w:u w:val="none"/>
                <w:lang w:val="en-US" w:eastAsia="zh-CN"/>
              </w:rPr>
              <w:t>服务热线电话：</w:t>
            </w:r>
            <w:r>
              <w:rPr>
                <w:rFonts w:hint="eastAsia" w:ascii="仿宋_GB2312" w:hAnsi="仿宋_GB2312" w:eastAsia="仿宋_GB2312" w:cs="仿宋_GB2312"/>
                <w:color w:val="auto"/>
                <w:kern w:val="0"/>
                <w:sz w:val="24"/>
                <w:szCs w:val="24"/>
                <w:highlight w:val="none"/>
                <w:u w:val="none"/>
                <w:lang w:val="en-US" w:eastAsia="zh-CN"/>
              </w:rPr>
              <w:t>操作系统厂商为最终用户提供工作日每日不少于 8h（应覆盖一般工作时间，具体时间由企业标准给出）中文技术服务热线。</w:t>
            </w:r>
          </w:p>
          <w:p>
            <w:pPr>
              <w:pStyle w:val="247"/>
              <w:keepNext w:val="0"/>
              <w:keepLines w:val="0"/>
              <w:widowControl/>
              <w:suppressLineNumbers w:val="0"/>
              <w:kinsoku w:val="0"/>
              <w:overflowPunct w:val="0"/>
              <w:spacing w:line="360" w:lineRule="exact"/>
              <w:ind w:firstLine="241" w:firstLineChars="100"/>
              <w:jc w:val="left"/>
              <w:rPr>
                <w:color w:val="auto"/>
              </w:rPr>
            </w:pPr>
            <w:r>
              <w:rPr>
                <w:rFonts w:hint="eastAsia" w:ascii="仿宋_GB2312" w:hAnsi="仿宋_GB2312" w:eastAsia="仿宋_GB2312" w:cs="仿宋_GB2312"/>
                <w:b/>
                <w:bCs/>
                <w:color w:val="auto"/>
                <w:kern w:val="0"/>
                <w:sz w:val="24"/>
                <w:szCs w:val="24"/>
                <w:highlight w:val="none"/>
                <w:u w:val="none"/>
                <w:lang w:val="en-US" w:eastAsia="zh-CN"/>
              </w:rPr>
              <w:t>技术服务标准</w:t>
            </w:r>
            <w:r>
              <w:rPr>
                <w:rFonts w:hint="eastAsia" w:ascii="仿宋_GB2312" w:hAnsi="仿宋_GB2312" w:eastAsia="仿宋_GB2312" w:cs="仿宋_GB2312"/>
                <w:b/>
                <w:bCs/>
                <w:color w:val="auto"/>
                <w:kern w:val="0"/>
                <w:sz w:val="24"/>
                <w:highlight w:val="none"/>
                <w:u w:val="none"/>
                <w:lang w:eastAsia="zh-CN"/>
              </w:rPr>
              <w:t>：</w:t>
            </w:r>
            <w:r>
              <w:rPr>
                <w:rFonts w:hint="eastAsia" w:ascii="仿宋_GB2312" w:hAnsi="仿宋_GB2312" w:eastAsia="仿宋_GB2312" w:cs="仿宋_GB2312"/>
                <w:color w:val="auto"/>
                <w:kern w:val="0"/>
                <w:sz w:val="24"/>
                <w:szCs w:val="24"/>
                <w:highlight w:val="none"/>
                <w:u w:val="none"/>
                <w:lang w:val="en-US" w:eastAsia="zh-CN"/>
              </w:rPr>
              <w:t>操作系统厂商提供工作日每日不少于8h技术支持服务。</w:t>
            </w:r>
          </w:p>
          <w:p>
            <w:pPr>
              <w:pStyle w:val="247"/>
              <w:keepNext w:val="0"/>
              <w:keepLines w:val="0"/>
              <w:widowControl/>
              <w:suppressLineNumbers w:val="0"/>
              <w:kinsoku w:val="0"/>
              <w:overflowPunct w:val="0"/>
              <w:spacing w:line="360" w:lineRule="exact"/>
              <w:ind w:firstLine="241" w:firstLineChars="100"/>
              <w:jc w:val="left"/>
              <w:rPr>
                <w:color w:val="auto"/>
              </w:rPr>
            </w:pPr>
            <w:r>
              <w:rPr>
                <w:rFonts w:hint="eastAsia" w:ascii="仿宋_GB2312" w:hAnsi="仿宋_GB2312" w:eastAsia="仿宋_GB2312" w:cs="仿宋_GB2312"/>
                <w:b/>
                <w:bCs/>
                <w:color w:val="auto"/>
                <w:kern w:val="0"/>
                <w:sz w:val="24"/>
                <w:szCs w:val="24"/>
                <w:highlight w:val="none"/>
                <w:u w:val="none"/>
                <w:lang w:val="en-US" w:eastAsia="zh-CN"/>
              </w:rPr>
              <w:t>技术服务时效：</w:t>
            </w:r>
            <w:r>
              <w:rPr>
                <w:rFonts w:hint="eastAsia" w:ascii="仿宋_GB2312" w:hAnsi="仿宋_GB2312" w:eastAsia="仿宋_GB2312" w:cs="仿宋_GB2312"/>
                <w:color w:val="auto"/>
                <w:kern w:val="0"/>
                <w:sz w:val="24"/>
                <w:szCs w:val="24"/>
                <w:highlight w:val="none"/>
                <w:u w:val="none"/>
                <w:lang w:val="en-US" w:eastAsia="zh-CN"/>
              </w:rPr>
              <w:t>操作系统厂商满足同城 4h、异地 12h 响应要求，两个工作日解决问题，对于未能解决的问题和故障提供可行的升级方案。</w:t>
            </w:r>
          </w:p>
          <w:p>
            <w:pPr>
              <w:pStyle w:val="247"/>
              <w:keepNext w:val="0"/>
              <w:keepLines w:val="0"/>
              <w:widowControl/>
              <w:suppressLineNumbers w:val="0"/>
              <w:kinsoku w:val="0"/>
              <w:overflowPunct w:val="0"/>
              <w:spacing w:line="360" w:lineRule="exact"/>
              <w:ind w:firstLine="241" w:firstLineChars="100"/>
              <w:jc w:val="left"/>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b/>
                <w:bCs/>
                <w:color w:val="auto"/>
                <w:kern w:val="0"/>
                <w:sz w:val="24"/>
                <w:szCs w:val="24"/>
                <w:highlight w:val="none"/>
                <w:u w:val="none"/>
                <w:lang w:val="en-US" w:eastAsia="zh-CN"/>
              </w:rPr>
              <w:t>技术服务保障：</w:t>
            </w:r>
            <w:r>
              <w:rPr>
                <w:rFonts w:hint="eastAsia" w:ascii="仿宋_GB2312" w:hAnsi="仿宋_GB2312" w:eastAsia="仿宋_GB2312" w:cs="仿宋_GB2312"/>
                <w:color w:val="auto"/>
                <w:kern w:val="0"/>
                <w:sz w:val="24"/>
                <w:szCs w:val="24"/>
                <w:highlight w:val="none"/>
                <w:u w:val="none"/>
                <w:lang w:val="en-US" w:eastAsia="zh-CN"/>
              </w:rPr>
              <w:t>发生非人为因素故障，在七日内由操作系统厂商原厂人员免费对产品进行补充或更换。</w:t>
            </w:r>
          </w:p>
          <w:p>
            <w:pPr>
              <w:pStyle w:val="247"/>
              <w:keepNext w:val="0"/>
              <w:keepLines w:val="0"/>
              <w:widowControl/>
              <w:suppressLineNumbers w:val="0"/>
              <w:kinsoku w:val="0"/>
              <w:overflowPunct w:val="0"/>
              <w:spacing w:line="360" w:lineRule="exact"/>
              <w:ind w:firstLine="241" w:firstLineChars="100"/>
              <w:jc w:val="left"/>
              <w:rPr>
                <w:rFonts w:hint="eastAsia" w:ascii="仿宋_GB2312" w:hAnsi="仿宋_GB2312" w:eastAsia="仿宋_GB2312" w:cs="仿宋_GB2312"/>
                <w:b/>
                <w:bCs/>
                <w:color w:val="auto"/>
                <w:kern w:val="0"/>
                <w:sz w:val="24"/>
                <w:szCs w:val="24"/>
                <w:highlight w:val="none"/>
                <w:u w:val="none"/>
                <w:lang w:val="en-US" w:eastAsia="zh-CN"/>
              </w:rPr>
            </w:pPr>
            <w:r>
              <w:rPr>
                <w:rFonts w:hint="eastAsia" w:ascii="仿宋_GB2312" w:hAnsi="仿宋_GB2312" w:eastAsia="仿宋_GB2312" w:cs="仿宋_GB2312"/>
                <w:b/>
                <w:bCs/>
                <w:color w:val="auto"/>
                <w:kern w:val="0"/>
                <w:sz w:val="24"/>
                <w:szCs w:val="24"/>
                <w:highlight w:val="none"/>
                <w:u w:val="none"/>
                <w:lang w:val="en-US" w:eastAsia="zh-CN"/>
              </w:rPr>
              <w:t>3.交付与安装调试：</w:t>
            </w:r>
          </w:p>
          <w:p>
            <w:pPr>
              <w:pStyle w:val="247"/>
              <w:keepNext w:val="0"/>
              <w:keepLines w:val="0"/>
              <w:widowControl/>
              <w:suppressLineNumbers w:val="0"/>
              <w:kinsoku w:val="0"/>
              <w:overflowPunct w:val="0"/>
              <w:spacing w:line="360" w:lineRule="exact"/>
              <w:ind w:firstLine="241" w:firstLineChars="100"/>
              <w:jc w:val="left"/>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b/>
                <w:bCs/>
                <w:color w:val="auto"/>
                <w:kern w:val="0"/>
                <w:sz w:val="24"/>
                <w:szCs w:val="24"/>
                <w:highlight w:val="none"/>
                <w:u w:val="none"/>
                <w:lang w:val="en-US" w:eastAsia="zh-CN"/>
              </w:rPr>
              <w:t>现场服务：</w:t>
            </w:r>
            <w:r>
              <w:rPr>
                <w:rFonts w:hint="eastAsia" w:ascii="仿宋_GB2312" w:hAnsi="仿宋_GB2312" w:eastAsia="仿宋_GB2312" w:cs="仿宋_GB2312"/>
                <w:color w:val="auto"/>
                <w:kern w:val="0"/>
                <w:sz w:val="24"/>
                <w:szCs w:val="24"/>
                <w:highlight w:val="none"/>
                <w:u w:val="none"/>
                <w:lang w:val="en-US" w:eastAsia="zh-CN"/>
              </w:rPr>
              <w:t>单次采购500 套及以上时提供原厂团队驻场服务。</w:t>
            </w:r>
          </w:p>
          <w:p>
            <w:pPr>
              <w:pStyle w:val="247"/>
              <w:keepNext w:val="0"/>
              <w:keepLines w:val="0"/>
              <w:widowControl/>
              <w:suppressLineNumbers w:val="0"/>
              <w:kinsoku w:val="0"/>
              <w:overflowPunct w:val="0"/>
              <w:spacing w:line="360" w:lineRule="exact"/>
              <w:ind w:firstLine="241" w:firstLineChars="100"/>
              <w:jc w:val="left"/>
              <w:rPr>
                <w:rFonts w:hint="eastAsia" w:ascii="仿宋_GB2312" w:hAnsi="仿宋_GB2312" w:eastAsia="仿宋_GB2312" w:cs="仿宋_GB2312"/>
                <w:color w:val="auto"/>
                <w:kern w:val="0"/>
                <w:sz w:val="24"/>
                <w:szCs w:val="24"/>
                <w:highlight w:val="none"/>
                <w:u w:val="none"/>
                <w:lang w:val="en-US" w:eastAsia="zh-CN"/>
              </w:rPr>
            </w:pPr>
            <w:r>
              <w:rPr>
                <w:rFonts w:hint="eastAsia" w:ascii="仿宋_GB2312" w:hAnsi="仿宋_GB2312" w:eastAsia="仿宋_GB2312" w:cs="仿宋_GB2312"/>
                <w:b/>
                <w:bCs/>
                <w:color w:val="auto"/>
                <w:kern w:val="0"/>
                <w:sz w:val="24"/>
                <w:szCs w:val="24"/>
                <w:highlight w:val="none"/>
                <w:u w:val="none"/>
                <w:lang w:val="en-US" w:eastAsia="zh-CN"/>
              </w:rPr>
              <w:t>配套资料：</w:t>
            </w:r>
            <w:r>
              <w:rPr>
                <w:rFonts w:hint="eastAsia" w:ascii="仿宋_GB2312" w:hAnsi="仿宋_GB2312" w:eastAsia="仿宋_GB2312" w:cs="仿宋_GB2312"/>
                <w:color w:val="auto"/>
                <w:kern w:val="0"/>
                <w:sz w:val="24"/>
                <w:szCs w:val="24"/>
                <w:highlight w:val="none"/>
                <w:u w:val="none"/>
                <w:lang w:val="en-US" w:eastAsia="zh-CN"/>
              </w:rPr>
              <w:t>操作系统厂商交付产品时提供配套的技术资料，包括但不限于系统说明文件、用户手册（用户安装、操作、维护、故障排除）等。</w:t>
            </w:r>
          </w:p>
          <w:p>
            <w:pPr>
              <w:pStyle w:val="247"/>
              <w:keepNext w:val="0"/>
              <w:keepLines w:val="0"/>
              <w:widowControl/>
              <w:suppressLineNumbers w:val="0"/>
              <w:kinsoku w:val="0"/>
              <w:overflowPunct w:val="0"/>
              <w:spacing w:line="360" w:lineRule="exact"/>
              <w:ind w:firstLine="241" w:firstLineChars="100"/>
              <w:jc w:val="left"/>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b/>
                <w:bCs/>
                <w:color w:val="auto"/>
                <w:kern w:val="0"/>
                <w:sz w:val="24"/>
                <w:szCs w:val="24"/>
                <w:highlight w:val="none"/>
                <w:u w:val="none"/>
                <w:lang w:val="en-US" w:eastAsia="zh-CN"/>
              </w:rPr>
              <w:t>4.系统更换：</w:t>
            </w:r>
            <w:r>
              <w:rPr>
                <w:rFonts w:hint="eastAsia" w:ascii="仿宋_GB2312" w:hAnsi="仿宋_GB2312" w:eastAsia="仿宋_GB2312" w:cs="仿宋_GB2312"/>
                <w:color w:val="auto"/>
                <w:kern w:val="0"/>
                <w:sz w:val="24"/>
                <w:szCs w:val="24"/>
                <w:highlight w:val="none"/>
                <w:u w:val="none"/>
                <w:lang w:val="en-US" w:eastAsia="zh-CN"/>
              </w:rPr>
              <w:t>服务期内，操作系统厂商支持版本免费更换（注：更换后不延长服务期）。</w:t>
            </w:r>
          </w:p>
          <w:p>
            <w:pPr>
              <w:pStyle w:val="247"/>
              <w:keepNext w:val="0"/>
              <w:keepLines w:val="0"/>
              <w:widowControl/>
              <w:suppressLineNumbers w:val="0"/>
              <w:kinsoku w:val="0"/>
              <w:overflowPunct w:val="0"/>
              <w:spacing w:line="360" w:lineRule="exact"/>
              <w:ind w:firstLine="241" w:firstLineChars="100"/>
              <w:jc w:val="left"/>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b/>
                <w:bCs/>
                <w:color w:val="auto"/>
                <w:kern w:val="0"/>
                <w:sz w:val="24"/>
                <w:szCs w:val="24"/>
                <w:highlight w:val="none"/>
                <w:u w:val="none"/>
                <w:lang w:val="en-US" w:eastAsia="zh-CN"/>
              </w:rPr>
              <w:t>5.厂商能力要求：</w:t>
            </w:r>
            <w:r>
              <w:rPr>
                <w:rFonts w:hint="eastAsia" w:ascii="仿宋_GB2312" w:hAnsi="仿宋_GB2312" w:eastAsia="仿宋_GB2312" w:cs="仿宋_GB2312"/>
                <w:color w:val="auto"/>
                <w:kern w:val="0"/>
                <w:sz w:val="24"/>
                <w:szCs w:val="24"/>
                <w:highlight w:val="none"/>
                <w:u w:val="none"/>
                <w:lang w:val="en-US" w:eastAsia="zh-CN"/>
              </w:rPr>
              <w:t>服务团队：操作系统厂商建立全国技术服务体系和服务团队，为客户提供专业的原厂中文服务。</w:t>
            </w:r>
          </w:p>
          <w:p>
            <w:pPr>
              <w:pStyle w:val="247"/>
              <w:keepNext w:val="0"/>
              <w:keepLines w:val="0"/>
              <w:widowControl/>
              <w:numPr>
                <w:ilvl w:val="-1"/>
                <w:numId w:val="0"/>
              </w:numPr>
              <w:suppressLineNumbers w:val="0"/>
              <w:kinsoku w:val="0"/>
              <w:overflowPunct w:val="0"/>
              <w:spacing w:line="360" w:lineRule="exact"/>
              <w:ind w:firstLine="241" w:firstLineChars="100"/>
              <w:jc w:val="left"/>
              <w:rPr>
                <w:rFonts w:hint="eastAsia" w:ascii="仿宋_GB2312" w:hAnsi="仿宋_GB2312" w:eastAsia="仿宋_GB2312" w:cs="仿宋_GB2312"/>
                <w:b/>
                <w:bCs/>
                <w:color w:val="auto"/>
                <w:highlight w:val="none"/>
                <w:u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kern w:val="0"/>
                <w:sz w:val="24"/>
                <w:szCs w:val="24"/>
                <w:highlight w:val="none"/>
                <w:u w:val="none"/>
                <w:lang w:val="en-US" w:eastAsia="zh-CN"/>
              </w:rPr>
              <w:t>八、供应保障要求</w:t>
            </w:r>
          </w:p>
          <w:p>
            <w:pPr>
              <w:pStyle w:val="247"/>
              <w:keepNext w:val="0"/>
              <w:keepLines w:val="0"/>
              <w:widowControl/>
              <w:suppressLineNumbers w:val="0"/>
              <w:kinsoku w:val="0"/>
              <w:overflowPunct w:val="0"/>
              <w:spacing w:line="360" w:lineRule="exact"/>
              <w:ind w:firstLine="241" w:firstLineChars="100"/>
              <w:jc w:val="left"/>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b/>
                <w:bCs/>
                <w:color w:val="auto"/>
                <w:kern w:val="0"/>
                <w:sz w:val="24"/>
                <w:highlight w:val="none"/>
                <w:u w:val="none"/>
                <w:lang w:val="en-US" w:eastAsia="zh-CN"/>
              </w:rPr>
              <w:t>1.</w:t>
            </w:r>
            <w:r>
              <w:rPr>
                <w:rFonts w:hint="eastAsia" w:ascii="仿宋_GB2312" w:hAnsi="仿宋_GB2312" w:eastAsia="仿宋_GB2312" w:cs="仿宋_GB2312"/>
                <w:b/>
                <w:bCs/>
                <w:color w:val="auto"/>
                <w:kern w:val="0"/>
                <w:sz w:val="24"/>
                <w:szCs w:val="24"/>
                <w:highlight w:val="none"/>
                <w:u w:val="none"/>
                <w:lang w:val="en-US" w:eastAsia="zh-CN"/>
              </w:rPr>
              <w:t>数据上行安全保障：</w:t>
            </w:r>
            <w:r>
              <w:rPr>
                <w:rFonts w:hint="eastAsia" w:ascii="仿宋_GB2312" w:hAnsi="仿宋_GB2312" w:eastAsia="仿宋_GB2312" w:cs="仿宋_GB2312"/>
                <w:color w:val="auto"/>
                <w:kern w:val="0"/>
                <w:sz w:val="24"/>
                <w:szCs w:val="24"/>
                <w:highlight w:val="none"/>
                <w:u w:val="none"/>
                <w:lang w:val="en-US" w:eastAsia="zh-CN"/>
              </w:rPr>
              <w:t>数据收集安全保障：除用户授权采集的信息外不采集其他数据，相关信息采集无安全风险，相关数据存储在大陆境内。</w:t>
            </w:r>
          </w:p>
          <w:p>
            <w:pPr>
              <w:pStyle w:val="247"/>
              <w:keepNext w:val="0"/>
              <w:keepLines w:val="0"/>
              <w:widowControl/>
              <w:suppressLineNumbers w:val="0"/>
              <w:kinsoku w:val="0"/>
              <w:overflowPunct w:val="0"/>
              <w:spacing w:line="360" w:lineRule="exact"/>
              <w:ind w:firstLine="241" w:firstLineChars="100"/>
              <w:jc w:val="left"/>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b/>
                <w:bCs/>
                <w:color w:val="auto"/>
                <w:kern w:val="0"/>
                <w:sz w:val="24"/>
                <w:highlight w:val="none"/>
                <w:u w:val="none"/>
                <w:lang w:val="en-US" w:eastAsia="zh-CN"/>
              </w:rPr>
              <w:t>2.</w:t>
            </w:r>
            <w:r>
              <w:rPr>
                <w:rFonts w:hint="eastAsia" w:ascii="仿宋_GB2312" w:hAnsi="仿宋_GB2312" w:eastAsia="仿宋_GB2312" w:cs="仿宋_GB2312"/>
                <w:b/>
                <w:bCs/>
                <w:color w:val="auto"/>
                <w:kern w:val="0"/>
                <w:sz w:val="24"/>
                <w:szCs w:val="24"/>
                <w:highlight w:val="none"/>
                <w:u w:val="none"/>
                <w:lang w:val="en-US" w:eastAsia="zh-CN"/>
              </w:rPr>
              <w:t>数据下行安全保障：</w:t>
            </w:r>
            <w:r>
              <w:rPr>
                <w:rFonts w:hint="eastAsia" w:ascii="仿宋_GB2312" w:hAnsi="仿宋_GB2312" w:eastAsia="仿宋_GB2312" w:cs="仿宋_GB2312"/>
                <w:color w:val="auto"/>
                <w:kern w:val="0"/>
                <w:sz w:val="24"/>
                <w:szCs w:val="24"/>
                <w:highlight w:val="none"/>
                <w:u w:val="none"/>
                <w:lang w:val="en-US" w:eastAsia="zh-CN"/>
              </w:rPr>
              <w:t>数据供给安全保障：数据供给安全保障：涉及数据下载的线上服务物理服务器不出境，包括代码仓库、系统补丁、安全补丁、服务网站等。</w:t>
            </w:r>
          </w:p>
          <w:p>
            <w:pPr>
              <w:pStyle w:val="247"/>
              <w:numPr>
                <w:ilvl w:val="-1"/>
                <w:numId w:val="0"/>
              </w:numPr>
              <w:kinsoku w:val="0"/>
              <w:overflowPunct w:val="0"/>
              <w:spacing w:before="0" w:line="360" w:lineRule="exact"/>
              <w:ind w:firstLine="241" w:firstLineChars="100"/>
              <w:jc w:val="left"/>
              <w:rPr>
                <w:rFonts w:hint="default"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kern w:val="0"/>
                <w:sz w:val="24"/>
                <w:highlight w:val="none"/>
                <w:u w:val="none"/>
                <w:lang w:val="en-US" w:eastAsia="zh-CN"/>
              </w:rPr>
              <w:t>3.</w:t>
            </w:r>
            <w:r>
              <w:rPr>
                <w:rFonts w:hint="eastAsia" w:ascii="仿宋_GB2312" w:hAnsi="仿宋_GB2312" w:eastAsia="仿宋_GB2312" w:cs="仿宋_GB2312"/>
                <w:b/>
                <w:bCs/>
                <w:color w:val="auto"/>
                <w:kern w:val="0"/>
                <w:sz w:val="24"/>
                <w:szCs w:val="24"/>
                <w:highlight w:val="none"/>
                <w:u w:val="none"/>
                <w:lang w:val="en-US" w:eastAsia="zh-CN"/>
              </w:rPr>
              <w:t>代码无风险：</w:t>
            </w:r>
            <w:r>
              <w:rPr>
                <w:rFonts w:hint="eastAsia" w:ascii="仿宋_GB2312" w:hAnsi="仿宋_GB2312" w:eastAsia="仿宋_GB2312" w:cs="仿宋_GB2312"/>
                <w:color w:val="auto"/>
                <w:kern w:val="0"/>
                <w:sz w:val="24"/>
                <w:szCs w:val="24"/>
                <w:highlight w:val="none"/>
                <w:u w:val="none"/>
                <w:lang w:val="en-US" w:eastAsia="zh-CN"/>
              </w:rPr>
              <w:t>操作系统厂商可提供源代码，源代码可供第三方机构审查，开源许可合规，代码知识产权无风险，无恶意安全漏洞或后门，代码可追溯、可重构。</w:t>
            </w:r>
          </w:p>
          <w:p>
            <w:pPr>
              <w:pStyle w:val="247"/>
              <w:numPr>
                <w:ilvl w:val="-1"/>
                <w:numId w:val="0"/>
              </w:numPr>
              <w:kinsoku w:val="0"/>
              <w:overflowPunct w:val="0"/>
              <w:spacing w:before="0" w:line="360" w:lineRule="exact"/>
              <w:ind w:firstLine="241" w:firstLineChars="100"/>
              <w:jc w:val="left"/>
              <w:rPr>
                <w:rFonts w:hint="eastAsia" w:ascii="仿宋_GB2312" w:hAnsi="仿宋_GB2312" w:eastAsia="仿宋_GB2312" w:cs="仿宋_GB2312"/>
                <w:b/>
                <w:bCs/>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u w:val="none"/>
                <w:lang w:val="en-US" w:eastAsia="zh-CN"/>
              </w:rPr>
              <w:t>九、安全要求：</w:t>
            </w:r>
          </w:p>
          <w:p>
            <w:pPr>
              <w:pStyle w:val="247"/>
              <w:kinsoku w:val="0"/>
              <w:overflowPunct w:val="0"/>
              <w:spacing w:before="0" w:line="360" w:lineRule="exact"/>
              <w:ind w:firstLine="241" w:firstLineChars="100"/>
              <w:jc w:val="left"/>
              <w:rPr>
                <w:rFonts w:hint="eastAsia" w:ascii="仿宋_GB2312" w:hAnsi="仿宋_GB2312" w:eastAsia="仿宋_GB2312" w:cs="仿宋_GB2312"/>
                <w:b/>
                <w:bCs/>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1.基本密码算法支持</w:t>
            </w:r>
          </w:p>
          <w:p>
            <w:pPr>
              <w:pStyle w:val="247"/>
              <w:kinsoku w:val="0"/>
              <w:overflowPunct w:val="0"/>
              <w:spacing w:before="0" w:line="360" w:lineRule="exact"/>
              <w:ind w:firstLine="241" w:firstLineChars="100"/>
              <w:jc w:val="left"/>
              <w:rPr>
                <w:rFonts w:hint="eastAsia" w:ascii="仿宋_GB2312" w:hAnsi="仿宋_GB2312" w:eastAsia="仿宋_GB2312" w:cs="仿宋_GB2312"/>
                <w:b/>
                <w:bCs/>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密码算法实现：</w:t>
            </w:r>
            <w:r>
              <w:rPr>
                <w:rFonts w:hint="eastAsia" w:ascii="仿宋_GB2312" w:hAnsi="仿宋_GB2312" w:eastAsia="仿宋_GB2312" w:cs="仿宋_GB2312"/>
                <w:color w:val="auto"/>
                <w:sz w:val="24"/>
                <w:szCs w:val="24"/>
                <w:highlight w:val="none"/>
                <w:u w:val="none"/>
                <w:lang w:val="en-US" w:eastAsia="zh-CN"/>
              </w:rPr>
              <w:t>操作系统支持GM/T0002、GM/T0003和GM/T0004规</w:t>
            </w:r>
            <w:r>
              <w:rPr>
                <w:rFonts w:hint="eastAsia" w:ascii="仿宋_GB2312" w:hAnsi="仿宋_GB2312" w:eastAsia="仿宋_GB2312" w:cs="仿宋_GB2312"/>
                <w:b w:val="0"/>
                <w:bCs w:val="0"/>
                <w:color w:val="auto"/>
                <w:sz w:val="24"/>
                <w:szCs w:val="24"/>
                <w:highlight w:val="none"/>
                <w:u w:val="none"/>
                <w:lang w:val="en-US" w:eastAsia="zh-CN"/>
              </w:rPr>
              <w:t>定的密码算法运算。</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随机数生成：</w:t>
            </w:r>
            <w:r>
              <w:rPr>
                <w:rFonts w:hint="eastAsia" w:ascii="仿宋_GB2312" w:hAnsi="仿宋_GB2312" w:eastAsia="仿宋_GB2312" w:cs="仿宋_GB2312"/>
                <w:color w:val="auto"/>
                <w:sz w:val="24"/>
                <w:szCs w:val="24"/>
                <w:highlight w:val="none"/>
                <w:u w:val="none"/>
                <w:lang w:val="en-US" w:eastAsia="zh-CN"/>
              </w:rPr>
              <w:t>随机数质量符合GM/T0005《随机性检测规范》或GB/T32915《信息安全技术二元序列随机性检测方法》。</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内置数字证书：</w:t>
            </w:r>
            <w:r>
              <w:rPr>
                <w:rFonts w:hint="eastAsia" w:ascii="仿宋_GB2312" w:hAnsi="仿宋_GB2312" w:eastAsia="仿宋_GB2312" w:cs="仿宋_GB2312"/>
                <w:color w:val="auto"/>
                <w:sz w:val="24"/>
                <w:szCs w:val="24"/>
                <w:highlight w:val="none"/>
                <w:u w:val="none"/>
                <w:lang w:val="en-US" w:eastAsia="zh-CN"/>
              </w:rPr>
              <w:t>操作系统内置国家电子认证根CA的根证书。</w:t>
            </w:r>
          </w:p>
          <w:p>
            <w:pPr>
              <w:pStyle w:val="247"/>
              <w:kinsoku w:val="0"/>
              <w:overflowPunct w:val="0"/>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密码协议实现：</w:t>
            </w:r>
            <w:r>
              <w:rPr>
                <w:rFonts w:hint="eastAsia" w:ascii="仿宋_GB2312" w:hAnsi="仿宋_GB2312" w:eastAsia="仿宋_GB2312" w:cs="仿宋_GB2312"/>
                <w:color w:val="auto"/>
                <w:sz w:val="24"/>
                <w:szCs w:val="24"/>
                <w:highlight w:val="none"/>
                <w:u w:val="none"/>
                <w:lang w:val="en-US" w:eastAsia="zh-CN"/>
              </w:rPr>
              <w:t>操作系统支持符合GB/T38636—2020的TLCP。</w:t>
            </w:r>
          </w:p>
          <w:p>
            <w:pPr>
              <w:pStyle w:val="247"/>
              <w:widowControl/>
              <w:numPr>
                <w:ilvl w:val="-1"/>
                <w:numId w:val="0"/>
              </w:numPr>
              <w:kinsoku w:val="0"/>
              <w:overflowPunct w:val="0"/>
              <w:autoSpaceDE/>
              <w:autoSpaceDN/>
              <w:adjustRightInd/>
              <w:spacing w:before="0" w:line="360" w:lineRule="exact"/>
              <w:ind w:firstLine="241" w:firstLineChars="100"/>
              <w:jc w:val="left"/>
              <w:rPr>
                <w:rFonts w:hint="eastAsia" w:ascii="仿宋_GB2312" w:hAnsi="仿宋_GB2312" w:eastAsia="仿宋_GB2312" w:cs="仿宋_GB2312"/>
                <w:b/>
                <w:bCs/>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2.安全管理工具：</w:t>
            </w:r>
          </w:p>
          <w:p>
            <w:pPr>
              <w:pStyle w:val="247"/>
              <w:widowControl/>
              <w:numPr>
                <w:ilvl w:val="-1"/>
                <w:numId w:val="0"/>
              </w:numPr>
              <w:kinsoku w:val="0"/>
              <w:overflowPunct w:val="0"/>
              <w:autoSpaceDE/>
              <w:autoSpaceDN/>
              <w:adjustRightInd/>
              <w:spacing w:before="0" w:line="360" w:lineRule="exact"/>
              <w:ind w:firstLine="240" w:firstLineChars="100"/>
              <w:jc w:val="left"/>
              <w:rPr>
                <w:rFonts w:hint="eastAsia" w:ascii="仿宋_GB2312" w:hAnsi="仿宋_GB2312" w:eastAsia="仿宋_GB2312" w:cs="仿宋_GB2312"/>
                <w:b/>
                <w:bCs/>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操作系统提供安全管理工具，包括帐户安全、网络防护、病毒防护、应用程序执行控制。</w:t>
            </w:r>
          </w:p>
          <w:p>
            <w:pPr>
              <w:pStyle w:val="247"/>
              <w:widowControl/>
              <w:numPr>
                <w:ilvl w:val="-1"/>
                <w:numId w:val="0"/>
              </w:numPr>
              <w:kinsoku w:val="0"/>
              <w:overflowPunct w:val="0"/>
              <w:autoSpaceDE/>
              <w:autoSpaceDN/>
              <w:adjustRightInd/>
              <w:spacing w:before="0" w:line="360" w:lineRule="exact"/>
              <w:ind w:firstLine="241" w:firstLineChars="100"/>
              <w:jc w:val="left"/>
              <w:rPr>
                <w:rFonts w:hint="eastAsia" w:ascii="仿宋_GB2312" w:hAnsi="仿宋_GB2312" w:eastAsia="仿宋_GB2312" w:cs="仿宋_GB2312"/>
                <w:b/>
                <w:bCs/>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3.身份鉴别：</w:t>
            </w:r>
          </w:p>
          <w:p>
            <w:pPr>
              <w:pStyle w:val="247"/>
              <w:widowControl/>
              <w:numPr>
                <w:ilvl w:val="-1"/>
                <w:numId w:val="0"/>
              </w:numPr>
              <w:kinsoku w:val="0"/>
              <w:overflowPunct w:val="0"/>
              <w:autoSpaceDE/>
              <w:autoSpaceDN/>
              <w:adjustRightInd/>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生物特征识别管理：</w:t>
            </w:r>
            <w:r>
              <w:rPr>
                <w:rFonts w:hint="eastAsia" w:ascii="仿宋_GB2312" w:hAnsi="仿宋_GB2312" w:eastAsia="仿宋_GB2312" w:cs="仿宋_GB2312"/>
                <w:color w:val="auto"/>
                <w:sz w:val="24"/>
                <w:szCs w:val="24"/>
                <w:highlight w:val="none"/>
                <w:u w:val="none"/>
                <w:lang w:val="en-US" w:eastAsia="zh-CN"/>
              </w:rPr>
              <w:t>操作系统支持两种及以上的生物特征类型鉴别，如指纹、人脸；支持使用生物特征进行命令行、图形化提权操作的身份鉴别；支持使用生物特征进行系统登录操作的身份鉴别；支持用户管理自己的生物特征信息。</w:t>
            </w:r>
          </w:p>
          <w:p>
            <w:pPr>
              <w:pStyle w:val="247"/>
              <w:widowControl/>
              <w:numPr>
                <w:ilvl w:val="-1"/>
                <w:numId w:val="0"/>
              </w:numPr>
              <w:kinsoku w:val="0"/>
              <w:overflowPunct w:val="0"/>
              <w:autoSpaceDE/>
              <w:autoSpaceDN/>
              <w:adjustRightInd/>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身份鉴别服务：</w:t>
            </w:r>
            <w:r>
              <w:rPr>
                <w:rFonts w:hint="eastAsia" w:ascii="仿宋_GB2312" w:hAnsi="仿宋_GB2312" w:eastAsia="仿宋_GB2312" w:cs="仿宋_GB2312"/>
                <w:color w:val="auto"/>
                <w:sz w:val="24"/>
                <w:szCs w:val="24"/>
                <w:highlight w:val="none"/>
                <w:u w:val="none"/>
                <w:lang w:val="en-US" w:eastAsia="zh-CN"/>
              </w:rPr>
              <w:t>操作系统用户标识使用帐户名和帐户ID，在操作系统的整个生存周期内帐户标识具有唯一性；支持配置帐户口令复杂度校验及强口令管理；支持帐户口令有效期配置；支持口令鉴别失败控制；支持口令加密算法配置，帐户口令进行加密后以不可逆的密文形式保存；支持禁止根帐户(root)远程登录设置。</w:t>
            </w:r>
          </w:p>
          <w:p>
            <w:pPr>
              <w:pStyle w:val="247"/>
              <w:widowControl/>
              <w:numPr>
                <w:ilvl w:val="-1"/>
                <w:numId w:val="0"/>
              </w:numPr>
              <w:kinsoku w:val="0"/>
              <w:overflowPunct w:val="0"/>
              <w:autoSpaceDE/>
              <w:autoSpaceDN/>
              <w:adjustRightInd/>
              <w:spacing w:before="0" w:line="360" w:lineRule="exact"/>
              <w:ind w:firstLine="241" w:firstLineChars="100"/>
              <w:jc w:val="left"/>
              <w:rPr>
                <w:rFonts w:hint="eastAsia" w:ascii="仿宋_GB2312" w:hAnsi="仿宋_GB2312" w:eastAsia="仿宋_GB2312" w:cs="仿宋_GB2312"/>
                <w:b/>
                <w:bCs/>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4.访问控制：</w:t>
            </w:r>
          </w:p>
          <w:p>
            <w:pPr>
              <w:pStyle w:val="247"/>
              <w:widowControl/>
              <w:numPr>
                <w:ilvl w:val="-1"/>
                <w:numId w:val="0"/>
              </w:numPr>
              <w:kinsoku w:val="0"/>
              <w:overflowPunct w:val="0"/>
              <w:autoSpaceDE/>
              <w:autoSpaceDN/>
              <w:adjustRightInd/>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自主访问控制：</w:t>
            </w:r>
            <w:r>
              <w:rPr>
                <w:rFonts w:hint="eastAsia" w:ascii="仿宋_GB2312" w:hAnsi="仿宋_GB2312" w:eastAsia="仿宋_GB2312" w:cs="仿宋_GB2312"/>
                <w:color w:val="auto"/>
                <w:sz w:val="24"/>
                <w:szCs w:val="24"/>
                <w:highlight w:val="none"/>
                <w:u w:val="none"/>
                <w:lang w:val="en-US" w:eastAsia="zh-CN"/>
              </w:rPr>
              <w:t>允许客体拥有者以普通帐户决定并控制对客体的访问，并阻止非授权帐户对客体的访问普通用户缺省拥有新建、读写和删除私有目录下文件的权限；支持细粒度的自主访问控制，将访问控制的粒度控制在指定帐户，对系统中的每一个客体，实现由客体拥有者以指定帐户方式确定其对该客体的访问权限，而其他同组帐户或非同组的帐户和用户组对该客体的访问权则由客体拥有者授予。</w:t>
            </w:r>
          </w:p>
          <w:p>
            <w:pPr>
              <w:pStyle w:val="247"/>
              <w:widowControl/>
              <w:numPr>
                <w:ilvl w:val="-1"/>
                <w:numId w:val="0"/>
              </w:numPr>
              <w:kinsoku w:val="0"/>
              <w:overflowPunct w:val="0"/>
              <w:autoSpaceDE/>
              <w:autoSpaceDN/>
              <w:adjustRightInd/>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强制访问控制：</w:t>
            </w:r>
            <w:r>
              <w:rPr>
                <w:rFonts w:hint="eastAsia" w:ascii="仿宋_GB2312" w:hAnsi="仿宋_GB2312" w:eastAsia="仿宋_GB2312" w:cs="仿宋_GB2312"/>
                <w:color w:val="auto"/>
                <w:sz w:val="24"/>
                <w:szCs w:val="24"/>
                <w:highlight w:val="none"/>
                <w:u w:val="none"/>
                <w:lang w:val="en-US" w:eastAsia="zh-CN"/>
              </w:rPr>
              <w:t>操作系统支持对应用程序的访问控制与资源限制，包括对文件、网络等客体的访问控制；支持应用安装控制、应用执行控制。</w:t>
            </w:r>
          </w:p>
          <w:p>
            <w:pPr>
              <w:pStyle w:val="247"/>
              <w:widowControl/>
              <w:numPr>
                <w:ilvl w:val="-1"/>
                <w:numId w:val="0"/>
              </w:numPr>
              <w:kinsoku w:val="0"/>
              <w:overflowPunct w:val="0"/>
              <w:autoSpaceDE/>
              <w:autoSpaceDN/>
              <w:adjustRightInd/>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安全审计：</w:t>
            </w:r>
            <w:r>
              <w:rPr>
                <w:rFonts w:hint="eastAsia" w:ascii="仿宋_GB2312" w:hAnsi="仿宋_GB2312" w:eastAsia="仿宋_GB2312" w:cs="仿宋_GB2312"/>
                <w:color w:val="auto"/>
                <w:sz w:val="24"/>
                <w:szCs w:val="24"/>
                <w:highlight w:val="none"/>
                <w:u w:val="none"/>
                <w:lang w:val="en-US" w:eastAsia="zh-CN"/>
              </w:rPr>
              <w:t>操作系统能对身份鉴别的使用、自主访问控制、标记和强制访问控制策略的修改等生成审计日志；审计记录包括事件类型、事件发生的日期、触发事件的帐户、事件成功或失败等字段；支持审计日志查询和导出功能设置。</w:t>
            </w:r>
          </w:p>
          <w:p>
            <w:pPr>
              <w:pStyle w:val="247"/>
              <w:widowControl/>
              <w:numPr>
                <w:ilvl w:val="-1"/>
                <w:numId w:val="0"/>
              </w:numPr>
              <w:kinsoku w:val="0"/>
              <w:overflowPunct w:val="0"/>
              <w:autoSpaceDE/>
              <w:autoSpaceDN/>
              <w:adjustRightInd/>
              <w:spacing w:before="0" w:line="360" w:lineRule="exact"/>
              <w:ind w:firstLine="241" w:firstLineChars="100"/>
              <w:jc w:val="left"/>
              <w:rPr>
                <w:rFonts w:hint="eastAsia" w:ascii="仿宋_GB2312" w:hAnsi="仿宋_GB2312" w:eastAsia="仿宋_GB2312" w:cs="仿宋_GB2312"/>
                <w:b/>
                <w:bCs/>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5.防火墙工具：</w:t>
            </w:r>
          </w:p>
          <w:p>
            <w:pPr>
              <w:pStyle w:val="247"/>
              <w:widowControl/>
              <w:numPr>
                <w:ilvl w:val="-1"/>
                <w:numId w:val="0"/>
              </w:numPr>
              <w:kinsoku w:val="0"/>
              <w:overflowPunct w:val="0"/>
              <w:autoSpaceDE/>
              <w:autoSpaceDN/>
              <w:adjustRightInd/>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基本要求：</w:t>
            </w:r>
            <w:r>
              <w:rPr>
                <w:rFonts w:hint="eastAsia" w:ascii="仿宋_GB2312" w:hAnsi="仿宋_GB2312" w:eastAsia="仿宋_GB2312" w:cs="仿宋_GB2312"/>
                <w:color w:val="auto"/>
                <w:sz w:val="24"/>
                <w:szCs w:val="24"/>
                <w:highlight w:val="none"/>
                <w:u w:val="none"/>
                <w:lang w:val="en-US" w:eastAsia="zh-CN"/>
              </w:rPr>
              <w:t>操作系统支持开启或关闭防火墙；支持添加防火墙规则，至少包括名称、协议、地址和端口；提供不同场景下的缺省防火墙配置，如公共、专用和自定义；支持不同的访问策略，包括允许、拒绝。</w:t>
            </w:r>
          </w:p>
          <w:p>
            <w:pPr>
              <w:pStyle w:val="247"/>
              <w:widowControl/>
              <w:numPr>
                <w:ilvl w:val="-1"/>
                <w:numId w:val="0"/>
              </w:numPr>
              <w:kinsoku w:val="0"/>
              <w:overflowPunct w:val="0"/>
              <w:autoSpaceDE/>
              <w:autoSpaceDN/>
              <w:adjustRightInd/>
              <w:spacing w:before="0" w:line="360" w:lineRule="exact"/>
              <w:ind w:firstLine="241" w:firstLineChars="100"/>
              <w:jc w:val="left"/>
              <w:rPr>
                <w:rFonts w:hint="eastAsia" w:ascii="仿宋_GB2312" w:hAnsi="仿宋_GB2312" w:eastAsia="仿宋_GB2312" w:cs="仿宋_GB2312"/>
                <w:b/>
                <w:bCs/>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6.漏洞管理：</w:t>
            </w:r>
          </w:p>
          <w:p>
            <w:pPr>
              <w:pStyle w:val="247"/>
              <w:widowControl/>
              <w:numPr>
                <w:ilvl w:val="-1"/>
                <w:numId w:val="0"/>
              </w:numPr>
              <w:kinsoku w:val="0"/>
              <w:overflowPunct w:val="0"/>
              <w:autoSpaceDE/>
              <w:autoSpaceDN/>
              <w:adjustRightInd/>
              <w:spacing w:before="0" w:line="360" w:lineRule="exact"/>
              <w:ind w:firstLine="241" w:firstLineChars="1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漏洞编号：</w:t>
            </w:r>
            <w:r>
              <w:rPr>
                <w:rFonts w:hint="eastAsia" w:ascii="仿宋_GB2312" w:hAnsi="仿宋_GB2312" w:eastAsia="仿宋_GB2312" w:cs="仿宋_GB2312"/>
                <w:color w:val="auto"/>
                <w:sz w:val="24"/>
                <w:szCs w:val="24"/>
                <w:highlight w:val="none"/>
                <w:u w:val="none"/>
                <w:lang w:val="en-US" w:eastAsia="zh-CN"/>
              </w:rPr>
              <w:t>操作系统支持漏洞编号，每个漏洞独立编号，可直接使用NVDB、CNVD或CVE编号；漏洞提醒，发现或获悉漏洞信息时，通过系统推送、电子邮件或官方网站等方式通知用户；漏洞修复，对已发现的安全漏洞通过补丁等方式对系统漏洞进行修复；漏洞列表，提供每个版本已修复的漏洞列表，并提供命令或网页等方式方便用户查询漏洞及其修复情况。</w:t>
            </w:r>
          </w:p>
          <w:p>
            <w:pPr>
              <w:pStyle w:val="247"/>
              <w:numPr>
                <w:ilvl w:val="-1"/>
                <w:numId w:val="0"/>
              </w:numPr>
              <w:kinsoku w:val="0"/>
              <w:overflowPunct w:val="0"/>
              <w:spacing w:before="0" w:line="360" w:lineRule="exact"/>
              <w:ind w:firstLine="241" w:firstLineChars="100"/>
              <w:jc w:val="left"/>
              <w:rPr>
                <w:rFonts w:hint="eastAsia" w:ascii="仿宋_GB2312" w:hAnsi="仿宋_GB2312" w:eastAsia="仿宋_GB2312" w:cs="仿宋_GB2312"/>
                <w:b/>
                <w:bCs/>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十、</w:t>
            </w:r>
            <w:r>
              <w:rPr>
                <w:rFonts w:hint="eastAsia" w:ascii="仿宋_GB2312" w:hAnsi="仿宋_GB2312" w:eastAsia="仿宋_GB2312" w:cs="仿宋_GB2312"/>
                <w:b/>
                <w:bCs/>
                <w:color w:val="auto"/>
                <w:sz w:val="24"/>
                <w:szCs w:val="24"/>
                <w:highlight w:val="none"/>
                <w:u w:val="none"/>
                <w:lang w:val="en-US" w:eastAsia="zh-CN"/>
              </w:rPr>
              <w:t>其他要求：</w:t>
            </w:r>
          </w:p>
          <w:p>
            <w:pPr>
              <w:pStyle w:val="247"/>
              <w:kinsoku w:val="0"/>
              <w:overflowPunct w:val="0"/>
              <w:spacing w:before="0" w:line="360" w:lineRule="exact"/>
              <w:ind w:left="0" w:firstLine="240" w:firstLineChars="100"/>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color w:val="auto"/>
                <w:sz w:val="24"/>
                <w:szCs w:val="24"/>
                <w:highlight w:val="none"/>
                <w:u w:val="none"/>
                <w:lang w:val="en-US" w:eastAsia="zh-CN"/>
              </w:rPr>
              <w:t>1</w:t>
            </w:r>
            <w:r>
              <w:rPr>
                <w:rFonts w:hint="eastAsia" w:ascii="仿宋_GB2312" w:hAnsi="仿宋_GB2312" w:eastAsia="仿宋_GB2312" w:cs="仿宋_GB2312"/>
                <w:color w:val="auto"/>
                <w:sz w:val="24"/>
                <w:szCs w:val="24"/>
                <w:highlight w:val="none"/>
                <w:u w:val="none"/>
              </w:rPr>
              <w:t>.</w:t>
            </w:r>
            <w:r>
              <w:rPr>
                <w:rFonts w:hint="eastAsia" w:ascii="仿宋_GB2312" w:hAnsi="仿宋_GB2312" w:eastAsia="仿宋_GB2312" w:cs="仿宋_GB2312"/>
                <w:color w:val="auto"/>
                <w:sz w:val="24"/>
                <w:szCs w:val="24"/>
                <w:highlight w:val="none"/>
              </w:rPr>
              <w:t>操作系统应当符合安全可靠测评要求</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eastAsia="zh-CN"/>
              </w:rPr>
              <w:t>通过政府有关部门指定的中国信息安全测评中心和国家保密科技测评中心网站的安全可靠测评结果</w:t>
            </w:r>
            <w:r>
              <w:rPr>
                <w:rFonts w:hint="eastAsia" w:ascii="仿宋_GB2312" w:hAnsi="仿宋_GB2312" w:eastAsia="仿宋_GB2312" w:cs="仿宋_GB2312"/>
                <w:b w:val="0"/>
                <w:bCs w:val="0"/>
                <w:color w:val="auto"/>
                <w:sz w:val="24"/>
                <w:szCs w:val="24"/>
                <w:highlight w:val="none"/>
                <w:lang w:val="en-US" w:eastAsia="zh-CN"/>
              </w:rPr>
              <w:t>；</w:t>
            </w:r>
          </w:p>
          <w:p>
            <w:pPr>
              <w:pStyle w:val="247"/>
              <w:kinsoku w:val="0"/>
              <w:overflowPunct w:val="0"/>
              <w:spacing w:before="0" w:line="360" w:lineRule="exact"/>
              <w:ind w:left="0" w:firstLine="241"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000000"/>
                <w:sz w:val="24"/>
                <w:szCs w:val="24"/>
                <w:highlight w:val="none"/>
                <w:lang w:eastAsia="zh-CN"/>
              </w:rPr>
              <w:t>注：投标人在填写《技术响应表》时，在“投标</w:t>
            </w:r>
            <w:r>
              <w:rPr>
                <w:rFonts w:hint="eastAsia" w:ascii="仿宋_GB2312" w:hAnsi="仿宋_GB2312" w:eastAsia="仿宋_GB2312" w:cs="仿宋_GB2312"/>
                <w:b/>
                <w:bCs/>
                <w:color w:val="000000"/>
                <w:sz w:val="24"/>
                <w:szCs w:val="24"/>
                <w:highlight w:val="none"/>
                <w:lang w:val="en-US" w:eastAsia="zh-CN"/>
              </w:rPr>
              <w:t>文件</w:t>
            </w:r>
            <w:r>
              <w:rPr>
                <w:rFonts w:hint="eastAsia" w:ascii="仿宋_GB2312" w:hAnsi="仿宋_GB2312" w:eastAsia="仿宋_GB2312" w:cs="仿宋_GB2312"/>
                <w:b/>
                <w:bCs/>
                <w:color w:val="000000"/>
                <w:sz w:val="24"/>
                <w:szCs w:val="24"/>
                <w:highlight w:val="none"/>
                <w:lang w:eastAsia="zh-CN"/>
              </w:rPr>
              <w:t>响应技术参数”明确给出所投</w:t>
            </w:r>
            <w:r>
              <w:rPr>
                <w:rFonts w:hint="eastAsia" w:ascii="仿宋_GB2312" w:hAnsi="仿宋_GB2312" w:eastAsia="仿宋_GB2312" w:cs="仿宋_GB2312"/>
                <w:b/>
                <w:bCs/>
                <w:color w:val="000000"/>
                <w:sz w:val="24"/>
                <w:szCs w:val="24"/>
                <w:highlight w:val="none"/>
                <w:lang w:val="en-US" w:eastAsia="zh-CN"/>
              </w:rPr>
              <w:t>桌面</w:t>
            </w:r>
            <w:r>
              <w:rPr>
                <w:rFonts w:hint="eastAsia" w:ascii="仿宋_GB2312" w:hAnsi="仿宋_GB2312" w:eastAsia="仿宋_GB2312" w:cs="仿宋_GB2312"/>
                <w:b/>
                <w:bCs/>
                <w:color w:val="000000"/>
                <w:sz w:val="24"/>
                <w:szCs w:val="24"/>
                <w:highlight w:val="none"/>
                <w:lang w:eastAsia="zh-CN"/>
              </w:rPr>
              <w:t>操作系统名称，否则视为投标无效。</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2.投标人根据实际需要，可同时选择多个品牌的操作系统进行投标，并在投标文件中注明清楚所选不同操作系统的品牌及数量，</w:t>
            </w:r>
            <w:bookmarkEnd w:id="12"/>
            <w:r>
              <w:rPr>
                <w:rFonts w:hint="eastAsia" w:ascii="仿宋_GB2312" w:hAnsi="仿宋_GB2312" w:eastAsia="仿宋_GB2312" w:cs="仿宋_GB2312"/>
                <w:color w:val="auto"/>
                <w:sz w:val="24"/>
                <w:szCs w:val="24"/>
                <w:highlight w:val="none"/>
                <w:u w:val="none"/>
                <w:lang w:val="en-US" w:eastAsia="zh-CN"/>
              </w:rPr>
              <w:t>但是技术要求须符合采购需求要求。</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3.供货时提供软件厂商出具的正版软件许可文件。</w:t>
            </w:r>
          </w:p>
          <w:p>
            <w:pPr>
              <w:pStyle w:val="247"/>
              <w:kinsoku w:val="0"/>
              <w:overflowPunct w:val="0"/>
              <w:spacing w:before="0" w:line="360" w:lineRule="exact"/>
              <w:ind w:left="0" w:firstLine="240" w:firstLineChars="100"/>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val="0"/>
                <w:bCs w:val="0"/>
                <w:color w:val="auto"/>
                <w:kern w:val="0"/>
                <w:sz w:val="24"/>
                <w:szCs w:val="24"/>
                <w:highlight w:val="none"/>
                <w:u w:val="none"/>
                <w:lang w:val="en-US" w:eastAsia="zh-CN"/>
              </w:rPr>
              <w:t>十一.</w:t>
            </w:r>
            <w:r>
              <w:rPr>
                <w:rFonts w:hint="eastAsia" w:ascii="仿宋_GB2312" w:hAnsi="仿宋_GB2312" w:eastAsia="仿宋_GB2312" w:cs="仿宋_GB2312"/>
                <w:b w:val="0"/>
                <w:bCs w:val="0"/>
                <w:color w:val="auto"/>
                <w:sz w:val="24"/>
                <w:szCs w:val="24"/>
                <w:highlight w:val="none"/>
                <w:u w:val="none"/>
                <w:lang w:val="en-US" w:eastAsia="zh-CN"/>
              </w:rPr>
              <w:t>可以与广西自治区综合办公平台无缝顺利对接、集成适配</w:t>
            </w:r>
            <w:r>
              <w:rPr>
                <w:rFonts w:hint="eastAsia" w:ascii="仿宋_GB2312" w:hAnsi="仿宋_GB2312" w:eastAsia="仿宋_GB2312" w:cs="仿宋_GB2312"/>
                <w:b/>
                <w:bCs/>
                <w:color w:val="auto"/>
                <w:sz w:val="24"/>
                <w:szCs w:val="24"/>
                <w:highlight w:val="none"/>
                <w:u w:val="none"/>
                <w:lang w:val="en-US" w:eastAsia="zh-CN"/>
              </w:rPr>
              <w:t>（</w:t>
            </w:r>
            <w:r>
              <w:rPr>
                <w:rFonts w:hint="eastAsia" w:ascii="仿宋_GB2312" w:hAnsi="仿宋_GB2312" w:eastAsia="仿宋_GB2312" w:cs="仿宋_GB2312"/>
                <w:b/>
                <w:bCs/>
                <w:color w:val="auto"/>
                <w:sz w:val="24"/>
                <w:szCs w:val="24"/>
                <w:highlight w:val="none"/>
                <w:lang w:val="en-US" w:eastAsia="zh-CN"/>
              </w:rPr>
              <w:t>采购人将设置现场踏勘，以便投标人了解适配情况</w:t>
            </w:r>
            <w:r>
              <w:rPr>
                <w:rFonts w:hint="eastAsia" w:ascii="仿宋_GB2312" w:hAnsi="仿宋_GB2312" w:eastAsia="仿宋_GB2312" w:cs="仿宋_GB2312"/>
                <w:b/>
                <w:bCs/>
                <w:color w:val="auto"/>
                <w:sz w:val="24"/>
                <w:szCs w:val="24"/>
                <w:highlight w:val="none"/>
                <w:u w:val="none"/>
                <w:lang w:val="en-US" w:eastAsia="zh-CN"/>
              </w:rPr>
              <w:t>）</w:t>
            </w:r>
            <w:r>
              <w:rPr>
                <w:rFonts w:hint="eastAsia" w:ascii="仿宋_GB2312" w:hAnsi="仿宋_GB2312" w:eastAsia="仿宋_GB2312" w:cs="仿宋_GB2312"/>
                <w:b w:val="0"/>
                <w:bCs w:val="0"/>
                <w:color w:val="auto"/>
                <w:sz w:val="24"/>
                <w:szCs w:val="24"/>
                <w:highlight w:val="none"/>
                <w:u w:val="none"/>
                <w:lang w:val="en-US" w:eastAsia="zh-CN"/>
              </w:rPr>
              <w:t>，保证业务系统可以安全稳定运行，便于用户统一管理和运维。</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60" w:lineRule="exact"/>
              <w:ind w:left="420" w:hanging="42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1692套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450" w:type="dxa"/>
            <w:tcBorders>
              <w:top w:val="single" w:color="auto" w:sz="4" w:space="0"/>
              <w:left w:val="single" w:color="auto" w:sz="4" w:space="0"/>
              <w:bottom w:val="single" w:color="auto" w:sz="4" w:space="0"/>
              <w:right w:val="single" w:color="auto" w:sz="4" w:space="0"/>
            </w:tcBorders>
            <w:vAlign w:val="center"/>
          </w:tcPr>
          <w:p>
            <w:pPr>
              <w:pStyle w:val="245"/>
              <w:snapToGrid w:val="0"/>
              <w:spacing w:line="36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w:t>
            </w:r>
          </w:p>
        </w:tc>
        <w:tc>
          <w:tcPr>
            <w:tcW w:w="96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i w:val="0"/>
                <w:iCs w:val="0"/>
                <w:color w:val="auto"/>
                <w:kern w:val="2"/>
                <w:sz w:val="24"/>
                <w:szCs w:val="24"/>
                <w:highlight w:val="none"/>
                <w:u w:val="none"/>
                <w:lang w:val="en-US" w:eastAsia="zh-CN"/>
              </w:rPr>
            </w:pPr>
            <w:r>
              <w:rPr>
                <w:rFonts w:hint="eastAsia" w:ascii="仿宋_GB2312" w:hAnsi="仿宋_GB2312" w:eastAsia="仿宋_GB2312" w:cs="仿宋_GB2312"/>
                <w:i w:val="0"/>
                <w:iCs w:val="0"/>
                <w:color w:val="auto"/>
                <w:kern w:val="2"/>
                <w:sz w:val="24"/>
                <w:szCs w:val="24"/>
                <w:highlight w:val="none"/>
                <w:u w:val="none"/>
                <w:lang w:val="en-US" w:eastAsia="zh-CN"/>
              </w:rPr>
              <w:t>流式办公软件</w:t>
            </w:r>
            <w:bookmarkEnd w:id="15"/>
          </w:p>
        </w:tc>
        <w:tc>
          <w:tcPr>
            <w:tcW w:w="6586" w:type="dxa"/>
            <w:tcBorders>
              <w:top w:val="single" w:color="auto" w:sz="4" w:space="0"/>
              <w:left w:val="single" w:color="auto" w:sz="4" w:space="0"/>
              <w:bottom w:val="single" w:color="auto" w:sz="4" w:space="0"/>
              <w:right w:val="single" w:color="auto" w:sz="4" w:space="0"/>
            </w:tcBorders>
            <w:vAlign w:val="center"/>
          </w:tcPr>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★1.适配符合安全可靠测评要求的CPU、操作系统；</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★2.根据采购人需求提供所需路线组合的配套版本；</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3.办公套件需具备主界面、文件管理、页面设置、视图管理、编辑管理、插入管理、格式管理、工具、表格管理、对象管理、审阅管理、引用管理、插件管理、打印管理等基本功能，提供文字处理、电子表格、文档演示三大应用，支持PDF阅读和流版转换，支持国内外文档标准规范，兼容国内外主流流式软件；</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★4.操作习惯兼容：兼容MicrosoftOffice的基本操作方式，支持多组件/整合双重模式，且两种模式可以任意切换；</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★5.文档格式兼容：各组件兼容打开微软对应模块的文档格式，全面兼容微软办公软件文字/表格/演示的历史格式和最新格式；</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6.兼容信创软硬件环境；流式办公软件可以与广西自治区综合办公平台无缝顺利对接、集成适配</w:t>
            </w:r>
            <w:r>
              <w:rPr>
                <w:rFonts w:hint="eastAsia" w:ascii="仿宋_GB2312" w:hAnsi="仿宋_GB2312" w:eastAsia="仿宋_GB2312" w:cs="仿宋_GB2312"/>
                <w:b/>
                <w:bCs/>
                <w:color w:val="auto"/>
                <w:sz w:val="24"/>
                <w:szCs w:val="24"/>
                <w:highlight w:val="none"/>
                <w:u w:val="none"/>
                <w:lang w:val="en-US" w:eastAsia="zh-CN"/>
              </w:rPr>
              <w:t>（</w:t>
            </w:r>
            <w:r>
              <w:rPr>
                <w:rFonts w:hint="eastAsia" w:ascii="仿宋_GB2312" w:hAnsi="仿宋_GB2312" w:eastAsia="仿宋_GB2312" w:cs="仿宋_GB2312"/>
                <w:b/>
                <w:bCs/>
                <w:color w:val="auto"/>
                <w:sz w:val="24"/>
                <w:szCs w:val="24"/>
                <w:highlight w:val="none"/>
                <w:lang w:val="en-US" w:eastAsia="zh-CN"/>
              </w:rPr>
              <w:t>采购人将设置现场踏勘，以便投标人了解适配情况</w:t>
            </w:r>
            <w:r>
              <w:rPr>
                <w:rFonts w:hint="eastAsia" w:ascii="仿宋_GB2312" w:hAnsi="仿宋_GB2312" w:eastAsia="仿宋_GB2312" w:cs="仿宋_GB2312"/>
                <w:b/>
                <w:bCs/>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lang w:val="en-US" w:eastAsia="zh-CN"/>
              </w:rPr>
              <w:t>，保证业务系统可以安全稳定运行，便于用户统一管理和运维；</w:t>
            </w:r>
          </w:p>
          <w:p>
            <w:pPr>
              <w:pStyle w:val="247"/>
              <w:kinsoku w:val="0"/>
              <w:overflowPunct w:val="0"/>
              <w:spacing w:before="0" w:line="360" w:lineRule="exact"/>
              <w:ind w:firstLine="480" w:firstLineChars="200"/>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7.产品具备二次开发能力：符合办公软件二次开发接口标准；</w:t>
            </w:r>
          </w:p>
          <w:p>
            <w:pPr>
              <w:pStyle w:val="247"/>
              <w:keepNext w:val="0"/>
              <w:keepLines w:val="0"/>
              <w:pageBreakBefore w:val="0"/>
              <w:widowControl w:val="0"/>
              <w:kinsoku w:val="0"/>
              <w:wordWrap w:val="0"/>
              <w:overflowPunct/>
              <w:topLinePunct w:val="0"/>
              <w:autoSpaceDE w:val="0"/>
              <w:autoSpaceDN w:val="0"/>
              <w:bidi w:val="0"/>
              <w:adjustRightInd w:val="0"/>
              <w:snapToGrid/>
              <w:spacing w:before="0" w:line="360" w:lineRule="exact"/>
              <w:ind w:firstLine="240" w:firstLineChars="100"/>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★8.产品符合GB18030-2022《信息技术中文编码字符集》、GB/T33190-2016《电子文件存储与交换格式版式文档》、GB/T9704-2012《党政机关公文格式》、GB/T33476-2016《党政机关电子公文格式规范》系列标准；</w:t>
            </w:r>
          </w:p>
          <w:p>
            <w:pPr>
              <w:pStyle w:val="247"/>
              <w:kinsoku w:val="0"/>
              <w:overflowPunct w:val="0"/>
              <w:spacing w:before="0" w:line="360" w:lineRule="exact"/>
              <w:ind w:firstLine="480" w:firstLineChars="200"/>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9.文字处理、电子表格、文档演示三大应用均支持输出OFD，并提供二次开发接口；</w:t>
            </w:r>
          </w:p>
          <w:p>
            <w:pPr>
              <w:pStyle w:val="247"/>
              <w:kinsoku w:val="0"/>
              <w:overflowPunct w:val="0"/>
              <w:spacing w:before="0" w:line="360" w:lineRule="exact"/>
              <w:ind w:firstLine="480" w:firstLineChars="200"/>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10.产品支持使用Java/C++语言调用Office标准接口进行二次开发；支持C/S、B/S架构；满足业务系统建设的多样场景需求，可根据采购人的要求进行定制开发；</w:t>
            </w:r>
          </w:p>
          <w:p>
            <w:pPr>
              <w:pStyle w:val="247"/>
              <w:kinsoku w:val="0"/>
              <w:overflowPunct w:val="0"/>
              <w:spacing w:before="0" w:line="360" w:lineRule="exact"/>
              <w:ind w:firstLine="480" w:firstLineChars="200"/>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11.支持使用JavaScript语言，通过符合国家标准的网页应用编程接口，实现将流式办公软件客户端嵌入网页运行完成系统集成，业务系统无需调用第三方插件，即可实现在线编辑、留痕等功能，应标产品可根据采购人的要求进行定制开发；</w:t>
            </w:r>
          </w:p>
          <w:p>
            <w:pPr>
              <w:pStyle w:val="247"/>
              <w:kinsoku w:val="0"/>
              <w:overflowPunct w:val="0"/>
              <w:spacing w:before="0" w:line="360" w:lineRule="exact"/>
              <w:ind w:firstLine="480" w:firstLineChars="200"/>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12.产品支持人工智能（AI）模块的扩展。</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★13.提供1年升级服务，支持在线升级方式。产品质保期结束后支持并提供永久免费使用。</w:t>
            </w:r>
          </w:p>
          <w:p>
            <w:pPr>
              <w:pStyle w:val="247"/>
              <w:numPr>
                <w:ilvl w:val="0"/>
                <w:numId w:val="0"/>
              </w:numPr>
              <w:kinsoku w:val="0"/>
              <w:overflowPunct w:val="0"/>
              <w:spacing w:before="0" w:line="360" w:lineRule="exact"/>
              <w:ind w:firstLine="480" w:firstLineChars="200"/>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14.</w:t>
            </w:r>
            <w:r>
              <w:rPr>
                <w:rFonts w:hint="eastAsia" w:ascii="仿宋_GB2312" w:hAnsi="仿宋_GB2312" w:eastAsia="仿宋_GB2312" w:cs="仿宋_GB2312"/>
                <w:color w:val="auto"/>
                <w:highlight w:val="none"/>
                <w:u w:val="none"/>
                <w:lang w:eastAsia="zh-CN"/>
              </w:rPr>
              <w:t>投标人根据实际需要，可同时选择多个品牌的流式办公软件进行投标，并在投标文件中注明清楚所选不同流式办公软件的品牌及数量，</w:t>
            </w:r>
            <w:r>
              <w:rPr>
                <w:rFonts w:hint="eastAsia" w:ascii="仿宋_GB2312" w:hAnsi="仿宋_GB2312" w:eastAsia="仿宋_GB2312" w:cs="仿宋_GB2312"/>
                <w:color w:val="auto"/>
                <w:sz w:val="24"/>
                <w:szCs w:val="24"/>
                <w:highlight w:val="none"/>
                <w:u w:val="none"/>
                <w:lang w:val="en-US" w:eastAsia="zh-CN"/>
              </w:rPr>
              <w:t>但是技术要求须符合采购需求要求。</w:t>
            </w:r>
          </w:p>
          <w:p>
            <w:pPr>
              <w:pStyle w:val="247"/>
              <w:numPr>
                <w:ilvl w:val="0"/>
                <w:numId w:val="0"/>
              </w:numPr>
              <w:kinsoku w:val="0"/>
              <w:overflowPunct w:val="0"/>
              <w:spacing w:before="0" w:line="360" w:lineRule="exact"/>
              <w:ind w:firstLine="480" w:firstLineChars="200"/>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15.供货时提供软件厂商出具的正版软件许可文件。</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60" w:lineRule="exact"/>
              <w:ind w:left="420" w:hanging="42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1692套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450" w:type="dxa"/>
            <w:tcBorders>
              <w:top w:val="single" w:color="auto" w:sz="4" w:space="0"/>
              <w:left w:val="single" w:color="auto" w:sz="4" w:space="0"/>
              <w:bottom w:val="single" w:color="auto" w:sz="4" w:space="0"/>
              <w:right w:val="single" w:color="auto" w:sz="4" w:space="0"/>
            </w:tcBorders>
            <w:vAlign w:val="center"/>
          </w:tcPr>
          <w:p>
            <w:pPr>
              <w:pStyle w:val="245"/>
              <w:snapToGrid w:val="0"/>
              <w:spacing w:line="36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96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i w:val="0"/>
                <w:iCs w:val="0"/>
                <w:color w:val="auto"/>
                <w:kern w:val="2"/>
                <w:sz w:val="24"/>
                <w:szCs w:val="24"/>
                <w:highlight w:val="none"/>
                <w:u w:val="none"/>
                <w:lang w:val="en-US" w:eastAsia="zh-CN"/>
              </w:rPr>
            </w:pPr>
            <w:r>
              <w:rPr>
                <w:rFonts w:hint="eastAsia" w:ascii="仿宋_GB2312" w:hAnsi="仿宋_GB2312" w:eastAsia="仿宋_GB2312" w:cs="仿宋_GB2312"/>
                <w:i w:val="0"/>
                <w:iCs w:val="0"/>
                <w:color w:val="auto"/>
                <w:kern w:val="2"/>
                <w:sz w:val="24"/>
                <w:szCs w:val="24"/>
                <w:highlight w:val="none"/>
                <w:u w:val="none"/>
                <w:lang w:val="en-US" w:eastAsia="zh-CN"/>
              </w:rPr>
              <w:t>版式</w:t>
            </w:r>
          </w:p>
          <w:p>
            <w:pPr>
              <w:widowControl/>
              <w:spacing w:line="36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i w:val="0"/>
                <w:iCs w:val="0"/>
                <w:color w:val="auto"/>
                <w:kern w:val="2"/>
                <w:sz w:val="24"/>
                <w:szCs w:val="24"/>
                <w:highlight w:val="none"/>
                <w:u w:val="none"/>
                <w:lang w:val="en-US" w:eastAsia="zh-CN"/>
              </w:rPr>
              <w:t>软件</w:t>
            </w:r>
          </w:p>
        </w:tc>
        <w:tc>
          <w:tcPr>
            <w:tcW w:w="6586" w:type="dxa"/>
            <w:tcBorders>
              <w:top w:val="single" w:color="auto" w:sz="4" w:space="0"/>
              <w:left w:val="single" w:color="auto" w:sz="4" w:space="0"/>
              <w:bottom w:val="single" w:color="auto" w:sz="4" w:space="0"/>
              <w:right w:val="single" w:color="auto" w:sz="4" w:space="0"/>
            </w:tcBorders>
            <w:vAlign w:val="center"/>
          </w:tcPr>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★1.适配符合安全可靠测评要求的CPU、操作系统；</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★2.根据采购人需求提供所需路线组合的配套版本；</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★3.符合OFD国家标准GB/T33190-2016《电子文件存储与交换格式版式文档》，并通过标准符合性测试；</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★4.基本功能：具备OFD文档的打开、阅读、搜索、复制、批注、添加/删除签批页、文本内容提取、打印等基本功能；</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5.隐写溯源：支持在不修改OFD文档的前提下实现隐写溯源功能，溯源范围包括电子文档的屏幕截图、纸质打印件、纸质打印件的照片；</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6.签章支持：支持可信电子签章集成，盖章时支持多种盖章类型；</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7.手写签批：支持在PC端、手机端、PAD端上对版式文件进行手写签批，签批时支持多人会签、连续页全文手写批注、指定区域手写签名及手写擦除功能，具有笔迹保真效果；</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8.兼容性：兼容信创软硬件环境；版式软件可以与广西自治区综合办公平台无缝顺利对接、集成适配</w:t>
            </w:r>
            <w:r>
              <w:rPr>
                <w:rFonts w:hint="eastAsia" w:ascii="仿宋_GB2312" w:hAnsi="仿宋_GB2312" w:eastAsia="仿宋_GB2312" w:cs="仿宋_GB2312"/>
                <w:b/>
                <w:bCs/>
                <w:color w:val="auto"/>
                <w:sz w:val="24"/>
                <w:szCs w:val="24"/>
                <w:highlight w:val="none"/>
                <w:u w:val="none"/>
                <w:lang w:val="en-US" w:eastAsia="zh-CN"/>
              </w:rPr>
              <w:t>（</w:t>
            </w:r>
            <w:r>
              <w:rPr>
                <w:rFonts w:hint="eastAsia" w:ascii="仿宋_GB2312" w:hAnsi="仿宋_GB2312" w:eastAsia="仿宋_GB2312" w:cs="仿宋_GB2312"/>
                <w:b/>
                <w:bCs/>
                <w:color w:val="auto"/>
                <w:sz w:val="24"/>
                <w:szCs w:val="24"/>
                <w:highlight w:val="none"/>
                <w:lang w:val="en-US" w:eastAsia="zh-CN"/>
              </w:rPr>
              <w:t>采购人将设置现场踏勘，以便投标人了解适配情况</w:t>
            </w:r>
            <w:r>
              <w:rPr>
                <w:rFonts w:hint="eastAsia" w:ascii="仿宋_GB2312" w:hAnsi="仿宋_GB2312" w:eastAsia="仿宋_GB2312" w:cs="仿宋_GB2312"/>
                <w:b/>
                <w:bCs/>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lang w:val="en-US" w:eastAsia="zh-CN"/>
              </w:rPr>
              <w:t>，保证业务系统可以安全稳定运行，便于用户统一管理和运维；</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9.支持B/S和C/S集成模式，提供完善的二次开发接口，符合应用接口（GB/T33478-2016《党政机关电子公文应用接口规范》）中关于版式插件要求，并承诺中标后按照GB/T33481-2016《党政机关电子印章应用规范》与电子签章厂商进行适配，系统接口包括初始化类、界面控制类、功能服务类，所有接口均提供完整的API手册。可根据采购人的要求进行定制开发；</w:t>
            </w:r>
          </w:p>
          <w:p>
            <w:pPr>
              <w:pStyle w:val="247"/>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★10.提供1年软件升级服务，支持在线升级方式。产品质保期结束后支持并提供永久免费使用。</w:t>
            </w:r>
          </w:p>
          <w:p>
            <w:pPr>
              <w:pStyle w:val="247"/>
              <w:numPr>
                <w:ilvl w:val="0"/>
                <w:numId w:val="0"/>
              </w:numPr>
              <w:kinsoku w:val="0"/>
              <w:overflowPunct w:val="0"/>
              <w:spacing w:before="0" w:line="360" w:lineRule="exact"/>
              <w:ind w:firstLine="240" w:firstLineChars="100"/>
              <w:rPr>
                <w:rFonts w:hint="eastAsia" w:ascii="仿宋_GB2312" w:hAnsi="仿宋_GB2312" w:eastAsia="黑体"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11.</w:t>
            </w:r>
            <w:r>
              <w:rPr>
                <w:rFonts w:hint="eastAsia" w:ascii="仿宋_GB2312" w:hAnsi="仿宋_GB2312" w:eastAsia="仿宋_GB2312" w:cs="仿宋_GB2312"/>
                <w:color w:val="auto"/>
                <w:highlight w:val="none"/>
                <w:u w:val="none"/>
                <w:lang w:eastAsia="zh-CN"/>
              </w:rPr>
              <w:t>投标人根据实际需要，可同时选择多个品牌的</w:t>
            </w:r>
            <w:r>
              <w:rPr>
                <w:rFonts w:hint="eastAsia" w:ascii="仿宋_GB2312" w:hAnsi="仿宋_GB2312" w:eastAsia="仿宋_GB2312" w:cs="仿宋_GB2312"/>
                <w:color w:val="auto"/>
                <w:sz w:val="24"/>
                <w:szCs w:val="24"/>
                <w:highlight w:val="none"/>
                <w:u w:val="none"/>
                <w:lang w:val="en-US" w:eastAsia="zh-CN"/>
              </w:rPr>
              <w:t>版式软件</w:t>
            </w:r>
            <w:r>
              <w:rPr>
                <w:rFonts w:hint="eastAsia" w:ascii="仿宋_GB2312" w:hAnsi="仿宋_GB2312" w:eastAsia="仿宋_GB2312" w:cs="仿宋_GB2312"/>
                <w:color w:val="auto"/>
                <w:highlight w:val="none"/>
                <w:u w:val="none"/>
                <w:lang w:eastAsia="zh-CN"/>
              </w:rPr>
              <w:t>进行投标，并在投标文件中注明清楚所选不同</w:t>
            </w:r>
            <w:r>
              <w:rPr>
                <w:rFonts w:hint="eastAsia" w:ascii="仿宋_GB2312" w:hAnsi="仿宋_GB2312" w:eastAsia="仿宋_GB2312" w:cs="仿宋_GB2312"/>
                <w:color w:val="auto"/>
                <w:sz w:val="24"/>
                <w:szCs w:val="24"/>
                <w:highlight w:val="none"/>
                <w:u w:val="none"/>
                <w:lang w:val="en-US" w:eastAsia="zh-CN"/>
              </w:rPr>
              <w:t>版式软件</w:t>
            </w:r>
            <w:r>
              <w:rPr>
                <w:rFonts w:hint="eastAsia" w:ascii="仿宋_GB2312" w:hAnsi="仿宋_GB2312" w:eastAsia="仿宋_GB2312" w:cs="仿宋_GB2312"/>
                <w:color w:val="auto"/>
                <w:highlight w:val="none"/>
                <w:u w:val="none"/>
                <w:lang w:eastAsia="zh-CN"/>
              </w:rPr>
              <w:t>的品牌及数量</w:t>
            </w:r>
            <w:r>
              <w:rPr>
                <w:rFonts w:hint="eastAsia"/>
                <w:lang w:eastAsia="zh-CN"/>
              </w:rPr>
              <w:t>，</w:t>
            </w:r>
            <w:r>
              <w:rPr>
                <w:rFonts w:hint="eastAsia" w:ascii="仿宋_GB2312" w:hAnsi="仿宋_GB2312" w:eastAsia="仿宋_GB2312" w:cs="仿宋_GB2312"/>
                <w:color w:val="auto"/>
                <w:sz w:val="24"/>
                <w:szCs w:val="24"/>
                <w:highlight w:val="none"/>
                <w:u w:val="none"/>
                <w:lang w:val="en-US" w:eastAsia="zh-CN"/>
              </w:rPr>
              <w:t>但是技术要求须符合采购需求要求。</w:t>
            </w:r>
          </w:p>
          <w:p>
            <w:pPr>
              <w:pStyle w:val="247"/>
              <w:numPr>
                <w:ilvl w:val="0"/>
                <w:numId w:val="0"/>
              </w:numPr>
              <w:kinsoku w:val="0"/>
              <w:overflowPunct w:val="0"/>
              <w:spacing w:before="0" w:line="360" w:lineRule="exact"/>
              <w:ind w:firstLine="240" w:firstLineChars="100"/>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12.供货时提供软件厂商出具的正版软件许可文件。</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60" w:lineRule="exact"/>
              <w:ind w:left="420" w:hanging="42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1692套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450" w:type="dxa"/>
            <w:tcBorders>
              <w:top w:val="single" w:color="auto" w:sz="4" w:space="0"/>
              <w:left w:val="single" w:color="auto" w:sz="4" w:space="0"/>
              <w:bottom w:val="single" w:color="auto" w:sz="4" w:space="0"/>
              <w:right w:val="single" w:color="auto" w:sz="4" w:space="0"/>
            </w:tcBorders>
            <w:vAlign w:val="center"/>
          </w:tcPr>
          <w:p>
            <w:pPr>
              <w:pStyle w:val="245"/>
              <w:snapToGrid w:val="0"/>
              <w:spacing w:line="360" w:lineRule="exact"/>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w:t>
            </w:r>
          </w:p>
        </w:tc>
        <w:tc>
          <w:tcPr>
            <w:tcW w:w="96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i w:val="0"/>
                <w:iCs w:val="0"/>
                <w:color w:val="auto"/>
                <w:kern w:val="2"/>
                <w:sz w:val="24"/>
                <w:szCs w:val="24"/>
                <w:highlight w:val="none"/>
                <w:u w:val="none"/>
                <w:lang w:val="en-US" w:eastAsia="zh-CN"/>
              </w:rPr>
            </w:pPr>
            <w:r>
              <w:rPr>
                <w:rFonts w:hint="eastAsia" w:ascii="仿宋_GB2312" w:hAnsi="仿宋_GB2312" w:eastAsia="仿宋_GB2312" w:cs="仿宋_GB2312"/>
                <w:i w:val="0"/>
                <w:iCs w:val="0"/>
                <w:color w:val="auto"/>
                <w:kern w:val="2"/>
                <w:sz w:val="24"/>
                <w:szCs w:val="24"/>
                <w:highlight w:val="none"/>
                <w:u w:val="none"/>
                <w:lang w:val="en-US" w:eastAsia="zh-CN"/>
              </w:rPr>
              <w:t>网络防</w:t>
            </w:r>
          </w:p>
          <w:p>
            <w:pPr>
              <w:widowControl/>
              <w:spacing w:line="360" w:lineRule="exact"/>
              <w:jc w:val="center"/>
              <w:rPr>
                <w:rFonts w:hint="eastAsia" w:ascii="仿宋_GB2312" w:hAnsi="仿宋_GB2312" w:eastAsia="仿宋_GB2312" w:cs="仿宋_GB2312"/>
                <w:i w:val="0"/>
                <w:iCs w:val="0"/>
                <w:color w:val="auto"/>
                <w:kern w:val="2"/>
                <w:sz w:val="24"/>
                <w:szCs w:val="24"/>
                <w:highlight w:val="none"/>
                <w:u w:val="none"/>
                <w:lang w:val="en-US" w:eastAsia="zh-CN"/>
              </w:rPr>
            </w:pPr>
            <w:r>
              <w:rPr>
                <w:rFonts w:hint="eastAsia" w:ascii="仿宋_GB2312" w:hAnsi="仿宋_GB2312" w:eastAsia="仿宋_GB2312" w:cs="仿宋_GB2312"/>
                <w:i w:val="0"/>
                <w:iCs w:val="0"/>
                <w:color w:val="auto"/>
                <w:kern w:val="2"/>
                <w:sz w:val="24"/>
                <w:szCs w:val="24"/>
                <w:highlight w:val="none"/>
                <w:u w:val="none"/>
                <w:lang w:val="en-US" w:eastAsia="zh-CN"/>
              </w:rPr>
              <w:t>病毒系统</w:t>
            </w:r>
          </w:p>
        </w:tc>
        <w:tc>
          <w:tcPr>
            <w:tcW w:w="6586" w:type="dxa"/>
            <w:tcBorders>
              <w:top w:val="single" w:color="auto" w:sz="4" w:space="0"/>
              <w:left w:val="single" w:color="auto" w:sz="4" w:space="0"/>
              <w:bottom w:val="single" w:color="auto" w:sz="4" w:space="0"/>
              <w:right w:val="single" w:color="auto" w:sz="4" w:space="0"/>
            </w:tcBorders>
            <w:vAlign w:val="center"/>
          </w:tcPr>
          <w:p>
            <w:pPr>
              <w:widowControl w:val="0"/>
              <w:kinsoku w:val="0"/>
              <w:overflowPunct w:val="0"/>
              <w:spacing w:before="0" w:line="360" w:lineRule="exact"/>
              <w:jc w:val="both"/>
              <w:rPr>
                <w:rFonts w:hint="eastAsia" w:ascii="仿宋_GB2312" w:hAnsi="仿宋_GB2312" w:eastAsia="仿宋_GB2312" w:cs="仿宋_GB2312"/>
                <w:color w:val="auto"/>
                <w:kern w:val="0"/>
                <w:sz w:val="24"/>
                <w:szCs w:val="24"/>
                <w:highlight w:val="none"/>
                <w:u w:val="none"/>
                <w:lang w:val="en-US" w:eastAsia="zh-CN"/>
              </w:rPr>
            </w:pPr>
            <w:r>
              <w:rPr>
                <w:rFonts w:hint="eastAsia" w:ascii="仿宋_GB2312" w:hAnsi="仿宋_GB2312" w:eastAsia="仿宋_GB2312" w:cs="仿宋_GB2312"/>
                <w:color w:val="auto"/>
                <w:kern w:val="0"/>
                <w:sz w:val="24"/>
                <w:szCs w:val="24"/>
                <w:highlight w:val="none"/>
                <w:u w:val="none"/>
                <w:lang w:val="en-US" w:eastAsia="zh-CN"/>
              </w:rPr>
              <w:t>1.客户端支持飞腾、盘古、麒麟、兆芯、海光、龙芯等处理器与银河麒麟、统信等操作系统的各种路线，并根据采购人需求提供所需路线组合的配套版本；</w:t>
            </w:r>
          </w:p>
          <w:p>
            <w:pPr>
              <w:widowControl w:val="0"/>
              <w:kinsoku w:val="0"/>
              <w:overflowPunct w:val="0"/>
              <w:spacing w:before="0" w:line="360" w:lineRule="exact"/>
              <w:jc w:val="both"/>
              <w:rPr>
                <w:rFonts w:hint="eastAsia" w:ascii="仿宋_GB2312" w:hAnsi="仿宋_GB2312" w:eastAsia="仿宋_GB2312" w:cs="仿宋_GB2312"/>
                <w:color w:val="auto"/>
                <w:kern w:val="0"/>
                <w:sz w:val="24"/>
                <w:szCs w:val="24"/>
                <w:highlight w:val="none"/>
                <w:u w:val="none"/>
                <w:lang w:val="en-US" w:eastAsia="zh-CN"/>
              </w:rPr>
            </w:pPr>
            <w:r>
              <w:rPr>
                <w:rFonts w:hint="eastAsia" w:ascii="仿宋_GB2312" w:hAnsi="仿宋_GB2312" w:eastAsia="仿宋_GB2312" w:cs="仿宋_GB2312"/>
                <w:color w:val="auto"/>
                <w:kern w:val="0"/>
                <w:sz w:val="24"/>
                <w:szCs w:val="24"/>
                <w:highlight w:val="none"/>
                <w:u w:val="none"/>
                <w:lang w:val="en-US" w:eastAsia="zh-CN"/>
              </w:rPr>
              <w:t>2.符合公安部相关防病毒标准和规范要求；</w:t>
            </w:r>
          </w:p>
          <w:p>
            <w:pPr>
              <w:widowControl w:val="0"/>
              <w:kinsoku w:val="0"/>
              <w:overflowPunct w:val="0"/>
              <w:spacing w:before="0" w:line="360" w:lineRule="exact"/>
              <w:jc w:val="both"/>
              <w:rPr>
                <w:rFonts w:hint="eastAsia" w:ascii="仿宋_GB2312" w:hAnsi="仿宋_GB2312" w:eastAsia="仿宋_GB2312" w:cs="仿宋_GB2312"/>
                <w:color w:val="auto"/>
                <w:kern w:val="0"/>
                <w:sz w:val="24"/>
                <w:szCs w:val="24"/>
                <w:highlight w:val="none"/>
                <w:u w:val="none"/>
                <w:lang w:val="en-US" w:eastAsia="zh-CN"/>
              </w:rPr>
            </w:pPr>
            <w:r>
              <w:rPr>
                <w:rFonts w:hint="eastAsia" w:ascii="仿宋_GB2312" w:hAnsi="仿宋_GB2312" w:eastAsia="仿宋_GB2312" w:cs="仿宋_GB2312"/>
                <w:color w:val="auto"/>
                <w:kern w:val="0"/>
                <w:sz w:val="24"/>
                <w:szCs w:val="24"/>
                <w:highlight w:val="none"/>
                <w:u w:val="none"/>
                <w:lang w:val="en-US" w:eastAsia="zh-CN"/>
              </w:rPr>
              <w:t>3.支持快速扫描、全盘扫描和自定义扫描，支持设置扫描的文件类型；支持定时扫描，支持添加多个定时扫描任务和定时周期；</w:t>
            </w:r>
          </w:p>
          <w:p>
            <w:pPr>
              <w:pStyle w:val="247"/>
              <w:kinsoku w:val="0"/>
              <w:overflowPunct w:val="0"/>
              <w:spacing w:before="0" w:line="360" w:lineRule="exact"/>
              <w:rPr>
                <w:rFonts w:hint="eastAsia" w:ascii="仿宋_GB2312" w:hAnsi="仿宋_GB2312" w:eastAsia="仿宋_GB2312" w:cs="仿宋_GB2312"/>
                <w:color w:val="auto"/>
                <w:kern w:val="0"/>
                <w:sz w:val="24"/>
                <w:szCs w:val="24"/>
                <w:highlight w:val="none"/>
                <w:u w:val="none"/>
                <w:lang w:val="en-US" w:eastAsia="zh-CN"/>
              </w:rPr>
            </w:pPr>
            <w:r>
              <w:rPr>
                <w:rFonts w:hint="eastAsia" w:ascii="仿宋_GB2312" w:hAnsi="仿宋_GB2312" w:eastAsia="仿宋_GB2312" w:cs="仿宋_GB2312"/>
                <w:color w:val="auto"/>
                <w:kern w:val="0"/>
                <w:sz w:val="24"/>
                <w:szCs w:val="24"/>
                <w:highlight w:val="none"/>
                <w:u w:val="none"/>
                <w:lang w:val="en-US" w:eastAsia="zh-CN"/>
              </w:rPr>
              <w:t>4.具备自主引擎的知识产权，引擎能够支持对PE、ELF、网页、邮件等文件的查杀；</w:t>
            </w:r>
          </w:p>
          <w:p>
            <w:pPr>
              <w:pStyle w:val="247"/>
              <w:kinsoku w:val="0"/>
              <w:overflowPunct w:val="0"/>
              <w:spacing w:before="0" w:line="360" w:lineRule="exac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5.提供1年软件升级服务（病毒库升级），支持在线升级方式。产品质保期结束后支持并提供永久免费使用。</w:t>
            </w:r>
          </w:p>
          <w:p>
            <w:pPr>
              <w:pStyle w:val="247"/>
              <w:kinsoku w:val="0"/>
              <w:overflowPunct w:val="0"/>
              <w:spacing w:before="0" w:line="360" w:lineRule="exac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6.供货时提供软件厂商出具的正版软件许可文件。</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60" w:lineRule="exact"/>
              <w:ind w:left="420" w:leftChars="0" w:hanging="42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1692套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450" w:type="dxa"/>
            <w:tcBorders>
              <w:top w:val="single" w:color="auto" w:sz="4" w:space="0"/>
              <w:left w:val="single" w:color="auto" w:sz="4" w:space="0"/>
              <w:bottom w:val="single" w:color="auto" w:sz="4" w:space="0"/>
              <w:right w:val="single" w:color="auto" w:sz="4" w:space="0"/>
            </w:tcBorders>
            <w:vAlign w:val="center"/>
          </w:tcPr>
          <w:p>
            <w:pPr>
              <w:pStyle w:val="245"/>
              <w:snapToGrid w:val="0"/>
              <w:spacing w:line="360" w:lineRule="exact"/>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w:t>
            </w:r>
          </w:p>
        </w:tc>
        <w:tc>
          <w:tcPr>
            <w:tcW w:w="96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i w:val="0"/>
                <w:iCs w:val="0"/>
                <w:color w:val="auto"/>
                <w:kern w:val="2"/>
                <w:sz w:val="24"/>
                <w:szCs w:val="24"/>
                <w:highlight w:val="none"/>
                <w:u w:val="none"/>
                <w:lang w:val="en-US" w:eastAsia="zh-CN"/>
              </w:rPr>
            </w:pPr>
            <w:r>
              <w:rPr>
                <w:rFonts w:hint="eastAsia" w:ascii="仿宋_GB2312" w:hAnsi="仿宋_GB2312" w:eastAsia="仿宋_GB2312" w:cs="仿宋_GB2312"/>
                <w:i w:val="0"/>
                <w:iCs w:val="0"/>
                <w:color w:val="auto"/>
                <w:kern w:val="2"/>
                <w:sz w:val="24"/>
                <w:szCs w:val="24"/>
                <w:highlight w:val="none"/>
                <w:u w:val="none"/>
                <w:lang w:val="en-US" w:eastAsia="zh-CN"/>
              </w:rPr>
              <w:t>可信</w:t>
            </w:r>
          </w:p>
          <w:p>
            <w:pPr>
              <w:widowControl/>
              <w:spacing w:line="360" w:lineRule="exact"/>
              <w:jc w:val="center"/>
              <w:rPr>
                <w:rFonts w:hint="eastAsia" w:ascii="仿宋_GB2312" w:hAnsi="仿宋_GB2312" w:eastAsia="仿宋_GB2312" w:cs="仿宋_GB2312"/>
                <w:i w:val="0"/>
                <w:iCs w:val="0"/>
                <w:color w:val="auto"/>
                <w:kern w:val="2"/>
                <w:sz w:val="24"/>
                <w:szCs w:val="24"/>
                <w:highlight w:val="none"/>
                <w:u w:val="none"/>
                <w:lang w:val="en-US" w:eastAsia="zh-CN"/>
              </w:rPr>
            </w:pPr>
            <w:r>
              <w:rPr>
                <w:rFonts w:hint="eastAsia" w:ascii="仿宋_GB2312" w:hAnsi="仿宋_GB2312" w:eastAsia="仿宋_GB2312" w:cs="仿宋_GB2312"/>
                <w:i w:val="0"/>
                <w:iCs w:val="0"/>
                <w:color w:val="auto"/>
                <w:kern w:val="2"/>
                <w:sz w:val="24"/>
                <w:szCs w:val="24"/>
                <w:highlight w:val="none"/>
                <w:u w:val="none"/>
                <w:lang w:val="en-US" w:eastAsia="zh-CN"/>
              </w:rPr>
              <w:t>浏览器</w:t>
            </w:r>
          </w:p>
        </w:tc>
        <w:tc>
          <w:tcPr>
            <w:tcW w:w="6586" w:type="dxa"/>
            <w:tcBorders>
              <w:top w:val="single" w:color="auto" w:sz="4" w:space="0"/>
              <w:left w:val="single" w:color="auto" w:sz="4" w:space="0"/>
              <w:bottom w:val="single" w:color="auto" w:sz="4" w:space="0"/>
              <w:right w:val="single" w:color="auto" w:sz="4" w:space="0"/>
            </w:tcBorders>
            <w:vAlign w:val="center"/>
          </w:tcPr>
          <w:p>
            <w:pPr>
              <w:widowControl w:val="0"/>
              <w:kinsoku w:val="0"/>
              <w:overflowPunct w:val="0"/>
              <w:spacing w:before="0" w:line="360" w:lineRule="exact"/>
              <w:jc w:val="both"/>
              <w:rPr>
                <w:rFonts w:hint="eastAsia" w:ascii="仿宋_GB2312" w:hAnsi="仿宋_GB2312" w:eastAsia="仿宋_GB2312" w:cs="仿宋_GB2312"/>
                <w:color w:val="auto"/>
                <w:kern w:val="0"/>
                <w:sz w:val="24"/>
                <w:szCs w:val="24"/>
                <w:highlight w:val="none"/>
                <w:u w:val="none"/>
                <w:lang w:val="en-US" w:eastAsia="zh-CN"/>
              </w:rPr>
            </w:pPr>
            <w:r>
              <w:rPr>
                <w:rFonts w:hint="eastAsia" w:ascii="仿宋_GB2312" w:hAnsi="仿宋_GB2312" w:eastAsia="仿宋_GB2312" w:cs="仿宋_GB2312"/>
                <w:color w:val="auto"/>
                <w:kern w:val="0"/>
                <w:sz w:val="24"/>
                <w:szCs w:val="24"/>
                <w:highlight w:val="none"/>
                <w:u w:val="none"/>
                <w:lang w:val="en-US" w:eastAsia="zh-CN"/>
              </w:rPr>
              <w:t>1.支持HTTP/1.1、HTTP/2.0协议，支持IPV6、支持W3C标准、HTML5最新标准，在离线存储、多媒体、2D/3D绘图、性能、设备访问、样式设计等方面支持最新规范；支持WebGL（Web图形库），允许网页在Web浏览器中呈现交互式3D和2D图形，而无需使用插件；</w:t>
            </w:r>
          </w:p>
          <w:p>
            <w:pPr>
              <w:widowControl w:val="0"/>
              <w:kinsoku w:val="0"/>
              <w:overflowPunct w:val="0"/>
              <w:spacing w:before="0" w:line="360" w:lineRule="exact"/>
              <w:jc w:val="both"/>
              <w:rPr>
                <w:rFonts w:hint="eastAsia" w:ascii="仿宋_GB2312" w:hAnsi="仿宋_GB2312" w:eastAsia="仿宋_GB2312" w:cs="仿宋_GB2312"/>
                <w:color w:val="auto"/>
                <w:kern w:val="0"/>
                <w:sz w:val="24"/>
                <w:szCs w:val="24"/>
                <w:highlight w:val="none"/>
                <w:u w:val="none"/>
                <w:lang w:val="en-US" w:eastAsia="zh-CN"/>
              </w:rPr>
            </w:pPr>
            <w:r>
              <w:rPr>
                <w:rFonts w:hint="eastAsia" w:ascii="仿宋_GB2312" w:hAnsi="仿宋_GB2312" w:eastAsia="仿宋_GB2312" w:cs="仿宋_GB2312"/>
                <w:color w:val="auto"/>
                <w:kern w:val="0"/>
                <w:sz w:val="24"/>
                <w:szCs w:val="24"/>
                <w:highlight w:val="none"/>
                <w:u w:val="none"/>
                <w:lang w:val="en-US" w:eastAsia="zh-CN"/>
              </w:rPr>
              <w:t>2.支持页面解析、页面标签栏、页面地址栏、前进后退、页面刷新、网址收藏、证书集成、插件集成等浏览器功能；支持地址栏网址自动补全，输入网址时，根据用户的使用习惯自动完成网址的完整输入；支持地址栏下拉列表智能推荐，根据用户的当前输入，结合历史记录，常用网址库，收藏夹等数据实时计算出网址推荐列表；支持网页的多标签管理，支持标签切换，锁定，移动，拖拽等多种交互操作，支持标签分组；支持对网址进行添加到书签，并且提供对书签进行增删改等入口，支持对书签数据进行导入和导出；支持书签菜单的自动折行换页显示；</w:t>
            </w:r>
          </w:p>
          <w:p>
            <w:pPr>
              <w:pStyle w:val="247"/>
              <w:kinsoku w:val="0"/>
              <w:overflowPunct w:val="0"/>
              <w:spacing w:line="360" w:lineRule="exact"/>
              <w:rPr>
                <w:rFonts w:hint="default"/>
                <w:lang w:val="en-US" w:eastAsia="zh-CN"/>
              </w:rPr>
            </w:pPr>
            <w:r>
              <w:rPr>
                <w:rFonts w:hint="eastAsia" w:ascii="仿宋_GB2312" w:hAnsi="仿宋_GB2312" w:eastAsia="仿宋_GB2312" w:cs="仿宋_GB2312"/>
                <w:color w:val="auto"/>
                <w:sz w:val="24"/>
                <w:szCs w:val="24"/>
                <w:highlight w:val="none"/>
                <w:u w:val="none"/>
                <w:lang w:val="en-US" w:eastAsia="zh-CN"/>
              </w:rPr>
              <w:t>3.可信浏览器可以与广西自治区综合办公平台无缝顺利对接、集成适配</w:t>
            </w:r>
            <w:r>
              <w:rPr>
                <w:rFonts w:hint="eastAsia" w:ascii="仿宋_GB2312" w:hAnsi="仿宋_GB2312" w:eastAsia="仿宋_GB2312" w:cs="仿宋_GB2312"/>
                <w:b/>
                <w:bCs/>
                <w:color w:val="auto"/>
                <w:sz w:val="24"/>
                <w:szCs w:val="24"/>
                <w:highlight w:val="none"/>
                <w:u w:val="none"/>
                <w:lang w:val="en-US" w:eastAsia="zh-CN"/>
              </w:rPr>
              <w:t>（</w:t>
            </w:r>
            <w:r>
              <w:rPr>
                <w:rFonts w:hint="eastAsia" w:ascii="仿宋_GB2312" w:hAnsi="仿宋_GB2312" w:eastAsia="仿宋_GB2312" w:cs="仿宋_GB2312"/>
                <w:b/>
                <w:bCs/>
                <w:color w:val="auto"/>
                <w:sz w:val="24"/>
                <w:szCs w:val="24"/>
                <w:highlight w:val="none"/>
                <w:lang w:val="en-US" w:eastAsia="zh-CN"/>
              </w:rPr>
              <w:t>采购人将设置现场踏勘，以便投标人了解适配情况</w:t>
            </w:r>
            <w:r>
              <w:rPr>
                <w:rFonts w:hint="eastAsia" w:ascii="仿宋_GB2312" w:hAnsi="仿宋_GB2312" w:eastAsia="仿宋_GB2312" w:cs="仿宋_GB2312"/>
                <w:b/>
                <w:bCs/>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lang w:val="en-US" w:eastAsia="zh-CN"/>
              </w:rPr>
              <w:t>，保证业务系统可以安全稳定运行，便于用户统一管理和运维；</w:t>
            </w:r>
          </w:p>
          <w:p>
            <w:pPr>
              <w:widowControl w:val="0"/>
              <w:kinsoku w:val="0"/>
              <w:overflowPunct w:val="0"/>
              <w:spacing w:before="0" w:line="360" w:lineRule="exact"/>
              <w:jc w:val="both"/>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4.提供1年软件升级服务（国密算法模块升级），支持在线升级方式。产品质保期结束后支持并提供永久免费使用。</w:t>
            </w:r>
          </w:p>
          <w:p>
            <w:pPr>
              <w:widowControl w:val="0"/>
              <w:kinsoku w:val="0"/>
              <w:overflowPunct w:val="0"/>
              <w:spacing w:before="0" w:line="360" w:lineRule="exact"/>
              <w:jc w:val="both"/>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5.供货时提供软件厂商出具的正版软件许可文件。</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60" w:lineRule="exact"/>
              <w:ind w:left="420" w:leftChars="0" w:hanging="42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1692套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450" w:type="dxa"/>
            <w:tcBorders>
              <w:top w:val="single" w:color="auto" w:sz="4" w:space="0"/>
              <w:left w:val="single" w:color="auto" w:sz="4" w:space="0"/>
              <w:bottom w:val="single" w:color="auto" w:sz="4" w:space="0"/>
              <w:right w:val="single" w:color="auto" w:sz="4" w:space="0"/>
            </w:tcBorders>
            <w:vAlign w:val="center"/>
          </w:tcPr>
          <w:p>
            <w:pPr>
              <w:pStyle w:val="245"/>
              <w:snapToGrid w:val="0"/>
              <w:spacing w:line="360" w:lineRule="exact"/>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w:t>
            </w:r>
          </w:p>
        </w:tc>
        <w:tc>
          <w:tcPr>
            <w:tcW w:w="96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i w:val="0"/>
                <w:iCs w:val="0"/>
                <w:color w:val="auto"/>
                <w:kern w:val="2"/>
                <w:sz w:val="24"/>
                <w:szCs w:val="24"/>
                <w:highlight w:val="none"/>
                <w:u w:val="none"/>
                <w:lang w:val="en-US" w:eastAsia="zh-CN"/>
              </w:rPr>
            </w:pPr>
            <w:r>
              <w:rPr>
                <w:rFonts w:hint="eastAsia" w:ascii="仿宋_GB2312" w:hAnsi="仿宋_GB2312" w:eastAsia="仿宋_GB2312" w:cs="仿宋_GB2312"/>
                <w:i w:val="0"/>
                <w:iCs w:val="0"/>
                <w:color w:val="auto"/>
                <w:kern w:val="2"/>
                <w:sz w:val="24"/>
                <w:szCs w:val="24"/>
                <w:highlight w:val="none"/>
                <w:u w:val="none"/>
                <w:lang w:val="en-US" w:eastAsia="zh-CN"/>
              </w:rPr>
              <w:t>文档</w:t>
            </w:r>
          </w:p>
          <w:p>
            <w:pPr>
              <w:widowControl/>
              <w:spacing w:line="360" w:lineRule="exact"/>
              <w:jc w:val="center"/>
              <w:rPr>
                <w:rFonts w:hint="eastAsia" w:ascii="仿宋_GB2312" w:hAnsi="仿宋_GB2312" w:eastAsia="仿宋_GB2312" w:cs="仿宋_GB2312"/>
                <w:i w:val="0"/>
                <w:iCs w:val="0"/>
                <w:color w:val="auto"/>
                <w:kern w:val="2"/>
                <w:sz w:val="24"/>
                <w:szCs w:val="24"/>
                <w:highlight w:val="none"/>
                <w:u w:val="none"/>
                <w:lang w:val="en-US" w:eastAsia="zh-CN"/>
              </w:rPr>
            </w:pPr>
            <w:r>
              <w:rPr>
                <w:rFonts w:hint="eastAsia" w:ascii="仿宋_GB2312" w:hAnsi="仿宋_GB2312" w:eastAsia="仿宋_GB2312" w:cs="仿宋_GB2312"/>
                <w:i w:val="0"/>
                <w:iCs w:val="0"/>
                <w:color w:val="auto"/>
                <w:kern w:val="2"/>
                <w:sz w:val="24"/>
                <w:szCs w:val="24"/>
                <w:highlight w:val="none"/>
                <w:u w:val="none"/>
                <w:lang w:val="en-US" w:eastAsia="zh-CN"/>
              </w:rPr>
              <w:t>安全系统</w:t>
            </w:r>
          </w:p>
        </w:tc>
        <w:tc>
          <w:tcPr>
            <w:tcW w:w="6586" w:type="dxa"/>
            <w:tcBorders>
              <w:top w:val="single" w:color="auto" w:sz="4" w:space="0"/>
              <w:left w:val="single" w:color="auto" w:sz="4" w:space="0"/>
              <w:bottom w:val="single" w:color="auto" w:sz="4" w:space="0"/>
              <w:right w:val="single" w:color="auto" w:sz="4" w:space="0"/>
            </w:tcBorders>
            <w:vAlign w:val="center"/>
          </w:tcPr>
          <w:p>
            <w:pPr>
              <w:widowControl w:val="0"/>
              <w:kinsoku w:val="0"/>
              <w:overflowPunct w:val="0"/>
              <w:spacing w:before="0" w:line="360" w:lineRule="exact"/>
              <w:jc w:val="both"/>
              <w:rPr>
                <w:rFonts w:hint="eastAsia" w:ascii="仿宋_GB2312" w:hAnsi="仿宋_GB2312" w:eastAsia="仿宋_GB2312" w:cs="仿宋_GB2312"/>
                <w:color w:val="auto"/>
                <w:kern w:val="0"/>
                <w:sz w:val="24"/>
                <w:szCs w:val="24"/>
                <w:highlight w:val="none"/>
                <w:u w:val="none"/>
                <w:lang w:val="en-US" w:eastAsia="zh-CN"/>
              </w:rPr>
            </w:pPr>
            <w:r>
              <w:rPr>
                <w:rFonts w:hint="eastAsia" w:ascii="仿宋_GB2312" w:hAnsi="仿宋_GB2312" w:eastAsia="仿宋_GB2312" w:cs="仿宋_GB2312"/>
                <w:color w:val="auto"/>
                <w:kern w:val="0"/>
                <w:sz w:val="24"/>
                <w:szCs w:val="24"/>
                <w:highlight w:val="none"/>
                <w:u w:val="none"/>
                <w:lang w:val="en-US" w:eastAsia="zh-CN"/>
              </w:rPr>
              <w:t>1.等级标识生成与绑定</w:t>
            </w:r>
          </w:p>
          <w:p>
            <w:pPr>
              <w:widowControl w:val="0"/>
              <w:kinsoku w:val="0"/>
              <w:overflowPunct w:val="0"/>
              <w:spacing w:before="0" w:line="360" w:lineRule="exact"/>
              <w:jc w:val="both"/>
              <w:rPr>
                <w:rFonts w:hint="eastAsia" w:ascii="仿宋_GB2312" w:hAnsi="仿宋_GB2312" w:eastAsia="仿宋_GB2312" w:cs="仿宋_GB2312"/>
                <w:color w:val="auto"/>
                <w:kern w:val="0"/>
                <w:sz w:val="24"/>
                <w:szCs w:val="24"/>
                <w:highlight w:val="none"/>
                <w:u w:val="none"/>
                <w:lang w:val="en-US" w:eastAsia="zh-CN"/>
              </w:rPr>
            </w:pPr>
            <w:r>
              <w:rPr>
                <w:rFonts w:hint="eastAsia" w:ascii="仿宋_GB2312" w:hAnsi="仿宋_GB2312" w:eastAsia="仿宋_GB2312" w:cs="仿宋_GB2312"/>
                <w:color w:val="auto"/>
                <w:kern w:val="0"/>
                <w:sz w:val="24"/>
                <w:szCs w:val="24"/>
                <w:highlight w:val="none"/>
                <w:u w:val="none"/>
                <w:lang w:val="en-US" w:eastAsia="zh-CN"/>
              </w:rPr>
              <w:t>（1）电子文档安全客户端具备文件加密功能，生成符合单位要求的等级标识信息，并绑定到电子文件中，从而形成安全等级标识属性。</w:t>
            </w:r>
          </w:p>
          <w:p>
            <w:pPr>
              <w:widowControl w:val="0"/>
              <w:kinsoku w:val="0"/>
              <w:overflowPunct w:val="0"/>
              <w:spacing w:before="0" w:line="360" w:lineRule="exact"/>
              <w:jc w:val="both"/>
              <w:rPr>
                <w:rFonts w:hint="eastAsia" w:ascii="仿宋_GB2312" w:hAnsi="仿宋_GB2312" w:eastAsia="仿宋_GB2312" w:cs="仿宋_GB2312"/>
                <w:color w:val="auto"/>
                <w:kern w:val="0"/>
                <w:sz w:val="24"/>
                <w:szCs w:val="24"/>
                <w:highlight w:val="none"/>
                <w:u w:val="none"/>
                <w:lang w:val="en-US" w:eastAsia="zh-CN"/>
              </w:rPr>
            </w:pPr>
            <w:r>
              <w:rPr>
                <w:rFonts w:hint="eastAsia" w:ascii="仿宋_GB2312" w:hAnsi="仿宋_GB2312" w:eastAsia="仿宋_GB2312" w:cs="仿宋_GB2312"/>
                <w:color w:val="auto"/>
                <w:kern w:val="0"/>
                <w:sz w:val="24"/>
                <w:szCs w:val="24"/>
                <w:highlight w:val="none"/>
                <w:u w:val="none"/>
                <w:lang w:val="en-US" w:eastAsia="zh-CN"/>
              </w:rPr>
              <w:t>（2）电子文档安全客户端具备对等级标识信息与电子文件不可分离，不可非授权修改。</w:t>
            </w:r>
          </w:p>
          <w:p>
            <w:pPr>
              <w:widowControl w:val="0"/>
              <w:kinsoku w:val="0"/>
              <w:overflowPunct w:val="0"/>
              <w:spacing w:before="0" w:line="360" w:lineRule="exact"/>
              <w:jc w:val="both"/>
              <w:rPr>
                <w:rFonts w:hint="eastAsia" w:ascii="仿宋_GB2312" w:hAnsi="仿宋_GB2312" w:eastAsia="仿宋_GB2312" w:cs="仿宋_GB2312"/>
                <w:color w:val="auto"/>
                <w:kern w:val="0"/>
                <w:sz w:val="24"/>
                <w:szCs w:val="24"/>
                <w:highlight w:val="none"/>
                <w:u w:val="none"/>
                <w:lang w:val="en-US" w:eastAsia="zh-CN"/>
              </w:rPr>
            </w:pPr>
            <w:r>
              <w:rPr>
                <w:rFonts w:hint="eastAsia" w:ascii="仿宋_GB2312" w:hAnsi="仿宋_GB2312" w:eastAsia="仿宋_GB2312" w:cs="仿宋_GB2312"/>
                <w:color w:val="auto"/>
                <w:kern w:val="0"/>
                <w:sz w:val="24"/>
                <w:szCs w:val="24"/>
                <w:highlight w:val="none"/>
                <w:u w:val="none"/>
                <w:lang w:val="en-US" w:eastAsia="zh-CN"/>
              </w:rPr>
              <w:t>（3）电子文档安全客户端对文件加密后，不改变文件后缀名，不使用专用程序打开已加密的文档，不改变用户使用习惯。</w:t>
            </w:r>
          </w:p>
          <w:p>
            <w:pPr>
              <w:widowControl w:val="0"/>
              <w:kinsoku w:val="0"/>
              <w:overflowPunct w:val="0"/>
              <w:spacing w:before="0" w:line="360" w:lineRule="exact"/>
              <w:jc w:val="both"/>
              <w:rPr>
                <w:rFonts w:hint="eastAsia" w:ascii="仿宋_GB2312" w:hAnsi="仿宋_GB2312" w:eastAsia="仿宋_GB2312" w:cs="仿宋_GB2312"/>
                <w:color w:val="auto"/>
                <w:kern w:val="0"/>
                <w:sz w:val="24"/>
                <w:szCs w:val="24"/>
                <w:highlight w:val="none"/>
                <w:u w:val="none"/>
                <w:lang w:val="en-US" w:eastAsia="zh-CN"/>
              </w:rPr>
            </w:pPr>
            <w:r>
              <w:rPr>
                <w:rFonts w:hint="eastAsia" w:ascii="仿宋_GB2312" w:hAnsi="仿宋_GB2312" w:eastAsia="仿宋_GB2312" w:cs="仿宋_GB2312"/>
                <w:color w:val="auto"/>
                <w:kern w:val="0"/>
                <w:sz w:val="24"/>
                <w:szCs w:val="24"/>
                <w:highlight w:val="none"/>
                <w:u w:val="none"/>
                <w:lang w:val="en-US" w:eastAsia="zh-CN"/>
              </w:rPr>
              <w:t>2.等级标识属性</w:t>
            </w:r>
          </w:p>
          <w:p>
            <w:pPr>
              <w:widowControl w:val="0"/>
              <w:kinsoku w:val="0"/>
              <w:overflowPunct w:val="0"/>
              <w:spacing w:before="0" w:line="360" w:lineRule="exact"/>
              <w:jc w:val="both"/>
              <w:rPr>
                <w:rFonts w:hint="eastAsia" w:ascii="仿宋_GB2312" w:hAnsi="仿宋_GB2312" w:eastAsia="仿宋_GB2312" w:cs="仿宋_GB2312"/>
                <w:color w:val="auto"/>
                <w:kern w:val="0"/>
                <w:sz w:val="24"/>
                <w:szCs w:val="24"/>
                <w:highlight w:val="none"/>
                <w:u w:val="none"/>
                <w:lang w:val="en-US" w:eastAsia="zh-CN"/>
              </w:rPr>
            </w:pPr>
            <w:r>
              <w:rPr>
                <w:rFonts w:hint="eastAsia" w:ascii="仿宋_GB2312" w:hAnsi="仿宋_GB2312" w:eastAsia="仿宋_GB2312" w:cs="仿宋_GB2312"/>
                <w:color w:val="auto"/>
                <w:kern w:val="0"/>
                <w:sz w:val="24"/>
                <w:szCs w:val="24"/>
                <w:highlight w:val="none"/>
                <w:u w:val="none"/>
                <w:lang w:val="en-US" w:eastAsia="zh-CN"/>
              </w:rPr>
              <w:t>（1）电子文档安全客户端具备对等级标识属性通过接口获取其中属性信息内容。</w:t>
            </w:r>
          </w:p>
          <w:p>
            <w:pPr>
              <w:widowControl w:val="0"/>
              <w:kinsoku w:val="0"/>
              <w:overflowPunct w:val="0"/>
              <w:spacing w:before="0" w:line="360" w:lineRule="exact"/>
              <w:jc w:val="both"/>
              <w:rPr>
                <w:rFonts w:hint="eastAsia" w:ascii="仿宋_GB2312" w:hAnsi="仿宋_GB2312" w:eastAsia="仿宋_GB2312" w:cs="仿宋_GB2312"/>
                <w:color w:val="auto"/>
                <w:kern w:val="0"/>
                <w:sz w:val="24"/>
                <w:szCs w:val="24"/>
                <w:highlight w:val="none"/>
                <w:u w:val="none"/>
                <w:lang w:val="en-US" w:eastAsia="zh-CN"/>
              </w:rPr>
            </w:pPr>
            <w:r>
              <w:rPr>
                <w:rFonts w:hint="eastAsia" w:ascii="仿宋_GB2312" w:hAnsi="仿宋_GB2312" w:eastAsia="仿宋_GB2312" w:cs="仿宋_GB2312"/>
                <w:color w:val="auto"/>
                <w:kern w:val="0"/>
                <w:sz w:val="24"/>
                <w:szCs w:val="24"/>
                <w:highlight w:val="none"/>
                <w:u w:val="none"/>
                <w:lang w:val="en-US" w:eastAsia="zh-CN"/>
              </w:rPr>
              <w:t>（2）电子文档安全客户端支持单位对等级信息的自定义扩展后自动同步。</w:t>
            </w:r>
          </w:p>
          <w:p>
            <w:pPr>
              <w:pStyle w:val="247"/>
              <w:kinsoku w:val="0"/>
              <w:overflowPunct w:val="0"/>
              <w:spacing w:line="360" w:lineRule="exact"/>
              <w:rPr>
                <w:rFonts w:hint="eastAsia"/>
                <w:lang w:val="en-US" w:eastAsia="zh-CN"/>
              </w:rPr>
            </w:pPr>
            <w:r>
              <w:rPr>
                <w:rFonts w:hint="eastAsia" w:ascii="仿宋_GB2312" w:hAnsi="仿宋_GB2312" w:eastAsia="仿宋_GB2312" w:cs="仿宋_GB2312"/>
                <w:color w:val="auto"/>
                <w:sz w:val="24"/>
                <w:szCs w:val="24"/>
                <w:highlight w:val="none"/>
                <w:u w:val="none"/>
                <w:lang w:val="en-US" w:eastAsia="zh-CN"/>
              </w:rPr>
              <w:t>3.文档安全系统可以与广西自治区综合办公平台无缝顺利对接、集成适配</w:t>
            </w:r>
            <w:r>
              <w:rPr>
                <w:rFonts w:hint="eastAsia" w:ascii="仿宋_GB2312" w:hAnsi="仿宋_GB2312" w:eastAsia="仿宋_GB2312" w:cs="仿宋_GB2312"/>
                <w:b/>
                <w:bCs/>
                <w:color w:val="auto"/>
                <w:sz w:val="24"/>
                <w:szCs w:val="24"/>
                <w:highlight w:val="none"/>
                <w:u w:val="none"/>
                <w:lang w:val="en-US" w:eastAsia="zh-CN"/>
              </w:rPr>
              <w:t>（</w:t>
            </w:r>
            <w:r>
              <w:rPr>
                <w:rFonts w:hint="eastAsia" w:ascii="仿宋_GB2312" w:hAnsi="仿宋_GB2312" w:eastAsia="仿宋_GB2312" w:cs="仿宋_GB2312"/>
                <w:b/>
                <w:bCs/>
                <w:color w:val="auto"/>
                <w:sz w:val="24"/>
                <w:szCs w:val="24"/>
                <w:highlight w:val="none"/>
                <w:lang w:val="en-US" w:eastAsia="zh-CN"/>
              </w:rPr>
              <w:t>采购人将设置现场踏勘，以便投标人了解适配情况</w:t>
            </w:r>
            <w:r>
              <w:rPr>
                <w:rFonts w:hint="eastAsia" w:ascii="仿宋_GB2312" w:hAnsi="仿宋_GB2312" w:eastAsia="仿宋_GB2312" w:cs="仿宋_GB2312"/>
                <w:b/>
                <w:bCs/>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lang w:val="en-US" w:eastAsia="zh-CN"/>
              </w:rPr>
              <w:t>，保证业务系统可以安全稳定运行，便于用户统一管理和运维；</w:t>
            </w:r>
          </w:p>
          <w:p>
            <w:pPr>
              <w:widowControl w:val="0"/>
              <w:kinsoku w:val="0"/>
              <w:overflowPunct w:val="0"/>
              <w:spacing w:before="0" w:line="360" w:lineRule="exact"/>
              <w:jc w:val="both"/>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4.提供1年软件升级服务，支持在线升级方式。产品质保期结束后支持并提供永久免费使用。</w:t>
            </w:r>
          </w:p>
          <w:p>
            <w:pPr>
              <w:widowControl w:val="0"/>
              <w:kinsoku w:val="0"/>
              <w:overflowPunct w:val="0"/>
              <w:spacing w:before="0" w:line="360" w:lineRule="exact"/>
              <w:jc w:val="both"/>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5.供货时提供软件厂商出具的正版软件许可文件。</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60" w:lineRule="exact"/>
              <w:ind w:left="420" w:leftChars="0" w:hanging="42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1692套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450" w:type="dxa"/>
            <w:tcBorders>
              <w:top w:val="single" w:color="auto" w:sz="4" w:space="0"/>
              <w:left w:val="single" w:color="auto" w:sz="4" w:space="0"/>
              <w:bottom w:val="single" w:color="auto" w:sz="4" w:space="0"/>
              <w:right w:val="single" w:color="auto" w:sz="4" w:space="0"/>
            </w:tcBorders>
            <w:vAlign w:val="center"/>
          </w:tcPr>
          <w:p>
            <w:pPr>
              <w:pStyle w:val="245"/>
              <w:snapToGrid w:val="0"/>
              <w:spacing w:line="360" w:lineRule="exact"/>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w:t>
            </w:r>
          </w:p>
        </w:tc>
        <w:tc>
          <w:tcPr>
            <w:tcW w:w="96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i w:val="0"/>
                <w:iCs w:val="0"/>
                <w:color w:val="auto"/>
                <w:kern w:val="2"/>
                <w:sz w:val="24"/>
                <w:szCs w:val="24"/>
                <w:highlight w:val="none"/>
                <w:u w:val="none"/>
                <w:lang w:val="en-US" w:eastAsia="zh-CN"/>
              </w:rPr>
            </w:pPr>
            <w:r>
              <w:rPr>
                <w:rFonts w:hint="eastAsia" w:ascii="仿宋_GB2312" w:hAnsi="仿宋_GB2312" w:eastAsia="仿宋_GB2312" w:cs="仿宋_GB2312"/>
                <w:i w:val="0"/>
                <w:iCs w:val="0"/>
                <w:color w:val="auto"/>
                <w:kern w:val="2"/>
                <w:sz w:val="24"/>
                <w:szCs w:val="24"/>
                <w:highlight w:val="none"/>
                <w:u w:val="none"/>
                <w:lang w:val="en-US" w:eastAsia="zh-CN"/>
              </w:rPr>
              <w:t>隐写溯源系统客户端</w:t>
            </w:r>
          </w:p>
        </w:tc>
        <w:tc>
          <w:tcPr>
            <w:tcW w:w="6586" w:type="dxa"/>
            <w:tcBorders>
              <w:top w:val="single" w:color="auto" w:sz="4" w:space="0"/>
              <w:left w:val="single" w:color="auto" w:sz="4" w:space="0"/>
              <w:bottom w:val="single" w:color="auto" w:sz="4" w:space="0"/>
              <w:right w:val="single" w:color="auto" w:sz="4" w:space="0"/>
            </w:tcBorders>
            <w:vAlign w:val="center"/>
          </w:tcPr>
          <w:p>
            <w:pPr>
              <w:widowControl w:val="0"/>
              <w:kinsoku w:val="0"/>
              <w:overflowPunct w:val="0"/>
              <w:spacing w:before="0" w:line="360" w:lineRule="exact"/>
              <w:jc w:val="both"/>
              <w:rPr>
                <w:rFonts w:hint="eastAsia" w:ascii="仿宋_GB2312" w:hAnsi="仿宋_GB2312" w:eastAsia="仿宋_GB2312" w:cs="仿宋_GB2312"/>
                <w:color w:val="auto"/>
                <w:kern w:val="0"/>
                <w:sz w:val="24"/>
                <w:szCs w:val="24"/>
                <w:highlight w:val="none"/>
                <w:u w:val="none"/>
                <w:lang w:val="en-US" w:eastAsia="zh-CN"/>
              </w:rPr>
            </w:pPr>
            <w:r>
              <w:rPr>
                <w:rFonts w:hint="eastAsia" w:ascii="仿宋_GB2312" w:hAnsi="仿宋_GB2312" w:eastAsia="仿宋_GB2312" w:cs="仿宋_GB2312"/>
                <w:color w:val="auto"/>
                <w:kern w:val="0"/>
                <w:sz w:val="24"/>
                <w:szCs w:val="24"/>
                <w:highlight w:val="none"/>
                <w:u w:val="none"/>
                <w:lang w:val="en-US" w:eastAsia="zh-CN"/>
              </w:rPr>
              <w:t>1.安装在计算机终端的专用溯源服务程序，为桌面端应用系统文档显示、打印时提供信息隐藏服务和溯源追踪功能；</w:t>
            </w:r>
          </w:p>
          <w:p>
            <w:pPr>
              <w:widowControl w:val="0"/>
              <w:kinsoku w:val="0"/>
              <w:overflowPunct w:val="0"/>
              <w:spacing w:before="0" w:line="360" w:lineRule="exact"/>
              <w:jc w:val="both"/>
              <w:rPr>
                <w:rFonts w:hint="eastAsia" w:ascii="仿宋_GB2312" w:hAnsi="仿宋_GB2312" w:eastAsia="仿宋_GB2312" w:cs="仿宋_GB2312"/>
                <w:color w:val="auto"/>
                <w:kern w:val="0"/>
                <w:sz w:val="24"/>
                <w:szCs w:val="24"/>
                <w:highlight w:val="none"/>
                <w:u w:val="none"/>
                <w:lang w:val="en-US" w:eastAsia="zh-CN"/>
              </w:rPr>
            </w:pPr>
            <w:r>
              <w:rPr>
                <w:rFonts w:hint="eastAsia" w:ascii="仿宋_GB2312" w:hAnsi="仿宋_GB2312" w:eastAsia="仿宋_GB2312" w:cs="仿宋_GB2312"/>
                <w:color w:val="auto"/>
                <w:kern w:val="0"/>
                <w:sz w:val="24"/>
                <w:szCs w:val="24"/>
                <w:highlight w:val="none"/>
                <w:u w:val="none"/>
                <w:lang w:val="en-US" w:eastAsia="zh-CN"/>
              </w:rPr>
              <w:t>2.系统不改变文档的内容和版式，可以在文档显示或打印过程中动态植入隐藏信息；</w:t>
            </w:r>
          </w:p>
          <w:p>
            <w:pPr>
              <w:widowControl w:val="0"/>
              <w:kinsoku w:val="0"/>
              <w:overflowPunct w:val="0"/>
              <w:spacing w:before="0" w:line="360" w:lineRule="exact"/>
              <w:jc w:val="both"/>
              <w:rPr>
                <w:rFonts w:hint="eastAsia" w:ascii="仿宋_GB2312" w:hAnsi="仿宋_GB2312" w:eastAsia="仿宋_GB2312" w:cs="仿宋_GB2312"/>
                <w:color w:val="auto"/>
                <w:kern w:val="0"/>
                <w:sz w:val="24"/>
                <w:szCs w:val="24"/>
                <w:highlight w:val="none"/>
                <w:u w:val="none"/>
                <w:lang w:val="en-US" w:eastAsia="zh-CN"/>
              </w:rPr>
            </w:pPr>
            <w:r>
              <w:rPr>
                <w:rFonts w:hint="eastAsia" w:ascii="仿宋_GB2312" w:hAnsi="仿宋_GB2312" w:eastAsia="仿宋_GB2312" w:cs="仿宋_GB2312"/>
                <w:color w:val="auto"/>
                <w:kern w:val="0"/>
                <w:sz w:val="24"/>
                <w:szCs w:val="24"/>
                <w:highlight w:val="none"/>
                <w:u w:val="none"/>
                <w:lang w:val="en-US" w:eastAsia="zh-CN"/>
              </w:rPr>
              <w:t>3.隐藏信息经过屏幕截屏、屏幕拍照和打印输出、复印、打印/复印再拍照等操作后，依然可以正确提取识别，并进行源头定位；</w:t>
            </w:r>
          </w:p>
          <w:p>
            <w:pPr>
              <w:widowControl w:val="0"/>
              <w:kinsoku w:val="0"/>
              <w:overflowPunct w:val="0"/>
              <w:spacing w:before="0" w:line="360" w:lineRule="exact"/>
              <w:jc w:val="both"/>
              <w:rPr>
                <w:rFonts w:hint="eastAsia" w:ascii="仿宋_GB2312" w:hAnsi="仿宋_GB2312" w:eastAsia="仿宋_GB2312" w:cs="仿宋_GB2312"/>
                <w:color w:val="auto"/>
                <w:kern w:val="0"/>
                <w:sz w:val="24"/>
                <w:szCs w:val="24"/>
                <w:highlight w:val="none"/>
                <w:u w:val="none"/>
                <w:lang w:val="en-US" w:eastAsia="zh-CN"/>
              </w:rPr>
            </w:pPr>
            <w:r>
              <w:rPr>
                <w:rFonts w:hint="eastAsia" w:ascii="仿宋_GB2312" w:hAnsi="仿宋_GB2312" w:eastAsia="仿宋_GB2312" w:cs="仿宋_GB2312"/>
                <w:color w:val="auto"/>
                <w:kern w:val="0"/>
                <w:sz w:val="24"/>
                <w:szCs w:val="24"/>
                <w:highlight w:val="none"/>
                <w:u w:val="none"/>
                <w:lang w:val="en-US" w:eastAsia="zh-CN"/>
              </w:rPr>
              <w:t>4.嵌入隐藏信息的纸质文档打印原件或者复印件、手机/相机拍照等方式获取的数字化图像经过专用提取软件可以提取识别隐藏信息，从而进行文件源头的追溯确认；</w:t>
            </w:r>
          </w:p>
          <w:p>
            <w:pPr>
              <w:widowControl w:val="0"/>
              <w:kinsoku w:val="0"/>
              <w:overflowPunct w:val="0"/>
              <w:spacing w:before="0" w:line="360" w:lineRule="exact"/>
              <w:jc w:val="both"/>
              <w:rPr>
                <w:rFonts w:hint="eastAsia" w:ascii="仿宋_GB2312" w:hAnsi="仿宋_GB2312" w:eastAsia="仿宋_GB2312" w:cs="仿宋_GB2312"/>
                <w:color w:val="auto"/>
                <w:kern w:val="0"/>
                <w:sz w:val="24"/>
                <w:szCs w:val="24"/>
                <w:highlight w:val="none"/>
                <w:u w:val="none"/>
                <w:lang w:val="en-US" w:eastAsia="zh-CN"/>
              </w:rPr>
            </w:pPr>
            <w:r>
              <w:rPr>
                <w:rFonts w:hint="eastAsia" w:ascii="仿宋_GB2312" w:hAnsi="仿宋_GB2312" w:eastAsia="仿宋_GB2312" w:cs="仿宋_GB2312"/>
                <w:color w:val="auto"/>
                <w:kern w:val="0"/>
                <w:sz w:val="24"/>
                <w:szCs w:val="24"/>
                <w:highlight w:val="none"/>
                <w:u w:val="none"/>
                <w:lang w:val="en-US" w:eastAsia="zh-CN"/>
              </w:rPr>
              <w:t>5.安装于服务端的专用服务监控程序可以监控、管理各终端计算机的服务运行状态；</w:t>
            </w:r>
          </w:p>
          <w:p>
            <w:pPr>
              <w:widowControl w:val="0"/>
              <w:kinsoku w:val="0"/>
              <w:overflowPunct w:val="0"/>
              <w:spacing w:before="0" w:line="360" w:lineRule="exact"/>
              <w:jc w:val="both"/>
              <w:rPr>
                <w:rFonts w:hint="eastAsia" w:ascii="仿宋_GB2312" w:hAnsi="仿宋_GB2312" w:eastAsia="仿宋_GB2312" w:cs="仿宋_GB2312"/>
                <w:color w:val="auto"/>
                <w:kern w:val="0"/>
                <w:sz w:val="24"/>
                <w:szCs w:val="24"/>
                <w:highlight w:val="none"/>
                <w:u w:val="none"/>
                <w:lang w:val="en-US" w:eastAsia="zh-CN"/>
              </w:rPr>
            </w:pPr>
            <w:r>
              <w:rPr>
                <w:rFonts w:hint="eastAsia" w:ascii="仿宋_GB2312" w:hAnsi="仿宋_GB2312" w:eastAsia="仿宋_GB2312" w:cs="仿宋_GB2312"/>
                <w:color w:val="auto"/>
                <w:kern w:val="0"/>
                <w:sz w:val="24"/>
                <w:szCs w:val="24"/>
                <w:highlight w:val="none"/>
                <w:u w:val="none"/>
                <w:lang w:val="en-US" w:eastAsia="zh-CN"/>
              </w:rPr>
              <w:t>6.安装于服务端的审计溯源系统可以追溯文档的源头终端和操作系统用户。</w:t>
            </w:r>
          </w:p>
          <w:p>
            <w:pPr>
              <w:pStyle w:val="247"/>
              <w:kinsoku w:val="0"/>
              <w:overflowPunct w:val="0"/>
              <w:spacing w:line="360" w:lineRule="exact"/>
              <w:rPr>
                <w:rFonts w:hint="default"/>
                <w:lang w:val="en-US" w:eastAsia="zh-CN"/>
              </w:rPr>
            </w:pPr>
            <w:r>
              <w:rPr>
                <w:rFonts w:hint="eastAsia" w:ascii="仿宋_GB2312" w:hAnsi="仿宋_GB2312" w:eastAsia="仿宋_GB2312" w:cs="仿宋_GB2312"/>
                <w:color w:val="auto"/>
                <w:sz w:val="24"/>
                <w:szCs w:val="24"/>
                <w:highlight w:val="none"/>
                <w:u w:val="none"/>
                <w:lang w:val="en-US" w:eastAsia="zh-CN"/>
              </w:rPr>
              <w:t>7.</w:t>
            </w:r>
            <w:r>
              <w:rPr>
                <w:rFonts w:hint="eastAsia" w:ascii="仿宋_GB2312" w:hAnsi="仿宋_GB2312" w:eastAsia="仿宋_GB2312" w:cs="仿宋_GB2312"/>
                <w:i w:val="0"/>
                <w:iCs w:val="0"/>
                <w:color w:val="auto"/>
                <w:kern w:val="2"/>
                <w:sz w:val="24"/>
                <w:szCs w:val="24"/>
                <w:highlight w:val="none"/>
                <w:u w:val="none"/>
                <w:lang w:val="en-US" w:eastAsia="zh-CN"/>
              </w:rPr>
              <w:t>隐写溯源系统客户端</w:t>
            </w:r>
            <w:r>
              <w:rPr>
                <w:rFonts w:hint="eastAsia" w:ascii="仿宋_GB2312" w:hAnsi="仿宋_GB2312" w:eastAsia="仿宋_GB2312" w:cs="仿宋_GB2312"/>
                <w:color w:val="auto"/>
                <w:sz w:val="24"/>
                <w:szCs w:val="24"/>
                <w:highlight w:val="none"/>
                <w:u w:val="none"/>
                <w:lang w:val="en-US" w:eastAsia="zh-CN"/>
              </w:rPr>
              <w:t>可以与广西自治区综合办公平台无缝顺利对接、集成适配</w:t>
            </w:r>
            <w:r>
              <w:rPr>
                <w:rFonts w:hint="eastAsia" w:ascii="仿宋_GB2312" w:hAnsi="仿宋_GB2312" w:eastAsia="仿宋_GB2312" w:cs="仿宋_GB2312"/>
                <w:b/>
                <w:bCs/>
                <w:color w:val="auto"/>
                <w:sz w:val="24"/>
                <w:szCs w:val="24"/>
                <w:highlight w:val="none"/>
                <w:u w:val="none"/>
                <w:lang w:val="en-US" w:eastAsia="zh-CN"/>
              </w:rPr>
              <w:t>（</w:t>
            </w:r>
            <w:r>
              <w:rPr>
                <w:rFonts w:hint="eastAsia" w:ascii="仿宋_GB2312" w:hAnsi="仿宋_GB2312" w:eastAsia="仿宋_GB2312" w:cs="仿宋_GB2312"/>
                <w:b/>
                <w:bCs/>
                <w:color w:val="auto"/>
                <w:sz w:val="24"/>
                <w:szCs w:val="24"/>
                <w:highlight w:val="none"/>
                <w:lang w:val="en-US" w:eastAsia="zh-CN"/>
              </w:rPr>
              <w:t>采购人将设置现场踏勘，以便投标人了解适配情况</w:t>
            </w:r>
            <w:r>
              <w:rPr>
                <w:rFonts w:hint="eastAsia" w:ascii="仿宋_GB2312" w:hAnsi="仿宋_GB2312" w:eastAsia="仿宋_GB2312" w:cs="仿宋_GB2312"/>
                <w:b/>
                <w:bCs/>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lang w:val="en-US" w:eastAsia="zh-CN"/>
              </w:rPr>
              <w:t>，保证业务系统可以安全稳定运行，便于用户统一管理和运维；</w:t>
            </w:r>
          </w:p>
          <w:p>
            <w:pPr>
              <w:widowControl w:val="0"/>
              <w:kinsoku w:val="0"/>
              <w:overflowPunct w:val="0"/>
              <w:spacing w:before="0" w:line="360" w:lineRule="exact"/>
              <w:jc w:val="both"/>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8.提供1年软件升级服务，支持在线升级方式。产品质保期结束后支持并提供永久免费使用。</w:t>
            </w:r>
          </w:p>
          <w:p>
            <w:pPr>
              <w:widowControl w:val="0"/>
              <w:kinsoku w:val="0"/>
              <w:overflowPunct w:val="0"/>
              <w:spacing w:before="0" w:line="360" w:lineRule="exact"/>
              <w:jc w:val="both"/>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9.供货时提供软件厂商出具的正版软件许可文件。</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60" w:lineRule="exact"/>
              <w:ind w:left="420" w:leftChars="0" w:hanging="42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1692套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450" w:type="dxa"/>
            <w:tcBorders>
              <w:top w:val="single" w:color="auto" w:sz="4" w:space="0"/>
              <w:left w:val="single" w:color="auto" w:sz="4" w:space="0"/>
              <w:bottom w:val="single" w:color="auto" w:sz="4" w:space="0"/>
              <w:right w:val="single" w:color="auto" w:sz="4" w:space="0"/>
            </w:tcBorders>
            <w:vAlign w:val="center"/>
          </w:tcPr>
          <w:p>
            <w:pPr>
              <w:pStyle w:val="245"/>
              <w:snapToGrid w:val="0"/>
              <w:spacing w:line="360" w:lineRule="exact"/>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8</w:t>
            </w:r>
          </w:p>
        </w:tc>
        <w:tc>
          <w:tcPr>
            <w:tcW w:w="96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i w:val="0"/>
                <w:iCs w:val="0"/>
                <w:color w:val="auto"/>
                <w:kern w:val="2"/>
                <w:sz w:val="24"/>
                <w:szCs w:val="24"/>
                <w:highlight w:val="none"/>
                <w:u w:val="none"/>
                <w:lang w:val="en-US" w:eastAsia="zh-CN"/>
              </w:rPr>
            </w:pPr>
            <w:r>
              <w:rPr>
                <w:rFonts w:hint="eastAsia" w:ascii="仿宋_GB2312" w:hAnsi="仿宋_GB2312" w:eastAsia="仿宋_GB2312" w:cs="仿宋_GB2312"/>
                <w:i w:val="0"/>
                <w:iCs w:val="0"/>
                <w:color w:val="auto"/>
                <w:kern w:val="2"/>
                <w:sz w:val="24"/>
                <w:szCs w:val="24"/>
                <w:highlight w:val="none"/>
                <w:u w:val="none"/>
                <w:lang w:val="en-US" w:eastAsia="zh-CN"/>
              </w:rPr>
              <w:t>终端病毒库升级</w:t>
            </w:r>
          </w:p>
        </w:tc>
        <w:tc>
          <w:tcPr>
            <w:tcW w:w="6586" w:type="dxa"/>
            <w:tcBorders>
              <w:top w:val="single" w:color="auto" w:sz="4" w:space="0"/>
              <w:left w:val="single" w:color="auto" w:sz="4" w:space="0"/>
              <w:bottom w:val="single" w:color="auto" w:sz="4" w:space="0"/>
              <w:right w:val="single" w:color="auto" w:sz="4" w:space="0"/>
            </w:tcBorders>
            <w:vAlign w:val="center"/>
          </w:tcPr>
          <w:p>
            <w:pPr>
              <w:widowControl w:val="0"/>
              <w:kinsoku w:val="0"/>
              <w:overflowPunct w:val="0"/>
              <w:spacing w:before="0" w:line="360" w:lineRule="exact"/>
              <w:jc w:val="both"/>
              <w:rPr>
                <w:rFonts w:hint="default"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1.病毒库升级服务：为2023年750 台和2024年1100台计算机提供病毒库升级服务，确保病毒库能够及时更新，具备查杀最新病毒、恶意软件的能力。升级服务需覆盖常见的国产操作系统，如麒麟操作系统、统信 UOS 操作系统等。更新时间截止至2026年10月份。</w:t>
            </w:r>
          </w:p>
          <w:p>
            <w:pPr>
              <w:widowControl w:val="0"/>
              <w:kinsoku w:val="0"/>
              <w:overflowPunct w:val="0"/>
              <w:spacing w:before="0" w:line="360" w:lineRule="exact"/>
              <w:jc w:val="both"/>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2.升级控制中心管理系统：需提供配套的升级控制中心管理系统，该系统应具备以下功能：（1）集中管理：支持对2023年750台、2024年1100台、2025年1692台计算机进行集中式病毒库升级任务下发与管理，可按计算机类型等维度进行统一管理。（2）状态监控：实时监控每台计算机的病毒库版本、升级状态（已升级、正在升级、升级失败等），并能以直观的图表形式展示整体升级进度。日志记录：详细记录每次升级操作的日志，包括升级时间、升级结果、涉及计算机等信息，便于后续查询与审计。</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60" w:lineRule="exact"/>
              <w:ind w:left="420" w:leftChars="0" w:hanging="420" w:firstLineChars="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1项</w:t>
            </w:r>
          </w:p>
        </w:tc>
      </w:tr>
      <w:bookmarkEnd w:id="16"/>
    </w:tbl>
    <w:p/>
    <w:p/>
    <w:tbl>
      <w:tblPr>
        <w:tblStyle w:val="48"/>
        <w:tblW w:w="921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right="-330" w:rightChars="-157"/>
              <w:rPr>
                <w:rFonts w:hint="eastAsia" w:ascii="仿宋_GB2312" w:hAnsi="宋体" w:eastAsia="仿宋_GB2312" w:cs="宋体"/>
                <w:b/>
                <w:color w:val="000000"/>
                <w:kern w:val="0"/>
                <w:sz w:val="24"/>
              </w:rPr>
            </w:pPr>
            <w:r>
              <w:rPr>
                <w:rFonts w:ascii="仿宋_GB2312" w:hAnsi="宋体" w:eastAsia="仿宋_GB2312" w:cs="宋体"/>
                <w:b/>
                <w:kern w:val="0"/>
                <w:sz w:val="24"/>
              </w:rPr>
              <w:t>★</w:t>
            </w:r>
            <w:r>
              <w:rPr>
                <w:rFonts w:hint="eastAsia" w:ascii="仿宋_GB2312" w:hAnsi="宋体" w:eastAsia="仿宋_GB2312" w:cs="宋体"/>
                <w:b/>
                <w:color w:val="000000"/>
                <w:kern w:val="0"/>
                <w:sz w:val="24"/>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基本要求</w:t>
            </w:r>
          </w:p>
        </w:tc>
        <w:tc>
          <w:tcPr>
            <w:tcW w:w="7654" w:type="dxa"/>
            <w:tcBorders>
              <w:top w:val="single" w:color="auto" w:sz="4" w:space="0"/>
              <w:left w:val="single" w:color="auto" w:sz="4" w:space="0"/>
              <w:bottom w:val="single" w:color="auto" w:sz="4" w:space="0"/>
              <w:right w:val="single" w:color="auto" w:sz="4" w:space="0"/>
            </w:tcBorders>
            <w:vAlign w:val="center"/>
          </w:tcPr>
          <w:p>
            <w:pPr>
              <w:numPr>
                <w:ilvl w:val="0"/>
                <w:numId w:val="3"/>
              </w:num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本项目投标报价包括货物及货物运抵指定交付地点的各种费用、随配附件、备品备件、易损件、专用工具、安装调试、技术培训、技术资料、包装、售后服务、保险费、税金、验收检验及其他所有成本费用的总和；2.投标人应保证投标产品涉及到的知识产权和所提供的相关技术资料是合法取得，不会因为采购人的使用而被责令停止使用、追偿或要求赔偿损失，如出现此情况，一切经济和法律责任均由投标人承担；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3.投标人所投产品应符合国家有关部门规定的相应技术、节能、安全和环保标准；国家有关部门对所投产品有强制性规定或要求的，必须符合相应规定或要求。</w:t>
            </w:r>
          </w:p>
          <w:p>
            <w:pPr>
              <w:numPr>
                <w:ilvl w:val="0"/>
                <w:numId w:val="0"/>
              </w:num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lang w:val="en-US" w:eastAsia="zh-CN"/>
              </w:rPr>
              <w:t>4.</w:t>
            </w:r>
            <w:r>
              <w:rPr>
                <w:rFonts w:hint="eastAsia" w:ascii="仿宋_GB2312" w:hAnsi="仿宋_GB2312" w:eastAsia="仿宋_GB2312" w:cs="仿宋_GB2312"/>
                <w:bCs/>
                <w:color w:val="000000"/>
                <w:sz w:val="24"/>
                <w:lang w:eastAsia="zh-CN"/>
              </w:rPr>
              <w:t>服务保障主责</w:t>
            </w:r>
            <w:r>
              <w:rPr>
                <w:rFonts w:hint="eastAsia" w:ascii="仿宋_GB2312" w:hAnsi="仿宋_GB2312" w:eastAsia="仿宋_GB2312" w:cs="仿宋_GB2312"/>
                <w:bCs/>
                <w:color w:val="000000"/>
                <w:sz w:val="24"/>
                <w:lang w:val="en-US" w:eastAsia="zh-CN"/>
              </w:rPr>
              <w:t>单位（集成服务商）如需在厂线组装母盘，中标人应积极配合。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质量保证期</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质保期从交货完毕，产品验收合格之日起计算，提供免费质保不少于2年</w:t>
            </w:r>
            <w:r>
              <w:rPr>
                <w:rFonts w:hint="eastAsia" w:ascii="仿宋_GB2312" w:hAnsi="仿宋_GB2312" w:eastAsia="仿宋_GB2312" w:cs="仿宋_GB2312"/>
                <w:bCs/>
                <w:color w:val="000000"/>
                <w:sz w:val="24"/>
                <w:lang w:eastAsia="zh-CN"/>
              </w:rPr>
              <w:t>（采购需求</w:t>
            </w:r>
            <w:r>
              <w:rPr>
                <w:rFonts w:hint="eastAsia" w:ascii="仿宋_GB2312" w:hAnsi="仿宋_GB2312" w:eastAsia="仿宋_GB2312" w:cs="仿宋_GB2312"/>
                <w:b w:val="0"/>
                <w:bCs/>
                <w:color w:val="auto"/>
                <w:kern w:val="0"/>
                <w:sz w:val="24"/>
                <w:szCs w:val="24"/>
                <w:highlight w:val="none"/>
              </w:rPr>
              <w:t>一、项目技术规格参数及要求</w:t>
            </w:r>
            <w:r>
              <w:rPr>
                <w:rFonts w:hint="eastAsia" w:ascii="仿宋_GB2312" w:hAnsi="仿宋_GB2312" w:eastAsia="仿宋_GB2312" w:cs="仿宋_GB2312"/>
                <w:b w:val="0"/>
                <w:bCs/>
                <w:color w:val="auto"/>
                <w:kern w:val="0"/>
                <w:sz w:val="24"/>
                <w:szCs w:val="24"/>
                <w:highlight w:val="none"/>
                <w:lang w:val="en-US" w:eastAsia="zh-CN"/>
              </w:rPr>
              <w:t>中</w:t>
            </w:r>
            <w:r>
              <w:rPr>
                <w:rFonts w:hint="eastAsia" w:ascii="仿宋_GB2312" w:hAnsi="仿宋_GB2312" w:eastAsia="仿宋_GB2312" w:cs="仿宋_GB2312"/>
                <w:bCs/>
                <w:color w:val="000000"/>
                <w:sz w:val="24"/>
                <w:lang w:val="en-US" w:eastAsia="zh-CN"/>
              </w:rPr>
              <w:t>另有要求的按采购需求</w:t>
            </w:r>
            <w:r>
              <w:rPr>
                <w:rFonts w:hint="eastAsia" w:ascii="仿宋_GB2312" w:hAnsi="仿宋_GB2312" w:eastAsia="仿宋_GB2312" w:cs="仿宋_GB2312"/>
                <w:bCs/>
                <w:color w:val="000000"/>
                <w:sz w:val="24"/>
                <w:lang w:eastAsia="zh-CN"/>
              </w:rPr>
              <w:t>要求执行）</w:t>
            </w:r>
            <w:r>
              <w:rPr>
                <w:rFonts w:hint="eastAsia" w:ascii="仿宋_GB2312" w:hAnsi="仿宋_GB2312" w:eastAsia="仿宋_GB2312" w:cs="仿宋_GB2312"/>
                <w:bCs/>
                <w:color w:val="000000"/>
                <w:sz w:val="24"/>
              </w:rPr>
              <w:t>。</w:t>
            </w:r>
            <w:r>
              <w:rPr>
                <w:rFonts w:hint="eastAsia" w:ascii="仿宋_GB2312" w:hAnsi="仿宋_GB2312" w:eastAsia="仿宋_GB2312" w:cs="仿宋_GB2312"/>
                <w:color w:val="auto"/>
                <w:sz w:val="24"/>
                <w:szCs w:val="24"/>
                <w:highlight w:val="none"/>
                <w:u w:val="none"/>
                <w:lang w:val="en-US" w:eastAsia="zh-CN"/>
              </w:rPr>
              <w:t>质保期间免费提供运维及上门服务。</w:t>
            </w:r>
            <w:r>
              <w:rPr>
                <w:rFonts w:hint="eastAsia" w:ascii="仿宋_GB2312" w:hAnsi="仿宋_GB2312" w:eastAsia="仿宋_GB2312" w:cs="仿宋_GB2312"/>
                <w:bCs/>
                <w:color w:val="000000"/>
                <w:sz w:val="24"/>
              </w:rPr>
              <w:t>在质保期内因质量问题由中标人无条件更换，费用由中标人负责。超过质保期的另行协商，其余按投标人提交的售后服务承诺书执行。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售后服务要求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lang w:val="en-US" w:eastAsia="zh-CN"/>
              </w:rPr>
              <w:t>1.</w:t>
            </w:r>
            <w:r>
              <w:rPr>
                <w:rFonts w:hint="eastAsia" w:ascii="仿宋_GB2312" w:hAnsi="仿宋_GB2312" w:eastAsia="仿宋_GB2312" w:cs="仿宋_GB2312"/>
                <w:bCs/>
                <w:color w:val="000000"/>
                <w:sz w:val="24"/>
              </w:rPr>
              <w:t>投标产品必须是按厂家标准配置的整套全新产品，按国家规定实行“三包”，免费送货上门、免费人员培训，培训后采购人可熟悉</w:t>
            </w:r>
            <w:r>
              <w:rPr>
                <w:rFonts w:hint="eastAsia" w:ascii="仿宋_GB2312" w:hAnsi="仿宋_GB2312" w:eastAsia="仿宋_GB2312" w:cs="仿宋_GB2312"/>
                <w:bCs/>
                <w:color w:val="000000"/>
                <w:sz w:val="24"/>
                <w:lang w:val="en-US" w:eastAsia="zh-CN"/>
              </w:rPr>
              <w:t>软硬件</w:t>
            </w:r>
            <w:r>
              <w:rPr>
                <w:rFonts w:hint="eastAsia" w:ascii="仿宋_GB2312" w:hAnsi="仿宋_GB2312" w:eastAsia="仿宋_GB2312" w:cs="仿宋_GB2312"/>
                <w:bCs/>
                <w:color w:val="000000"/>
                <w:sz w:val="24"/>
              </w:rPr>
              <w:t>操作；</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2.故障处理：提供7*24小时维修服务，并提供售后服务电话，出现故障应在接到故障通知起</w:t>
            </w:r>
            <w:r>
              <w:rPr>
                <w:rFonts w:hint="eastAsia" w:ascii="仿宋_GB2312" w:hAnsi="仿宋_GB2312" w:eastAsia="仿宋_GB2312" w:cs="仿宋_GB2312"/>
                <w:bCs/>
                <w:color w:val="000000"/>
                <w:sz w:val="24"/>
                <w:lang w:val="en-US" w:eastAsia="zh-CN"/>
              </w:rPr>
              <w:t>30分钟</w:t>
            </w:r>
            <w:r>
              <w:rPr>
                <w:rFonts w:hint="eastAsia" w:ascii="仿宋_GB2312" w:hAnsi="仿宋_GB2312" w:eastAsia="仿宋_GB2312" w:cs="仿宋_GB2312"/>
                <w:bCs/>
                <w:color w:val="000000"/>
                <w:sz w:val="24"/>
              </w:rPr>
              <w:t>内响应，一般问题</w:t>
            </w:r>
            <w:r>
              <w:rPr>
                <w:rFonts w:hint="eastAsia" w:ascii="仿宋_GB2312" w:hAnsi="仿宋_GB2312" w:eastAsia="仿宋_GB2312" w:cs="仿宋_GB2312"/>
                <w:bCs/>
                <w:color w:val="000000"/>
                <w:sz w:val="24"/>
                <w:lang w:val="en-US" w:eastAsia="zh-CN"/>
              </w:rPr>
              <w:t>1</w:t>
            </w:r>
            <w:r>
              <w:rPr>
                <w:rFonts w:hint="eastAsia" w:ascii="仿宋_GB2312" w:hAnsi="仿宋_GB2312" w:eastAsia="仿宋_GB2312" w:cs="仿宋_GB2312"/>
                <w:bCs/>
                <w:color w:val="000000"/>
                <w:sz w:val="24"/>
              </w:rPr>
              <w:t>小时内通过远程方式解决；遇到大的问题，在接到报修通知后</w:t>
            </w:r>
            <w:r>
              <w:rPr>
                <w:rFonts w:hint="eastAsia" w:ascii="仿宋_GB2312" w:hAnsi="仿宋_GB2312" w:eastAsia="仿宋_GB2312" w:cs="仿宋_GB2312"/>
                <w:bCs/>
                <w:color w:val="000000"/>
                <w:sz w:val="24"/>
                <w:lang w:val="en-US" w:eastAsia="zh-CN"/>
              </w:rPr>
              <w:t>2</w:t>
            </w:r>
            <w:r>
              <w:rPr>
                <w:rFonts w:hint="eastAsia" w:ascii="仿宋_GB2312" w:hAnsi="仿宋_GB2312" w:eastAsia="仿宋_GB2312" w:cs="仿宋_GB2312"/>
                <w:bCs/>
                <w:color w:val="000000"/>
                <w:sz w:val="24"/>
              </w:rPr>
              <w:t>小时内派技术人员到达现场维修，故障修复时限不超过</w:t>
            </w:r>
            <w:r>
              <w:rPr>
                <w:rFonts w:hint="eastAsia" w:ascii="仿宋_GB2312" w:hAnsi="仿宋_GB2312" w:eastAsia="仿宋_GB2312" w:cs="仿宋_GB2312"/>
                <w:bCs/>
                <w:color w:val="000000"/>
                <w:sz w:val="24"/>
                <w:lang w:val="en-US" w:eastAsia="zh-CN"/>
              </w:rPr>
              <w:t>24</w:t>
            </w:r>
            <w:r>
              <w:rPr>
                <w:rFonts w:hint="eastAsia" w:ascii="仿宋_GB2312" w:hAnsi="仿宋_GB2312" w:eastAsia="仿宋_GB2312" w:cs="仿宋_GB2312"/>
                <w:bCs/>
                <w:color w:val="000000"/>
                <w:sz w:val="24"/>
              </w:rPr>
              <w:t>小时,如超过时限无法排除故障，免费提供同等质量的产品作为备用品供采购人使用，直到修复完成</w:t>
            </w:r>
            <w:r>
              <w:rPr>
                <w:rFonts w:hint="eastAsia" w:ascii="仿宋_GB2312" w:hAnsi="仿宋_GB2312" w:eastAsia="仿宋_GB2312" w:cs="仿宋_GB2312"/>
                <w:bCs/>
                <w:color w:val="000000"/>
                <w:sz w:val="24"/>
                <w:lang w:eastAsia="zh-CN"/>
              </w:rPr>
              <w:t>；采购需求</w:t>
            </w:r>
            <w:r>
              <w:rPr>
                <w:rFonts w:hint="eastAsia" w:ascii="仿宋_GB2312" w:hAnsi="仿宋_GB2312" w:eastAsia="仿宋_GB2312" w:cs="仿宋_GB2312"/>
                <w:bCs/>
                <w:color w:val="000000"/>
                <w:sz w:val="24"/>
              </w:rPr>
              <w:t>一、项目技术规格参数及要求</w:t>
            </w:r>
            <w:r>
              <w:rPr>
                <w:rFonts w:hint="eastAsia" w:ascii="仿宋_GB2312" w:hAnsi="仿宋_GB2312" w:eastAsia="仿宋_GB2312" w:cs="仿宋_GB2312"/>
                <w:bCs/>
                <w:color w:val="000000"/>
                <w:sz w:val="24"/>
                <w:lang w:val="en-US" w:eastAsia="zh-CN"/>
              </w:rPr>
              <w:t>中另有要求的按采购需求</w:t>
            </w:r>
            <w:r>
              <w:rPr>
                <w:rFonts w:hint="eastAsia" w:ascii="仿宋_GB2312" w:hAnsi="仿宋_GB2312" w:eastAsia="仿宋_GB2312" w:cs="仿宋_GB2312"/>
                <w:bCs/>
                <w:color w:val="000000"/>
                <w:sz w:val="24"/>
                <w:lang w:eastAsia="zh-CN"/>
              </w:rPr>
              <w:t>要求执行</w:t>
            </w:r>
            <w:r>
              <w:rPr>
                <w:rFonts w:hint="eastAsia" w:ascii="仿宋_GB2312" w:hAnsi="仿宋_GB2312" w:eastAsia="仿宋_GB2312" w:cs="仿宋_GB2312"/>
                <w:bCs/>
                <w:color w:val="000000"/>
                <w:sz w:val="24"/>
                <w:lang w:val="en-US" w:eastAsia="zh-CN"/>
              </w:rPr>
              <w:t>。</w:t>
            </w:r>
            <w:r>
              <w:rPr>
                <w:rFonts w:hint="eastAsia" w:ascii="仿宋_GB2312" w:hAnsi="仿宋_GB2312" w:eastAsia="仿宋_GB2312" w:cs="仿宋_GB2312"/>
                <w:bCs/>
                <w:color w:val="000000"/>
                <w:sz w:val="24"/>
              </w:rPr>
              <w:t>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3.质量保证期内免费提供</w:t>
            </w:r>
            <w:r>
              <w:rPr>
                <w:rFonts w:hint="eastAsia" w:ascii="仿宋_GB2312" w:hAnsi="仿宋_GB2312" w:eastAsia="仿宋_GB2312" w:cs="仿宋_GB2312"/>
                <w:bCs/>
                <w:color w:val="000000"/>
                <w:sz w:val="24"/>
                <w:lang w:val="en-US" w:eastAsia="zh-CN"/>
              </w:rPr>
              <w:t>软硬件</w:t>
            </w:r>
            <w:r>
              <w:rPr>
                <w:rFonts w:hint="eastAsia" w:ascii="仿宋_GB2312" w:hAnsi="仿宋_GB2312" w:eastAsia="仿宋_GB2312" w:cs="仿宋_GB2312"/>
                <w:bCs/>
                <w:color w:val="000000"/>
                <w:sz w:val="24"/>
              </w:rPr>
              <w:t>维修服务（含人工费、配件费、差旅费等各项费用），所更换的所有零配件全部使用原厂配件；保修期以外一律按投标文件承诺的优惠价收费，提供终身上门维修服务。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exact"/>
              <w:ind w:right="-27" w:rightChars="-13"/>
              <w:jc w:val="center"/>
              <w:rPr>
                <w:rStyle w:val="827"/>
                <w:rFonts w:hint="eastAsia" w:ascii="仿宋_GB2312" w:hAnsi="仿宋_GB2312" w:eastAsia="仿宋_GB2312" w:cs="仿宋_GB2312"/>
                <w:b w:val="0"/>
                <w:bCs w:val="0"/>
                <w:color w:val="auto"/>
                <w:kern w:val="2"/>
                <w:sz w:val="24"/>
                <w:szCs w:val="24"/>
                <w:highlight w:val="none"/>
                <w:u w:val="none"/>
                <w:lang w:val="en-US" w:eastAsia="zh-CN" w:bidi="ar-SA"/>
              </w:rPr>
            </w:pPr>
            <w:r>
              <w:rPr>
                <w:rStyle w:val="827"/>
                <w:rFonts w:hint="eastAsia" w:ascii="仿宋_GB2312" w:hAnsi="仿宋_GB2312" w:eastAsia="仿宋_GB2312" w:cs="仿宋_GB2312"/>
                <w:b w:val="0"/>
                <w:bCs w:val="0"/>
                <w:color w:val="auto"/>
                <w:kern w:val="2"/>
                <w:sz w:val="24"/>
                <w:szCs w:val="24"/>
                <w:highlight w:val="none"/>
                <w:u w:val="none"/>
                <w:lang w:val="en-US" w:eastAsia="zh-CN" w:bidi="ar-SA"/>
              </w:rPr>
              <w:t>服务保障</w:t>
            </w:r>
          </w:p>
          <w:p>
            <w:pPr>
              <w:spacing w:line="360" w:lineRule="exact"/>
              <w:ind w:right="-27" w:rightChars="-13"/>
              <w:jc w:val="center"/>
              <w:rPr>
                <w:rFonts w:hint="eastAsia" w:ascii="仿宋_GB2312" w:hAnsi="仿宋_GB2312" w:eastAsia="仿宋_GB2312" w:cs="仿宋_GB2312"/>
                <w:color w:val="000000"/>
                <w:sz w:val="24"/>
              </w:rPr>
            </w:pPr>
            <w:r>
              <w:rPr>
                <w:rStyle w:val="827"/>
                <w:rFonts w:hint="eastAsia" w:ascii="仿宋_GB2312" w:hAnsi="仿宋_GB2312" w:eastAsia="仿宋_GB2312" w:cs="仿宋_GB2312"/>
                <w:b w:val="0"/>
                <w:bCs w:val="0"/>
                <w:color w:val="auto"/>
                <w:kern w:val="2"/>
                <w:sz w:val="24"/>
                <w:szCs w:val="24"/>
                <w:highlight w:val="none"/>
                <w:u w:val="none"/>
                <w:lang w:val="en-US" w:eastAsia="zh-CN" w:bidi="ar-SA"/>
              </w:rPr>
              <w:t>体系要求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lang w:val="en-US" w:eastAsia="zh-CN"/>
              </w:rPr>
            </w:pPr>
            <w:r>
              <w:rPr>
                <w:rFonts w:hint="eastAsia" w:ascii="仿宋_GB2312" w:hAnsi="仿宋_GB2312" w:eastAsia="仿宋_GB2312" w:cs="仿宋_GB2312"/>
                <w:bCs/>
                <w:color w:val="000000"/>
                <w:sz w:val="24"/>
                <w:lang w:val="en-US" w:eastAsia="zh-CN"/>
              </w:rPr>
              <w:t>1.提供服务保障体系，按照售后服务要求时限提供保障服务。</w:t>
            </w:r>
          </w:p>
          <w:p>
            <w:pPr>
              <w:spacing w:line="440" w:lineRule="exact"/>
              <w:jc w:val="left"/>
              <w:rPr>
                <w:rFonts w:hint="eastAsia" w:ascii="仿宋_GB2312" w:hAnsi="仿宋_GB2312" w:eastAsia="仿宋_GB2312" w:cs="仿宋_GB2312"/>
                <w:bCs/>
                <w:color w:val="000000"/>
                <w:sz w:val="24"/>
                <w:lang w:val="en-US" w:eastAsia="zh-CN"/>
              </w:rPr>
            </w:pPr>
            <w:r>
              <w:rPr>
                <w:rFonts w:hint="eastAsia" w:ascii="仿宋_GB2312" w:hAnsi="仿宋_GB2312" w:eastAsia="仿宋_GB2312" w:cs="仿宋_GB2312"/>
                <w:bCs/>
                <w:color w:val="000000"/>
                <w:sz w:val="24"/>
                <w:lang w:val="en-US" w:eastAsia="zh-CN"/>
              </w:rPr>
              <w:t>2.协调本项目采购的软硬件生产厂家开展软硬件设备适配、售后保障工作，组织软硬件生产厂家提供原厂服务。</w:t>
            </w:r>
          </w:p>
          <w:p>
            <w:pPr>
              <w:spacing w:line="440" w:lineRule="exact"/>
              <w:jc w:val="left"/>
              <w:rPr>
                <w:rFonts w:hint="eastAsia" w:ascii="仿宋_GB2312" w:hAnsi="仿宋_GB2312" w:eastAsia="仿宋_GB2312" w:cs="仿宋_GB2312"/>
                <w:bCs/>
                <w:color w:val="000000"/>
                <w:sz w:val="24"/>
                <w:lang w:val="en-US" w:eastAsia="zh-CN"/>
              </w:rPr>
            </w:pPr>
            <w:r>
              <w:rPr>
                <w:rFonts w:hint="eastAsia" w:ascii="仿宋_GB2312" w:hAnsi="仿宋_GB2312" w:eastAsia="仿宋_GB2312" w:cs="仿宋_GB2312"/>
                <w:bCs/>
                <w:color w:val="000000"/>
                <w:sz w:val="24"/>
                <w:lang w:val="en-US" w:eastAsia="zh-CN"/>
              </w:rPr>
              <w:t>3.投标人应具备信创产品硬件、软件系统售后服务保障体系建设及运营能力；为提升服务质量和便于统一管理，中标人须自行建设的服务保障体系（含服务保障流程）且与柳州市目前已在运行的信创服务保障体系相衔接。</w:t>
            </w:r>
          </w:p>
          <w:p>
            <w:pPr>
              <w:spacing w:line="440" w:lineRule="exact"/>
              <w:jc w:val="left"/>
              <w:rPr>
                <w:rFonts w:hint="eastAsia" w:ascii="仿宋_GB2312" w:hAnsi="仿宋_GB2312" w:eastAsia="仿宋_GB2312" w:cs="仿宋_GB2312"/>
                <w:bCs/>
                <w:color w:val="000000"/>
                <w:sz w:val="24"/>
                <w:lang w:val="en-US" w:eastAsia="zh-CN"/>
              </w:rPr>
            </w:pPr>
            <w:r>
              <w:rPr>
                <w:rFonts w:hint="eastAsia" w:ascii="仿宋_GB2312" w:hAnsi="仿宋_GB2312" w:eastAsia="仿宋_GB2312" w:cs="仿宋_GB2312"/>
                <w:bCs/>
                <w:color w:val="000000"/>
                <w:sz w:val="24"/>
                <w:lang w:val="en-US" w:eastAsia="zh-CN"/>
              </w:rPr>
              <w:t>4.便于开展项目实施服务及售后维护的及时性和有效性，投标人需配备10名服务团队人员，其中项目经理1名，项目实施技术人员9名，服务团队人员不少于8名常驻柳州市，每月至少1次现场设备巡检，并记录各种巡检日志，按年度形成巡检报告。</w:t>
            </w:r>
          </w:p>
          <w:p>
            <w:pPr>
              <w:spacing w:line="440" w:lineRule="exact"/>
              <w:jc w:val="left"/>
              <w:rPr>
                <w:rFonts w:hint="eastAsia" w:ascii="仿宋_GB2312" w:hAnsi="仿宋_GB2312" w:eastAsia="仿宋_GB2312" w:cs="仿宋_GB2312"/>
                <w:bCs/>
                <w:color w:val="000000"/>
                <w:sz w:val="24"/>
                <w:lang w:val="en-US" w:eastAsia="zh-CN"/>
              </w:rPr>
            </w:pPr>
            <w:r>
              <w:rPr>
                <w:rFonts w:hint="eastAsia" w:ascii="仿宋_GB2312" w:hAnsi="仿宋_GB2312" w:eastAsia="仿宋_GB2312" w:cs="仿宋_GB2312"/>
                <w:bCs/>
                <w:color w:val="000000"/>
                <w:sz w:val="24"/>
                <w:lang w:val="en-US" w:eastAsia="zh-CN"/>
              </w:rPr>
              <w:t>4.投标人应具备以管理体系、服务网络、技术体系、培训体系、知识库等为基础的综合服务保障能力。设立服务保障组织架构及服务满意度红线机制，做到问题服务分级响应、责任到人，问题处理完成率较低、投诉解决率较低、用户满意度较差的情况制定明确的惩罚机制，提升整体用户满意度；提供及时维修、更换等服务，保障服务时效。</w:t>
            </w:r>
          </w:p>
          <w:p>
            <w:pPr>
              <w:spacing w:line="440" w:lineRule="exact"/>
              <w:jc w:val="left"/>
              <w:rPr>
                <w:rFonts w:hint="eastAsia" w:ascii="仿宋_GB2312" w:hAnsi="仿宋_GB2312" w:eastAsia="仿宋_GB2312" w:cs="仿宋_GB2312"/>
                <w:bCs/>
                <w:color w:val="000000"/>
                <w:sz w:val="24"/>
                <w:lang w:val="en-US" w:eastAsia="zh-CN"/>
              </w:rPr>
            </w:pPr>
            <w:r>
              <w:rPr>
                <w:rFonts w:hint="eastAsia" w:ascii="仿宋_GB2312" w:hAnsi="仿宋_GB2312" w:eastAsia="仿宋_GB2312" w:cs="仿宋_GB2312"/>
                <w:bCs/>
                <w:color w:val="000000"/>
                <w:sz w:val="24"/>
                <w:lang w:val="en-US" w:eastAsia="zh-CN"/>
              </w:rPr>
              <w:t>5.中标人</w:t>
            </w:r>
            <w:r>
              <w:rPr>
                <w:rFonts w:hint="eastAsia" w:ascii="仿宋_GB2312" w:hAnsi="仿宋_GB2312" w:eastAsia="仿宋_GB2312" w:cs="仿宋_GB2312"/>
                <w:bCs/>
                <w:color w:val="000000"/>
                <w:sz w:val="24"/>
                <w:lang w:eastAsia="zh-CN"/>
              </w:rPr>
              <w:t>作为服务保障次责</w:t>
            </w:r>
            <w:r>
              <w:rPr>
                <w:rFonts w:hint="eastAsia" w:ascii="仿宋_GB2312" w:hAnsi="仿宋_GB2312" w:eastAsia="仿宋_GB2312" w:cs="仿宋_GB2312"/>
                <w:bCs/>
                <w:color w:val="000000"/>
                <w:sz w:val="24"/>
                <w:lang w:val="en-US" w:eastAsia="zh-CN"/>
              </w:rPr>
              <w:t>单位</w:t>
            </w:r>
            <w:r>
              <w:rPr>
                <w:rFonts w:hint="eastAsia" w:ascii="仿宋_GB2312" w:hAnsi="仿宋_GB2312" w:eastAsia="仿宋_GB2312" w:cs="仿宋_GB2312"/>
                <w:bCs/>
                <w:color w:val="000000"/>
                <w:sz w:val="24"/>
                <w:lang w:eastAsia="zh-CN"/>
              </w:rPr>
              <w:t>，需按照用户和服务保障主责</w:t>
            </w:r>
            <w:r>
              <w:rPr>
                <w:rFonts w:hint="eastAsia" w:ascii="仿宋_GB2312" w:hAnsi="仿宋_GB2312" w:eastAsia="仿宋_GB2312" w:cs="仿宋_GB2312"/>
                <w:bCs/>
                <w:color w:val="000000"/>
                <w:sz w:val="24"/>
                <w:lang w:val="en-US" w:eastAsia="zh-CN"/>
              </w:rPr>
              <w:t>单位（集成服务商）</w:t>
            </w:r>
            <w:r>
              <w:rPr>
                <w:rFonts w:hint="eastAsia" w:ascii="仿宋_GB2312" w:hAnsi="仿宋_GB2312" w:eastAsia="仿宋_GB2312" w:cs="仿宋_GB2312"/>
                <w:bCs/>
                <w:color w:val="000000"/>
                <w:sz w:val="24"/>
                <w:lang w:eastAsia="zh-CN"/>
              </w:rPr>
              <w:t>要求开展服务保障工作，要求接入服务保障主责</w:t>
            </w:r>
            <w:r>
              <w:rPr>
                <w:rFonts w:hint="eastAsia" w:ascii="仿宋_GB2312" w:hAnsi="仿宋_GB2312" w:eastAsia="仿宋_GB2312" w:cs="仿宋_GB2312"/>
                <w:bCs/>
                <w:color w:val="000000"/>
                <w:sz w:val="24"/>
                <w:lang w:val="en-US" w:eastAsia="zh-CN"/>
              </w:rPr>
              <w:t>单位（集成服务商）</w:t>
            </w:r>
            <w:r>
              <w:rPr>
                <w:rFonts w:hint="eastAsia" w:ascii="仿宋_GB2312" w:hAnsi="仿宋_GB2312" w:eastAsia="仿宋_GB2312" w:cs="仿宋_GB2312"/>
                <w:bCs/>
                <w:color w:val="000000"/>
                <w:sz w:val="24"/>
                <w:lang w:eastAsia="zh-CN"/>
              </w:rPr>
              <w:t>的服务保障体系，接受项目服务保障主责</w:t>
            </w:r>
            <w:r>
              <w:rPr>
                <w:rFonts w:hint="eastAsia" w:ascii="仿宋_GB2312" w:hAnsi="仿宋_GB2312" w:eastAsia="仿宋_GB2312" w:cs="仿宋_GB2312"/>
                <w:bCs/>
                <w:color w:val="000000"/>
                <w:sz w:val="24"/>
                <w:lang w:val="en-US" w:eastAsia="zh-CN"/>
              </w:rPr>
              <w:t>单位（集成服务商）</w:t>
            </w:r>
            <w:r>
              <w:rPr>
                <w:rFonts w:hint="eastAsia" w:ascii="仿宋_GB2312" w:hAnsi="仿宋_GB2312" w:eastAsia="仿宋_GB2312" w:cs="仿宋_GB2312"/>
                <w:bCs/>
                <w:color w:val="000000"/>
                <w:sz w:val="24"/>
                <w:lang w:eastAsia="zh-CN"/>
              </w:rPr>
              <w:t>的服务调度及考核管理，妥善解决服务问题，联合攻关解决生态适配问题。涉及</w:t>
            </w:r>
            <w:r>
              <w:rPr>
                <w:rFonts w:hint="eastAsia" w:ascii="仿宋_GB2312" w:hAnsi="仿宋_GB2312" w:eastAsia="仿宋_GB2312" w:cs="仿宋_GB2312"/>
                <w:bCs/>
                <w:color w:val="000000"/>
                <w:sz w:val="24"/>
                <w:lang w:val="en-US" w:eastAsia="zh-CN"/>
              </w:rPr>
              <w:t>中标人</w:t>
            </w:r>
            <w:r>
              <w:rPr>
                <w:rFonts w:hint="eastAsia" w:ascii="仿宋_GB2312" w:hAnsi="仿宋_GB2312" w:eastAsia="仿宋_GB2312" w:cs="仿宋_GB2312"/>
                <w:bCs/>
                <w:color w:val="000000"/>
                <w:sz w:val="24"/>
                <w:lang w:eastAsia="zh-CN"/>
              </w:rPr>
              <w:t>提供产品的质量或使用问题，需配合服务保障主责</w:t>
            </w:r>
            <w:r>
              <w:rPr>
                <w:rFonts w:hint="eastAsia" w:ascii="仿宋_GB2312" w:hAnsi="仿宋_GB2312" w:eastAsia="仿宋_GB2312" w:cs="仿宋_GB2312"/>
                <w:bCs/>
                <w:color w:val="000000"/>
                <w:sz w:val="24"/>
                <w:lang w:val="en-US" w:eastAsia="zh-CN"/>
              </w:rPr>
              <w:t>单位（集成服务商）</w:t>
            </w:r>
            <w:r>
              <w:rPr>
                <w:rFonts w:hint="eastAsia" w:ascii="仿宋_GB2312" w:hAnsi="仿宋_GB2312" w:eastAsia="仿宋_GB2312" w:cs="仿宋_GB2312"/>
                <w:bCs/>
                <w:color w:val="000000"/>
                <w:sz w:val="24"/>
                <w:lang w:eastAsia="zh-CN"/>
              </w:rPr>
              <w:t>进行解决，并负主要责任。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exact"/>
              <w:ind w:right="-27" w:rightChars="-13"/>
              <w:jc w:val="center"/>
              <w:rPr>
                <w:rFonts w:hint="eastAsia" w:ascii="仿宋_GB2312" w:hAnsi="仿宋_GB2312" w:eastAsia="仿宋_GB2312" w:cs="仿宋_GB2312"/>
                <w:color w:val="000000"/>
                <w:sz w:val="24"/>
              </w:rPr>
            </w:pPr>
            <w:r>
              <w:rPr>
                <w:rStyle w:val="827"/>
                <w:rFonts w:hint="eastAsia" w:ascii="仿宋_GB2312" w:hAnsi="仿宋_GB2312" w:eastAsia="仿宋_GB2312" w:cs="仿宋_GB2312"/>
                <w:b w:val="0"/>
                <w:bCs w:val="0"/>
                <w:color w:val="auto"/>
                <w:kern w:val="2"/>
                <w:sz w:val="24"/>
                <w:szCs w:val="24"/>
                <w:highlight w:val="none"/>
                <w:u w:val="none"/>
                <w:lang w:val="en-US" w:eastAsia="zh-CN" w:bidi="ar-SA"/>
              </w:rPr>
              <w:t>项目考核管理要求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中标人需接受柳州市大数据发展局定期或不定期考核，每年至少考核一次。考核将采用全面检查、随机抽查等方式。考核要点包括实施交付能力、人员专业能力、技术适配能力、运行维护能力、用户评价情况。考核结果分为优秀、合格、基本合格和不合格，针对本项目考核管理办法由柳州市大数据发展局与中标人协商后签订，作为合同附件。</w:t>
            </w:r>
          </w:p>
          <w:p>
            <w:pPr>
              <w:spacing w:line="360" w:lineRule="exact"/>
              <w:jc w:val="left"/>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（一）中标人有下列情形之一的，柳州市大数据发展局依据双方签订的协议对其进行处理：</w:t>
            </w:r>
          </w:p>
          <w:p>
            <w:pPr>
              <w:spacing w:line="360" w:lineRule="exact"/>
              <w:jc w:val="left"/>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1.出现未按时提供供货服务、供货服务质量较差、问题处理不及时等情况；</w:t>
            </w:r>
          </w:p>
          <w:p>
            <w:pPr>
              <w:spacing w:line="360" w:lineRule="exact"/>
              <w:jc w:val="left"/>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2.未按时提交月度运行维护报告及相关材料的；</w:t>
            </w:r>
          </w:p>
          <w:p>
            <w:pPr>
              <w:spacing w:line="360" w:lineRule="exact"/>
              <w:jc w:val="left"/>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3.提供不实数据的；</w:t>
            </w:r>
          </w:p>
          <w:p>
            <w:pPr>
              <w:spacing w:line="360" w:lineRule="exact"/>
              <w:jc w:val="left"/>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4.对柳州市信创工作造成不良影响的。</w:t>
            </w:r>
          </w:p>
          <w:p>
            <w:pPr>
              <w:spacing w:line="360" w:lineRule="exact"/>
              <w:jc w:val="left"/>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针对上述问题，待其整改完成、消除相关不良影响，并经柳州市大数据发展局核验无误后，取消进一步的处理措施。</w:t>
            </w:r>
          </w:p>
          <w:p>
            <w:pPr>
              <w:spacing w:line="360" w:lineRule="exact"/>
              <w:jc w:val="left"/>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（二）中标人有下列情形之一的，视为违约，采购人有权将相关情形报财政部门处理：</w:t>
            </w:r>
          </w:p>
          <w:p>
            <w:pPr>
              <w:spacing w:line="360" w:lineRule="exact"/>
              <w:jc w:val="left"/>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1.提供大批量不合格的或有质量问题的国产终端产品；</w:t>
            </w:r>
          </w:p>
          <w:p>
            <w:pPr>
              <w:spacing w:line="360" w:lineRule="exact"/>
              <w:jc w:val="left"/>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2.本项目采购的操作系统、流式办公软件、版式软件提供盗版、测试版等不符合使用正版软件有关规定的情况；</w:t>
            </w:r>
          </w:p>
          <w:p>
            <w:pPr>
              <w:spacing w:line="360" w:lineRule="exact"/>
              <w:jc w:val="left"/>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3.未满足国产终端适配要求，或针对本项目的服务保障体系未建立的；</w:t>
            </w:r>
          </w:p>
          <w:p>
            <w:pPr>
              <w:spacing w:line="360" w:lineRule="exact"/>
              <w:jc w:val="left"/>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4.发生重大质量、安全事故的；</w:t>
            </w:r>
          </w:p>
          <w:p>
            <w:pPr>
              <w:spacing w:line="360" w:lineRule="exact"/>
              <w:jc w:val="left"/>
              <w:rPr>
                <w:rFonts w:hint="eastAsia" w:ascii="仿宋_GB2312" w:hAnsi="仿宋_GB2312" w:eastAsia="仿宋_GB2312" w:cs="仿宋_GB2312"/>
                <w:bCs/>
                <w:color w:val="000000"/>
                <w:sz w:val="24"/>
                <w:lang w:val="en-US" w:eastAsia="zh-CN"/>
              </w:rPr>
            </w:pPr>
            <w:r>
              <w:rPr>
                <w:rFonts w:hint="eastAsia" w:ascii="仿宋_GB2312" w:hAnsi="仿宋_GB2312" w:eastAsia="仿宋_GB2312" w:cs="仿宋_GB2312"/>
                <w:bCs/>
                <w:color w:val="auto"/>
                <w:sz w:val="24"/>
                <w:szCs w:val="24"/>
                <w:highlight w:val="none"/>
                <w:lang w:val="en-US" w:eastAsia="zh-CN"/>
              </w:rPr>
              <w:t>5.对柳州市信创工作造成严重不良后果的。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交货时间及地点</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1.交货时间：自中标人收到预付款之日起</w:t>
            </w:r>
            <w:r>
              <w:rPr>
                <w:rFonts w:hint="eastAsia" w:ascii="仿宋_GB2312" w:hAnsi="仿宋_GB2312" w:eastAsia="仿宋_GB2312" w:cs="仿宋_GB2312"/>
                <w:bCs/>
                <w:color w:val="000000"/>
                <w:sz w:val="24"/>
                <w:u w:val="single"/>
              </w:rPr>
              <w:t>90</w:t>
            </w:r>
            <w:r>
              <w:rPr>
                <w:rFonts w:hint="eastAsia" w:ascii="仿宋_GB2312" w:hAnsi="仿宋_GB2312" w:eastAsia="仿宋_GB2312" w:cs="仿宋_GB2312"/>
                <w:bCs/>
                <w:color w:val="000000"/>
                <w:sz w:val="24"/>
              </w:rPr>
              <w:t>日内</w:t>
            </w:r>
            <w:r>
              <w:rPr>
                <w:rFonts w:hint="eastAsia" w:ascii="仿宋_GB2312" w:hAnsi="仿宋_GB2312" w:eastAsia="仿宋_GB2312" w:cs="仿宋_GB2312"/>
                <w:bCs/>
                <w:color w:val="000000"/>
                <w:sz w:val="24"/>
                <w:lang w:val="en-US" w:eastAsia="zh-CN"/>
              </w:rPr>
              <w:t>供货配送</w:t>
            </w:r>
            <w:r>
              <w:rPr>
                <w:rFonts w:hint="eastAsia" w:ascii="仿宋_GB2312" w:hAnsi="仿宋_GB2312" w:eastAsia="仿宋_GB2312" w:cs="仿宋_GB2312"/>
                <w:bCs/>
                <w:color w:val="000000"/>
                <w:sz w:val="24"/>
              </w:rPr>
              <w:t>完毕，验收合格并交付使用；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2.交货地点：广西柳州市</w:t>
            </w:r>
            <w:r>
              <w:rPr>
                <w:rFonts w:hint="eastAsia" w:ascii="仿宋_GB2312" w:hAnsi="仿宋_GB2312" w:eastAsia="仿宋_GB2312" w:cs="仿宋_GB2312"/>
                <w:bCs/>
                <w:color w:val="000000"/>
                <w:sz w:val="24"/>
                <w:lang w:val="en-US" w:eastAsia="zh-CN"/>
              </w:rPr>
              <w:t>采购人指定地点</w:t>
            </w:r>
            <w:r>
              <w:rPr>
                <w:rFonts w:hint="eastAsia" w:ascii="仿宋_GB2312" w:hAnsi="仿宋_GB2312" w:eastAsia="仿宋_GB2312" w:cs="仿宋_GB2312"/>
                <w:bCs/>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付款方式</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w:t>
            </w:r>
          </w:p>
          <w:p>
            <w:pPr>
              <w:spacing w:line="440" w:lineRule="exact"/>
              <w:ind w:firstLine="480" w:firstLineChars="20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auto"/>
                <w:sz w:val="24"/>
              </w:rPr>
              <w:t>签订合同之日起15日内支付合同总金额的50%作为预付款给中标人；全部货物到货并完成到货验收后30个工作日支付合同总金额的30%</w:t>
            </w:r>
            <w:r>
              <w:rPr>
                <w:rFonts w:hint="eastAsia" w:ascii="仿宋_GB2312" w:hAnsi="仿宋_GB2312" w:eastAsia="仿宋_GB2312" w:cs="仿宋_GB2312"/>
                <w:bCs/>
                <w:color w:val="auto"/>
                <w:sz w:val="24"/>
                <w:lang w:eastAsia="zh-CN"/>
              </w:rPr>
              <w:t>；</w:t>
            </w:r>
            <w:r>
              <w:rPr>
                <w:rFonts w:hint="eastAsia" w:ascii="仿宋_GB2312" w:hAnsi="仿宋_GB2312" w:eastAsia="仿宋_GB2312" w:cs="仿宋_GB2312"/>
                <w:bCs/>
                <w:color w:val="auto"/>
                <w:sz w:val="24"/>
              </w:rPr>
              <w:t>双方按上述约定履约完毕，余下的</w:t>
            </w:r>
            <w:r>
              <w:rPr>
                <w:rFonts w:hint="eastAsia" w:ascii="仿宋_GB2312" w:hAnsi="仿宋_GB2312" w:eastAsia="仿宋_GB2312" w:cs="仿宋_GB2312"/>
                <w:bCs/>
                <w:color w:val="auto"/>
                <w:sz w:val="24"/>
                <w:lang w:val="en-US" w:eastAsia="zh-CN"/>
              </w:rPr>
              <w:t>2</w:t>
            </w:r>
            <w:r>
              <w:rPr>
                <w:rFonts w:hint="eastAsia" w:ascii="仿宋_GB2312" w:hAnsi="仿宋_GB2312" w:eastAsia="仿宋_GB2312" w:cs="仿宋_GB2312"/>
                <w:bCs/>
                <w:color w:val="auto"/>
                <w:sz w:val="24"/>
              </w:rPr>
              <w:t>0%在最终验收合格过后10个工作日内一次性付清</w:t>
            </w:r>
            <w:r>
              <w:rPr>
                <w:rFonts w:hint="eastAsia" w:ascii="仿宋_GB2312" w:hAnsi="仿宋_GB2312" w:eastAsia="仿宋_GB2312" w:cs="仿宋_GB2312"/>
                <w:bCs/>
                <w:color w:val="000000"/>
                <w:sz w:val="24"/>
              </w:rPr>
              <w:t>。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lang w:val="en-US" w:eastAsia="zh-CN"/>
              </w:rPr>
              <w:t xml:space="preserve">   </w:t>
            </w:r>
            <w:r>
              <w:rPr>
                <w:rFonts w:hint="eastAsia" w:ascii="仿宋_GB2312" w:hAnsi="仿宋_GB2312" w:eastAsia="仿宋_GB2312" w:cs="仿宋_GB2312"/>
                <w:bCs/>
                <w:color w:val="000000"/>
                <w:sz w:val="24"/>
              </w:rPr>
              <w:t>注：资金支付等事项按照《保障中小企业款项支付条例》（国务院令第802号）、《广西壮族自治区财政厅关于持续优化政府采购营商环境推动高质量发展的通知》等要求执行。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备品备件及耗材等要求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1.投标人所提供零部件、配件及安装材料必须是符合国家规定质量安全标准的全新、合格产品；该项费用应包含在报价中；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投标人所提供完整的全套设备须包括必备的易损耗备件和专用工具；3.投标人必须有完善的备品备件库体系，质保期内能提供相应的免费的措施和配件，保证过质保期后五年内有足够的备品备件，为完成本项目技术支持、服务需求提供可靠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ind w:right="27" w:rightChars="13"/>
              <w:rPr>
                <w:rFonts w:hint="eastAsia" w:ascii="等线" w:hAnsi="等线" w:eastAsia="仿宋_GB2312" w:cs="仿宋_GB2312"/>
                <w:bCs/>
                <w:color w:val="000000"/>
                <w:sz w:val="24"/>
                <w:lang w:val="en-GB"/>
              </w:rPr>
            </w:pPr>
            <w:r>
              <w:rPr>
                <w:rFonts w:ascii="仿宋_GB2312" w:hAnsi="宋体" w:eastAsia="仿宋_GB2312" w:cs="宋体"/>
                <w:b/>
                <w:kern w:val="0"/>
                <w:sz w:val="24"/>
              </w:rPr>
              <w:t>★</w:t>
            </w:r>
            <w:r>
              <w:rPr>
                <w:rFonts w:hint="eastAsia" w:ascii="仿宋_GB2312" w:hAnsi="宋体" w:eastAsia="仿宋_GB2312" w:cs="Arial"/>
                <w:b/>
                <w:bCs/>
                <w:sz w:val="24"/>
                <w:szCs w:val="24"/>
              </w:rPr>
              <w:t>三、</w:t>
            </w:r>
            <w:r>
              <w:rPr>
                <w:rFonts w:hint="eastAsia" w:ascii="仿宋_GB2312" w:hAnsi="宋体" w:eastAsia="仿宋_GB2312"/>
                <w:b/>
                <w:sz w:val="24"/>
              </w:rPr>
              <w:t>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等线" w:hAnsi="等线" w:eastAsia="仿宋_GB2312" w:cs="Arial"/>
                <w:bCs/>
                <w:color w:val="000000"/>
                <w:sz w:val="24"/>
                <w:lang w:val="en-GB"/>
              </w:rPr>
            </w:pPr>
            <w:r>
              <w:rPr>
                <w:rFonts w:ascii="仿宋_GB2312" w:hAnsi="仿宋_GB2312" w:eastAsia="仿宋_GB2312" w:cs="仿宋_GB2312"/>
                <w:bCs/>
                <w:color w:val="000000"/>
                <w:sz w:val="24"/>
              </w:rPr>
              <w:t>验收标准及要求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仿宋_GB2312" w:eastAsia="仿宋_GB2312" w:cs="仿宋_GB2312"/>
                <w:bCs/>
                <w:color w:val="000000"/>
                <w:sz w:val="24"/>
              </w:rPr>
            </w:pPr>
            <w:r>
              <w:rPr>
                <w:rFonts w:ascii="仿宋_GB2312" w:hAnsi="仿宋_GB2312" w:eastAsia="仿宋_GB2312" w:cs="仿宋_GB2312"/>
                <w:bCs/>
                <w:color w:val="000000"/>
                <w:sz w:val="24"/>
              </w:rPr>
              <w:t>1.国家强制性技术标准及有关规定；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2.交货验收时，采购人根据《广西壮族自治区政府采购项目履约验收管理办法》的规定，由采购人及中标人双方共同进行验收。必要时可委托国家认可的质量检测机构开展采购项目验收工作；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3.本项目因中标人提供的货物不能满足采购需求的技术参数或其投标文件承诺等原因无法通过验收，造成不能按时、按质、按量完成项目要求的，将按照《中华人民共和国政府采购法》等法律法规由中标人承担相应的法律责任；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 xml:space="preserve">4.验收费用：验收所产生的检验费及相关的全部费用均由中标人承担。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ind w:right="-330" w:rightChars="-157"/>
              <w:rPr>
                <w:rFonts w:hint="eastAsia" w:ascii="仿宋_GB2312" w:hAnsi="宋体" w:eastAsia="仿宋_GB2312" w:cs="Arial"/>
                <w:b/>
                <w:bCs/>
                <w:color w:val="000000"/>
                <w:sz w:val="24"/>
                <w:szCs w:val="24"/>
              </w:rPr>
            </w:pPr>
            <w:r>
              <w:rPr>
                <w:rFonts w:hint="eastAsia" w:ascii="仿宋_GB2312" w:hAnsi="宋体" w:eastAsia="仿宋_GB2312" w:cs="Arial"/>
                <w:b/>
                <w:bCs/>
                <w:color w:val="000000"/>
                <w:sz w:val="24"/>
                <w:szCs w:val="24"/>
              </w:rPr>
              <w:t>四、</w:t>
            </w:r>
            <w:r>
              <w:rPr>
                <w:rFonts w:hint="eastAsia" w:ascii="仿宋_GB2312" w:hAnsi="宋体" w:eastAsia="仿宋_GB2312"/>
                <w:b/>
                <w:sz w:val="24"/>
              </w:rPr>
              <w:t>资信要求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政策性加分条件（如有）</w:t>
            </w:r>
          </w:p>
        </w:tc>
        <w:tc>
          <w:tcPr>
            <w:tcW w:w="7654" w:type="dxa"/>
            <w:tcBorders>
              <w:top w:val="single" w:color="auto" w:sz="4" w:space="0"/>
              <w:left w:val="single" w:color="auto" w:sz="4" w:space="0"/>
              <w:bottom w:val="single" w:color="auto" w:sz="4" w:space="0"/>
              <w:right w:val="single" w:color="auto" w:sz="4" w:space="0"/>
            </w:tcBorders>
            <w:vAlign w:val="center"/>
          </w:tcPr>
          <w:p>
            <w:pPr>
              <w:pStyle w:val="502"/>
              <w:spacing w:before="0" w:beforeAutospacing="0" w:after="0" w:afterAutospacing="0" w:line="460" w:lineRule="atLeast"/>
              <w:rPr>
                <w:rFonts w:ascii="仿宋_GB2312" w:eastAsia="仿宋_GB2312"/>
                <w:color w:val="000000"/>
              </w:rPr>
            </w:pPr>
            <w:r>
              <w:rPr>
                <w:rFonts w:hint="eastAsia" w:ascii="仿宋_GB2312" w:eastAsia="仿宋_GB2312"/>
                <w:color w:val="000000"/>
              </w:rPr>
              <w:t>1．《政府采购促进中小企业发展管理办法》（财库〔2020〕46号），符合办法规定条件且出具该办法规定的《中小企业声明函》的小型和微型企业报价，对其报价给予20%的扣除</w:t>
            </w:r>
            <w:r>
              <w:rPr>
                <w:rFonts w:hint="eastAsia" w:ascii="仿宋_GB2312" w:eastAsia="仿宋_GB2312"/>
                <w:color w:val="000000"/>
                <w:lang w:eastAsia="zh-CN"/>
              </w:rPr>
              <w:t>；</w:t>
            </w:r>
            <w:r>
              <w:rPr>
                <w:rFonts w:hint="eastAsia" w:ascii="仿宋_GB2312" w:eastAsia="仿宋_GB2312"/>
                <w:color w:val="000000"/>
              </w:rPr>
              <w:t>若为大中型企业与小微企业组成联合体的，对于联合协议约定小微企业的合同份额占到合同总金额 30%以上的</w:t>
            </w:r>
            <w:r>
              <w:rPr>
                <w:rFonts w:hint="eastAsia" w:ascii="仿宋_GB2312" w:eastAsia="仿宋_GB2312"/>
                <w:color w:val="000000"/>
                <w:highlight w:val="none"/>
                <w:lang w:eastAsia="zh-CN"/>
              </w:rPr>
              <w:t>，</w:t>
            </w:r>
            <w:r>
              <w:rPr>
                <w:rFonts w:hint="eastAsia" w:ascii="仿宋_GB2312" w:eastAsia="仿宋_GB2312"/>
                <w:color w:val="000000"/>
                <w:highlight w:val="none"/>
              </w:rPr>
              <w:t>对其联合体报价给予</w:t>
            </w:r>
            <w:r>
              <w:rPr>
                <w:rFonts w:hint="eastAsia" w:ascii="仿宋_GB2312" w:eastAsia="仿宋_GB2312"/>
                <w:color w:val="000000"/>
                <w:lang w:val="en-US" w:eastAsia="zh-CN"/>
              </w:rPr>
              <w:t>6</w:t>
            </w:r>
            <w:r>
              <w:rPr>
                <w:rFonts w:hint="eastAsia" w:ascii="仿宋_GB2312" w:eastAsia="仿宋_GB2312"/>
                <w:color w:val="000000"/>
              </w:rPr>
              <w:t>%的扣除</w:t>
            </w:r>
            <w:r>
              <w:rPr>
                <w:rFonts w:hint="eastAsia" w:ascii="仿宋_GB2312" w:eastAsia="仿宋_GB2312"/>
                <w:color w:val="000000"/>
                <w:lang w:eastAsia="zh-CN"/>
              </w:rPr>
              <w:t>。</w:t>
            </w:r>
            <w:r>
              <w:rPr>
                <w:rFonts w:hint="eastAsia" w:ascii="仿宋_GB2312" w:eastAsia="仿宋_GB2312"/>
                <w:color w:val="000000"/>
              </w:rPr>
              <w:t>监狱企业、残疾人福利性单位视同小型和微型企业；</w:t>
            </w:r>
          </w:p>
          <w:p>
            <w:pPr>
              <w:pStyle w:val="502"/>
              <w:spacing w:before="0" w:beforeAutospacing="0" w:after="0" w:afterAutospacing="0" w:line="460" w:lineRule="atLeast"/>
              <w:rPr>
                <w:rFonts w:hint="eastAsia" w:ascii="仿宋_GB2312" w:eastAsia="仿宋_GB2312"/>
                <w:color w:val="000000"/>
              </w:rPr>
            </w:pPr>
            <w:r>
              <w:rPr>
                <w:rStyle w:val="503"/>
                <w:rFonts w:hint="eastAsia" w:ascii="仿宋_GB2312" w:eastAsia="仿宋_GB2312"/>
                <w:color w:val="000000"/>
              </w:rPr>
              <w:t>注：（1）采购标的对应的中小企业划分标准所属行业：</w:t>
            </w:r>
            <w:bookmarkStart w:id="35" w:name="OLE_LINK2"/>
            <w:r>
              <w:rPr>
                <w:rStyle w:val="503"/>
                <w:rFonts w:hint="eastAsia" w:ascii="仿宋_GB2312" w:eastAsia="仿宋_GB2312"/>
                <w:color w:val="000000"/>
                <w:lang w:eastAsia="zh-CN"/>
              </w:rPr>
              <w:t>“</w:t>
            </w:r>
            <w:r>
              <w:rPr>
                <w:rStyle w:val="828"/>
                <w:rFonts w:hint="eastAsia" w:ascii="仿宋_GB2312" w:eastAsia="仿宋_GB2312"/>
                <w:b/>
                <w:bCs/>
                <w:color w:val="000000"/>
                <w:lang w:eastAsia="zh-CN"/>
              </w:rPr>
              <w:t>（</w:t>
            </w:r>
            <w:r>
              <w:rPr>
                <w:rStyle w:val="828"/>
                <w:rFonts w:hint="eastAsia" w:ascii="仿宋_GB2312" w:eastAsia="仿宋_GB2312"/>
                <w:b/>
                <w:bCs/>
                <w:color w:val="000000"/>
                <w:lang w:val="en-US" w:eastAsia="zh-CN"/>
              </w:rPr>
              <w:t>二</w:t>
            </w:r>
            <w:r>
              <w:rPr>
                <w:rStyle w:val="828"/>
                <w:rFonts w:hint="eastAsia" w:ascii="仿宋_GB2312" w:eastAsia="仿宋_GB2312"/>
                <w:b/>
                <w:bCs/>
                <w:color w:val="000000"/>
                <w:lang w:eastAsia="zh-CN"/>
              </w:rPr>
              <w:t>）</w:t>
            </w:r>
            <w:r>
              <w:rPr>
                <w:rFonts w:hint="eastAsia" w:ascii="仿宋_GB2312" w:hAnsi="仿宋_GB2312" w:eastAsia="仿宋_GB2312" w:cs="仿宋_GB2312"/>
                <w:b/>
                <w:bCs w:val="0"/>
                <w:i w:val="0"/>
                <w:iCs w:val="0"/>
                <w:color w:val="auto"/>
                <w:kern w:val="0"/>
                <w:sz w:val="24"/>
                <w:szCs w:val="24"/>
                <w:highlight w:val="none"/>
                <w:u w:val="none"/>
                <w:lang w:val="en-US" w:eastAsia="zh-CN" w:bidi="ar-SA"/>
              </w:rPr>
              <w:t>基础软件采购适配及软件预装</w:t>
            </w:r>
            <w:r>
              <w:rPr>
                <w:rStyle w:val="503"/>
                <w:rFonts w:hint="eastAsia" w:ascii="仿宋_GB2312" w:eastAsia="仿宋_GB2312"/>
                <w:color w:val="000000"/>
                <w:lang w:eastAsia="zh-CN"/>
              </w:rPr>
              <w:t>”</w:t>
            </w:r>
            <w:r>
              <w:rPr>
                <w:rStyle w:val="828"/>
                <w:rFonts w:hint="eastAsia" w:ascii="仿宋_GB2312" w:eastAsia="仿宋_GB2312"/>
                <w:b/>
                <w:bCs/>
                <w:color w:val="000000"/>
                <w:lang w:val="en-US" w:eastAsia="zh-CN"/>
              </w:rPr>
              <w:t>中</w:t>
            </w:r>
            <w:r>
              <w:rPr>
                <w:rStyle w:val="828"/>
                <w:rFonts w:hint="eastAsia" w:ascii="仿宋_GB2312" w:eastAsia="仿宋_GB2312"/>
                <w:b/>
                <w:bCs/>
                <w:color w:val="000000"/>
              </w:rPr>
              <w:t>第</w:t>
            </w:r>
            <w:r>
              <w:rPr>
                <w:rStyle w:val="828"/>
                <w:rFonts w:hint="eastAsia" w:ascii="仿宋_GB2312" w:eastAsia="仿宋_GB2312"/>
                <w:b/>
                <w:bCs/>
                <w:color w:val="000000"/>
                <w:lang w:val="en-US" w:eastAsia="zh-CN"/>
              </w:rPr>
              <w:t>1-8</w:t>
            </w:r>
            <w:r>
              <w:rPr>
                <w:rStyle w:val="828"/>
                <w:rFonts w:hint="eastAsia" w:ascii="仿宋_GB2312" w:eastAsia="仿宋_GB2312"/>
                <w:b/>
                <w:bCs/>
                <w:color w:val="000000"/>
              </w:rPr>
              <w:t>项货物所属行业为</w:t>
            </w:r>
            <w:r>
              <w:rPr>
                <w:rStyle w:val="828"/>
                <w:rFonts w:hint="eastAsia" w:ascii="仿宋_GB2312" w:eastAsia="仿宋_GB2312"/>
                <w:b/>
                <w:bCs/>
                <w:color w:val="000000"/>
                <w:u w:val="single"/>
              </w:rPr>
              <w:t>软件和信息技术服务业</w:t>
            </w:r>
            <w:r>
              <w:rPr>
                <w:rStyle w:val="828"/>
                <w:rFonts w:hint="eastAsia" w:ascii="仿宋_GB2312" w:eastAsia="仿宋_GB2312"/>
                <w:b/>
                <w:bCs/>
                <w:color w:val="000000"/>
                <w:lang w:eastAsia="zh-CN"/>
              </w:rPr>
              <w:t>；</w:t>
            </w:r>
            <w:r>
              <w:rPr>
                <w:rStyle w:val="828"/>
                <w:rFonts w:hint="eastAsia" w:ascii="仿宋_GB2312" w:eastAsia="仿宋_GB2312"/>
                <w:b/>
                <w:bCs/>
                <w:color w:val="000000"/>
                <w:lang w:val="en-US" w:eastAsia="zh-CN"/>
              </w:rPr>
              <w:t>其余项货物均</w:t>
            </w:r>
            <w:r>
              <w:rPr>
                <w:rFonts w:hint="eastAsia" w:ascii="仿宋_GB2312" w:eastAsia="仿宋_GB2312"/>
                <w:b/>
                <w:bCs/>
                <w:color w:val="000000"/>
                <w:u w:val="single"/>
                <w:lang w:val="en-US" w:eastAsia="zh-CN"/>
              </w:rPr>
              <w:t>工业；</w:t>
            </w:r>
          </w:p>
          <w:bookmarkEnd w:id="35"/>
          <w:p>
            <w:pPr>
              <w:pStyle w:val="502"/>
              <w:spacing w:before="0" w:beforeAutospacing="0" w:after="0" w:afterAutospacing="0" w:line="460" w:lineRule="atLeast"/>
              <w:rPr>
                <w:rFonts w:hint="eastAsia" w:ascii="仿宋_GB2312" w:eastAsia="仿宋_GB2312"/>
                <w:color w:val="000000"/>
              </w:rPr>
            </w:pPr>
            <w:r>
              <w:rPr>
                <w:rStyle w:val="503"/>
                <w:rFonts w:hint="eastAsia" w:ascii="仿宋_GB2312" w:eastAsia="仿宋_GB2312"/>
                <w:color w:val="000000"/>
              </w:rPr>
              <w:t>（2）中小企业划分有关标准根据工信部等部委发布的《关于印发中小企业划型标准规定的通知》（工信部联企业〔2011〕300号）确定；</w:t>
            </w:r>
          </w:p>
          <w:p>
            <w:pPr>
              <w:pStyle w:val="502"/>
              <w:spacing w:before="0" w:beforeAutospacing="0" w:after="0" w:afterAutospacing="0" w:line="460" w:lineRule="atLeast"/>
              <w:rPr>
                <w:rFonts w:hint="eastAsia" w:ascii="仿宋_GB2312" w:eastAsia="仿宋_GB2312"/>
                <w:color w:val="000000"/>
              </w:rPr>
            </w:pPr>
            <w:r>
              <w:rPr>
                <w:rStyle w:val="503"/>
                <w:rFonts w:hint="eastAsia" w:ascii="仿宋_GB2312" w:eastAsia="仿宋_GB2312"/>
                <w:color w:val="000000"/>
              </w:rPr>
              <w:t>（3）为方便投标人识别企业规模类型，投标人可使用工业和信息化部组织开发的中小企业规模类型自测小程序生成企业规模类型测试结果。自测小程序链接：https://baosong.miit.gov.cn/ScaleTest</w:t>
            </w:r>
          </w:p>
          <w:p>
            <w:pPr>
              <w:pStyle w:val="50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2.《财政部、司法部关于政府采购支持监狱企业发展有关问题的通知》（财库〔2014〕68号）；</w:t>
            </w:r>
          </w:p>
          <w:p>
            <w:pPr>
              <w:pStyle w:val="50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3.《财政部 民政部 中国残疾人联合会关于促进残疾人就业政府采购政策的通知》（财库〔2017〕141号）；</w:t>
            </w:r>
          </w:p>
          <w:p>
            <w:pPr>
              <w:pStyle w:val="50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4.《财政部 发展改革委 生态环境部 市场监管总局关于调整优化节能产品、环境标志产品政府采购执行机制的通知》（财库〔2019〕9号）：对政府采购节能产品、环境标志产品实施品目清单管理，依据品目清单和认证证书实施政府优先采购和强制采购；</w:t>
            </w:r>
          </w:p>
          <w:p>
            <w:pPr>
              <w:pStyle w:val="50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5.财政部 生态环境部《关于印发环境标志产品政府采购品目清单的通知》（财库〔2019〕18号）；</w:t>
            </w:r>
          </w:p>
          <w:p>
            <w:pPr>
              <w:pStyle w:val="50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6.财政部 发展改革委《关于印发节能产品政府采购品目清单的通知》（财库〔2019〕19号）；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 xml:space="preserve">质量管理、企业信用要求（如有） </w:t>
            </w:r>
          </w:p>
        </w:tc>
        <w:tc>
          <w:tcPr>
            <w:tcW w:w="7654" w:type="dxa"/>
            <w:tcBorders>
              <w:top w:val="single" w:color="auto" w:sz="4" w:space="0"/>
              <w:left w:val="single" w:color="auto" w:sz="4" w:space="0"/>
              <w:bottom w:val="single" w:color="auto" w:sz="4" w:space="0"/>
              <w:right w:val="single" w:color="auto" w:sz="4" w:space="0"/>
            </w:tcBorders>
            <w:vAlign w:val="center"/>
          </w:tcPr>
          <w:p>
            <w:pPr>
              <w:pStyle w:val="830"/>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投标人（或联合体牵头人）具备有效的</w:t>
            </w:r>
            <w:bookmarkStart w:id="36" w:name="OLE_LINK5"/>
            <w:r>
              <w:rPr>
                <w:rFonts w:hint="eastAsia" w:ascii="仿宋_GB2312" w:eastAsia="仿宋_GB2312"/>
                <w:color w:val="000000"/>
              </w:rPr>
              <w:t>质量管理体系认证证书</w:t>
            </w:r>
            <w:bookmarkEnd w:id="36"/>
            <w:r>
              <w:rPr>
                <w:rFonts w:hint="eastAsia" w:ascii="仿宋_GB2312" w:eastAsia="仿宋_GB2312"/>
                <w:color w:val="00000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能力或业绩要求（如有）</w:t>
            </w:r>
          </w:p>
        </w:tc>
        <w:tc>
          <w:tcPr>
            <w:tcW w:w="7654" w:type="dxa"/>
            <w:tcBorders>
              <w:top w:val="single" w:color="auto" w:sz="4" w:space="0"/>
              <w:left w:val="single" w:color="auto" w:sz="4" w:space="0"/>
              <w:bottom w:val="single" w:color="auto" w:sz="4" w:space="0"/>
              <w:right w:val="single" w:color="auto" w:sz="4" w:space="0"/>
            </w:tcBorders>
            <w:vAlign w:val="center"/>
          </w:tcPr>
          <w:p>
            <w:pPr>
              <w:pStyle w:val="543"/>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投标人（或联合体牵头人）20</w:t>
            </w:r>
            <w:r>
              <w:rPr>
                <w:rFonts w:hint="eastAsia" w:ascii="仿宋_GB2312" w:eastAsia="仿宋_GB2312"/>
                <w:color w:val="000000"/>
                <w:lang w:val="en-US" w:eastAsia="zh-CN"/>
              </w:rPr>
              <w:t>22</w:t>
            </w:r>
            <w:r>
              <w:rPr>
                <w:rFonts w:hint="eastAsia" w:ascii="仿宋_GB2312" w:eastAsia="仿宋_GB2312"/>
                <w:color w:val="000000"/>
              </w:rPr>
              <w:t>年1月1日起至</w:t>
            </w:r>
            <w:bookmarkStart w:id="37" w:name="OLE_LINK1"/>
            <w:r>
              <w:rPr>
                <w:rFonts w:hint="eastAsia" w:ascii="仿宋_GB2312" w:eastAsia="仿宋_GB2312"/>
                <w:color w:val="000000"/>
              </w:rPr>
              <w:t>今</w:t>
            </w:r>
            <w:r>
              <w:rPr>
                <w:rFonts w:hint="eastAsia" w:ascii="仿宋_GB2312" w:hAnsi="仿宋_GB2312" w:eastAsia="仿宋_GB2312" w:cs="仿宋_GB2312"/>
              </w:rPr>
              <w:t>承接的同类项目</w:t>
            </w:r>
            <w:bookmarkEnd w:id="37"/>
            <w:r>
              <w:rPr>
                <w:rFonts w:hint="eastAsia" w:ascii="仿宋_GB2312" w:eastAsia="仿宋_GB2312"/>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ind w:right="-330" w:rightChars="-157"/>
              <w:rPr>
                <w:rFonts w:hint="eastAsia" w:ascii="仿宋_GB2312" w:hAnsi="宋体" w:eastAsia="仿宋_GB2312" w:cs="宋体"/>
                <w:bCs/>
                <w:color w:val="000000"/>
                <w:sz w:val="24"/>
              </w:rPr>
            </w:pPr>
            <w:r>
              <w:rPr>
                <w:rFonts w:hint="eastAsia" w:ascii="仿宋_GB2312" w:hAnsi="宋体" w:eastAsia="仿宋_GB2312"/>
                <w:b/>
                <w:bCs/>
                <w:sz w:val="24"/>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107" w:rightChars="-51"/>
              <w:jc w:val="left"/>
              <w:rPr>
                <w:rFonts w:hint="default" w:ascii="仿宋_GB2312" w:hAnsi="宋体" w:eastAsia="仿宋_GB2312" w:cs="Arial"/>
                <w:bCs/>
                <w:color w:val="000000"/>
                <w:sz w:val="24"/>
                <w:lang w:val="en-US" w:eastAsia="zh-CN"/>
              </w:rPr>
            </w:pPr>
            <w:r>
              <w:rPr>
                <w:rFonts w:hint="eastAsia" w:ascii="仿宋_GB2312" w:hAnsi="宋体" w:eastAsia="仿宋_GB2312" w:cs="Arial"/>
                <w:bCs/>
                <w:color w:val="000000"/>
                <w:sz w:val="24"/>
                <w:lang w:val="en-US" w:eastAsia="zh-CN"/>
              </w:rPr>
              <w:t>其他要求（如有）</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lang w:eastAsia="zh-CN"/>
              </w:rPr>
            </w:pPr>
            <w:r>
              <w:rPr>
                <w:rFonts w:hint="eastAsia" w:ascii="仿宋_GB2312" w:hAnsi="宋体" w:eastAsia="仿宋_GB2312" w:cs="Arial"/>
                <w:bCs/>
                <w:color w:val="000000"/>
                <w:sz w:val="24"/>
              </w:rPr>
              <w:t>踏勘：为便于投标人详细了解本项目现场环境</w:t>
            </w:r>
            <w:r>
              <w:rPr>
                <w:rFonts w:hint="eastAsia" w:ascii="仿宋_GB2312" w:hAnsi="宋体" w:eastAsia="仿宋_GB2312" w:cs="Arial"/>
                <w:bCs/>
                <w:color w:val="000000"/>
                <w:sz w:val="24"/>
                <w:lang w:eastAsia="zh-CN"/>
              </w:rPr>
              <w:t>、项目适配情况</w:t>
            </w:r>
            <w:r>
              <w:rPr>
                <w:rFonts w:hint="eastAsia" w:ascii="仿宋_GB2312" w:hAnsi="宋体" w:eastAsia="仿宋_GB2312" w:cs="Arial"/>
                <w:bCs/>
                <w:color w:val="000000"/>
                <w:sz w:val="24"/>
              </w:rPr>
              <w:t>设置现场勘察，投标人应在报价、项目实施方案中给予充分考虑。
</w:t>
            </w:r>
          </w:p>
          <w:p>
            <w:pPr>
              <w:spacing w:line="440" w:lineRule="exact"/>
              <w:ind w:right="27" w:rightChars="13"/>
              <w:jc w:val="left"/>
              <w:rPr>
                <w:rFonts w:hint="eastAsia" w:ascii="仿宋_GB2312" w:hAnsi="宋体" w:eastAsia="仿宋_GB2312" w:cs="Arial"/>
                <w:bCs/>
                <w:color w:val="000000"/>
                <w:sz w:val="24"/>
                <w:lang w:eastAsia="zh-CN"/>
              </w:rPr>
            </w:pPr>
            <w:r>
              <w:rPr>
                <w:rFonts w:hint="eastAsia" w:ascii="仿宋_GB2312" w:hAnsi="宋体" w:eastAsia="仿宋_GB2312" w:cs="Arial"/>
                <w:bCs/>
                <w:color w:val="000000"/>
                <w:sz w:val="24"/>
              </w:rPr>
              <w:t>（1）踏勘时间：请于202</w:t>
            </w:r>
            <w:r>
              <w:rPr>
                <w:rFonts w:hint="eastAsia" w:ascii="仿宋_GB2312" w:hAnsi="宋体" w:eastAsia="仿宋_GB2312" w:cs="Arial"/>
                <w:bCs/>
                <w:color w:val="000000"/>
                <w:sz w:val="24"/>
                <w:lang w:val="en-US" w:eastAsia="zh-CN"/>
              </w:rPr>
              <w:t>5</w:t>
            </w:r>
            <w:r>
              <w:rPr>
                <w:rFonts w:hint="eastAsia" w:ascii="仿宋_GB2312" w:hAnsi="宋体" w:eastAsia="仿宋_GB2312" w:cs="Arial"/>
                <w:bCs/>
                <w:color w:val="000000"/>
                <w:sz w:val="24"/>
              </w:rPr>
              <w:t>年</w:t>
            </w:r>
            <w:r>
              <w:rPr>
                <w:rFonts w:hint="eastAsia" w:ascii="仿宋_GB2312" w:hAnsi="宋体" w:eastAsia="仿宋_GB2312" w:cs="Arial"/>
                <w:bCs/>
                <w:color w:val="000000"/>
                <w:sz w:val="24"/>
                <w:lang w:val="en-US" w:eastAsia="zh-CN"/>
              </w:rPr>
              <w:t>XX</w:t>
            </w:r>
            <w:r>
              <w:rPr>
                <w:rFonts w:hint="eastAsia" w:ascii="仿宋_GB2312" w:hAnsi="宋体" w:eastAsia="仿宋_GB2312" w:cs="Arial"/>
                <w:bCs/>
                <w:color w:val="000000"/>
                <w:sz w:val="24"/>
              </w:rPr>
              <w:t>月</w:t>
            </w:r>
            <w:r>
              <w:rPr>
                <w:rFonts w:hint="eastAsia" w:ascii="仿宋_GB2312" w:hAnsi="宋体" w:eastAsia="仿宋_GB2312" w:cs="Arial"/>
                <w:bCs/>
                <w:color w:val="000000"/>
                <w:sz w:val="24"/>
                <w:lang w:val="en-US" w:eastAsia="zh-CN"/>
              </w:rPr>
              <w:t>XX</w:t>
            </w:r>
            <w:r>
              <w:rPr>
                <w:rFonts w:hint="eastAsia" w:ascii="仿宋_GB2312" w:hAnsi="宋体" w:eastAsia="仿宋_GB2312" w:cs="Arial"/>
                <w:bCs/>
                <w:color w:val="000000"/>
                <w:sz w:val="24"/>
              </w:rPr>
              <w:t>日上午10:00前到达现场；
</w:t>
            </w:r>
          </w:p>
          <w:p>
            <w:pPr>
              <w:spacing w:line="440" w:lineRule="exact"/>
              <w:ind w:right="27" w:rightChars="13"/>
              <w:jc w:val="left"/>
              <w:rPr>
                <w:rFonts w:hint="eastAsia" w:ascii="仿宋_GB2312" w:hAnsi="宋体" w:eastAsia="仿宋_GB2312" w:cs="Arial"/>
                <w:bCs/>
                <w:color w:val="000000"/>
                <w:sz w:val="24"/>
                <w:lang w:eastAsia="zh-CN"/>
              </w:rPr>
            </w:pPr>
            <w:r>
              <w:rPr>
                <w:rFonts w:hint="eastAsia" w:ascii="仿宋_GB2312" w:hAnsi="宋体" w:eastAsia="仿宋_GB2312" w:cs="Arial"/>
                <w:bCs/>
                <w:color w:val="000000"/>
                <w:sz w:val="24"/>
              </w:rPr>
              <w:t>（2）踏勘地点：广西柳州市三中路66号；
</w:t>
            </w:r>
          </w:p>
          <w:p>
            <w:pPr>
              <w:spacing w:line="440" w:lineRule="exact"/>
              <w:ind w:right="27" w:rightChars="13"/>
              <w:jc w:val="left"/>
              <w:rPr>
                <w:rFonts w:hint="eastAsia" w:ascii="仿宋_GB2312" w:hAnsi="宋体" w:eastAsia="仿宋_GB2312" w:cs="Arial"/>
                <w:bCs/>
                <w:color w:val="000000"/>
                <w:sz w:val="24"/>
                <w:lang w:eastAsia="zh-CN"/>
              </w:rPr>
            </w:pPr>
            <w:r>
              <w:rPr>
                <w:rFonts w:hint="eastAsia" w:ascii="仿宋_GB2312" w:hAnsi="宋体" w:eastAsia="仿宋_GB2312" w:cs="Arial"/>
                <w:bCs/>
                <w:color w:val="000000"/>
                <w:sz w:val="24"/>
              </w:rPr>
              <w:t>（3）联系人及电话：潘郑州</w:t>
            </w:r>
            <w:r>
              <w:rPr>
                <w:rFonts w:hint="eastAsia" w:ascii="仿宋_GB2312" w:hAnsi="宋体" w:eastAsia="仿宋_GB2312" w:cs="Arial"/>
                <w:bCs/>
                <w:color w:val="000000"/>
                <w:sz w:val="24"/>
                <w:lang w:val="en-US" w:eastAsia="zh-CN"/>
              </w:rPr>
              <w:t xml:space="preserve">，0772-2860226； </w:t>
            </w:r>
            <w:r>
              <w:rPr>
                <w:rFonts w:hint="eastAsia" w:ascii="仿宋_GB2312" w:hAnsi="宋体" w:eastAsia="仿宋_GB2312" w:cs="Arial"/>
                <w:bCs/>
                <w:color w:val="000000"/>
                <w:sz w:val="24"/>
              </w:rPr>
              <w:t>
</w:t>
            </w:r>
          </w:p>
          <w:p>
            <w:pPr>
              <w:spacing w:line="440" w:lineRule="exact"/>
              <w:ind w:right="27" w:rightChars="13"/>
              <w:jc w:val="left"/>
              <w:rPr>
                <w:rFonts w:hint="eastAsia" w:ascii="仿宋_GB2312" w:hAnsi="宋体" w:eastAsia="仿宋_GB2312" w:cs="Arial"/>
                <w:bCs/>
                <w:color w:val="000000"/>
                <w:sz w:val="24"/>
                <w:lang w:eastAsia="zh-CN"/>
              </w:rPr>
            </w:pPr>
            <w:r>
              <w:rPr>
                <w:rFonts w:hint="eastAsia" w:ascii="仿宋_GB2312" w:hAnsi="宋体" w:eastAsia="仿宋_GB2312" w:cs="Arial"/>
                <w:bCs/>
                <w:color w:val="000000"/>
                <w:sz w:val="24"/>
              </w:rPr>
              <w:t>（4）请按踏勘时间在踏勘地点集合，采购人将统一带领前来踏勘的投标人前往现场勘察，逾期不予接待</w:t>
            </w:r>
            <w:r>
              <w:rPr>
                <w:rFonts w:hint="eastAsia" w:ascii="仿宋_GB2312" w:hAnsi="宋体" w:eastAsia="仿宋_GB2312" w:cs="Arial"/>
                <w:bCs/>
                <w:color w:val="000000"/>
                <w:sz w:val="24"/>
                <w:lang w:eastAsia="zh-CN"/>
              </w:rPr>
              <w:t>。</w:t>
            </w:r>
          </w:p>
        </w:tc>
      </w:tr>
    </w:tbl>
    <w:p>
      <w:pPr>
        <w:spacing w:line="360" w:lineRule="auto"/>
        <w:rPr>
          <w:rFonts w:ascii="仿宋_GB2312" w:eastAsia="仿宋_GB2312"/>
          <w:sz w:val="24"/>
        </w:rPr>
      </w:pPr>
    </w:p>
    <w:p>
      <w:pPr>
        <w:sectPr>
          <w:pgSz w:w="11906" w:h="16838"/>
          <w:pgMar w:top="1440" w:right="1440" w:bottom="1440" w:left="1440" w:header="851" w:footer="992" w:gutter="0"/>
          <w:cols w:space="720" w:num="1"/>
          <w:docGrid w:linePitch="312" w:charSpace="0"/>
        </w:sectPr>
      </w:pPr>
    </w:p>
    <w:p>
      <w:pPr>
        <w:pStyle w:val="4"/>
        <w:spacing w:line="276" w:lineRule="auto"/>
        <w:jc w:val="center"/>
        <w:rPr>
          <w:sz w:val="32"/>
          <w:szCs w:val="32"/>
        </w:rPr>
      </w:pPr>
      <w:bookmarkStart w:id="38" w:name="_Toc29711"/>
      <w:r>
        <w:rPr>
          <w:rFonts w:hint="eastAsia"/>
          <w:sz w:val="32"/>
          <w:szCs w:val="32"/>
        </w:rPr>
        <w:t>第三章 投标人须知</w:t>
      </w:r>
      <w:bookmarkEnd w:id="38"/>
    </w:p>
    <w:p>
      <w:pPr>
        <w:spacing w:line="276" w:lineRule="auto"/>
        <w:jc w:val="center"/>
        <w:rPr>
          <w:rFonts w:ascii="仿宋_GB2312" w:eastAsia="仿宋_GB2312"/>
          <w:b/>
          <w:sz w:val="28"/>
          <w:szCs w:val="28"/>
        </w:rPr>
      </w:pPr>
      <w:r>
        <w:rPr>
          <w:rFonts w:hint="eastAsia" w:ascii="仿宋_GB2312" w:eastAsia="仿宋_GB2312"/>
          <w:b/>
          <w:sz w:val="28"/>
          <w:szCs w:val="28"/>
        </w:rPr>
        <w:t>前附表</w:t>
      </w:r>
    </w:p>
    <w:tbl>
      <w:tblPr>
        <w:tblStyle w:val="48"/>
        <w:tblW w:w="9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line="400" w:lineRule="exact"/>
              <w:jc w:val="center"/>
              <w:rPr>
                <w:rFonts w:ascii="仿宋_GB2312" w:eastAsia="仿宋_GB2312"/>
                <w:b/>
                <w:sz w:val="24"/>
              </w:rPr>
            </w:pPr>
            <w:r>
              <w:rPr>
                <w:rFonts w:hint="eastAsia" w:ascii="仿宋_GB2312" w:eastAsia="仿宋_GB2312"/>
                <w:b/>
                <w:sz w:val="24"/>
              </w:rPr>
              <w:t>序号</w:t>
            </w:r>
          </w:p>
        </w:tc>
        <w:tc>
          <w:tcPr>
            <w:tcW w:w="8232" w:type="dxa"/>
          </w:tcPr>
          <w:p>
            <w:pPr>
              <w:spacing w:line="400" w:lineRule="exact"/>
              <w:jc w:val="center"/>
              <w:rPr>
                <w:rFonts w:ascii="仿宋_GB2312" w:eastAsia="仿宋_GB2312"/>
                <w:b/>
                <w:sz w:val="24"/>
              </w:rPr>
            </w:pPr>
            <w:r>
              <w:rPr>
                <w:rFonts w:hint="eastAsia" w:ascii="仿宋_GB2312" w:eastAsia="仿宋_GB2312"/>
                <w:b/>
                <w:sz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sz w:val="24"/>
              </w:rPr>
              <w:t>1</w:t>
            </w:r>
          </w:p>
        </w:tc>
        <w:tc>
          <w:tcPr>
            <w:tcW w:w="8232" w:type="dxa"/>
            <w:vAlign w:val="center"/>
          </w:tcPr>
          <w:p>
            <w:pPr>
              <w:spacing w:line="400" w:lineRule="exact"/>
              <w:rPr>
                <w:rFonts w:ascii="仿宋_GB2312" w:eastAsia="仿宋_GB2312"/>
                <w:sz w:val="24"/>
              </w:rPr>
            </w:pPr>
            <w:r>
              <w:rPr>
                <w:rFonts w:hint="eastAsia" w:ascii="仿宋_GB2312" w:eastAsia="仿宋_GB2312"/>
                <w:sz w:val="24"/>
              </w:rPr>
              <w:t>项目名称：</w:t>
            </w:r>
            <w:r>
              <w:rPr>
                <w:rFonts w:hint="eastAsia" w:ascii="仿宋_GB2312" w:eastAsia="仿宋_GB2312"/>
                <w:sz w:val="24"/>
                <w:lang w:val="en-US" w:eastAsia="zh-CN"/>
              </w:rPr>
              <w:t>柳州市大</w:t>
            </w:r>
            <w:r>
              <w:rPr>
                <w:rFonts w:ascii="仿宋_GB2312" w:hAnsi="宋体" w:eastAsia="仿宋_GB2312"/>
                <w:sz w:val="24"/>
              </w:rPr>
              <w:t>数据发展局</w:t>
            </w:r>
            <w:r>
              <w:rPr>
                <w:rFonts w:hint="eastAsia" w:ascii="仿宋_GB2312" w:hAnsi="宋体" w:eastAsia="仿宋_GB2312"/>
                <w:sz w:val="24"/>
                <w:lang w:val="en-US" w:eastAsia="zh-CN"/>
              </w:rPr>
              <w:t>计算机设备及软件</w:t>
            </w:r>
            <w:r>
              <w:rPr>
                <w:rFonts w:ascii="仿宋_GB2312" w:hAnsi="宋体" w:eastAsia="仿宋_GB2312"/>
                <w:sz w:val="24"/>
              </w:rPr>
              <w:t>采购</w:t>
            </w:r>
          </w:p>
          <w:p>
            <w:pPr>
              <w:spacing w:line="400" w:lineRule="exact"/>
              <w:rPr>
                <w:rFonts w:ascii="仿宋_GB2312" w:eastAsia="仿宋_GB2312"/>
                <w:sz w:val="24"/>
              </w:rPr>
            </w:pPr>
            <w:r>
              <w:rPr>
                <w:rFonts w:hint="eastAsia" w:ascii="仿宋_GB2312" w:eastAsia="仿宋_GB2312"/>
                <w:sz w:val="24"/>
              </w:rPr>
              <w:t>项目编号：LZZC2025-G1-990573-LZSZ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2</w:t>
            </w:r>
          </w:p>
        </w:tc>
        <w:tc>
          <w:tcPr>
            <w:tcW w:w="8232" w:type="dxa"/>
          </w:tcPr>
          <w:p>
            <w:pPr>
              <w:autoSpaceDE w:val="0"/>
              <w:autoSpaceDN w:val="0"/>
              <w:spacing w:line="400" w:lineRule="exact"/>
              <w:textAlignment w:val="bottom"/>
              <w:rPr>
                <w:rFonts w:ascii="仿宋_GB2312" w:eastAsia="仿宋_GB2312"/>
                <w:sz w:val="24"/>
              </w:rPr>
            </w:pPr>
            <w:r>
              <w:rPr>
                <w:rFonts w:hint="eastAsia" w:ascii="仿宋_GB2312" w:eastAsia="仿宋_GB2312"/>
                <w:sz w:val="24"/>
              </w:rPr>
              <w:t>采购资金来源：财政性资金</w:t>
            </w:r>
          </w:p>
          <w:p>
            <w:pPr>
              <w:autoSpaceDE w:val="0"/>
              <w:autoSpaceDN w:val="0"/>
              <w:spacing w:line="400" w:lineRule="exact"/>
              <w:textAlignment w:val="bottom"/>
              <w:rPr>
                <w:rFonts w:ascii="仿宋_GB2312" w:eastAsia="仿宋_GB2312"/>
                <w:sz w:val="24"/>
              </w:rPr>
            </w:pPr>
            <w:r>
              <w:rPr>
                <w:rFonts w:hint="eastAsia" w:ascii="仿宋_GB2312" w:eastAsia="仿宋_GB2312"/>
                <w:sz w:val="24"/>
              </w:rPr>
              <w:t>预算金额（人民币）：</w:t>
            </w:r>
            <w:r>
              <w:rPr>
                <w:rFonts w:ascii="仿宋_GB2312" w:eastAsia="仿宋_GB2312"/>
                <w:sz w:val="24"/>
              </w:rPr>
              <w:t>壹仟贰佰肆拾肆万伍仟贰佰元整</w:t>
            </w:r>
            <w:r>
              <w:rPr>
                <w:rFonts w:hint="eastAsia" w:ascii="仿宋_GB2312" w:eastAsia="仿宋_GB2312"/>
                <w:sz w:val="24"/>
              </w:rPr>
              <w:t>（¥</w:t>
            </w:r>
            <w:r>
              <w:rPr>
                <w:rFonts w:ascii="仿宋_GB2312" w:eastAsia="仿宋_GB2312"/>
                <w:sz w:val="24"/>
              </w:rPr>
              <w:t>12</w:t>
            </w:r>
            <w:r>
              <w:rPr>
                <w:rFonts w:hint="eastAsia" w:ascii="仿宋_GB2312" w:eastAsia="仿宋_GB2312"/>
                <w:sz w:val="24"/>
                <w:lang w:val="en-US" w:eastAsia="zh-CN"/>
              </w:rPr>
              <w:t>,</w:t>
            </w:r>
            <w:r>
              <w:rPr>
                <w:rFonts w:ascii="仿宋_GB2312" w:eastAsia="仿宋_GB2312"/>
                <w:sz w:val="24"/>
              </w:rPr>
              <w:t>445</w:t>
            </w:r>
            <w:r>
              <w:rPr>
                <w:rFonts w:hint="eastAsia" w:ascii="仿宋_GB2312" w:eastAsia="仿宋_GB2312"/>
                <w:sz w:val="24"/>
                <w:lang w:val="en-US" w:eastAsia="zh-CN"/>
              </w:rPr>
              <w:t>,</w:t>
            </w:r>
            <w:r>
              <w:rPr>
                <w:rFonts w:ascii="仿宋_GB2312" w:eastAsia="仿宋_GB2312"/>
                <w:sz w:val="24"/>
              </w:rPr>
              <w:t>200</w:t>
            </w:r>
            <w:r>
              <w:rPr>
                <w:rFonts w:hint="eastAsia" w:ascii="仿宋_GB2312" w:eastAsia="仿宋_GB2312"/>
                <w:sz w:val="24"/>
                <w:lang w:val="en-US" w:eastAsia="zh-CN"/>
              </w:rPr>
              <w:t>.00</w:t>
            </w:r>
            <w:r>
              <w:rPr>
                <w:rFonts w:hint="eastAsia" w:ascii="仿宋_GB2312" w:eastAsia="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3</w:t>
            </w:r>
          </w:p>
        </w:tc>
        <w:tc>
          <w:tcPr>
            <w:tcW w:w="8232" w:type="dxa"/>
            <w:vAlign w:val="center"/>
          </w:tcPr>
          <w:p>
            <w:pPr>
              <w:spacing w:line="400" w:lineRule="exact"/>
              <w:rPr>
                <w:rFonts w:ascii="仿宋_GB2312" w:eastAsia="仿宋_GB2312"/>
                <w:sz w:val="24"/>
              </w:rPr>
            </w:pPr>
            <w:r>
              <w:rPr>
                <w:rFonts w:hint="eastAsia" w:ascii="仿宋_GB2312" w:eastAsia="仿宋_GB2312"/>
                <w:sz w:val="24"/>
              </w:rPr>
              <w:t>投标报价及费用：</w:t>
            </w:r>
          </w:p>
          <w:p>
            <w:pPr>
              <w:spacing w:line="400" w:lineRule="exact"/>
              <w:rPr>
                <w:rFonts w:ascii="仿宋_GB2312" w:eastAsia="仿宋_GB2312"/>
                <w:sz w:val="24"/>
              </w:rPr>
            </w:pPr>
            <w:r>
              <w:rPr>
                <w:rFonts w:hint="eastAsia" w:ascii="仿宋_GB2312" w:eastAsia="仿宋_GB2312"/>
                <w:sz w:val="24"/>
              </w:rPr>
              <w:t>1.本项目投标应以人民币报价；</w:t>
            </w:r>
          </w:p>
          <w:p>
            <w:pPr>
              <w:spacing w:line="400" w:lineRule="exact"/>
              <w:rPr>
                <w:rFonts w:ascii="仿宋_GB2312" w:eastAsia="仿宋_GB2312"/>
                <w:sz w:val="24"/>
              </w:rPr>
            </w:pPr>
            <w:r>
              <w:rPr>
                <w:rFonts w:hint="eastAsia" w:ascii="仿宋_GB2312" w:eastAsia="仿宋_GB2312"/>
                <w:sz w:val="24"/>
              </w:rPr>
              <w:t>2.不论投标结果如何，投标人均应自行承担所有与投标有关的全部费用；</w:t>
            </w:r>
          </w:p>
          <w:p>
            <w:pPr>
              <w:spacing w:line="400" w:lineRule="exact"/>
              <w:rPr>
                <w:rFonts w:ascii="仿宋_GB2312" w:eastAsia="仿宋_GB2312"/>
                <w:sz w:val="24"/>
              </w:rPr>
            </w:pPr>
            <w:r>
              <w:rPr>
                <w:rFonts w:hint="eastAsia" w:ascii="仿宋_GB2312" w:eastAsia="仿宋_GB2312"/>
                <w:sz w:val="24"/>
              </w:rPr>
              <w:t>3.本次招标文件和代理服务费用全免。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4</w:t>
            </w:r>
          </w:p>
        </w:tc>
        <w:tc>
          <w:tcPr>
            <w:tcW w:w="8232" w:type="dxa"/>
            <w:vAlign w:val="center"/>
          </w:tcPr>
          <w:p>
            <w:pPr>
              <w:spacing w:line="400" w:lineRule="exact"/>
              <w:rPr>
                <w:rFonts w:ascii="仿宋_GB2312" w:eastAsia="仿宋_GB2312"/>
                <w:sz w:val="24"/>
              </w:rPr>
            </w:pPr>
            <w:r>
              <w:rPr>
                <w:rFonts w:hint="eastAsia" w:ascii="仿宋_GB2312" w:eastAsia="仿宋_GB2312"/>
                <w:sz w:val="24"/>
              </w:rPr>
              <w:t>投标保证金为：本项目无需提交投标保证金。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5</w:t>
            </w:r>
          </w:p>
        </w:tc>
        <w:tc>
          <w:tcPr>
            <w:tcW w:w="8232" w:type="dxa"/>
            <w:vAlign w:val="center"/>
          </w:tcPr>
          <w:p>
            <w:pPr>
              <w:spacing w:line="400" w:lineRule="exact"/>
              <w:rPr>
                <w:rFonts w:ascii="仿宋_GB2312" w:eastAsia="仿宋_GB2312"/>
                <w:sz w:val="24"/>
              </w:rPr>
            </w:pPr>
            <w:r>
              <w:rPr>
                <w:rFonts w:hint="eastAsia" w:ascii="仿宋_GB2312" w:hAnsi="宋体" w:eastAsia="仿宋_GB2312"/>
                <w:sz w:val="24"/>
              </w:rPr>
              <w:t>答疑与澄清：投标人如认为招标文件表述不清晰或对政府采购活动事项有疑问的，应当以书面形式向采购人提出询问、澄清；答疑内容是招标文件的组成部分，并将以书面形式送达所有已获取招标文件的投标人；采购人或采购代理机构可以视采购具体情况，延长</w:t>
            </w:r>
            <w:r>
              <w:rPr>
                <w:rFonts w:hint="eastAsia" w:ascii="仿宋_GB2312" w:eastAsia="仿宋_GB2312"/>
                <w:sz w:val="24"/>
              </w:rPr>
              <w:t>招标文件提供期限，并在财政部门指定的政府采购信息发布媒体上发布公告。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6</w:t>
            </w:r>
          </w:p>
        </w:tc>
        <w:tc>
          <w:tcPr>
            <w:tcW w:w="8232" w:type="dxa"/>
            <w:vAlign w:val="center"/>
          </w:tcPr>
          <w:p>
            <w:pPr>
              <w:pStyle w:val="582"/>
              <w:spacing w:before="0" w:beforeAutospacing="0" w:after="0" w:afterAutospacing="0" w:line="460" w:lineRule="atLeast"/>
              <w:rPr>
                <w:rFonts w:ascii="仿宋_GB2312" w:eastAsia="仿宋_GB2312"/>
                <w:color w:val="000000"/>
              </w:rPr>
            </w:pPr>
            <w:r>
              <w:rPr>
                <w:rStyle w:val="583"/>
                <w:rFonts w:hint="eastAsia" w:ascii="仿宋_GB2312" w:eastAsia="仿宋_GB2312"/>
                <w:color w:val="000000"/>
              </w:rPr>
              <w:t>电子投标文件：</w:t>
            </w:r>
            <w:r>
              <w:rPr>
                <w:rFonts w:hint="eastAsia" w:ascii="仿宋_GB2312" w:eastAsia="仿宋_GB2312"/>
                <w:b/>
                <w:bCs/>
                <w:color w:val="000000"/>
              </w:rPr>
              <w:br w:type="textWrapping"/>
            </w:r>
            <w:r>
              <w:rPr>
                <w:rStyle w:val="583"/>
                <w:rFonts w:hint="eastAsia" w:ascii="仿宋_GB2312" w:eastAsia="仿宋_GB2312"/>
                <w:color w:val="000000"/>
              </w:rPr>
              <w:t>1.投标人应按照本项目公开招标文件和广西政府采购云平台的要求，通过“广西政府采购云平台客户端”编制、加密电子投标文件，并于提交投标文件截止时间前在广西政府采购云平台上提交加密的电子投标文件。</w:t>
            </w:r>
            <w:r>
              <w:rPr>
                <w:rFonts w:hint="eastAsia" w:ascii="仿宋_GB2312" w:eastAsia="仿宋_GB2312"/>
                <w:b/>
                <w:bCs/>
                <w:color w:val="000000"/>
              </w:rPr>
              <w:br w:type="textWrapping"/>
            </w:r>
            <w:r>
              <w:rPr>
                <w:rStyle w:val="583"/>
                <w:rFonts w:hint="eastAsia" w:ascii="仿宋_GB2312" w:eastAsia="仿宋_GB2312"/>
                <w:color w:val="000000"/>
              </w:rPr>
              <w:t>2.未按规定传输提交电子投标文件的将被广西政府采购云平台拒绝。</w:t>
            </w:r>
            <w:r>
              <w:rPr>
                <w:rFonts w:hint="eastAsia" w:ascii="仿宋_GB2312" w:eastAsia="仿宋_GB2312"/>
                <w:b/>
                <w:bCs/>
                <w:color w:val="000000"/>
              </w:rPr>
              <w:br w:type="textWrapping"/>
            </w:r>
            <w:r>
              <w:rPr>
                <w:rStyle w:val="583"/>
                <w:rFonts w:hint="eastAsia" w:ascii="仿宋_GB2312" w:eastAsia="仿宋_GB2312"/>
                <w:color w:val="000000"/>
              </w:rPr>
              <w:t>3.电子投标文件成功提交后，投标人可自行打印投标文件接收回执。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7</w:t>
            </w:r>
          </w:p>
        </w:tc>
        <w:tc>
          <w:tcPr>
            <w:tcW w:w="8232" w:type="dxa"/>
            <w:vAlign w:val="center"/>
          </w:tcPr>
          <w:p>
            <w:pPr>
              <w:pStyle w:val="603"/>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投标文件提交截止时间及地点：详见公开招标公告。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8</w:t>
            </w:r>
          </w:p>
        </w:tc>
        <w:tc>
          <w:tcPr>
            <w:tcW w:w="8232" w:type="dxa"/>
            <w:vAlign w:val="center"/>
          </w:tcPr>
          <w:p>
            <w:pPr>
              <w:pStyle w:val="623"/>
              <w:spacing w:before="0" w:beforeAutospacing="0" w:after="0" w:afterAutospacing="0" w:line="460" w:lineRule="atLeast"/>
              <w:rPr>
                <w:rFonts w:ascii="仿宋_GB2312" w:eastAsia="仿宋_GB2312"/>
                <w:color w:val="000000"/>
              </w:rPr>
            </w:pPr>
            <w:r>
              <w:rPr>
                <w:rFonts w:hint="eastAsia" w:ascii="仿宋_GB2312" w:eastAsia="仿宋_GB2312"/>
                <w:color w:val="000000"/>
              </w:rPr>
              <w:t>开标时间：详见公开招标公告。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9</w:t>
            </w:r>
          </w:p>
        </w:tc>
        <w:tc>
          <w:tcPr>
            <w:tcW w:w="8232" w:type="dxa"/>
            <w:vAlign w:val="center"/>
          </w:tcPr>
          <w:p>
            <w:pPr>
              <w:pStyle w:val="643"/>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投标文件解密时间：采购代理机构开启解密标书后30分钟内，投标人必须在此时间段内登录广西政府采购云平台，用“项目采购-开标评标”功能完成电子投标文件的解密。若投标人在规定时间内未按时解密的，视为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10</w:t>
            </w:r>
          </w:p>
        </w:tc>
        <w:tc>
          <w:tcPr>
            <w:tcW w:w="8232" w:type="dxa"/>
            <w:vAlign w:val="center"/>
          </w:tcPr>
          <w:p>
            <w:pPr>
              <w:pStyle w:val="663"/>
              <w:spacing w:before="0" w:beforeAutospacing="0" w:after="0" w:afterAutospacing="0" w:line="460" w:lineRule="atLeast"/>
              <w:rPr>
                <w:rFonts w:ascii="仿宋_GB2312" w:eastAsia="仿宋_GB2312"/>
                <w:color w:val="000000"/>
              </w:rPr>
            </w:pPr>
            <w:r>
              <w:rPr>
                <w:rFonts w:hint="eastAsia" w:ascii="仿宋_GB2312" w:eastAsia="仿宋_GB2312"/>
                <w:color w:val="000000"/>
              </w:rPr>
              <w:t>评标方法：综合评分法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11</w:t>
            </w:r>
          </w:p>
        </w:tc>
        <w:tc>
          <w:tcPr>
            <w:tcW w:w="8232" w:type="dxa"/>
            <w:vAlign w:val="center"/>
          </w:tcPr>
          <w:p>
            <w:pPr>
              <w:pStyle w:val="683"/>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发布媒体：中国政府采购网（www.ccgp.gov.cn）、广西壮族自治区政府采购网（zfcg.gxzf.gov.cn）、柳州市政府采购网（zfcg.lzscz.liuzhou.gov.cn）。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12</w:t>
            </w:r>
          </w:p>
        </w:tc>
        <w:tc>
          <w:tcPr>
            <w:tcW w:w="8232" w:type="dxa"/>
            <w:vAlign w:val="center"/>
          </w:tcPr>
          <w:p>
            <w:pPr>
              <w:pStyle w:val="703"/>
              <w:spacing w:before="0" w:beforeAutospacing="0" w:after="0" w:afterAutospacing="0" w:line="460" w:lineRule="atLeast"/>
              <w:rPr>
                <w:rFonts w:ascii="仿宋_GB2312" w:eastAsia="仿宋_GB2312"/>
                <w:color w:val="000000"/>
              </w:rPr>
            </w:pPr>
            <w:r>
              <w:rPr>
                <w:rStyle w:val="704"/>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704"/>
                <w:rFonts w:hint="eastAsia" w:ascii="仿宋_GB2312" w:eastAsia="仿宋_GB2312"/>
                <w:color w:val="000000"/>
              </w:rPr>
              <w:t>二、甄别方式：</w:t>
            </w:r>
            <w:r>
              <w:rPr>
                <w:rFonts w:hint="eastAsia" w:ascii="仿宋_GB2312" w:eastAsia="仿宋_GB2312"/>
                <w:b/>
                <w:bCs/>
                <w:color w:val="000000"/>
              </w:rPr>
              <w:br w:type="textWrapping"/>
            </w:r>
            <w:r>
              <w:rPr>
                <w:rStyle w:val="704"/>
                <w:rFonts w:hint="eastAsia" w:ascii="仿宋_GB2312" w:eastAsia="仿宋_GB2312"/>
                <w:color w:val="000000"/>
              </w:rPr>
              <w:t>1.在本项目资格性审查时，采购人将对投标人信用进行查询，并按照以上信用信息使用规则处理；</w:t>
            </w:r>
            <w:r>
              <w:rPr>
                <w:rFonts w:hint="eastAsia" w:ascii="仿宋_GB2312" w:eastAsia="仿宋_GB2312"/>
                <w:b/>
                <w:bCs/>
                <w:color w:val="000000"/>
              </w:rPr>
              <w:br w:type="textWrapping"/>
            </w:r>
            <w:r>
              <w:rPr>
                <w:rStyle w:val="704"/>
                <w:rFonts w:hint="eastAsia" w:ascii="仿宋_GB2312" w:eastAsia="仿宋_GB2312"/>
                <w:color w:val="000000"/>
              </w:rPr>
              <w:t>2.在中标通知书发出前，采购人或者采购代理机构将对中标人信用进行查询，并按照以上信用信息使用规则处理；</w:t>
            </w:r>
            <w:r>
              <w:rPr>
                <w:rFonts w:hint="eastAsia" w:ascii="仿宋_GB2312" w:eastAsia="仿宋_GB2312"/>
                <w:b/>
                <w:bCs/>
                <w:color w:val="000000"/>
              </w:rPr>
              <w:br w:type="textWrapping"/>
            </w:r>
            <w:r>
              <w:rPr>
                <w:rStyle w:val="704"/>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13</w:t>
            </w:r>
          </w:p>
        </w:tc>
        <w:tc>
          <w:tcPr>
            <w:tcW w:w="8232" w:type="dxa"/>
            <w:vAlign w:val="center"/>
          </w:tcPr>
          <w:p>
            <w:pPr>
              <w:pStyle w:val="724"/>
              <w:spacing w:before="0" w:beforeAutospacing="0" w:after="0" w:afterAutospacing="0" w:line="460" w:lineRule="atLeast"/>
              <w:rPr>
                <w:rFonts w:ascii="仿宋_GB2312" w:eastAsia="仿宋_GB2312"/>
                <w:color w:val="000000"/>
              </w:rPr>
            </w:pPr>
            <w:r>
              <w:rPr>
                <w:rFonts w:hint="eastAsia" w:ascii="仿宋_GB2312" w:eastAsia="仿宋_GB2312"/>
                <w:color w:val="000000"/>
              </w:rPr>
              <w:t>中标公告及中标通知书：采购代理机构在采购人依法确认中标人后两个工作日内发布中标公告和中标通知书。</w:t>
            </w:r>
            <w:r>
              <w:rPr>
                <w:rFonts w:hint="eastAsia" w:ascii="仿宋_GB2312" w:eastAsia="仿宋_GB2312"/>
                <w:color w:val="000000"/>
              </w:rPr>
              <w:br w:type="textWrapping"/>
            </w:r>
            <w:r>
              <w:rPr>
                <w:rStyle w:val="725"/>
                <w:rFonts w:hint="eastAsia" w:ascii="仿宋_GB2312" w:eastAsia="仿宋_GB2312"/>
                <w:color w:val="000000"/>
              </w:rPr>
              <w:t>根据《柳州市财政局 人民银行柳州市中心支行 关于进一步做好线上“政采贷”融资工作的通知》（柳财采〔2022〕19号），供应商可凭中标通知书、政府采购合同，通过中征应收账款融资服务平台向银行在线申请“政采贷”融资。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14</w:t>
            </w:r>
          </w:p>
        </w:tc>
        <w:tc>
          <w:tcPr>
            <w:tcW w:w="8232" w:type="dxa"/>
            <w:vAlign w:val="center"/>
          </w:tcPr>
          <w:p>
            <w:pPr>
              <w:pStyle w:val="745"/>
              <w:spacing w:before="0" w:beforeAutospacing="0" w:after="0" w:afterAutospacing="0" w:line="460" w:lineRule="atLeast"/>
              <w:rPr>
                <w:rFonts w:ascii="仿宋_GB2312" w:eastAsia="仿宋_GB2312"/>
                <w:color w:val="000000"/>
              </w:rPr>
            </w:pPr>
            <w:r>
              <w:rPr>
                <w:rStyle w:val="746"/>
                <w:rFonts w:hint="eastAsia" w:ascii="仿宋_GB2312" w:eastAsia="仿宋_GB2312"/>
                <w:color w:val="000000"/>
              </w:rPr>
              <w:t>签订合同时间：中标通知书发出后</w:t>
            </w:r>
            <w:r>
              <w:rPr>
                <w:rStyle w:val="746"/>
                <w:rFonts w:hint="eastAsia" w:ascii="仿宋_GB2312" w:eastAsia="仿宋_GB2312"/>
                <w:color w:val="000000"/>
                <w:u w:val="single"/>
              </w:rPr>
              <w:t>25</w:t>
            </w:r>
            <w:r>
              <w:rPr>
                <w:rStyle w:val="746"/>
                <w:rFonts w:hint="eastAsia" w:ascii="仿宋_GB2312" w:eastAsia="仿宋_GB2312"/>
                <w:color w:val="000000"/>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15</w:t>
            </w:r>
          </w:p>
        </w:tc>
        <w:tc>
          <w:tcPr>
            <w:tcW w:w="8232" w:type="dxa"/>
            <w:vAlign w:val="center"/>
          </w:tcPr>
          <w:p>
            <w:pPr>
              <w:pStyle w:val="766"/>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投标文件有效期：投标截止日期后</w:t>
            </w:r>
            <w:r>
              <w:rPr>
                <w:rFonts w:hint="eastAsia" w:ascii="仿宋_GB2312" w:eastAsia="仿宋_GB2312"/>
                <w:color w:val="000000"/>
                <w:u w:val="single"/>
              </w:rPr>
              <w:t>不得少于90天</w:t>
            </w:r>
            <w:r>
              <w:rPr>
                <w:rFonts w:hint="eastAsia" w:ascii="仿宋_GB2312" w:eastAsia="仿宋_GB2312"/>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16</w:t>
            </w:r>
          </w:p>
        </w:tc>
        <w:tc>
          <w:tcPr>
            <w:tcW w:w="8232" w:type="dxa"/>
            <w:vAlign w:val="center"/>
          </w:tcPr>
          <w:p>
            <w:pPr>
              <w:pStyle w:val="786"/>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解释：本招标文件的解释权属于采购代理机构。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17</w:t>
            </w:r>
          </w:p>
        </w:tc>
        <w:tc>
          <w:tcPr>
            <w:tcW w:w="8232" w:type="dxa"/>
            <w:vAlign w:val="center"/>
          </w:tcPr>
          <w:p>
            <w:pPr>
              <w:pStyle w:val="806"/>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文件内容中涉及商业秘密的部分，未注明的视为投标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18</w:t>
            </w:r>
          </w:p>
        </w:tc>
        <w:tc>
          <w:tcPr>
            <w:tcW w:w="8232" w:type="dxa"/>
            <w:vAlign w:val="center"/>
          </w:tcPr>
          <w:p>
            <w:pPr>
              <w:pStyle w:val="826"/>
              <w:spacing w:before="0" w:beforeAutospacing="0" w:after="0" w:afterAutospacing="0" w:line="460" w:lineRule="atLeast"/>
              <w:rPr>
                <w:rFonts w:ascii="仿宋_GB2312" w:eastAsia="仿宋_GB2312"/>
                <w:color w:val="000000"/>
              </w:rPr>
            </w:pPr>
            <w:r>
              <w:rPr>
                <w:rFonts w:hint="eastAsia" w:ascii="仿宋_GB2312" w:eastAsia="仿宋_GB2312"/>
                <w:color w:val="000000"/>
              </w:rPr>
              <w:t>1.本招标文件中描述投标人的“公章”是指投标人的CA电子签章。</w:t>
            </w:r>
            <w:r>
              <w:rPr>
                <w:rFonts w:hint="eastAsia" w:ascii="仿宋_GB2312" w:eastAsia="仿宋_GB2312"/>
                <w:color w:val="000000"/>
              </w:rPr>
              <w:br w:type="textWrapping"/>
            </w:r>
            <w:r>
              <w:rPr>
                <w:rFonts w:hint="eastAsia" w:ascii="仿宋_GB2312" w:eastAsia="仿宋_GB2312"/>
                <w:color w:val="000000"/>
              </w:rPr>
              <w:t>2.本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p>
        </w:tc>
      </w:tr>
    </w:tbl>
    <w:p>
      <w:pPr>
        <w:spacing w:line="360" w:lineRule="auto"/>
        <w:jc w:val="center"/>
        <w:rPr>
          <w:b/>
          <w:sz w:val="32"/>
          <w:szCs w:val="32"/>
        </w:rPr>
        <w:sectPr>
          <w:pgSz w:w="11906" w:h="16838"/>
          <w:pgMar w:top="1440" w:right="1440" w:bottom="1440" w:left="1440" w:header="851" w:footer="992" w:gutter="0"/>
          <w:cols w:space="720" w:num="1"/>
          <w:docGrid w:linePitch="312" w:charSpace="0"/>
        </w:sectPr>
      </w:pPr>
    </w:p>
    <w:p>
      <w:pPr>
        <w:spacing w:line="360" w:lineRule="auto"/>
        <w:jc w:val="center"/>
        <w:rPr>
          <w:b/>
          <w:sz w:val="32"/>
          <w:szCs w:val="32"/>
        </w:rPr>
      </w:pPr>
      <w:r>
        <w:rPr>
          <w:rFonts w:hint="eastAsia"/>
          <w:b/>
          <w:sz w:val="32"/>
          <w:szCs w:val="32"/>
        </w:rPr>
        <w:t>投标人须知</w:t>
      </w:r>
    </w:p>
    <w:p>
      <w:pPr>
        <w:spacing w:line="300" w:lineRule="exact"/>
        <w:jc w:val="center"/>
        <w:rPr>
          <w:b/>
          <w:sz w:val="32"/>
          <w:szCs w:val="32"/>
        </w:rPr>
      </w:pPr>
    </w:p>
    <w:p>
      <w:pPr>
        <w:pStyle w:val="26"/>
        <w:snapToGrid w:val="0"/>
        <w:spacing w:line="360" w:lineRule="exact"/>
        <w:ind w:right="-330" w:rightChars="-157"/>
        <w:rPr>
          <w:rFonts w:hint="eastAsia" w:ascii="仿宋_GB2312" w:hAnsi="宋体" w:eastAsia="仿宋_GB2312"/>
          <w:b/>
          <w:sz w:val="24"/>
          <w:szCs w:val="24"/>
        </w:rPr>
      </w:pPr>
      <w:r>
        <w:rPr>
          <w:rFonts w:hint="eastAsia" w:ascii="仿宋_GB2312" w:hAnsi="宋体" w:eastAsia="仿宋_GB2312"/>
          <w:b/>
          <w:sz w:val="24"/>
          <w:szCs w:val="24"/>
        </w:rPr>
        <w:t>一、总  则</w:t>
      </w:r>
    </w:p>
    <w:p>
      <w:pPr>
        <w:snapToGrid w:val="0"/>
        <w:spacing w:line="360" w:lineRule="exact"/>
        <w:ind w:right="-330" w:rightChars="-157" w:firstLine="472" w:firstLineChars="196"/>
        <w:jc w:val="left"/>
        <w:outlineLvl w:val="1"/>
        <w:rPr>
          <w:rFonts w:ascii="仿宋_GB2312" w:eastAsia="仿宋_GB2312"/>
          <w:b/>
          <w:sz w:val="24"/>
        </w:rPr>
      </w:pPr>
      <w:bookmarkStart w:id="39" w:name="_Toc254970668"/>
      <w:bookmarkStart w:id="40" w:name="_Toc254970527"/>
      <w:r>
        <w:rPr>
          <w:rFonts w:hint="eastAsia" w:ascii="仿宋_GB2312" w:eastAsia="仿宋_GB2312"/>
          <w:b/>
          <w:sz w:val="24"/>
        </w:rPr>
        <w:t>1. 适用范围</w:t>
      </w:r>
      <w:bookmarkEnd w:id="39"/>
      <w:bookmarkEnd w:id="40"/>
    </w:p>
    <w:p>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1.1本招标文件适用于</w:t>
      </w:r>
      <w:r>
        <w:rPr>
          <w:rFonts w:hint="eastAsia" w:ascii="仿宋_GB2312" w:hAnsi="宋体" w:eastAsia="仿宋_GB2312"/>
          <w:bCs/>
          <w:sz w:val="24"/>
          <w:szCs w:val="24"/>
          <w:u w:val="single"/>
          <w:lang w:val="en-US" w:eastAsia="zh-CN"/>
        </w:rPr>
        <w:t>柳州市大</w:t>
      </w:r>
      <w:r>
        <w:rPr>
          <w:rFonts w:hint="eastAsia" w:ascii="仿宋_GB2312" w:hAnsi="宋体" w:eastAsia="仿宋_GB2312"/>
          <w:sz w:val="24"/>
          <w:u w:val="single"/>
        </w:rPr>
        <w:t>数据发展局</w:t>
      </w:r>
      <w:r>
        <w:rPr>
          <w:rFonts w:hint="eastAsia" w:ascii="仿宋_GB2312" w:hAnsi="宋体" w:eastAsia="仿宋_GB2312"/>
          <w:sz w:val="24"/>
          <w:u w:val="single"/>
          <w:lang w:val="en-US" w:eastAsia="zh-CN"/>
        </w:rPr>
        <w:t>计算机设备及软件</w:t>
      </w:r>
      <w:r>
        <w:rPr>
          <w:rFonts w:hint="eastAsia" w:ascii="仿宋_GB2312" w:hAnsi="宋体" w:eastAsia="仿宋_GB2312"/>
          <w:sz w:val="24"/>
          <w:u w:val="single"/>
        </w:rPr>
        <w:t>采购</w:t>
      </w:r>
      <w:r>
        <w:rPr>
          <w:rFonts w:hint="eastAsia" w:ascii="仿宋_GB2312" w:hAnsi="宋体" w:eastAsia="仿宋_GB2312"/>
          <w:bCs/>
          <w:sz w:val="24"/>
          <w:szCs w:val="24"/>
        </w:rPr>
        <w:t>项目的招标、投标、评标、定标、验收、合同履约、付款等行为（法律、法规另有规定的，从其规定）。</w:t>
      </w:r>
    </w:p>
    <w:p>
      <w:pPr>
        <w:snapToGrid w:val="0"/>
        <w:spacing w:line="360" w:lineRule="exact"/>
        <w:ind w:right="-330" w:rightChars="-157" w:firstLine="354" w:firstLineChars="147"/>
        <w:jc w:val="left"/>
        <w:outlineLvl w:val="1"/>
        <w:rPr>
          <w:rFonts w:ascii="仿宋_GB2312" w:eastAsia="仿宋_GB2312"/>
          <w:b/>
          <w:sz w:val="24"/>
        </w:rPr>
      </w:pPr>
      <w:bookmarkStart w:id="41" w:name="_Toc254970528"/>
      <w:bookmarkStart w:id="42" w:name="_Toc254970669"/>
      <w:r>
        <w:rPr>
          <w:rFonts w:hint="eastAsia" w:ascii="仿宋_GB2312" w:eastAsia="仿宋_GB2312"/>
          <w:b/>
          <w:sz w:val="24"/>
        </w:rPr>
        <w:t>2.定义</w:t>
      </w:r>
      <w:bookmarkEnd w:id="41"/>
      <w:bookmarkEnd w:id="42"/>
    </w:p>
    <w:p>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2.1“采购人”是指：</w:t>
      </w:r>
      <w:r>
        <w:rPr>
          <w:rFonts w:hint="eastAsia" w:ascii="仿宋_GB2312" w:hAnsi="宋体" w:eastAsia="仿宋_GB2312"/>
          <w:bCs/>
          <w:sz w:val="24"/>
          <w:szCs w:val="24"/>
          <w:u w:val="single"/>
          <w:lang w:val="en-US" w:eastAsia="zh-CN"/>
        </w:rPr>
        <w:t>柳州市</w:t>
      </w:r>
      <w:r>
        <w:rPr>
          <w:rFonts w:hint="eastAsia" w:ascii="仿宋_GB2312" w:hAnsi="宋体" w:eastAsia="仿宋_GB2312"/>
          <w:sz w:val="24"/>
          <w:u w:val="single"/>
        </w:rPr>
        <w:t>大数据发展局</w:t>
      </w:r>
      <w:r>
        <w:rPr>
          <w:rFonts w:hint="eastAsia" w:ascii="仿宋_GB2312" w:hAnsi="宋体" w:eastAsia="仿宋_GB2312"/>
          <w:bCs/>
          <w:sz w:val="24"/>
          <w:szCs w:val="24"/>
        </w:rPr>
        <w:t>；“采购代理机构”是指</w:t>
      </w:r>
      <w:r>
        <w:rPr>
          <w:rFonts w:hint="eastAsia" w:ascii="仿宋_GB2312" w:hAnsi="宋体" w:eastAsia="仿宋_GB2312"/>
          <w:bCs/>
          <w:sz w:val="24"/>
          <w:szCs w:val="24"/>
          <w:u w:val="single"/>
        </w:rPr>
        <w:t>柳州市政府集中采购中心</w:t>
      </w:r>
      <w:r>
        <w:rPr>
          <w:rFonts w:hint="eastAsia" w:ascii="仿宋_GB2312" w:hAnsi="宋体" w:eastAsia="仿宋_GB2312"/>
          <w:bCs/>
          <w:sz w:val="24"/>
          <w:szCs w:val="24"/>
        </w:rPr>
        <w:t>。</w:t>
      </w:r>
    </w:p>
    <w:p>
      <w:pPr>
        <w:pStyle w:val="26"/>
        <w:snapToGrid w:val="0"/>
        <w:spacing w:line="360" w:lineRule="exact"/>
        <w:ind w:right="-330" w:rightChars="-157" w:firstLine="480" w:firstLineChars="200"/>
        <w:rPr>
          <w:rFonts w:hint="eastAsia" w:ascii="仿宋_GB2312" w:hAnsi="宋体" w:eastAsia="仿宋_GB2312"/>
          <w:bCs/>
          <w:sz w:val="24"/>
          <w:szCs w:val="24"/>
        </w:rPr>
      </w:pPr>
      <w:bookmarkStart w:id="43" w:name="_Hlk93681432"/>
      <w:r>
        <w:rPr>
          <w:rFonts w:hint="eastAsia" w:ascii="仿宋_GB2312" w:hAnsi="宋体" w:eastAsia="仿宋_GB2312"/>
          <w:bCs/>
          <w:sz w:val="24"/>
          <w:szCs w:val="24"/>
        </w:rPr>
        <w:t>2.2“投标人”系指响应本公开招标文件要求，参加投标的法人或其他组织或自然人。如果该投标人在本次投标中中标，即成为“中标人”。</w:t>
      </w:r>
    </w:p>
    <w:p>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2.3“产品”系指投标人按招标文件规定，须向采购人提供的一切设备（含安装）、保险、税金、备品备件、工具、手册及其它有关技术资料和材料。</w:t>
      </w:r>
    </w:p>
    <w:bookmarkEnd w:id="43"/>
    <w:p>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2.4“服务”系指招标文件规定投标人须承担的安装、调试、技术协助、校准、培训、技术指导以及其他类似的义务。</w:t>
      </w:r>
    </w:p>
    <w:p>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2.5“项目”系指投标人按招标文件规定向采购人提供的产品和服务。</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2.6“签字”系指投标人的法定代表人或授权委托代理人的电子签名或电子签章或手写签名或盖章，表示同意、认可、承担责任或义务的行为。</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2.7“电子投标文件”系指完整的投标文件，内容包括资格文件、报价要求文件、商务技术文件。</w:t>
      </w:r>
    </w:p>
    <w:p>
      <w:pPr>
        <w:pStyle w:val="26"/>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2.8“</w:t>
      </w:r>
      <w:r>
        <w:rPr>
          <w:rFonts w:hint="eastAsia" w:ascii="仿宋_GB2312" w:hAnsi="仿宋_GB2312" w:eastAsia="仿宋_GB2312" w:cs="仿宋_GB2312"/>
          <w:kern w:val="0"/>
          <w:sz w:val="24"/>
        </w:rPr>
        <w:t>★</w:t>
      </w:r>
      <w:r>
        <w:rPr>
          <w:rFonts w:hint="eastAsia" w:ascii="仿宋_GB2312" w:hAnsi="宋体" w:eastAsia="仿宋_GB2312"/>
          <w:bCs/>
          <w:sz w:val="24"/>
        </w:rPr>
        <w:t>”系指本次采购项目“第二章 采购需求”中的实质性要求。</w:t>
      </w:r>
    </w:p>
    <w:p>
      <w:pPr>
        <w:pStyle w:val="26"/>
        <w:snapToGrid w:val="0"/>
        <w:spacing w:line="360" w:lineRule="exact"/>
        <w:ind w:right="-330" w:rightChars="-157" w:firstLine="480" w:firstLineChars="200"/>
        <w:rPr>
          <w:rFonts w:hint="eastAsia" w:ascii="仿宋_GB2312" w:hAnsi="宋体" w:eastAsia="仿宋_GB2312"/>
          <w:bCs/>
          <w:sz w:val="24"/>
          <w:szCs w:val="24"/>
        </w:rPr>
      </w:pPr>
      <w:bookmarkStart w:id="44" w:name="_Hlk93681424"/>
      <w:bookmarkStart w:id="45" w:name="_Toc254970670"/>
      <w:bookmarkStart w:id="46" w:name="_Toc254970529"/>
      <w:bookmarkStart w:id="47" w:name="_Toc254970534"/>
      <w:bookmarkStart w:id="48" w:name="_Toc254970675"/>
      <w:bookmarkStart w:id="49" w:name="_Toc254970536"/>
      <w:bookmarkStart w:id="50" w:name="_Toc254970677"/>
      <w:r>
        <w:rPr>
          <w:rFonts w:hint="eastAsia" w:ascii="仿宋_GB2312" w:hAnsi="宋体" w:eastAsia="仿宋_GB2312"/>
          <w:bCs/>
          <w:sz w:val="24"/>
          <w:szCs w:val="24"/>
        </w:rPr>
        <w:t>2.9“▲”系指本次采购的核心产品。</w:t>
      </w:r>
    </w:p>
    <w:p>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2.10公开招标文件中所称的“以上”、“以下”、“内”、“以内”、“届满”，包括本数；所称的“不满”、“不足”、“以外”，不包括本数。</w:t>
      </w:r>
    </w:p>
    <w:p>
      <w:pPr>
        <w:pStyle w:val="26"/>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2.11“法定代表人”系指投标人的法定代表人、负责人或自然人。</w:t>
      </w:r>
    </w:p>
    <w:bookmarkEnd w:id="44"/>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3.招标方式</w:t>
      </w:r>
      <w:bookmarkEnd w:id="45"/>
      <w:bookmarkEnd w:id="46"/>
    </w:p>
    <w:p>
      <w:pPr>
        <w:snapToGrid w:val="0"/>
        <w:spacing w:line="400" w:lineRule="exact"/>
        <w:ind w:firstLine="480" w:firstLineChars="200"/>
        <w:jc w:val="left"/>
        <w:rPr>
          <w:rFonts w:ascii="仿宋_GB2312" w:eastAsia="仿宋_GB2312"/>
          <w:sz w:val="24"/>
        </w:rPr>
      </w:pPr>
      <w:r>
        <w:rPr>
          <w:rFonts w:hint="eastAsia" w:ascii="仿宋_GB2312" w:eastAsia="仿宋_GB2312"/>
          <w:sz w:val="24"/>
        </w:rPr>
        <w:t>3.1公开招标方式。</w:t>
      </w:r>
    </w:p>
    <w:p>
      <w:pPr>
        <w:snapToGrid w:val="0"/>
        <w:spacing w:line="400" w:lineRule="exact"/>
        <w:ind w:firstLine="482" w:firstLineChars="200"/>
        <w:jc w:val="left"/>
        <w:rPr>
          <w:rFonts w:ascii="仿宋_GB2312" w:eastAsia="仿宋_GB2312"/>
          <w:b/>
          <w:sz w:val="24"/>
        </w:rPr>
      </w:pPr>
      <w:bookmarkStart w:id="51" w:name="_Toc254970530"/>
      <w:bookmarkStart w:id="52" w:name="_Toc254970671"/>
      <w:r>
        <w:rPr>
          <w:rFonts w:hint="eastAsia" w:ascii="仿宋_GB2312" w:eastAsia="仿宋_GB2312"/>
          <w:b/>
          <w:sz w:val="24"/>
        </w:rPr>
        <w:t>4.投标委托</w:t>
      </w:r>
      <w:bookmarkEnd w:id="51"/>
      <w:bookmarkEnd w:id="52"/>
    </w:p>
    <w:p>
      <w:pPr>
        <w:pStyle w:val="26"/>
        <w:snapToGrid w:val="0"/>
        <w:spacing w:line="400" w:lineRule="exact"/>
        <w:ind w:firstLine="480" w:firstLineChars="200"/>
        <w:rPr>
          <w:rFonts w:hint="eastAsia" w:ascii="仿宋_GB2312" w:hAnsi="宋体" w:eastAsia="仿宋_GB2312"/>
          <w:bCs/>
          <w:sz w:val="24"/>
          <w:szCs w:val="24"/>
          <w:lang w:eastAsia="zh-CN"/>
        </w:rPr>
      </w:pPr>
      <w:r>
        <w:rPr>
          <w:rFonts w:hint="eastAsia" w:ascii="仿宋_GB2312" w:hAnsi="宋体" w:eastAsia="仿宋_GB2312"/>
          <w:bCs/>
          <w:sz w:val="24"/>
          <w:szCs w:val="24"/>
        </w:rPr>
        <w:t>4.1</w:t>
      </w:r>
      <w:bookmarkStart w:id="53" w:name="_Toc254970531"/>
      <w:bookmarkStart w:id="54" w:name="_Toc254970672"/>
      <w:r>
        <w:rPr>
          <w:rFonts w:hint="eastAsia" w:ascii="仿宋_GB2312" w:hAnsi="宋体" w:eastAsia="仿宋_GB2312"/>
          <w:bCs/>
          <w:sz w:val="24"/>
          <w:szCs w:val="24"/>
        </w:rPr>
        <w:t>如投标人代表不是法定代表人，须有法定代表人出具的授权委托书（格式见第六章投标文件格式）。联合体牵头人代表须</w:t>
      </w:r>
      <w:r>
        <w:rPr>
          <w:rFonts w:hint="eastAsia" w:ascii="仿宋_GB2312" w:hAnsi="宋体" w:eastAsia="仿宋_GB2312"/>
          <w:bCs/>
          <w:sz w:val="24"/>
          <w:szCs w:val="24"/>
          <w:lang w:val="en-US" w:eastAsia="zh-CN"/>
        </w:rPr>
        <w:t>提供本人有效的居民身份证和</w:t>
      </w:r>
      <w:r>
        <w:rPr>
          <w:rFonts w:hint="eastAsia" w:ascii="仿宋_GB2312" w:hAnsi="宋体" w:eastAsia="仿宋_GB2312"/>
          <w:bCs/>
          <w:sz w:val="24"/>
          <w:szCs w:val="24"/>
        </w:rPr>
        <w:t>《联合</w:t>
      </w:r>
      <w:r>
        <w:rPr>
          <w:rFonts w:hint="eastAsia" w:ascii="仿宋_GB2312" w:hAnsi="宋体" w:eastAsia="仿宋_GB2312"/>
          <w:bCs/>
          <w:sz w:val="24"/>
          <w:szCs w:val="24"/>
          <w:lang w:val="en-US" w:eastAsia="zh-CN"/>
        </w:rPr>
        <w:t>体</w:t>
      </w:r>
      <w:r>
        <w:rPr>
          <w:rFonts w:hint="eastAsia" w:ascii="仿宋_GB2312" w:hAnsi="宋体" w:eastAsia="仿宋_GB2312"/>
          <w:bCs/>
          <w:sz w:val="24"/>
          <w:szCs w:val="24"/>
        </w:rPr>
        <w:t>投标协议书》（格式见第六章投标文件格式）；如联合体牵头人代表不是法定代表人，须有牵头人法定代表人出具的授权委托书和《联合</w:t>
      </w:r>
      <w:r>
        <w:rPr>
          <w:rFonts w:hint="eastAsia" w:ascii="仿宋_GB2312" w:hAnsi="宋体" w:eastAsia="仿宋_GB2312"/>
          <w:bCs/>
          <w:sz w:val="24"/>
          <w:szCs w:val="24"/>
          <w:lang w:val="en-US" w:eastAsia="zh-CN"/>
        </w:rPr>
        <w:t>体</w:t>
      </w:r>
      <w:r>
        <w:rPr>
          <w:rFonts w:hint="eastAsia" w:ascii="仿宋_GB2312" w:hAnsi="宋体" w:eastAsia="仿宋_GB2312"/>
          <w:bCs/>
          <w:sz w:val="24"/>
          <w:szCs w:val="24"/>
        </w:rPr>
        <w:t>投标协议书》（格式见第六章投标文件格式）</w:t>
      </w:r>
      <w:r>
        <w:rPr>
          <w:rFonts w:hint="eastAsia" w:ascii="仿宋_GB2312" w:hAnsi="宋体" w:eastAsia="仿宋_GB2312"/>
          <w:bCs/>
          <w:sz w:val="24"/>
          <w:szCs w:val="24"/>
          <w:lang w:eastAsia="zh-CN"/>
        </w:rPr>
        <w:t>。</w:t>
      </w:r>
    </w:p>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5.投标费用</w:t>
      </w:r>
      <w:bookmarkEnd w:id="53"/>
      <w:bookmarkEnd w:id="54"/>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5.1投标人均应自行承担所有与投标有关的全部费用（招标文件有相关规定的除外）。</w:t>
      </w:r>
    </w:p>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6.联合体投标</w:t>
      </w:r>
    </w:p>
    <w:p>
      <w:pPr>
        <w:snapToGrid w:val="0"/>
        <w:spacing w:line="400" w:lineRule="exact"/>
        <w:ind w:firstLine="420"/>
        <w:jc w:val="left"/>
        <w:rPr>
          <w:rFonts w:hint="eastAsia" w:ascii="仿宋_GB2312" w:eastAsia="仿宋_GB2312"/>
          <w:sz w:val="24"/>
        </w:rPr>
      </w:pPr>
      <w:r>
        <w:rPr>
          <w:rFonts w:hint="eastAsia" w:ascii="仿宋_GB2312" w:eastAsia="仿宋_GB2312"/>
          <w:sz w:val="24"/>
        </w:rPr>
        <w:t>6.1本项目</w:t>
      </w:r>
      <w:r>
        <w:rPr>
          <w:rFonts w:hint="eastAsia" w:ascii="仿宋_GB2312" w:eastAsia="仿宋_GB2312"/>
          <w:sz w:val="24"/>
          <w:u w:val="single"/>
        </w:rPr>
        <w:t>接受</w:t>
      </w:r>
      <w:r>
        <w:rPr>
          <w:rFonts w:hint="eastAsia" w:ascii="仿宋_GB2312" w:eastAsia="仿宋_GB2312"/>
          <w:sz w:val="24"/>
        </w:rPr>
        <w:t>联合体投标。</w:t>
      </w:r>
    </w:p>
    <w:p>
      <w:pPr>
        <w:snapToGrid w:val="0"/>
        <w:spacing w:line="400" w:lineRule="atLeast"/>
        <w:ind w:firstLine="468" w:firstLineChars="195"/>
        <w:rPr>
          <w:rFonts w:hint="eastAsia" w:ascii="仿宋_GB2312" w:eastAsia="仿宋_GB2312"/>
          <w:bCs/>
          <w:color w:val="auto"/>
          <w:sz w:val="24"/>
          <w:highlight w:val="none"/>
        </w:rPr>
      </w:pPr>
      <w:r>
        <w:rPr>
          <w:rFonts w:hint="eastAsia" w:ascii="仿宋_GB2312" w:eastAsia="仿宋_GB2312"/>
          <w:bCs/>
          <w:color w:val="auto"/>
          <w:sz w:val="24"/>
          <w:highlight w:val="none"/>
        </w:rPr>
        <w:t>6.2.1两个以上自然人、法人或者其他组织可以组成一个联合体，以一个投标人的身份参与投标。</w:t>
      </w:r>
    </w:p>
    <w:p>
      <w:pPr>
        <w:snapToGrid w:val="0"/>
        <w:spacing w:line="400" w:lineRule="atLeast"/>
        <w:ind w:firstLine="468" w:firstLineChars="195"/>
        <w:rPr>
          <w:rFonts w:hint="eastAsia" w:ascii="仿宋_GB2312" w:eastAsia="仿宋_GB2312"/>
          <w:bCs/>
          <w:color w:val="auto"/>
          <w:sz w:val="24"/>
          <w:highlight w:val="none"/>
        </w:rPr>
      </w:pPr>
      <w:r>
        <w:rPr>
          <w:rFonts w:hint="eastAsia" w:ascii="仿宋_GB2312" w:eastAsia="仿宋_GB2312"/>
          <w:bCs/>
          <w:color w:val="auto"/>
          <w:sz w:val="24"/>
          <w:highlight w:val="none"/>
        </w:rPr>
        <w:t>6.2.2以联合体形式参加投标的，联合体各方均应当符合“政府采购法第二十二条第一款规定”的条件。</w:t>
      </w:r>
    </w:p>
    <w:p>
      <w:pPr>
        <w:snapToGrid w:val="0"/>
        <w:spacing w:line="400" w:lineRule="atLeast"/>
        <w:ind w:firstLine="468" w:firstLineChars="195"/>
        <w:rPr>
          <w:rFonts w:hint="eastAsia" w:ascii="仿宋_GB2312" w:eastAsia="仿宋_GB2312"/>
          <w:bCs/>
          <w:color w:val="auto"/>
          <w:sz w:val="24"/>
          <w:highlight w:val="none"/>
        </w:rPr>
      </w:pPr>
      <w:r>
        <w:rPr>
          <w:rFonts w:hint="eastAsia" w:ascii="仿宋_GB2312" w:eastAsia="仿宋_GB2312"/>
          <w:bCs/>
          <w:color w:val="auto"/>
          <w:sz w:val="24"/>
          <w:highlight w:val="none"/>
        </w:rPr>
        <w:t>6.2.3联合体各方之间应当签订《联合</w:t>
      </w:r>
      <w:r>
        <w:rPr>
          <w:rFonts w:hint="eastAsia" w:ascii="仿宋_GB2312" w:eastAsia="仿宋_GB2312"/>
          <w:bCs/>
          <w:color w:val="auto"/>
          <w:sz w:val="24"/>
          <w:highlight w:val="none"/>
          <w:lang w:val="en-US" w:eastAsia="zh-CN"/>
        </w:rPr>
        <w:t>体</w:t>
      </w:r>
      <w:r>
        <w:rPr>
          <w:rFonts w:hint="eastAsia" w:ascii="仿宋_GB2312" w:eastAsia="仿宋_GB2312"/>
          <w:bCs/>
          <w:color w:val="auto"/>
          <w:sz w:val="24"/>
          <w:highlight w:val="none"/>
        </w:rPr>
        <w:t>投标协议书》，明确约定联合体各方承担的工作和义务</w:t>
      </w:r>
      <w:r>
        <w:rPr>
          <w:rFonts w:hint="eastAsia" w:ascii="仿宋_GB2312" w:eastAsia="仿宋_GB2312"/>
          <w:bCs/>
          <w:color w:val="auto"/>
          <w:sz w:val="24"/>
          <w:highlight w:val="none"/>
          <w:lang w:eastAsia="zh-CN"/>
        </w:rPr>
        <w:t>，其中联合体牵头人代表联合体各方成员负责投标和合同实施阶段的主办、协调工作，但联合体其他成员在投标、签约与履行合同过程中，负有连带的和各自的法律责任。</w:t>
      </w:r>
      <w:r>
        <w:rPr>
          <w:rFonts w:hint="eastAsia" w:ascii="仿宋_GB2312" w:eastAsia="仿宋_GB2312"/>
          <w:bCs/>
          <w:color w:val="auto"/>
          <w:sz w:val="24"/>
          <w:highlight w:val="none"/>
        </w:rPr>
        <w:t>联合体各方签订《联合</w:t>
      </w:r>
      <w:r>
        <w:rPr>
          <w:rFonts w:hint="eastAsia" w:ascii="仿宋_GB2312" w:eastAsia="仿宋_GB2312"/>
          <w:bCs/>
          <w:color w:val="auto"/>
          <w:sz w:val="24"/>
          <w:highlight w:val="none"/>
          <w:lang w:val="en-US" w:eastAsia="zh-CN"/>
        </w:rPr>
        <w:t>体</w:t>
      </w:r>
      <w:r>
        <w:rPr>
          <w:rFonts w:hint="eastAsia" w:ascii="仿宋_GB2312" w:eastAsia="仿宋_GB2312"/>
          <w:bCs/>
          <w:color w:val="auto"/>
          <w:sz w:val="24"/>
          <w:highlight w:val="none"/>
        </w:rPr>
        <w:t>投标协议书》后，不得再以自己名义单独在同一项目（分标）中投标，也不得组成新的联合体参加同一项目（分标）投标，否则其投标无效。</w:t>
      </w:r>
    </w:p>
    <w:p>
      <w:pPr>
        <w:keepNext w:val="0"/>
        <w:keepLines w:val="0"/>
        <w:pageBreakBefore w:val="0"/>
        <w:kinsoku/>
        <w:wordWrap/>
        <w:overflowPunct/>
        <w:topLinePunct w:val="0"/>
        <w:autoSpaceDE/>
        <w:autoSpaceDN/>
        <w:bidi w:val="0"/>
        <w:snapToGrid w:val="0"/>
        <w:spacing w:line="400" w:lineRule="atLeast"/>
        <w:ind w:firstLine="470" w:firstLineChars="195"/>
        <w:textAlignment w:val="auto"/>
        <w:rPr>
          <w:rFonts w:hint="eastAsia" w:ascii="仿宋_GB2312" w:eastAsia="仿宋_GB2312"/>
          <w:b/>
          <w:bCs w:val="0"/>
          <w:color w:val="auto"/>
          <w:sz w:val="24"/>
          <w:highlight w:val="none"/>
        </w:rPr>
      </w:pPr>
      <w:r>
        <w:rPr>
          <w:rFonts w:hint="eastAsia" w:ascii="仿宋_GB2312" w:eastAsia="仿宋_GB2312"/>
          <w:b/>
          <w:bCs w:val="0"/>
          <w:color w:val="auto"/>
          <w:sz w:val="24"/>
          <w:highlight w:val="none"/>
        </w:rPr>
        <w:t>6.2.4投标联合体的业绩</w:t>
      </w:r>
      <w:r>
        <w:rPr>
          <w:rFonts w:hint="eastAsia" w:ascii="仿宋_GB2312" w:eastAsia="仿宋_GB2312"/>
          <w:b/>
          <w:bCs w:val="0"/>
          <w:color w:val="auto"/>
          <w:sz w:val="24"/>
          <w:highlight w:val="none"/>
          <w:lang w:eastAsia="zh-CN"/>
        </w:rPr>
        <w:t>、</w:t>
      </w:r>
      <w:r>
        <w:rPr>
          <w:rFonts w:hint="eastAsia" w:ascii="仿宋_GB2312" w:eastAsia="仿宋_GB2312"/>
          <w:b/>
          <w:bCs w:val="0"/>
          <w:color w:val="auto"/>
          <w:sz w:val="24"/>
          <w:highlight w:val="none"/>
        </w:rPr>
        <w:t>信誉</w:t>
      </w:r>
      <w:r>
        <w:rPr>
          <w:rFonts w:hint="eastAsia" w:ascii="仿宋_GB2312" w:eastAsia="仿宋_GB2312"/>
          <w:b/>
          <w:bCs w:val="0"/>
          <w:color w:val="auto"/>
          <w:sz w:val="24"/>
          <w:highlight w:val="none"/>
          <w:lang w:eastAsia="zh-CN"/>
        </w:rPr>
        <w:t>、</w:t>
      </w:r>
      <w:r>
        <w:rPr>
          <w:rFonts w:hint="eastAsia" w:ascii="仿宋_GB2312" w:hAnsi="宋体" w:eastAsia="仿宋_GB2312"/>
          <w:b/>
          <w:bCs w:val="0"/>
          <w:color w:val="auto"/>
          <w:sz w:val="24"/>
          <w:szCs w:val="24"/>
          <w:highlight w:val="none"/>
        </w:rPr>
        <w:t>企业认证</w:t>
      </w:r>
      <w:r>
        <w:rPr>
          <w:rFonts w:hint="eastAsia" w:ascii="仿宋_GB2312" w:hAnsi="宋体" w:eastAsia="仿宋_GB2312"/>
          <w:b/>
          <w:bCs w:val="0"/>
          <w:color w:val="auto"/>
          <w:sz w:val="24"/>
          <w:szCs w:val="24"/>
          <w:highlight w:val="none"/>
          <w:lang w:eastAsia="zh-CN"/>
        </w:rPr>
        <w:t>、人员资质</w:t>
      </w:r>
      <w:r>
        <w:rPr>
          <w:rFonts w:hint="eastAsia" w:ascii="仿宋_GB2312" w:eastAsia="仿宋_GB2312"/>
          <w:b/>
          <w:bCs w:val="0"/>
          <w:color w:val="auto"/>
          <w:sz w:val="24"/>
          <w:highlight w:val="none"/>
          <w:lang w:eastAsia="zh-CN"/>
        </w:rPr>
        <w:t>等</w:t>
      </w:r>
      <w:r>
        <w:rPr>
          <w:rFonts w:hint="eastAsia" w:ascii="仿宋_GB2312" w:eastAsia="仿宋_GB2312"/>
          <w:b/>
          <w:bCs w:val="0"/>
          <w:color w:val="auto"/>
          <w:sz w:val="24"/>
          <w:highlight w:val="none"/>
        </w:rPr>
        <w:t>按联合体主体方（或牵头</w:t>
      </w:r>
      <w:r>
        <w:rPr>
          <w:rFonts w:hint="eastAsia" w:ascii="仿宋_GB2312" w:eastAsia="仿宋_GB2312"/>
          <w:b/>
          <w:bCs w:val="0"/>
          <w:color w:val="auto"/>
          <w:sz w:val="24"/>
          <w:highlight w:val="none"/>
          <w:lang w:val="en-US" w:eastAsia="zh-CN"/>
        </w:rPr>
        <w:t>人</w:t>
      </w:r>
      <w:r>
        <w:rPr>
          <w:rFonts w:hint="eastAsia" w:ascii="仿宋_GB2312" w:eastAsia="仿宋_GB2312"/>
          <w:b/>
          <w:bCs w:val="0"/>
          <w:color w:val="auto"/>
          <w:sz w:val="24"/>
          <w:highlight w:val="none"/>
        </w:rPr>
        <w:t>）计算。</w:t>
      </w:r>
    </w:p>
    <w:p>
      <w:pPr>
        <w:keepNext w:val="0"/>
        <w:keepLines w:val="0"/>
        <w:pageBreakBefore w:val="0"/>
        <w:kinsoku/>
        <w:wordWrap/>
        <w:overflowPunct/>
        <w:topLinePunct w:val="0"/>
        <w:autoSpaceDE/>
        <w:autoSpaceDN/>
        <w:bidi w:val="0"/>
        <w:snapToGrid w:val="0"/>
        <w:spacing w:line="400" w:lineRule="atLeast"/>
        <w:ind w:firstLine="468" w:firstLineChars="195"/>
        <w:textAlignment w:val="auto"/>
        <w:rPr>
          <w:rFonts w:hint="eastAsia" w:ascii="仿宋_GB2312" w:eastAsia="仿宋_GB2312"/>
          <w:b w:val="0"/>
          <w:bCs/>
          <w:color w:val="auto"/>
          <w:sz w:val="24"/>
          <w:highlight w:val="none"/>
        </w:rPr>
      </w:pPr>
      <w:r>
        <w:rPr>
          <w:rFonts w:hint="eastAsia" w:ascii="仿宋_GB2312" w:eastAsia="仿宋_GB2312"/>
          <w:b w:val="0"/>
          <w:bCs/>
          <w:color w:val="auto"/>
          <w:sz w:val="24"/>
          <w:highlight w:val="none"/>
        </w:rPr>
        <w:t>6.2.5联合体中有同类资质的投标人按照联合体分工承担相同工作的，按资质等级较低的一方确定资质等级。</w:t>
      </w:r>
    </w:p>
    <w:p>
      <w:pPr>
        <w:pStyle w:val="31"/>
        <w:ind w:firstLine="480" w:firstLineChars="200"/>
      </w:pPr>
      <w:r>
        <w:rPr>
          <w:rFonts w:hint="eastAsia" w:ascii="仿宋_GB2312" w:eastAsia="仿宋_GB2312"/>
          <w:b w:val="0"/>
          <w:bCs/>
          <w:color w:val="auto"/>
          <w:sz w:val="24"/>
          <w:highlight w:val="none"/>
          <w:lang w:val="en-US" w:eastAsia="zh-CN"/>
        </w:rPr>
        <w:t>6.2.6以联合体形式参加政府采购活动，联合体各方均为中小企业的，联合体视同中小企业。其中，联合体各方均为小微企业的，联合体视同小微企业。</w:t>
      </w:r>
    </w:p>
    <w:p>
      <w:pPr>
        <w:snapToGrid w:val="0"/>
        <w:spacing w:line="400" w:lineRule="exact"/>
        <w:ind w:firstLine="470" w:firstLineChars="195"/>
        <w:rPr>
          <w:rFonts w:ascii="仿宋_GB2312" w:eastAsia="仿宋_GB2312"/>
          <w:b/>
          <w:kern w:val="0"/>
          <w:sz w:val="24"/>
        </w:rPr>
      </w:pPr>
      <w:r>
        <w:rPr>
          <w:rFonts w:hint="eastAsia" w:ascii="仿宋_GB2312" w:eastAsia="仿宋_GB2312"/>
          <w:b/>
          <w:sz w:val="24"/>
        </w:rPr>
        <w:t>7.</w:t>
      </w:r>
      <w:r>
        <w:rPr>
          <w:rFonts w:hint="eastAsia" w:ascii="仿宋_GB2312" w:eastAsia="仿宋_GB2312"/>
          <w:b/>
          <w:kern w:val="0"/>
          <w:sz w:val="24"/>
        </w:rPr>
        <w:t xml:space="preserve">转包与分包             </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7.1本项目不允许转包。</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7.2本项目不可以分包。</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pPr>
        <w:snapToGrid w:val="0"/>
        <w:spacing w:line="400" w:lineRule="exact"/>
        <w:ind w:firstLine="472" w:firstLineChars="196"/>
        <w:jc w:val="left"/>
        <w:outlineLvl w:val="1"/>
        <w:rPr>
          <w:rFonts w:ascii="仿宋_GB2312" w:eastAsia="仿宋_GB2312"/>
          <w:b/>
          <w:sz w:val="24"/>
        </w:rPr>
      </w:pPr>
      <w:bookmarkStart w:id="55" w:name="_Toc254970532"/>
      <w:bookmarkStart w:id="56" w:name="_Toc254970673"/>
      <w:r>
        <w:rPr>
          <w:rFonts w:hint="eastAsia" w:ascii="仿宋_GB2312" w:eastAsia="仿宋_GB2312"/>
          <w:b/>
          <w:sz w:val="24"/>
        </w:rPr>
        <w:t>8.特别说明</w:t>
      </w:r>
      <w:bookmarkEnd w:id="55"/>
      <w:bookmarkEnd w:id="56"/>
    </w:p>
    <w:p>
      <w:pPr>
        <w:pStyle w:val="26"/>
        <w:snapToGrid w:val="0"/>
        <w:spacing w:line="400" w:lineRule="exact"/>
        <w:ind w:firstLine="480" w:firstLineChars="200"/>
        <w:rPr>
          <w:rFonts w:hint="eastAsia" w:ascii="仿宋_GB2312" w:hAnsi="宋体" w:eastAsia="仿宋_GB2312"/>
          <w:bCs/>
          <w:sz w:val="24"/>
          <w:szCs w:val="24"/>
        </w:rPr>
      </w:pPr>
      <w:bookmarkStart w:id="57" w:name="_Toc254970674"/>
      <w:bookmarkStart w:id="58" w:name="_Toc254970533"/>
      <w:r>
        <w:rPr>
          <w:rFonts w:hint="eastAsia" w:ascii="仿宋_GB2312" w:hAnsi="宋体" w:eastAsia="仿宋_GB2312"/>
          <w:bCs/>
          <w:sz w:val="24"/>
          <w:szCs w:val="24"/>
        </w:rPr>
        <w:t>8.1投标人投标所使用的资格、信誉、荣誉、业绩与企业认证必须为投标人所拥有。投标人投标的采购项目负责人必须为投标人员工（或必须本投标人或其控股公司员工）。</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8.2投标人应仔细阅读招标文件的所有内容，按照招标文件的要求提交投标文件，并对所提供的全部资料的真实性承担法律责任。</w:t>
      </w:r>
    </w:p>
    <w:p>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8.3关联供应商不得参加同一合同项下的政府采购活动，否则投标文件将被视为无效：</w:t>
      </w:r>
    </w:p>
    <w:p>
      <w:pPr>
        <w:pStyle w:val="26"/>
        <w:snapToGrid w:val="0"/>
        <w:spacing w:line="400" w:lineRule="exact"/>
        <w:ind w:firstLine="480" w:firstLineChars="200"/>
        <w:outlineLvl w:val="1"/>
        <w:rPr>
          <w:rFonts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单位负责人为同一人或者存在直接控股、管理关系的不同供应商，不得参加同一合同项下的政府采购活动。</w:t>
      </w:r>
    </w:p>
    <w:p>
      <w:pPr>
        <w:pStyle w:val="26"/>
        <w:widowControl/>
        <w:snapToGrid w:val="0"/>
        <w:spacing w:line="400" w:lineRule="exact"/>
        <w:ind w:firstLine="480" w:firstLineChars="200"/>
        <w:outlineLvl w:val="1"/>
        <w:rPr>
          <w:rFonts w:hint="eastAsia"/>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57"/>
    <w:bookmarkEnd w:id="58"/>
    <w:p>
      <w:pPr>
        <w:pStyle w:val="26"/>
        <w:snapToGrid w:val="0"/>
        <w:spacing w:line="400" w:lineRule="exact"/>
        <w:ind w:firstLine="472" w:firstLineChars="196"/>
        <w:outlineLvl w:val="1"/>
        <w:rPr>
          <w:rFonts w:hint="eastAsia" w:ascii="仿宋_GB2312" w:hAnsi="宋体" w:eastAsia="仿宋_GB2312"/>
          <w:b/>
          <w:bCs/>
          <w:sz w:val="24"/>
          <w:szCs w:val="24"/>
        </w:rPr>
      </w:pPr>
      <w:r>
        <w:rPr>
          <w:rFonts w:hint="eastAsia" w:ascii="仿宋_GB2312" w:hAnsi="宋体" w:eastAsia="仿宋_GB2312"/>
          <w:b/>
          <w:bCs/>
          <w:sz w:val="24"/>
          <w:szCs w:val="24"/>
        </w:rPr>
        <w:t>9.</w:t>
      </w:r>
      <w:r>
        <w:rPr>
          <w:rFonts w:hint="eastAsia" w:ascii="仿宋_GB2312" w:hAnsi="宋体" w:eastAsia="仿宋_GB2312" w:cs="宋体"/>
          <w:b/>
          <w:sz w:val="24"/>
          <w:szCs w:val="24"/>
        </w:rPr>
        <w:t>质疑和投诉</w:t>
      </w:r>
    </w:p>
    <w:p>
      <w:pPr>
        <w:pStyle w:val="26"/>
        <w:snapToGrid w:val="0"/>
        <w:spacing w:line="400" w:lineRule="exact"/>
        <w:ind w:firstLine="482" w:firstLineChars="200"/>
        <w:rPr>
          <w:rFonts w:hint="eastAsia" w:ascii="仿宋_GB2312" w:hAnsi="宋体" w:eastAsia="仿宋_GB2312"/>
          <w:bCs/>
          <w:sz w:val="24"/>
          <w:szCs w:val="24"/>
        </w:rPr>
      </w:pPr>
      <w:r>
        <w:rPr>
          <w:rFonts w:hint="eastAsia" w:ascii="仿宋_GB2312" w:hAnsi="宋体" w:eastAsia="仿宋_GB2312"/>
          <w:b/>
          <w:sz w:val="24"/>
        </w:rPr>
        <w:t>注：投标人对电子标项目提出质疑和投诉的，应按照《政府采购质疑和投诉办法》（财政部令第94号）规定的方式提交质疑和投诉。</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9.1投标人认为招标文件、招标过程或中标结果使自己的合法权益受到损害的，可以在知道或者应知其权益受到损害之日起七个工作日内，以书面形式向采购人或采购代理机构提出质疑。权益受到损害之日是：</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9.1.1对可以质疑的采购文件提出质疑的，为收到采购文件之日或者采购文件公告期限届满之日；</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9.1.2对采购过程提出质疑的，为各采购程序环节结束之日；</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9.1.3对成交结果提出质疑的，为成交结果公告期限届满之日。</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投标人对采购人或采购代理机构的答复不满意或者采购人、采购代理机构未在规定时间内作出答复的，可以在答复期满后十五个工作日内向同级政府采购监管部门投诉。</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 xml:space="preserve">9.2采购人或采购代理机构（采购代理机构应当按照有关规定就采购人委托授权范围内的事项）在收到供应商的书面质疑后七个工作日内作出答复，但答复的内容不得涉及商业秘密。 </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9.3质疑、投诉应当采用书面形式，质疑函、投诉书均应明确阐述招标文件、招标过程或中标结果中使自己合法权益受到损害的实质性内容，提供相关事实依据和证据及其来源或线索，便于有关单位调查、答复和处理。</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9.4质疑书面要求</w:t>
      </w:r>
    </w:p>
    <w:p>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9.4.1质疑人质疑时须提交质疑</w:t>
      </w:r>
      <w:r>
        <w:rPr>
          <w:rFonts w:ascii="仿宋_GB2312" w:hAnsi="宋体" w:eastAsia="仿宋_GB2312"/>
          <w:sz w:val="24"/>
          <w:szCs w:val="24"/>
        </w:rPr>
        <w:t>函</w:t>
      </w:r>
      <w:r>
        <w:rPr>
          <w:rFonts w:hint="eastAsia" w:ascii="仿宋_GB2312" w:hAnsi="宋体" w:eastAsia="仿宋_GB2312"/>
          <w:sz w:val="24"/>
          <w:szCs w:val="24"/>
        </w:rPr>
        <w:t>和必要的证明材料</w:t>
      </w:r>
      <w:r>
        <w:rPr>
          <w:rFonts w:hint="eastAsia" w:ascii="仿宋_GB2312" w:eastAsia="仿宋_GB2312"/>
          <w:sz w:val="24"/>
        </w:rPr>
        <w:t>，</w:t>
      </w:r>
      <w:r>
        <w:rPr>
          <w:rFonts w:hint="eastAsia" w:ascii="仿宋_GB2312" w:hAnsi="宋体" w:eastAsia="仿宋_GB2312"/>
          <w:sz w:val="24"/>
          <w:szCs w:val="24"/>
        </w:rPr>
        <w:t>供应商须在法定质疑期内一次性提出针对同一采购程序环节的质疑。</w:t>
      </w:r>
      <w:r>
        <w:rPr>
          <w:rFonts w:hint="eastAsia" w:ascii="仿宋_GB2312" w:hAnsi="宋体" w:eastAsia="仿宋_GB2312"/>
          <w:bCs/>
          <w:sz w:val="24"/>
          <w:szCs w:val="24"/>
        </w:rPr>
        <w:t>质疑函至少包括下列主要内容：</w:t>
      </w:r>
    </w:p>
    <w:p>
      <w:pPr>
        <w:pStyle w:val="26"/>
        <w:numPr>
          <w:ilvl w:val="0"/>
          <w:numId w:val="4"/>
        </w:numPr>
        <w:tabs>
          <w:tab w:val="left" w:pos="1150"/>
          <w:tab w:val="left" w:pos="1350"/>
        </w:tabs>
        <w:spacing w:line="400" w:lineRule="exact"/>
        <w:rPr>
          <w:rFonts w:hint="eastAsia" w:ascii="仿宋_GB2312" w:hAnsi="宋体" w:eastAsia="仿宋_GB2312"/>
          <w:sz w:val="24"/>
          <w:szCs w:val="24"/>
        </w:rPr>
      </w:pPr>
      <w:r>
        <w:rPr>
          <w:rFonts w:hint="eastAsia" w:ascii="仿宋_GB2312" w:hAnsi="宋体" w:eastAsia="仿宋_GB2312"/>
          <w:sz w:val="24"/>
          <w:szCs w:val="24"/>
        </w:rPr>
        <w:t>供应商的姓名或名称、地址、邮编、联系人及联系电话；</w:t>
      </w:r>
    </w:p>
    <w:p>
      <w:pPr>
        <w:pStyle w:val="26"/>
        <w:numPr>
          <w:ilvl w:val="0"/>
          <w:numId w:val="4"/>
        </w:numPr>
        <w:spacing w:line="400" w:lineRule="exact"/>
        <w:rPr>
          <w:rFonts w:hint="eastAsia" w:ascii="仿宋_GB2312" w:hAnsi="宋体" w:eastAsia="仿宋_GB2312"/>
          <w:sz w:val="24"/>
          <w:szCs w:val="24"/>
        </w:rPr>
      </w:pPr>
      <w:r>
        <w:rPr>
          <w:rFonts w:hint="eastAsia" w:ascii="仿宋_GB2312" w:hAnsi="宋体" w:eastAsia="仿宋_GB2312"/>
          <w:sz w:val="24"/>
          <w:szCs w:val="24"/>
        </w:rPr>
        <w:t>质疑项目的名称、编号；</w:t>
      </w:r>
    </w:p>
    <w:p>
      <w:pPr>
        <w:pStyle w:val="26"/>
        <w:numPr>
          <w:ilvl w:val="0"/>
          <w:numId w:val="4"/>
        </w:numPr>
        <w:spacing w:line="400" w:lineRule="exact"/>
        <w:rPr>
          <w:rFonts w:hint="eastAsia" w:ascii="仿宋_GB2312" w:hAnsi="宋体" w:eastAsia="仿宋_GB2312"/>
          <w:sz w:val="24"/>
          <w:szCs w:val="24"/>
        </w:rPr>
      </w:pPr>
      <w:r>
        <w:rPr>
          <w:rFonts w:hint="eastAsia" w:ascii="仿宋_GB2312" w:hAnsi="宋体" w:eastAsia="仿宋_GB2312"/>
          <w:sz w:val="24"/>
          <w:szCs w:val="24"/>
        </w:rPr>
        <w:t>具体、明确的质疑事项和与质疑事项相关的请求；</w:t>
      </w:r>
    </w:p>
    <w:p>
      <w:pPr>
        <w:pStyle w:val="26"/>
        <w:numPr>
          <w:ilvl w:val="0"/>
          <w:numId w:val="4"/>
        </w:numPr>
        <w:spacing w:line="400" w:lineRule="exact"/>
        <w:rPr>
          <w:rFonts w:hint="eastAsia" w:ascii="仿宋_GB2312" w:hAnsi="宋体" w:eastAsia="仿宋_GB2312"/>
          <w:sz w:val="24"/>
          <w:szCs w:val="24"/>
        </w:rPr>
      </w:pPr>
      <w:r>
        <w:rPr>
          <w:rFonts w:hint="eastAsia" w:ascii="仿宋_GB2312" w:hAnsi="宋体" w:eastAsia="仿宋_GB2312"/>
          <w:sz w:val="24"/>
          <w:szCs w:val="24"/>
        </w:rPr>
        <w:t>事实依据；</w:t>
      </w:r>
    </w:p>
    <w:p>
      <w:pPr>
        <w:pStyle w:val="26"/>
        <w:numPr>
          <w:ilvl w:val="0"/>
          <w:numId w:val="4"/>
        </w:numPr>
        <w:spacing w:line="400" w:lineRule="exact"/>
        <w:rPr>
          <w:rFonts w:hint="eastAsia" w:ascii="仿宋_GB2312" w:hAnsi="宋体" w:eastAsia="仿宋_GB2312"/>
          <w:sz w:val="24"/>
          <w:szCs w:val="24"/>
        </w:rPr>
      </w:pPr>
      <w:r>
        <w:rPr>
          <w:rFonts w:hint="eastAsia" w:ascii="仿宋_GB2312" w:hAnsi="宋体" w:eastAsia="仿宋_GB2312"/>
          <w:sz w:val="24"/>
          <w:szCs w:val="24"/>
        </w:rPr>
        <w:t>必要的法律依据；</w:t>
      </w:r>
    </w:p>
    <w:p>
      <w:pPr>
        <w:pStyle w:val="26"/>
        <w:numPr>
          <w:ilvl w:val="0"/>
          <w:numId w:val="4"/>
        </w:numPr>
        <w:spacing w:line="400" w:lineRule="exact"/>
        <w:ind w:left="1025" w:hanging="590"/>
        <w:rPr>
          <w:rFonts w:hint="eastAsia" w:ascii="仿宋_GB2312" w:hAnsi="宋体" w:eastAsia="仿宋_GB2312"/>
          <w:sz w:val="24"/>
          <w:szCs w:val="24"/>
        </w:rPr>
      </w:pPr>
      <w:r>
        <w:rPr>
          <w:rFonts w:hint="eastAsia" w:ascii="仿宋_GB2312" w:hAnsi="宋体" w:eastAsia="仿宋_GB2312"/>
          <w:sz w:val="24"/>
          <w:szCs w:val="24"/>
        </w:rPr>
        <w:t>提出质疑的日期。</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供应商为自然人的，应当由本人签字；供应商为法人或者其他组织的，应当由法定代表人、主要负责人，或其授权代表签字或者盖章，并加盖公章。</w:t>
      </w:r>
    </w:p>
    <w:p>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代理人提出质疑和投诉，应当提交供应商签署的授权委托书。</w:t>
      </w:r>
      <w:r>
        <w:rPr>
          <w:rFonts w:hint="eastAsia" w:ascii="仿宋_GB2312" w:hAnsi="宋体" w:eastAsia="仿宋_GB2312"/>
          <w:bCs/>
          <w:color w:val="auto"/>
          <w:sz w:val="24"/>
          <w:szCs w:val="24"/>
          <w:highlight w:val="none"/>
        </w:rPr>
        <w:t>以联合体形式参加政府采购活动的，其投诉应当由组成联合体的所有供应商共同提出。</w:t>
      </w:r>
    </w:p>
    <w:p>
      <w:pPr>
        <w:snapToGrid w:val="0"/>
        <w:spacing w:line="400" w:lineRule="exact"/>
        <w:ind w:firstLine="480" w:firstLineChars="200"/>
        <w:jc w:val="left"/>
        <w:rPr>
          <w:rFonts w:ascii="仿宋_GB2312" w:eastAsia="仿宋_GB2312" w:cs="Courier New"/>
          <w:sz w:val="24"/>
        </w:rPr>
      </w:pPr>
      <w:r>
        <w:rPr>
          <w:rFonts w:hint="eastAsia" w:ascii="仿宋_GB2312" w:eastAsia="仿宋_GB2312" w:cs="Courier New"/>
          <w:sz w:val="24"/>
        </w:rPr>
        <w:t>9.5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9.6联系部门：柳州市政府集中采购中心监督科。</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9.7联系电话：0772-2992103。</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9.8通讯地址：广西</w:t>
      </w:r>
      <w:r>
        <w:rPr>
          <w:rFonts w:ascii="仿宋_GB2312" w:eastAsia="仿宋_GB2312" w:cs="Courier New"/>
          <w:sz w:val="24"/>
        </w:rPr>
        <w:t>柳州市三中路6</w:t>
      </w:r>
      <w:r>
        <w:rPr>
          <w:rFonts w:hint="eastAsia" w:ascii="仿宋_GB2312" w:eastAsia="仿宋_GB2312" w:cs="Courier New"/>
          <w:sz w:val="24"/>
        </w:rPr>
        <w:t>4-2</w:t>
      </w:r>
      <w:r>
        <w:rPr>
          <w:rFonts w:ascii="仿宋_GB2312" w:eastAsia="仿宋_GB2312" w:cs="Courier New"/>
          <w:sz w:val="24"/>
        </w:rPr>
        <w:t>号</w:t>
      </w:r>
      <w:r>
        <w:rPr>
          <w:rFonts w:hint="eastAsia" w:ascii="仿宋_GB2312" w:eastAsia="仿宋_GB2312" w:cs="Courier New"/>
          <w:sz w:val="24"/>
        </w:rPr>
        <w:t>。</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9.9现场提交质疑办理业务时间：工作日8时00分到12时00分，15时00分到18时 00分，业务时间以外、双休日和法定节假日不办理业务。</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9.10投诉的书面要求</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9.10.1符合《政府采购质疑和投诉办法》（财政部第94号令）要求。</w:t>
      </w:r>
    </w:p>
    <w:p>
      <w:pPr>
        <w:pStyle w:val="26"/>
        <w:snapToGrid w:val="0"/>
        <w:spacing w:line="360" w:lineRule="exact"/>
        <w:ind w:right="-330" w:rightChars="-157" w:firstLine="472" w:firstLineChars="196"/>
        <w:rPr>
          <w:rFonts w:hint="eastAsia" w:ascii="仿宋_GB2312" w:hAnsi="宋体" w:eastAsia="仿宋_GB2312"/>
          <w:b/>
          <w:sz w:val="24"/>
          <w:szCs w:val="24"/>
        </w:rPr>
      </w:pPr>
      <w:r>
        <w:rPr>
          <w:rFonts w:hint="eastAsia" w:ascii="仿宋_GB2312" w:hAnsi="宋体" w:eastAsia="仿宋_GB2312"/>
          <w:b/>
          <w:sz w:val="24"/>
          <w:szCs w:val="24"/>
        </w:rPr>
        <w:t>二、招标文件</w:t>
      </w:r>
      <w:bookmarkEnd w:id="47"/>
      <w:bookmarkEnd w:id="48"/>
    </w:p>
    <w:p>
      <w:pPr>
        <w:snapToGrid w:val="0"/>
        <w:spacing w:line="360" w:lineRule="exact"/>
        <w:ind w:right="-330" w:rightChars="-157" w:firstLine="472" w:firstLineChars="196"/>
        <w:jc w:val="left"/>
        <w:rPr>
          <w:rFonts w:hint="eastAsia" w:ascii="等线" w:hAnsi="等线" w:eastAsia="仿宋_GB2312"/>
          <w:b/>
          <w:sz w:val="24"/>
          <w:lang w:val="en-GB"/>
        </w:rPr>
      </w:pPr>
      <w:r>
        <w:rPr>
          <w:rFonts w:hint="eastAsia" w:ascii="仿宋_GB2312" w:eastAsia="仿宋_GB2312" w:cs="Courier New"/>
          <w:b/>
          <w:sz w:val="24"/>
        </w:rPr>
        <w:t>10.招标文件的构成</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（1）公开招标公告；</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（2）采购需求；</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（3）投标人须知；</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（4）评标方法及评标标准；</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（5）合同主要条款及验收书格式；</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（6）投标文件格式。</w:t>
      </w:r>
    </w:p>
    <w:p>
      <w:pPr>
        <w:snapToGrid w:val="0"/>
        <w:spacing w:line="400" w:lineRule="exact"/>
        <w:ind w:firstLine="472" w:firstLineChars="196"/>
        <w:jc w:val="left"/>
        <w:rPr>
          <w:rFonts w:ascii="仿宋_GB2312" w:eastAsia="仿宋_GB2312" w:cs="Courier New"/>
          <w:b/>
          <w:sz w:val="24"/>
        </w:rPr>
      </w:pPr>
      <w:r>
        <w:rPr>
          <w:rFonts w:hint="eastAsia" w:ascii="仿宋_GB2312" w:eastAsia="仿宋_GB2312" w:cs="Courier New"/>
          <w:b/>
          <w:sz w:val="24"/>
        </w:rPr>
        <w:t>11.投标人的风险</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11.1投标人没有按照招标文件要求提供全部资料，或者投标人没有对招标文件在各方面作出实质性响应是投标人的风险，并可能导致其投标被拒绝。</w:t>
      </w:r>
    </w:p>
    <w:p>
      <w:pPr>
        <w:snapToGrid w:val="0"/>
        <w:spacing w:line="400" w:lineRule="exact"/>
        <w:ind w:firstLine="472" w:firstLineChars="196"/>
        <w:jc w:val="left"/>
        <w:rPr>
          <w:rFonts w:ascii="仿宋_GB2312" w:eastAsia="仿宋_GB2312"/>
          <w:b/>
          <w:sz w:val="24"/>
        </w:rPr>
      </w:pPr>
      <w:r>
        <w:rPr>
          <w:rFonts w:hint="eastAsia" w:ascii="仿宋_GB2312" w:eastAsia="仿宋_GB2312" w:cs="Courier New"/>
          <w:b/>
          <w:sz w:val="24"/>
        </w:rPr>
        <w:t>12.招标文件的澄清与修改</w:t>
      </w:r>
      <w:r>
        <w:rPr>
          <w:rFonts w:hint="eastAsia" w:ascii="仿宋_GB2312" w:eastAsia="仿宋_GB2312"/>
          <w:b/>
          <w:sz w:val="24"/>
        </w:rPr>
        <w:t xml:space="preserve"> </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12.1投标人应认真阅读本招标文件，发现其中有误或有不合理要求的，投标人必须以书面形式询问采购人或采购代理机构。采购代理机构对已发出的招标文件进行必要澄清、答复、修改或补充的，应当在招标文件要求提交投标文件截止时间十五日前，在财政部门指定的政府采购信息发布媒体上发布更正公告，并以书面形式通知所有获取招标文件的供应商。该澄清或者修改的内容为招标文件的组成部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12.2采购人或采购代理机构以书面形式答复投标人询问的问题，除书面答复以外的其他澄清方式及澄清内容均无效。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12.3招标文件澄清、答复、修改、补充的内容为招标文件的组成部分。当招标文件与招标文件的答复、澄清、修改、补充通知就同一内容的表述不一致时，以最后发出的书面文件为准。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12.4招标文件的澄清、答复、修改或补充都应该通过本采购代理机构以法定形式发布，采购人非通过代理机构，不得擅自澄清、答复、修改或补充招标文件。</w:t>
      </w:r>
    </w:p>
    <w:p>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12.5</w:t>
      </w:r>
      <w:r>
        <w:rPr>
          <w:rFonts w:hint="eastAsia" w:ascii="仿宋_GB2312" w:hAnsi="宋体" w:eastAsia="仿宋_GB2312"/>
          <w:sz w:val="24"/>
        </w:rPr>
        <w:t>采购人或采购代理机构可以视采购具体情况，延长</w:t>
      </w:r>
      <w:r>
        <w:rPr>
          <w:rFonts w:hint="eastAsia" w:ascii="仿宋_GB2312" w:eastAsia="仿宋_GB2312"/>
          <w:sz w:val="24"/>
        </w:rPr>
        <w:t>招标文件提供期限，并在财政部门指定的政府采购信息发布媒体上发布公告</w:t>
      </w:r>
      <w:r>
        <w:rPr>
          <w:rFonts w:hint="eastAsia" w:ascii="仿宋_GB2312" w:eastAsia="仿宋_GB2312" w:cs="Courier New"/>
          <w:sz w:val="24"/>
        </w:rPr>
        <w:t>。</w:t>
      </w:r>
    </w:p>
    <w:p>
      <w:pPr>
        <w:snapToGrid w:val="0"/>
        <w:spacing w:line="360" w:lineRule="exact"/>
        <w:ind w:right="-330" w:rightChars="-157" w:firstLine="472" w:firstLineChars="196"/>
        <w:jc w:val="left"/>
        <w:rPr>
          <w:rFonts w:ascii="仿宋_GB2312" w:eastAsia="仿宋_GB2312" w:cs="Courier New"/>
          <w:b/>
          <w:sz w:val="24"/>
        </w:rPr>
      </w:pPr>
      <w:bookmarkStart w:id="59" w:name="_Toc254970535"/>
      <w:bookmarkStart w:id="60" w:name="_Toc254970676"/>
      <w:r>
        <w:rPr>
          <w:rFonts w:hint="eastAsia" w:ascii="仿宋_GB2312" w:eastAsia="仿宋_GB2312" w:cs="Courier New"/>
          <w:b/>
          <w:sz w:val="24"/>
        </w:rPr>
        <w:t>三、投标文件的编制</w:t>
      </w:r>
      <w:bookmarkEnd w:id="59"/>
      <w:bookmarkEnd w:id="60"/>
    </w:p>
    <w:p>
      <w:pPr>
        <w:snapToGrid w:val="0"/>
        <w:spacing w:line="360" w:lineRule="exact"/>
        <w:ind w:right="-330" w:rightChars="-157" w:firstLine="472" w:firstLineChars="196"/>
        <w:jc w:val="left"/>
        <w:rPr>
          <w:rFonts w:ascii="仿宋_GB2312" w:eastAsia="仿宋_GB2312"/>
          <w:b/>
          <w:sz w:val="24"/>
        </w:rPr>
      </w:pPr>
      <w:r>
        <w:rPr>
          <w:rFonts w:hint="eastAsia" w:ascii="仿宋_GB2312" w:eastAsia="仿宋_GB2312" w:cs="Courier New"/>
          <w:b/>
          <w:sz w:val="24"/>
        </w:rPr>
        <w:t>13.投标文件的组成</w:t>
      </w:r>
    </w:p>
    <w:p>
      <w:pPr>
        <w:snapToGrid w:val="0"/>
        <w:spacing w:line="400" w:lineRule="exact"/>
        <w:ind w:firstLine="482" w:firstLineChars="200"/>
        <w:jc w:val="left"/>
        <w:rPr>
          <w:rFonts w:ascii="仿宋_GB2312" w:eastAsia="仿宋_GB2312"/>
          <w:b/>
          <w:bCs/>
          <w:sz w:val="24"/>
        </w:rPr>
      </w:pPr>
      <w:r>
        <w:rPr>
          <w:rFonts w:hint="eastAsia" w:ascii="仿宋_GB2312" w:eastAsia="仿宋_GB2312"/>
          <w:b/>
          <w:bCs/>
          <w:sz w:val="24"/>
        </w:rPr>
        <w:t>13.1投标文件由资格文件、报价要求文件、商务技术文件三部分组成。</w:t>
      </w:r>
    </w:p>
    <w:bookmarkEnd w:id="49"/>
    <w:bookmarkEnd w:id="50"/>
    <w:p>
      <w:pPr>
        <w:snapToGrid w:val="0"/>
        <w:spacing w:line="360" w:lineRule="exact"/>
        <w:ind w:right="-330" w:rightChars="-157" w:firstLine="472" w:firstLineChars="196"/>
        <w:jc w:val="left"/>
        <w:rPr>
          <w:rFonts w:ascii="仿宋_GB2312" w:eastAsia="仿宋_GB2312" w:cs="Courier New"/>
          <w:b/>
          <w:sz w:val="24"/>
        </w:rPr>
      </w:pPr>
      <w:r>
        <w:rPr>
          <w:rFonts w:hint="eastAsia" w:ascii="仿宋_GB2312" w:eastAsia="仿宋_GB2312"/>
          <w:b/>
          <w:sz w:val="24"/>
        </w:rPr>
        <w:t>13.1.</w:t>
      </w:r>
      <w:r>
        <w:rPr>
          <w:rFonts w:ascii="仿宋_GB2312" w:eastAsia="仿宋_GB2312"/>
          <w:b/>
          <w:sz w:val="24"/>
        </w:rPr>
        <w:t>1</w:t>
      </w:r>
      <w:r>
        <w:rPr>
          <w:rFonts w:hint="eastAsia" w:ascii="仿宋_GB2312" w:eastAsia="仿宋_GB2312" w:cs="Courier New"/>
          <w:b/>
          <w:bCs/>
          <w:sz w:val="24"/>
        </w:rPr>
        <w:t>资格文件</w:t>
      </w:r>
    </w:p>
    <w:p>
      <w:pPr>
        <w:snapToGrid w:val="0"/>
        <w:spacing w:line="340" w:lineRule="exact"/>
        <w:ind w:right="-330" w:rightChars="-157" w:firstLine="472" w:firstLineChars="196"/>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注：以下各项必须提供并加盖投标人CA电子签章、按照第六章格式要求签字，否则其投标无效。</w:t>
      </w:r>
    </w:p>
    <w:p>
      <w:pPr>
        <w:pStyle w:val="841"/>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，格式见第六章，</w:t>
      </w:r>
      <w:r>
        <w:rPr>
          <w:rFonts w:hint="eastAsia" w:ascii="仿宋_GB2312" w:eastAsia="仿宋_GB2312"/>
          <w:b/>
          <w:bCs/>
          <w:color w:val="000000"/>
        </w:rPr>
        <w:t>联合体投标时，联合体牵头人提供</w:t>
      </w:r>
      <w:r>
        <w:rPr>
          <w:rFonts w:hint="eastAsia" w:ascii="仿宋_GB2312" w:eastAsia="仿宋_GB2312"/>
          <w:color w:val="000000"/>
        </w:rPr>
        <w:t>）；</w:t>
      </w:r>
    </w:p>
    <w:p>
      <w:pPr>
        <w:pStyle w:val="84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，格式见第六章</w:t>
      </w:r>
      <w:r>
        <w:rPr>
          <w:rFonts w:hint="eastAsia" w:ascii="仿宋_GB2312" w:eastAsia="仿宋_GB2312"/>
          <w:color w:val="000000"/>
          <w:lang w:eastAsia="zh-CN"/>
        </w:rPr>
        <w:t>，</w:t>
      </w:r>
      <w:r>
        <w:rPr>
          <w:rFonts w:hint="eastAsia" w:ascii="仿宋_GB2312" w:eastAsia="仿宋_GB2312"/>
          <w:b/>
          <w:bCs/>
          <w:color w:val="000000"/>
        </w:rPr>
        <w:t>联合体投标时，联合体委托投标时由牵头人提供</w:t>
      </w:r>
      <w:r>
        <w:rPr>
          <w:rFonts w:hint="eastAsia" w:ascii="仿宋_GB2312" w:eastAsia="仿宋_GB2312"/>
          <w:color w:val="000000"/>
        </w:rPr>
        <w:t>）；</w:t>
      </w:r>
    </w:p>
    <w:p>
      <w:pPr>
        <w:pStyle w:val="84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，格式见第六章</w:t>
      </w:r>
      <w:r>
        <w:rPr>
          <w:rFonts w:hint="eastAsia" w:ascii="仿宋_GB2312" w:eastAsia="仿宋_GB2312"/>
          <w:color w:val="000000"/>
          <w:lang w:eastAsia="zh-CN"/>
        </w:rPr>
        <w:t>，</w:t>
      </w:r>
      <w:r>
        <w:rPr>
          <w:rFonts w:hint="eastAsia" w:ascii="仿宋_GB2312" w:eastAsia="仿宋_GB2312"/>
          <w:b/>
          <w:bCs/>
          <w:color w:val="000000"/>
        </w:rPr>
        <w:t>联合体牵头人提供</w:t>
      </w:r>
      <w:r>
        <w:rPr>
          <w:rFonts w:hint="eastAsia" w:ascii="仿宋_GB2312" w:eastAsia="仿宋_GB2312"/>
          <w:color w:val="000000"/>
        </w:rPr>
        <w:t>）；</w:t>
      </w:r>
    </w:p>
    <w:p>
      <w:pPr>
        <w:pStyle w:val="841"/>
        <w:spacing w:before="0" w:beforeAutospacing="0" w:after="0" w:afterAutospacing="0" w:line="360" w:lineRule="atLeast"/>
        <w:rPr>
          <w:rFonts w:hint="eastAsia" w:ascii="仿宋_GB2312" w:eastAsia="仿宋_GB2312"/>
          <w:color w:val="000000"/>
          <w:lang w:eastAsia="zh-CN"/>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b/>
          <w:bCs/>
          <w:color w:val="000000"/>
          <w:lang w:eastAsia="zh-CN"/>
        </w:rPr>
        <w:t>，联合体投标时，联合体各方均需要提供</w:t>
      </w:r>
      <w:r>
        <w:rPr>
          <w:rFonts w:hint="eastAsia" w:ascii="仿宋_GB2312" w:eastAsia="仿宋_GB2312"/>
          <w:color w:val="000000"/>
        </w:rPr>
        <w:t>）</w:t>
      </w:r>
      <w:r>
        <w:rPr>
          <w:rFonts w:hint="eastAsia" w:ascii="仿宋_GB2312" w:eastAsia="仿宋_GB2312"/>
          <w:color w:val="000000"/>
          <w:lang w:eastAsia="zh-CN"/>
        </w:rPr>
        <w:t>；</w:t>
      </w:r>
    </w:p>
    <w:p>
      <w:pPr>
        <w:pStyle w:val="267"/>
        <w:spacing w:before="0" w:beforeAutospacing="0" w:after="0" w:afterAutospacing="0" w:line="360" w:lineRule="atLeast"/>
        <w:ind w:firstLine="480" w:firstLineChars="200"/>
        <w:rPr>
          <w:rFonts w:hint="eastAsia" w:ascii="仿宋_GB2312" w:eastAsia="仿宋_GB2312"/>
          <w:color w:val="000000"/>
          <w:lang w:eastAsia="zh-CN"/>
        </w:rPr>
      </w:pPr>
      <w:r>
        <w:rPr>
          <w:rFonts w:hint="eastAsia" w:ascii="仿宋_GB2312" w:eastAsia="仿宋_GB2312"/>
          <w:color w:val="auto"/>
          <w:sz w:val="24"/>
          <w:highlight w:val="none"/>
        </w:rPr>
        <w:t>（</w:t>
      </w:r>
      <w:r>
        <w:rPr>
          <w:rFonts w:hint="eastAsia" w:ascii="仿宋_GB2312" w:eastAsia="仿宋_GB2312"/>
          <w:color w:val="auto"/>
          <w:sz w:val="24"/>
          <w:highlight w:val="none"/>
          <w:lang w:val="en-US" w:eastAsia="zh-CN"/>
        </w:rPr>
        <w:t>5</w:t>
      </w:r>
      <w:r>
        <w:rPr>
          <w:rFonts w:hint="eastAsia" w:ascii="仿宋_GB2312" w:eastAsia="仿宋_GB2312"/>
          <w:color w:val="auto"/>
          <w:sz w:val="24"/>
          <w:highlight w:val="none"/>
        </w:rPr>
        <w:t>）</w:t>
      </w:r>
      <w:r>
        <w:rPr>
          <w:rFonts w:hint="eastAsia" w:ascii="仿宋_GB2312" w:eastAsia="仿宋_GB2312"/>
          <w:bCs/>
          <w:color w:val="auto"/>
          <w:sz w:val="24"/>
          <w:highlight w:val="none"/>
        </w:rPr>
        <w:t>《联合</w:t>
      </w:r>
      <w:r>
        <w:rPr>
          <w:rFonts w:hint="eastAsia" w:ascii="仿宋_GB2312" w:eastAsia="仿宋_GB2312"/>
          <w:bCs/>
          <w:color w:val="auto"/>
          <w:sz w:val="24"/>
          <w:highlight w:val="none"/>
          <w:lang w:val="en-US" w:eastAsia="zh-CN"/>
        </w:rPr>
        <w:t>体</w:t>
      </w:r>
      <w:r>
        <w:rPr>
          <w:rFonts w:hint="eastAsia" w:ascii="仿宋_GB2312" w:eastAsia="仿宋_GB2312"/>
          <w:bCs/>
          <w:color w:val="auto"/>
          <w:sz w:val="24"/>
          <w:highlight w:val="none"/>
        </w:rPr>
        <w:t>投标协议书》（</w:t>
      </w:r>
      <w:r>
        <w:rPr>
          <w:rFonts w:hint="eastAsia" w:ascii="仿宋_GB2312" w:eastAsia="仿宋_GB2312"/>
          <w:b/>
          <w:bCs w:val="0"/>
          <w:color w:val="auto"/>
          <w:sz w:val="24"/>
          <w:highlight w:val="none"/>
        </w:rPr>
        <w:t>联合体投标时必须提供，</w:t>
      </w:r>
      <w:r>
        <w:rPr>
          <w:rFonts w:hint="eastAsia" w:ascii="仿宋_GB2312" w:eastAsia="仿宋_GB2312"/>
          <w:bCs/>
          <w:color w:val="auto"/>
          <w:sz w:val="24"/>
          <w:highlight w:val="none"/>
        </w:rPr>
        <w:t>格式见第六章）</w:t>
      </w:r>
      <w:r>
        <w:rPr>
          <w:rFonts w:hint="eastAsia" w:ascii="仿宋_GB2312" w:eastAsia="仿宋_GB2312"/>
          <w:color w:val="000000"/>
          <w:lang w:eastAsia="zh-CN"/>
        </w:rPr>
        <w:t>。</w:t>
      </w:r>
    </w:p>
    <w:p>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13.1.2报价要求文件</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b/>
          <w:bCs/>
          <w:sz w:val="24"/>
        </w:rPr>
        <w:t>注：以下各项必须提供并加盖投标人</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按照第六章格式要求签字，</w:t>
      </w:r>
      <w:r>
        <w:rPr>
          <w:rFonts w:hint="eastAsia" w:ascii="仿宋_GB2312" w:eastAsia="仿宋_GB2312" w:cs="Courier New"/>
          <w:b/>
          <w:bCs/>
          <w:sz w:val="24"/>
        </w:rPr>
        <w:t>否则其投标无效。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（2）投标报价明细表（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pPr>
        <w:snapToGrid w:val="0"/>
        <w:spacing w:line="340" w:lineRule="exact"/>
        <w:ind w:right="-330" w:rightChars="-157" w:firstLine="441" w:firstLineChars="183"/>
        <w:jc w:val="left"/>
        <w:rPr>
          <w:rFonts w:ascii="仿宋_GB2312" w:eastAsia="仿宋_GB2312" w:cs="Courier New"/>
          <w:b/>
          <w:sz w:val="24"/>
        </w:rPr>
      </w:pPr>
      <w:r>
        <w:rPr>
          <w:rFonts w:hint="eastAsia" w:ascii="仿宋_GB2312" w:eastAsia="仿宋_GB2312"/>
          <w:b/>
          <w:sz w:val="24"/>
        </w:rPr>
        <w:t>13.1.3商务技术文件</w:t>
      </w:r>
    </w:p>
    <w:p>
      <w:pPr>
        <w:snapToGrid w:val="0"/>
        <w:spacing w:line="340" w:lineRule="exact"/>
        <w:ind w:right="-330" w:rightChars="-157" w:firstLine="472" w:firstLineChars="196"/>
        <w:jc w:val="left"/>
        <w:rPr>
          <w:rFonts w:hint="eastAsia" w:ascii="仿宋_GB2312" w:hAnsi="宋体" w:eastAsia="仿宋_GB2312" w:cs="Courier New"/>
          <w:sz w:val="24"/>
        </w:rPr>
      </w:pPr>
      <w:bookmarkStart w:id="61" w:name="_Hlk517112171"/>
      <w:bookmarkStart w:id="62" w:name="_Hlk517112217"/>
      <w:bookmarkStart w:id="63" w:name="_Toc254970678"/>
      <w:bookmarkStart w:id="64" w:name="_Toc254970537"/>
      <w:r>
        <w:rPr>
          <w:rFonts w:hint="eastAsia" w:ascii="仿宋_GB2312" w:hAnsi="宋体" w:eastAsia="仿宋_GB2312"/>
          <w:b/>
          <w:bCs/>
          <w:sz w:val="24"/>
        </w:rPr>
        <w:t>注：以下第（1）至第（</w:t>
      </w:r>
      <w:r>
        <w:rPr>
          <w:rFonts w:hint="eastAsia" w:ascii="仿宋_GB2312" w:hAnsi="宋体" w:eastAsia="仿宋_GB2312"/>
          <w:b/>
          <w:bCs/>
          <w:sz w:val="24"/>
          <w:lang w:val="en-US" w:eastAsia="zh-CN"/>
        </w:rPr>
        <w:t>4</w:t>
      </w:r>
      <w:r>
        <w:rPr>
          <w:rFonts w:hint="eastAsia" w:ascii="仿宋_GB2312" w:hAnsi="宋体" w:eastAsia="仿宋_GB2312"/>
          <w:b/>
          <w:bCs/>
          <w:sz w:val="24"/>
        </w:rPr>
        <w:t>）项必须提供并加盖投标人CA电子签章、并按照第六章格式要求签字，否则投标无效。其余各项如有请提供，同时要加盖投标人CA电子签章，否则该材料被视为无效。</w:t>
      </w:r>
    </w:p>
    <w:bookmarkEnd w:id="61"/>
    <w:p>
      <w:pPr>
        <w:pStyle w:val="287"/>
        <w:spacing w:before="0" w:beforeAutospacing="0" w:after="0" w:afterAutospacing="0" w:line="360" w:lineRule="atLeast"/>
        <w:rPr>
          <w:rFonts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，格式见第六章）；</w:t>
      </w:r>
    </w:p>
    <w:p>
      <w:pPr>
        <w:pStyle w:val="28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（2）技术响应表（</w:t>
      </w:r>
      <w:r>
        <w:rPr>
          <w:rFonts w:hint="eastAsia" w:ascii="仿宋_GB2312" w:eastAsia="仿宋_GB2312"/>
          <w:b/>
          <w:bCs/>
          <w:color w:val="000000"/>
        </w:rPr>
        <w:t>必须提供</w:t>
      </w:r>
      <w:r>
        <w:rPr>
          <w:rFonts w:hint="eastAsia" w:ascii="仿宋_GB2312" w:eastAsia="仿宋_GB2312"/>
          <w:color w:val="000000"/>
        </w:rPr>
        <w:t>，格式见第六章）；</w:t>
      </w:r>
    </w:p>
    <w:p>
      <w:pPr>
        <w:pStyle w:val="28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，格式见第六章）；</w:t>
      </w:r>
    </w:p>
    <w:p>
      <w:pPr>
        <w:pStyle w:val="28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（4）投标产品</w:t>
      </w:r>
      <w:r>
        <w:rPr>
          <w:rFonts w:hint="eastAsia" w:ascii="仿宋_GB2312" w:eastAsia="仿宋_GB2312"/>
          <w:color w:val="000000"/>
          <w:lang w:eastAsia="zh-CN"/>
        </w:rPr>
        <w:t>“台式计算机</w:t>
      </w:r>
      <w:r>
        <w:rPr>
          <w:rFonts w:hint="eastAsia" w:ascii="仿宋_GB2312" w:eastAsia="仿宋_GB2312"/>
          <w:color w:val="000000"/>
          <w:lang w:val="en-US" w:eastAsia="zh-CN"/>
        </w:rPr>
        <w:t>1、2、3、4、5</w:t>
      </w:r>
      <w:r>
        <w:rPr>
          <w:rFonts w:hint="eastAsia" w:ascii="仿宋_GB2312" w:eastAsia="仿宋_GB2312"/>
          <w:color w:val="000000"/>
          <w:lang w:eastAsia="zh-CN"/>
        </w:rPr>
        <w:t>”、“便携式计算机</w:t>
      </w:r>
      <w:r>
        <w:rPr>
          <w:rFonts w:hint="eastAsia" w:ascii="仿宋_GB2312" w:eastAsia="仿宋_GB2312"/>
          <w:color w:val="000000"/>
          <w:lang w:val="en-US" w:eastAsia="zh-CN"/>
        </w:rPr>
        <w:t>1、2、3</w:t>
      </w:r>
      <w:r>
        <w:rPr>
          <w:rFonts w:hint="eastAsia" w:ascii="仿宋_GB2312" w:eastAsia="仿宋_GB2312"/>
          <w:color w:val="000000"/>
          <w:lang w:eastAsia="zh-CN"/>
        </w:rPr>
        <w:t>”</w:t>
      </w:r>
      <w:r>
        <w:rPr>
          <w:rFonts w:hint="eastAsia" w:ascii="仿宋_GB2312" w:eastAsia="仿宋_GB2312"/>
          <w:color w:val="000000"/>
        </w:rPr>
        <w:t>为政府强制采购节能产品，由国家确定的认证机构出具的、处于有效期之内的节能产品认证证书（</w:t>
      </w:r>
      <w:r>
        <w:rPr>
          <w:rFonts w:hint="eastAsia" w:ascii="仿宋_GB2312" w:eastAsia="仿宋_GB2312"/>
          <w:b/>
          <w:bCs/>
          <w:color w:val="000000"/>
        </w:rPr>
        <w:t>必须提供</w:t>
      </w:r>
      <w:r>
        <w:rPr>
          <w:rFonts w:hint="eastAsia" w:ascii="仿宋_GB2312" w:eastAsia="仿宋_GB2312"/>
          <w:color w:val="000000"/>
        </w:rPr>
        <w:t>）；</w:t>
      </w:r>
    </w:p>
    <w:p>
      <w:pPr>
        <w:pStyle w:val="287"/>
        <w:spacing w:before="0" w:beforeAutospacing="0" w:after="0" w:afterAutospacing="0" w:line="360" w:lineRule="atLeast"/>
        <w:rPr>
          <w:rFonts w:hint="eastAsia" w:ascii="仿宋_GB2312" w:eastAsia="仿宋_GB2312"/>
          <w:color w:val="000000"/>
          <w:lang w:eastAsia="zh-CN"/>
        </w:rPr>
      </w:pPr>
      <w:r>
        <w:rPr>
          <w:rFonts w:hint="eastAsia" w:ascii="仿宋_GB2312" w:eastAsia="仿宋_GB2312"/>
          <w:color w:val="000000"/>
        </w:rPr>
        <w:t>  </w:t>
      </w:r>
      <w:r>
        <w:rPr>
          <w:rFonts w:hint="eastAsia" w:ascii="仿宋_GB2312" w:eastAsia="仿宋_GB2312"/>
          <w:color w:val="000000"/>
          <w:lang w:eastAsia="zh-CN"/>
        </w:rPr>
        <w:t>（</w:t>
      </w:r>
      <w:r>
        <w:rPr>
          <w:rFonts w:hint="eastAsia" w:ascii="仿宋_GB2312" w:eastAsia="仿宋_GB2312"/>
          <w:color w:val="000000"/>
          <w:lang w:val="en-US" w:eastAsia="zh-CN"/>
        </w:rPr>
        <w:t>5</w:t>
      </w:r>
      <w:r>
        <w:rPr>
          <w:rFonts w:hint="eastAsia" w:ascii="仿宋_GB2312" w:eastAsia="仿宋_GB2312"/>
          <w:color w:val="000000"/>
          <w:lang w:eastAsia="zh-CN"/>
        </w:rPr>
        <w:t>）拟投入人员一览表（</w:t>
      </w:r>
      <w:r>
        <w:rPr>
          <w:rFonts w:hint="eastAsia" w:ascii="仿宋_GB2312" w:eastAsia="仿宋_GB2312"/>
          <w:color w:val="000000"/>
        </w:rPr>
        <w:t>如有</w:t>
      </w:r>
      <w:r>
        <w:rPr>
          <w:rFonts w:hint="eastAsia" w:ascii="仿宋_GB2312" w:eastAsia="仿宋_GB2312"/>
          <w:color w:val="000000"/>
          <w:lang w:eastAsia="zh-CN"/>
        </w:rPr>
        <w:t>，</w:t>
      </w:r>
      <w:r>
        <w:rPr>
          <w:rFonts w:hint="eastAsia" w:ascii="仿宋_GB2312" w:eastAsia="仿宋_GB2312"/>
          <w:color w:val="000000"/>
          <w:lang w:val="en-US" w:eastAsia="zh-CN"/>
        </w:rPr>
        <w:t>格式见第六章</w:t>
      </w:r>
      <w:r>
        <w:rPr>
          <w:rFonts w:hint="eastAsia" w:ascii="仿宋_GB2312" w:eastAsia="仿宋_GB2312"/>
          <w:color w:val="000000"/>
          <w:lang w:eastAsia="zh-CN"/>
        </w:rPr>
        <w:t>）；</w:t>
      </w:r>
    </w:p>
    <w:p>
      <w:pPr>
        <w:pStyle w:val="287"/>
        <w:spacing w:before="0" w:beforeAutospacing="0" w:after="0" w:afterAutospacing="0" w:line="360" w:lineRule="atLeast"/>
        <w:ind w:firstLine="480" w:firstLineChars="200"/>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lang w:val="en-US" w:eastAsia="zh-CN"/>
        </w:rPr>
        <w:t>6</w:t>
      </w:r>
      <w:r>
        <w:rPr>
          <w:rFonts w:hint="eastAsia" w:ascii="仿宋_GB2312" w:eastAsia="仿宋_GB2312"/>
          <w:color w:val="000000"/>
        </w:rPr>
        <w:t>）项目</w:t>
      </w:r>
      <w:r>
        <w:rPr>
          <w:rFonts w:hint="eastAsia" w:ascii="仿宋_GB2312" w:eastAsia="仿宋_GB2312"/>
          <w:color w:val="000000"/>
          <w:lang w:val="en-US" w:eastAsia="zh-CN"/>
        </w:rPr>
        <w:t>技术方案</w:t>
      </w:r>
      <w:r>
        <w:rPr>
          <w:rFonts w:hint="eastAsia" w:ascii="仿宋_GB2312" w:eastAsia="仿宋_GB2312"/>
          <w:color w:val="000000"/>
        </w:rPr>
        <w:t>（如有，格式见第六章）；</w:t>
      </w:r>
    </w:p>
    <w:p>
      <w:pPr>
        <w:pStyle w:val="28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7</w:t>
      </w:r>
      <w:r>
        <w:rPr>
          <w:rFonts w:hint="eastAsia" w:ascii="仿宋_GB2312" w:eastAsia="仿宋_GB2312"/>
          <w:color w:val="000000"/>
        </w:rPr>
        <w:t>）项目</w:t>
      </w:r>
      <w:r>
        <w:rPr>
          <w:rFonts w:hint="eastAsia" w:ascii="仿宋_GB2312" w:eastAsia="仿宋_GB2312"/>
          <w:color w:val="000000"/>
          <w:lang w:val="en-US" w:eastAsia="zh-CN"/>
        </w:rPr>
        <w:t>实施方案</w:t>
      </w:r>
      <w:r>
        <w:rPr>
          <w:rFonts w:hint="eastAsia" w:ascii="仿宋_GB2312" w:eastAsia="仿宋_GB2312"/>
          <w:color w:val="000000"/>
        </w:rPr>
        <w:t>（如有，格式见第六章）；</w:t>
      </w:r>
    </w:p>
    <w:p>
      <w:pPr>
        <w:pStyle w:val="28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8</w:t>
      </w:r>
      <w:r>
        <w:rPr>
          <w:rFonts w:hint="eastAsia" w:ascii="仿宋_GB2312" w:eastAsia="仿宋_GB2312"/>
          <w:color w:val="000000"/>
        </w:rPr>
        <w:t>）服务保障体系方案（如有，格式见第六章）；</w:t>
      </w:r>
    </w:p>
    <w:p>
      <w:pPr>
        <w:pStyle w:val="28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9</w:t>
      </w:r>
      <w:r>
        <w:rPr>
          <w:rFonts w:hint="eastAsia" w:ascii="仿宋_GB2312" w:eastAsia="仿宋_GB2312"/>
          <w:color w:val="000000"/>
        </w:rPr>
        <w:t>）售后服务方案（如有，格式见第六章）；</w:t>
      </w:r>
    </w:p>
    <w:p>
      <w:pPr>
        <w:pStyle w:val="28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10</w:t>
      </w:r>
      <w:r>
        <w:rPr>
          <w:rFonts w:hint="eastAsia" w:ascii="仿宋_GB2312" w:eastAsia="仿宋_GB2312"/>
          <w:color w:val="000000"/>
        </w:rPr>
        <w:t>）投标人</w:t>
      </w:r>
      <w:r>
        <w:rPr>
          <w:rFonts w:hint="eastAsia" w:ascii="仿宋_GB2312" w:eastAsia="仿宋_GB2312"/>
          <w:color w:val="000000"/>
          <w:lang w:val="en-US" w:eastAsia="zh-CN"/>
        </w:rPr>
        <w:t>同类</w:t>
      </w:r>
      <w:r>
        <w:rPr>
          <w:rFonts w:hint="eastAsia" w:ascii="仿宋_GB2312" w:eastAsia="仿宋_GB2312"/>
          <w:color w:val="000000"/>
        </w:rPr>
        <w:t>项目经验一览表（如有，格式见第六章）；</w:t>
      </w:r>
    </w:p>
    <w:p>
      <w:pPr>
        <w:pStyle w:val="28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1</w:t>
      </w:r>
      <w:r>
        <w:rPr>
          <w:rFonts w:hint="eastAsia" w:ascii="仿宋_GB2312" w:eastAsia="仿宋_GB2312"/>
          <w:color w:val="000000"/>
        </w:rPr>
        <w:t>）投标人（或联合体牵头人）具备有效的质量管理体系认证证书（如有）；</w:t>
      </w:r>
    </w:p>
    <w:p>
      <w:pPr>
        <w:pStyle w:val="28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2</w:t>
      </w:r>
      <w:r>
        <w:rPr>
          <w:rFonts w:hint="eastAsia" w:ascii="仿宋_GB2312" w:eastAsia="仿宋_GB2312"/>
          <w:color w:val="000000"/>
        </w:rPr>
        <w:t>）投标产品由国家确定的认证机构出具的、处于有效期之内的环境标志产品认证证书（如有）；</w:t>
      </w:r>
    </w:p>
    <w:p>
      <w:pPr>
        <w:pStyle w:val="28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3</w:t>
      </w:r>
      <w:r>
        <w:rPr>
          <w:rFonts w:hint="eastAsia" w:ascii="仿宋_GB2312" w:eastAsia="仿宋_GB2312"/>
          <w:color w:val="000000"/>
        </w:rPr>
        <w:t>）投标人对本项目的合理化建议和改进措施（如有，格式自拟）；</w:t>
      </w:r>
    </w:p>
    <w:p>
      <w:pPr>
        <w:pStyle w:val="28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）投标人认为必要提供的声明及文件资料（如有，格式自拟）。</w:t>
      </w:r>
    </w:p>
    <w:bookmarkEnd w:id="62"/>
    <w:bookmarkEnd w:id="63"/>
    <w:bookmarkEnd w:id="64"/>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14.投标文件的语言及计量</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14.1投标文件以及投标人与采购代理机构就有关投标事宜的所有来往函电，均应以中文汉语书写。除签字、盖章、专用名称等特殊情形外，以中文汉语以外的文字表述的投标文件视同未提供。</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14.2投标计量单位，招标文件已有明确规定的，使用招标文件规定的计量单位；招标文件没有规定的，应采用中华人民共和国法定计量单位，否则视同未响应。</w:t>
      </w:r>
    </w:p>
    <w:p>
      <w:pPr>
        <w:snapToGrid w:val="0"/>
        <w:spacing w:line="400" w:lineRule="exact"/>
        <w:ind w:firstLine="422" w:firstLineChars="175"/>
        <w:jc w:val="left"/>
        <w:rPr>
          <w:rFonts w:ascii="仿宋_GB2312" w:eastAsia="仿宋_GB2312" w:cs="Courier New"/>
          <w:b/>
          <w:sz w:val="24"/>
        </w:rPr>
      </w:pPr>
      <w:bookmarkStart w:id="65" w:name="_Toc254970679"/>
      <w:bookmarkStart w:id="66" w:name="_Toc254970538"/>
      <w:r>
        <w:rPr>
          <w:rFonts w:hint="eastAsia" w:ascii="仿宋_GB2312" w:eastAsia="仿宋_GB2312" w:cs="Courier New"/>
          <w:b/>
          <w:sz w:val="24"/>
        </w:rPr>
        <w:t>15.投标报价</w:t>
      </w:r>
      <w:bookmarkEnd w:id="65"/>
      <w:bookmarkEnd w:id="66"/>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15.1投标报价应按招标文件中相关附表格式填写。</w:t>
      </w:r>
    </w:p>
    <w:p>
      <w:pPr>
        <w:snapToGrid w:val="0"/>
        <w:spacing w:line="360" w:lineRule="exact"/>
        <w:ind w:right="-330" w:rightChars="-157" w:firstLine="420"/>
        <w:jc w:val="left"/>
        <w:rPr>
          <w:rFonts w:ascii="仿宋_GB2312" w:eastAsia="仿宋_GB2312" w:cs="Courier New"/>
          <w:sz w:val="24"/>
        </w:rPr>
      </w:pPr>
      <w:bookmarkStart w:id="67" w:name="_Hlk93681408"/>
      <w:r>
        <w:rPr>
          <w:rFonts w:hint="eastAsia" w:ascii="仿宋_GB2312" w:eastAsia="仿宋_GB2312" w:cs="Courier New"/>
          <w:sz w:val="24"/>
        </w:rPr>
        <w:t>15.2投标报价是履行合同的最终价格，应包括货物及货物运抵指定交付地点的所有成本、各种费用的总和。</w:t>
      </w:r>
    </w:p>
    <w:bookmarkEnd w:id="67"/>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15.3投标文件只允许有一个总报价，有选择的或有条件的报价将不予接受。</w:t>
      </w:r>
    </w:p>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16.投标文件的有效期</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16.1 投标截止日期后不得少于90天，投标文件应保持有效。有效期不足的投标文件将被拒绝，视为投标无效。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16.2在特殊情况下，采购人可与投标人协商延长投标书的有效期，这种要求和答复均以书面形式进行。</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 xml:space="preserve">16.3投标人可拒绝接受延长有效期要求，同意延长有效期的投标人不能修改投标文件其它内容。 </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16.4投标人的投标文件在投标有效期内保持有效；如中标，投标文件至合同履行完毕止均应保持有效。</w:t>
      </w:r>
    </w:p>
    <w:p>
      <w:pPr>
        <w:spacing w:line="400" w:lineRule="exact"/>
        <w:ind w:firstLine="472" w:firstLineChars="196"/>
        <w:rPr>
          <w:rFonts w:ascii="仿宋_GB2312" w:eastAsia="仿宋_GB2312" w:cs="Courier New"/>
          <w:b/>
          <w:sz w:val="24"/>
        </w:rPr>
      </w:pPr>
      <w:bookmarkStart w:id="68" w:name="_Toc254970541"/>
      <w:bookmarkStart w:id="69" w:name="_Toc254970682"/>
      <w:r>
        <w:rPr>
          <w:rFonts w:hint="eastAsia" w:ascii="仿宋_GB2312" w:eastAsia="仿宋_GB2312" w:cs="Courier New"/>
          <w:b/>
          <w:sz w:val="24"/>
        </w:rPr>
        <w:t>17.投标保证金</w:t>
      </w:r>
      <w:bookmarkEnd w:id="68"/>
      <w:bookmarkEnd w:id="69"/>
    </w:p>
    <w:p>
      <w:pPr>
        <w:snapToGrid w:val="0"/>
        <w:spacing w:line="400" w:lineRule="exact"/>
        <w:ind w:firstLine="420"/>
        <w:jc w:val="left"/>
        <w:rPr>
          <w:rFonts w:ascii="仿宋_GB2312" w:eastAsia="仿宋_GB2312" w:cs="Courier New"/>
          <w:sz w:val="24"/>
        </w:rPr>
      </w:pPr>
      <w:bookmarkStart w:id="70" w:name="_Toc254970683"/>
      <w:bookmarkStart w:id="71" w:name="_Toc254970542"/>
      <w:r>
        <w:rPr>
          <w:rFonts w:hint="eastAsia" w:ascii="仿宋_GB2312" w:eastAsia="仿宋_GB2312" w:cs="Courier New"/>
          <w:sz w:val="24"/>
        </w:rPr>
        <w:t>17.1本项目无需提交投标保证金。</w:t>
      </w:r>
    </w:p>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18.电子投标文件的</w:t>
      </w:r>
      <w:bookmarkEnd w:id="70"/>
      <w:bookmarkEnd w:id="71"/>
      <w:r>
        <w:rPr>
          <w:rFonts w:hint="eastAsia" w:ascii="仿宋_GB2312" w:eastAsia="仿宋_GB2312" w:cs="Courier New"/>
          <w:b/>
          <w:sz w:val="24"/>
        </w:rPr>
        <w:t>编制、加密要求</w:t>
      </w:r>
    </w:p>
    <w:p>
      <w:pPr>
        <w:spacing w:line="360" w:lineRule="auto"/>
        <w:ind w:firstLine="480" w:firstLineChars="200"/>
        <w:rPr>
          <w:rFonts w:ascii="仿宋_GB2312" w:eastAsia="仿宋_GB2312"/>
          <w:sz w:val="24"/>
        </w:rPr>
      </w:pPr>
      <w:r>
        <w:rPr>
          <w:rFonts w:hint="eastAsia" w:ascii="仿宋_GB2312" w:eastAsia="仿宋_GB2312" w:cs="Courier New"/>
          <w:sz w:val="24"/>
        </w:rPr>
        <w:t>18.1投标人应按本招标文件规定的格式</w:t>
      </w:r>
      <w:r>
        <w:rPr>
          <w:rFonts w:hint="eastAsia" w:ascii="仿宋_GB2312" w:eastAsia="仿宋_GB2312"/>
          <w:sz w:val="24"/>
        </w:rPr>
        <w:t>、顺序和广西政府采购云平台“政府采购项目电子交易管理操作指南-供应商”的有关要求编制电子投标文件并进行关联定位，以便评标委员会在评审时，点击评审项可直接定位到该评审项内容；如电子投标文件因内容不完整、投标人</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投标文件被误读、漏读或者查找不到相关内容，</w:t>
      </w:r>
      <w:r>
        <w:rPr>
          <w:rFonts w:hint="eastAsia" w:ascii="仿宋_GB2312" w:eastAsia="仿宋_GB2312"/>
          <w:sz w:val="24"/>
        </w:rPr>
        <w:t>导致评标委员会在评审时做出对投标人不利的评审，所引起的后果由投标人自行承担。</w:t>
      </w:r>
    </w:p>
    <w:p>
      <w:pPr>
        <w:spacing w:line="360" w:lineRule="auto"/>
        <w:ind w:firstLine="482" w:firstLineChars="200"/>
        <w:rPr>
          <w:rFonts w:ascii="仿宋_GB2312" w:eastAsia="仿宋_GB2312"/>
          <w:b/>
          <w:bCs/>
          <w:sz w:val="24"/>
        </w:rPr>
      </w:pPr>
      <w:r>
        <w:rPr>
          <w:rFonts w:hint="eastAsia" w:ascii="仿宋_GB2312" w:eastAsia="仿宋_GB2312"/>
          <w:b/>
          <w:bCs/>
          <w:sz w:val="24"/>
        </w:rPr>
        <w:t>18.2公开招标文件中规定须由投标人在规定处盖章的，投标人应加盖CA电子签章，否则视为投标无效。</w:t>
      </w:r>
    </w:p>
    <w:p>
      <w:pPr>
        <w:spacing w:line="360" w:lineRule="auto"/>
        <w:ind w:firstLine="482" w:firstLineChars="200"/>
        <w:rPr>
          <w:rFonts w:ascii="仿宋_GB2312" w:eastAsia="仿宋_GB2312"/>
          <w:b/>
          <w:sz w:val="24"/>
        </w:rPr>
      </w:pPr>
      <w:r>
        <w:rPr>
          <w:rFonts w:hint="eastAsia" w:ascii="仿宋_GB2312" w:eastAsia="仿宋_GB2312"/>
          <w:b/>
          <w:bCs/>
          <w:sz w:val="24"/>
        </w:rPr>
        <w:t>18.3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pPr>
        <w:spacing w:line="360" w:lineRule="auto"/>
        <w:ind w:firstLine="480" w:firstLineChars="200"/>
        <w:rPr>
          <w:rFonts w:hint="eastAsia" w:ascii="仿宋_GB2312" w:eastAsia="仿宋_GB2312"/>
          <w:sz w:val="24"/>
        </w:rPr>
      </w:pPr>
      <w:r>
        <w:rPr>
          <w:rFonts w:hint="eastAsia" w:ascii="仿宋_GB2312" w:eastAsia="仿宋_GB2312"/>
          <w:sz w:val="24"/>
        </w:rPr>
        <w:t>18.4电子投标文件不得涂改，若有修改错漏处，须加盖投标人CA电子签章或者法定代表人或授权委托代理人签字。</w:t>
      </w:r>
      <w:bookmarkStart w:id="72" w:name="_Hlk93676509"/>
      <w:r>
        <w:rPr>
          <w:rFonts w:hint="eastAsia" w:ascii="仿宋_GB2312" w:eastAsia="仿宋_GB2312"/>
          <w:sz w:val="24"/>
        </w:rPr>
        <w:t>扫描不清晰或乱码或表达不清所引起的后果由投标人负责。</w:t>
      </w:r>
      <w:bookmarkEnd w:id="72"/>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18.5</w:t>
      </w:r>
      <w:r>
        <w:rPr>
          <w:rFonts w:hint="eastAsia" w:ascii="仿宋_GB2312" w:eastAsia="仿宋_GB2312"/>
          <w:sz w:val="24"/>
        </w:rPr>
        <w:t>电子</w:t>
      </w:r>
      <w:r>
        <w:rPr>
          <w:rFonts w:hint="eastAsia" w:ascii="仿宋_GB2312" w:hAnsi="宋体" w:eastAsia="仿宋_GB2312"/>
          <w:sz w:val="24"/>
        </w:rPr>
        <w:t>投标文件所提供的相关材料的尺寸和清晰度应该能够在电脑上被阅读、识别和判断。</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18.6</w:t>
      </w:r>
      <w:r>
        <w:rPr>
          <w:rFonts w:hint="eastAsia" w:ascii="仿宋_GB2312" w:eastAsia="仿宋_GB2312"/>
          <w:sz w:val="24"/>
        </w:rPr>
        <w:t>电子</w:t>
      </w:r>
      <w:r>
        <w:rPr>
          <w:rFonts w:hint="eastAsia" w:ascii="仿宋_GB2312" w:hAnsi="宋体" w:eastAsia="仿宋_GB2312"/>
          <w:sz w:val="24"/>
        </w:rPr>
        <w:t>投标文件内容无法阅读、识别和判断的，视为未提供。</w:t>
      </w:r>
    </w:p>
    <w:p>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18.7</w:t>
      </w:r>
      <w:r>
        <w:rPr>
          <w:rFonts w:hint="eastAsia" w:ascii="仿宋_GB2312" w:eastAsia="仿宋_GB2312"/>
          <w:sz w:val="24"/>
        </w:rPr>
        <w:t>电子</w:t>
      </w:r>
      <w:r>
        <w:rPr>
          <w:rFonts w:hint="eastAsia" w:ascii="仿宋_GB2312" w:hAnsi="宋体" w:eastAsia="仿宋_GB2312"/>
          <w:sz w:val="24"/>
        </w:rPr>
        <w:t>投标文件的容量大小须符合广西政府采购云平台客户端规定。</w:t>
      </w:r>
    </w:p>
    <w:p>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18.8电子投标文件的加密要求</w:t>
      </w:r>
    </w:p>
    <w:p>
      <w:pPr>
        <w:snapToGrid w:val="0"/>
        <w:spacing w:line="420" w:lineRule="exact"/>
        <w:ind w:firstLine="480" w:firstLineChars="200"/>
        <w:jc w:val="left"/>
        <w:rPr>
          <w:rFonts w:hint="eastAsia" w:ascii="仿宋_GB2312" w:hAnsi="宋体" w:eastAsia="仿宋_GB2312"/>
          <w:sz w:val="24"/>
        </w:rPr>
      </w:pPr>
      <w:r>
        <w:rPr>
          <w:rFonts w:hint="eastAsia" w:ascii="仿宋_GB2312" w:eastAsia="仿宋_GB2312"/>
          <w:sz w:val="24"/>
        </w:rPr>
        <w:t>电子</w:t>
      </w:r>
      <w:r>
        <w:rPr>
          <w:rFonts w:hint="eastAsia" w:ascii="仿宋_GB2312" w:hAnsi="宋体" w:eastAsia="仿宋_GB2312"/>
          <w:sz w:val="24"/>
        </w:rPr>
        <w:t>投标文件应按广西政府采购云平台客户端软件有关规定加密，否则广西政府采购云平台将拒收</w:t>
      </w:r>
      <w:r>
        <w:rPr>
          <w:rFonts w:hint="eastAsia" w:ascii="仿宋_GB2312" w:eastAsia="仿宋_GB2312" w:cs="Courier New"/>
          <w:sz w:val="24"/>
        </w:rPr>
        <w:t>，由此造成的风险由投标人承担。</w:t>
      </w:r>
    </w:p>
    <w:p>
      <w:pPr>
        <w:snapToGrid w:val="0"/>
        <w:spacing w:line="400" w:lineRule="exact"/>
        <w:ind w:firstLine="422" w:firstLineChars="175"/>
        <w:jc w:val="left"/>
        <w:rPr>
          <w:rFonts w:ascii="仿宋_GB2312" w:eastAsia="仿宋_GB2312"/>
          <w:b/>
          <w:sz w:val="24"/>
        </w:rPr>
      </w:pPr>
      <w:r>
        <w:rPr>
          <w:rFonts w:hint="eastAsia" w:ascii="仿宋_GB2312" w:eastAsia="仿宋_GB2312" w:cs="Courier New"/>
          <w:b/>
          <w:sz w:val="24"/>
        </w:rPr>
        <w:t>19.电子投标文件的提交、修改、撤回和解密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bookmarkStart w:id="73" w:name="_Toc254970543"/>
      <w:bookmarkStart w:id="74" w:name="_Toc254970684"/>
      <w:r>
        <w:rPr>
          <w:rFonts w:hint="eastAsia" w:ascii="仿宋_GB2312" w:hAnsi="宋体" w:eastAsia="仿宋_GB2312"/>
          <w:sz w:val="24"/>
        </w:rPr>
        <w:t>19.1本项目实行“网上投标、电子评标”，投标人应于提交投标文件截止时间前在广西政府采购云平台上提交已经加密的电子投标文件。</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19.2未按规定上传的电子投标文件将被广西政府采购云平台拒收，由此造成电子投标文件解密失败或被误投的风险由投标人自行承担。</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19.3 投标人应当在提交截止时间前完成电子投标文件的提交，提交截止时间前可以补充、修改或者撤回电子投标文件。补充或者修改电子投标文件的，应当先行撤回原文件，补充、修改、加密后重新传输提交。提交截止时间前未完成传输的，视为撤回电子投标文件。提交截止时间后上传的文件，将被广西政府采购云平台拒收。</w:t>
      </w:r>
    </w:p>
    <w:p>
      <w:pPr>
        <w:tabs>
          <w:tab w:val="left" w:pos="3870"/>
          <w:tab w:val="left" w:pos="4085"/>
        </w:tabs>
        <w:snapToGrid w:val="0"/>
        <w:spacing w:line="420" w:lineRule="exact"/>
        <w:ind w:firstLine="482" w:firstLineChars="200"/>
        <w:jc w:val="left"/>
        <w:rPr>
          <w:rFonts w:hint="eastAsia" w:ascii="仿宋_GB2312" w:hAnsi="宋体" w:eastAsia="仿宋_GB2312"/>
          <w:sz w:val="24"/>
        </w:rPr>
      </w:pPr>
      <w:r>
        <w:rPr>
          <w:rFonts w:hint="eastAsia" w:ascii="仿宋_GB2312" w:hAnsi="宋体" w:eastAsia="仿宋_GB2312"/>
          <w:b/>
          <w:bCs/>
          <w:sz w:val="24"/>
        </w:rPr>
        <w:t>19.4</w:t>
      </w:r>
      <w:r>
        <w:rPr>
          <w:rFonts w:hint="eastAsia" w:ascii="仿宋_GB2312" w:eastAsia="仿宋_GB2312"/>
          <w:b/>
          <w:bCs/>
          <w:sz w:val="24"/>
        </w:rPr>
        <w:t>电子投标文件成功提交后，投标人可自行打印投标文件接收回执。</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19.5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非广西政府采购云平台技术原因造成的投标人超过解密时限未完成解密的，或投标文件无法解密或解密失败，视为投标人放弃投标，投标无效。</w:t>
      </w:r>
    </w:p>
    <w:p>
      <w:pPr>
        <w:snapToGrid w:val="0"/>
        <w:spacing w:line="400" w:lineRule="exact"/>
        <w:ind w:firstLine="354" w:firstLineChars="147"/>
        <w:jc w:val="left"/>
        <w:rPr>
          <w:rFonts w:ascii="仿宋_GB2312" w:eastAsia="仿宋_GB2312"/>
          <w:b/>
          <w:sz w:val="24"/>
        </w:rPr>
      </w:pPr>
      <w:r>
        <w:rPr>
          <w:rFonts w:hint="eastAsia" w:ascii="仿宋_GB2312" w:eastAsia="仿宋_GB2312" w:cs="Courier New"/>
          <w:b/>
          <w:sz w:val="24"/>
        </w:rPr>
        <w:t>20.投标无效的情形</w:t>
      </w:r>
      <w:bookmarkEnd w:id="73"/>
      <w:bookmarkEnd w:id="74"/>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20.1实质上没有响应招标文件要求和条件的投标将被视为无效投标。投标人不得通过修正或撤消不合要求的偏离或保留从而使其投标成为实质上响应的投标，除资格证明文件外经评标委员会认定属于28.澄清问题的形式规定情形的，应当允许其在评标结束之前通过广西政府采购云平台进行澄清或者补正，澄清或者补正投标文件必须以书面形式进行。限期内不补正或经补正后仍不符合招标文件要求的，应认定其投标无效。投标人澄清、补正投标文件后，不影响评标委员会对其投标文件所作的评价和评分结果。</w:t>
      </w:r>
    </w:p>
    <w:p>
      <w:pPr>
        <w:snapToGrid w:val="0"/>
        <w:spacing w:line="400" w:lineRule="exact"/>
        <w:ind w:firstLine="472" w:firstLineChars="196"/>
        <w:rPr>
          <w:rFonts w:ascii="仿宋_GB2312" w:eastAsia="仿宋_GB2312"/>
          <w:b/>
          <w:bCs/>
          <w:sz w:val="24"/>
        </w:rPr>
      </w:pPr>
      <w:r>
        <w:rPr>
          <w:rFonts w:hint="eastAsia" w:ascii="仿宋_GB2312" w:eastAsia="仿宋_GB2312"/>
          <w:b/>
          <w:sz w:val="24"/>
        </w:rPr>
        <w:t>20.1.1投标人存在下列情况之一的，投标无效：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（1）投标文件未按招标文件要求签署、盖章的；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（2）不具备招标文件中规定的资格要求的；</w:t>
      </w:r>
    </w:p>
    <w:p>
      <w:pPr>
        <w:snapToGrid w:val="0"/>
        <w:spacing w:line="400" w:lineRule="exact"/>
        <w:ind w:firstLine="420"/>
        <w:jc w:val="left"/>
        <w:rPr>
          <w:rFonts w:ascii="仿宋_GB2312" w:eastAsia="仿宋_GB2312" w:cs="Courier New"/>
          <w:sz w:val="24"/>
        </w:rPr>
      </w:pPr>
      <w:bookmarkStart w:id="75" w:name="_Hlk93676577"/>
      <w:r>
        <w:rPr>
          <w:rFonts w:hint="eastAsia" w:ascii="仿宋_GB2312" w:eastAsia="仿宋_GB2312" w:cs="Courier New"/>
          <w:sz w:val="24"/>
        </w:rPr>
        <w:t>（3）报价超过招标文件中规定的预算金额或者最高限价的；</w:t>
      </w:r>
    </w:p>
    <w:bookmarkEnd w:id="75"/>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（4）投标文件含有采购人不能接受的附加条件的；</w:t>
      </w:r>
    </w:p>
    <w:p>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（5）投标人在线制作电子投标文件时填写的报价金额与解密后“电子加密投标文件”中《开标一览表》填写的金额不一致并拒绝按公开招标文件要求接受调整的；</w:t>
      </w:r>
    </w:p>
    <w:p>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（6）法律、法规和招标文件规定的其他无效情形。</w:t>
      </w:r>
    </w:p>
    <w:p>
      <w:pPr>
        <w:snapToGrid w:val="0"/>
        <w:spacing w:line="350" w:lineRule="exact"/>
        <w:ind w:right="-330" w:rightChars="-157" w:firstLine="472" w:firstLineChars="196"/>
        <w:rPr>
          <w:rFonts w:ascii="仿宋_GB2312" w:eastAsia="仿宋_GB2312"/>
          <w:b/>
          <w:sz w:val="24"/>
        </w:rPr>
      </w:pPr>
      <w:r>
        <w:rPr>
          <w:rFonts w:hint="eastAsia" w:ascii="仿宋_GB2312" w:eastAsia="仿宋_GB2312"/>
          <w:b/>
          <w:sz w:val="24"/>
        </w:rPr>
        <w:t>20.1.2在资格性审查时，如发现下列情形之一的，投标文件将被视为无效：</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（1）资格证明文件不全的，或者不符合招标文件标明的资格要求的；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（2）无法定代表人或其授权委托代理人签字，或未提供法定代表人授权委托书或者填写项目不齐全的；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（3）委托代理人与法定代表人授权委托书中的代理人不符的。</w:t>
      </w:r>
    </w:p>
    <w:p>
      <w:pPr>
        <w:snapToGrid w:val="0"/>
        <w:spacing w:line="340" w:lineRule="exact"/>
        <w:ind w:right="-330" w:rightChars="-157" w:firstLine="472" w:firstLineChars="196"/>
        <w:rPr>
          <w:rFonts w:ascii="仿宋_GB2312" w:eastAsia="仿宋_GB2312"/>
          <w:b/>
          <w:bCs/>
          <w:kern w:val="0"/>
          <w:sz w:val="24"/>
        </w:rPr>
      </w:pPr>
      <w:r>
        <w:rPr>
          <w:rFonts w:hint="eastAsia" w:ascii="仿宋_GB2312" w:eastAsia="仿宋_GB2312"/>
          <w:b/>
          <w:bCs/>
          <w:kern w:val="0"/>
          <w:sz w:val="24"/>
        </w:rPr>
        <w:t>20.1.3在符合性评审时，如发现下列情形之一的，投标文件将被视为无效：</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（1）投标有效期、服务期限、付款方式等商务条款不能满足招标文件要求的；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（2）投标人就采购需求中标记 “★”符号的实质性响应内容发生负偏离一项以上的；投标人就采购需求中没有标记 “★”符号的技术参数要求响应内容发生负偏离</w:t>
      </w:r>
      <w:r>
        <w:rPr>
          <w:rFonts w:hint="eastAsia" w:ascii="仿宋_GB2312" w:eastAsia="仿宋_GB2312"/>
          <w:sz w:val="24"/>
          <w:lang w:val="en-US" w:eastAsia="zh-CN"/>
        </w:rPr>
        <w:t>五</w:t>
      </w:r>
      <w:r>
        <w:rPr>
          <w:rFonts w:ascii="仿宋_GB2312" w:eastAsia="仿宋_GB2312"/>
          <w:sz w:val="24"/>
        </w:rPr>
        <w:t>项以上的；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（3）投标技术方案不明确，存在一个或一个以上备选（替代）投标方案的；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（4）未采用人民币报价或者未按照招标文件标明的币种报价的；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（5）报价超出最高限价，或者超出采购预算金额的；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（6）投标报价具有选择性，或者开标价格与投标文件承诺的优惠（折扣）价格不一致的；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7）评标委员会认为投标人的报价明显低于其他通过符合性审查投标人的报价，有可能影响产品质量或者不能诚信履约的，应当通过广西政府采购云平台发起询标函，要求其在评标现场合理的时间内通过广西政府采购云平台提供书面说明，必要时提交相关证明材料；投标人不能证明其报价合理性的，评标委员会应当将其作为无效投标处理。</w:t>
      </w:r>
    </w:p>
    <w:p>
      <w:pPr>
        <w:snapToGrid w:val="0"/>
        <w:spacing w:line="400" w:lineRule="exact"/>
        <w:ind w:firstLine="472" w:firstLineChars="196"/>
        <w:rPr>
          <w:rFonts w:ascii="仿宋_GB2312" w:eastAsia="仿宋_GB2312"/>
          <w:b/>
          <w:sz w:val="24"/>
        </w:rPr>
      </w:pPr>
      <w:r>
        <w:rPr>
          <w:rFonts w:hint="eastAsia" w:ascii="仿宋_GB2312" w:eastAsia="仿宋_GB2312"/>
          <w:b/>
          <w:sz w:val="24"/>
        </w:rPr>
        <w:t>20.1.4在评审时有下列情形之一的视为投标人相互串通投标，投标文件将被视为无效：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（1）不同投标人的投标文件由同一单位或者个人编制；或不同投标人报名（获取文件）的IP地址一致的；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（2）不同投标人委托同一单位或者个人办理投标事宜；</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（3）不同的投标人的投标文件载明的项目管理成员或者联系人员为同一个人；</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（4）不同投标人的投标文件异常一致或投标报价呈规律性差异；</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（5）不同投标人的投标文件相互混装。</w:t>
      </w:r>
    </w:p>
    <w:p>
      <w:pPr>
        <w:snapToGrid w:val="0"/>
        <w:spacing w:line="400" w:lineRule="exact"/>
        <w:ind w:firstLine="472" w:firstLineChars="196"/>
        <w:rPr>
          <w:rFonts w:ascii="仿宋_GB2312" w:eastAsia="仿宋_GB2312"/>
          <w:b/>
          <w:sz w:val="24"/>
        </w:rPr>
      </w:pPr>
      <w:r>
        <w:rPr>
          <w:rFonts w:hint="eastAsia" w:ascii="仿宋_GB2312" w:eastAsia="仿宋_GB2312"/>
          <w:b/>
          <w:sz w:val="24"/>
        </w:rPr>
        <w:t>20.1.5被拒绝的投标文件为无效。</w:t>
      </w:r>
    </w:p>
    <w:p>
      <w:pPr>
        <w:spacing w:line="460" w:lineRule="exact"/>
        <w:ind w:firstLine="482" w:firstLineChars="200"/>
        <w:rPr>
          <w:rFonts w:ascii="仿宋_GB2312" w:eastAsia="仿宋_GB2312"/>
          <w:b/>
          <w:sz w:val="24"/>
        </w:rPr>
      </w:pPr>
      <w:r>
        <w:rPr>
          <w:rFonts w:hint="eastAsia" w:ascii="仿宋_GB2312" w:eastAsia="仿宋_GB2312"/>
          <w:b/>
          <w:sz w:val="24"/>
        </w:rPr>
        <w:t>20.2特别说明</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20.2.1广西政府采购云平台如对电子化开评标程序有调整的，按调整后的程序操作。</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20.2.2评审在严格保密的情况下进行，任何一方不得透露与评审有关的其他投标人的技术资料、价格和其他信息。</w:t>
      </w:r>
    </w:p>
    <w:p>
      <w:pPr>
        <w:spacing w:line="460" w:lineRule="exact"/>
        <w:ind w:firstLine="482" w:firstLineChars="200"/>
        <w:rPr>
          <w:rFonts w:ascii="仿宋_GB2312" w:eastAsia="仿宋_GB2312"/>
          <w:b/>
          <w:bCs/>
          <w:sz w:val="24"/>
        </w:rPr>
      </w:pPr>
      <w:r>
        <w:rPr>
          <w:rFonts w:hint="eastAsia" w:ascii="仿宋_GB2312" w:eastAsia="仿宋_GB2312"/>
          <w:b/>
          <w:bCs/>
          <w:sz w:val="24"/>
        </w:rPr>
        <w:t>20.3可中止电子交易活动的情形</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采购过程中出现以下情形，导致广西政府采购云平台无法正常运行，或者无法保证电子交易的公平、公正和安全时，采购代理机构可中止电子交易活动：</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20.3.1广西政府采购云平台发生故障而无法登录访问的；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20.3.2广西政府采购云平台应用或数据库出现错误，不能进行正常操作的；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20.3.3广西政府采购云平台发现严重安全漏洞，有潜在泄密危险的；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20.3.4病毒发作导致不能进行正常操作的；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20.3.5其他无法保证电子交易的公平、公正和安全的情况。</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出现前款规定情形，不影响采购公平、公正性的，采购代理机构可以待上述情形消除后继续组织电子交易活动，也可以决定某些环节以纸质形式进行；影响或可能影响采购公平、公正性的，应当重新采购。</w:t>
      </w:r>
    </w:p>
    <w:p>
      <w:pPr>
        <w:snapToGrid w:val="0"/>
        <w:spacing w:line="400" w:lineRule="exact"/>
        <w:ind w:firstLine="472" w:firstLineChars="196"/>
        <w:rPr>
          <w:rFonts w:ascii="仿宋_GB2312" w:eastAsia="仿宋_GB2312" w:cs="Courier New"/>
          <w:b/>
          <w:sz w:val="24"/>
        </w:rPr>
      </w:pPr>
      <w:r>
        <w:rPr>
          <w:rFonts w:hint="eastAsia" w:ascii="仿宋_GB2312" w:eastAsia="仿宋_GB2312" w:cs="Courier New"/>
          <w:b/>
          <w:sz w:val="24"/>
        </w:rPr>
        <w:t>四、开标</w:t>
      </w:r>
    </w:p>
    <w:p>
      <w:pPr>
        <w:pStyle w:val="26"/>
        <w:snapToGrid w:val="0"/>
        <w:spacing w:line="40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21.开标准备</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21.1采购代理机构按公开招标文件规定的时间、地点通过“广西政府采购云平台”组织开标、开启解密电子投标文件，所有投标人均应当准时在线出席开标会。投标人因未在线参加开标而导致电子投标文件无法按时解密等一切后果由投标人自行承担。</w:t>
      </w:r>
    </w:p>
    <w:p>
      <w:pPr>
        <w:pStyle w:val="26"/>
        <w:snapToGrid w:val="0"/>
        <w:spacing w:line="400" w:lineRule="exact"/>
        <w:ind w:firstLine="482" w:firstLineChars="200"/>
        <w:rPr>
          <w:rFonts w:hint="eastAsia" w:ascii="仿宋_GB2312" w:hAnsi="宋体" w:eastAsia="仿宋_GB2312"/>
          <w:b/>
          <w:sz w:val="24"/>
          <w:szCs w:val="24"/>
        </w:rPr>
      </w:pPr>
      <w:r>
        <w:rPr>
          <w:rFonts w:hint="eastAsia" w:ascii="仿宋_GB2312" w:hAnsi="宋体" w:eastAsia="仿宋_GB2312"/>
          <w:b/>
          <w:sz w:val="24"/>
          <w:szCs w:val="24"/>
        </w:rPr>
        <w:t>22.开标程序</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22.1开标会由采购代理机构主持；</w:t>
      </w:r>
    </w:p>
    <w:p>
      <w:pPr>
        <w:snapToGrid w:val="0"/>
        <w:spacing w:line="400" w:lineRule="exact"/>
        <w:ind w:firstLine="420"/>
        <w:jc w:val="left"/>
        <w:rPr>
          <w:rFonts w:hint="eastAsia" w:ascii="仿宋_GB2312" w:hAnsi="宋体" w:eastAsia="仿宋_GB2312"/>
          <w:sz w:val="24"/>
        </w:rPr>
      </w:pPr>
      <w:r>
        <w:rPr>
          <w:rFonts w:hint="eastAsia" w:ascii="仿宋_GB2312" w:eastAsia="仿宋_GB2312" w:cs="Courier New"/>
          <w:sz w:val="24"/>
        </w:rPr>
        <w:t>22.2</w:t>
      </w:r>
      <w:r>
        <w:rPr>
          <w:rFonts w:hint="eastAsia" w:ascii="仿宋_GB2312" w:hAnsi="宋体" w:eastAsia="仿宋_GB2312"/>
          <w:sz w:val="24"/>
        </w:rPr>
        <w:t>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非广西政府采购云平台技术原因造成的投标人超过解密时限未完成解密的，或投标文件无法解密或解密失败，视为投标人放弃投标，投标无效。</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22.3电子投标文件解密结束，开启报价要求文件。投标人在线制作投标文件时填写的报价金额与解密后“电子加密投标文件”中《开标一览表》填写的金额不一致的，以解密后“电子加密投标文件”中《开标一览表》填写的金额为准，投标人拒绝接受此调整的，按无效投标处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22.4公开报价；</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22.5报价确认：采购代理机构开启签字时段，投标人应及时通过CA证书对报价记录表进行确认。未在规定时间内确认的，视同认可开标结果；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22.6开标会结束。</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五、资格性审查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23.采购人应当依法对投标人的资格进行审查。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24.合格投标人不足三家的，不得评标。</w:t>
      </w:r>
    </w:p>
    <w:p>
      <w:pPr>
        <w:pStyle w:val="26"/>
        <w:snapToGrid w:val="0"/>
        <w:spacing w:line="370" w:lineRule="exact"/>
        <w:ind w:firstLine="472" w:firstLineChars="196"/>
        <w:rPr>
          <w:rFonts w:hint="eastAsia" w:ascii="仿宋_GB2312" w:hAnsi="宋体" w:eastAsia="仿宋_GB2312"/>
          <w:b/>
          <w:sz w:val="24"/>
          <w:szCs w:val="24"/>
        </w:rPr>
      </w:pPr>
      <w:bookmarkStart w:id="76" w:name="_Toc254970545"/>
      <w:bookmarkStart w:id="77" w:name="_Toc254970686"/>
      <w:r>
        <w:rPr>
          <w:rFonts w:hint="eastAsia" w:ascii="仿宋_GB2312" w:hAnsi="宋体" w:eastAsia="仿宋_GB2312"/>
          <w:b/>
          <w:sz w:val="24"/>
          <w:szCs w:val="24"/>
        </w:rPr>
        <w:t>六、评标</w:t>
      </w:r>
      <w:bookmarkEnd w:id="76"/>
      <w:bookmarkEnd w:id="77"/>
    </w:p>
    <w:p>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25.组建评标委员会</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25.1本项目评标委员会由采购人代表和评审专家组成。</w:t>
      </w:r>
    </w:p>
    <w:p>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26.评标的方式</w:t>
      </w:r>
    </w:p>
    <w:p>
      <w:pPr>
        <w:snapToGrid w:val="0"/>
        <w:spacing w:line="370" w:lineRule="exact"/>
        <w:ind w:firstLine="420"/>
        <w:jc w:val="left"/>
        <w:rPr>
          <w:rFonts w:ascii="仿宋_GB2312" w:eastAsia="仿宋_GB2312"/>
          <w:sz w:val="24"/>
        </w:rPr>
      </w:pPr>
      <w:r>
        <w:rPr>
          <w:rFonts w:hint="eastAsia" w:ascii="仿宋_GB2312" w:eastAsia="仿宋_GB2312" w:cs="Courier New"/>
          <w:sz w:val="24"/>
        </w:rPr>
        <w:t>26.1本项目采用不公开方式评标，评标的依据为招标文件和投标文件。</w:t>
      </w:r>
    </w:p>
    <w:p>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27.</w:t>
      </w:r>
      <w:r>
        <w:rPr>
          <w:rFonts w:hint="eastAsia" w:ascii="仿宋_GB2312" w:hAnsi="宋体" w:eastAsia="仿宋_GB2312"/>
          <w:b/>
          <w:bCs/>
          <w:sz w:val="24"/>
          <w:szCs w:val="24"/>
        </w:rPr>
        <w:t>评标程序</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27.1符合性审查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（1）评标委员会审查、评价投标文件是否符合招标文件的商务、技术等实质性要求。</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（2）评标委员会将根据投标人的投标文件进行审查、核对，如有疑问，评标委员会将通过广西政府采购云平台，以询标函的方式要求投标人在线对相关问题进行澄清或者说明。</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27.2投标文件的比较和评价</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（1）各投标人的技术得分为所有评委的有效评分的算术平均数。</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（2）评标委员会完成评标后，评委对各部分得分汇总，计算出本项目最终得分等。评标委员会按评标标准推荐中标候选人同时起草评标报告。</w:t>
      </w:r>
    </w:p>
    <w:p>
      <w:pPr>
        <w:snapToGrid w:val="0"/>
        <w:spacing w:line="370" w:lineRule="exact"/>
        <w:ind w:firstLine="482" w:firstLineChars="200"/>
        <w:rPr>
          <w:rFonts w:ascii="仿宋_GB2312" w:eastAsia="仿宋_GB2312"/>
          <w:b/>
          <w:sz w:val="24"/>
        </w:rPr>
      </w:pPr>
      <w:r>
        <w:rPr>
          <w:rFonts w:hint="eastAsia" w:ascii="仿宋_GB2312" w:eastAsia="仿宋_GB2312"/>
          <w:b/>
          <w:sz w:val="24"/>
        </w:rPr>
        <w:t>28.澄清问题的形式</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28.1对于投标文件中含义不明确、同类问题表述不一致或者有明显文字和计算错误的内容，评标委员会应当通过广西政府采购云平台发起电子询标函，以书面形式要求投标人在规定的时间内作出必要的澄清、说明或者补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28.2投标人应当在规定时间内通过广西政府采购云平台进行澄清、说明或者补正，并加盖投标人CA电子签章。投标人的澄清、说明或者补正不得超出投标文件的范围或者改变投标文件的实质性内容。</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28.3投标人超过规定时间或者拒绝澄清或者澄清的内容改变了投标文件的实质性内容的，评标委员会有权视该投标文件无效。</w:t>
      </w:r>
    </w:p>
    <w:p>
      <w:pPr>
        <w:snapToGrid w:val="0"/>
        <w:spacing w:line="370" w:lineRule="exact"/>
        <w:ind w:firstLine="482" w:firstLineChars="200"/>
        <w:rPr>
          <w:rFonts w:ascii="仿宋_GB2312" w:eastAsia="仿宋_GB2312"/>
          <w:b/>
          <w:sz w:val="24"/>
        </w:rPr>
      </w:pPr>
      <w:r>
        <w:rPr>
          <w:rFonts w:hint="eastAsia" w:ascii="仿宋_GB2312" w:eastAsia="仿宋_GB2312"/>
          <w:b/>
          <w:sz w:val="24"/>
        </w:rPr>
        <w:t>29.错误修正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29.1投标文件报价出现前后不一致的，除招标文件另有规定外，按照下列规定修正：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（1）投标文件中开标一览表（报价表）内容与投标文件中相应内容不一致的，以开标一览表（报价表）为准；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（2）大写金额和小写金额不一致的，以大写金额为准；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（3）单价金额小数点或者百分比有明显错位的，以开标一览表的总价为准，并修改单价；</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（4）总价金额与按单价汇总金额不一致的，以单价金额计算结果为准。</w:t>
      </w:r>
    </w:p>
    <w:p>
      <w:pPr>
        <w:snapToGrid w:val="0"/>
        <w:spacing w:line="370" w:lineRule="exact"/>
        <w:ind w:firstLine="420"/>
        <w:jc w:val="left"/>
        <w:rPr>
          <w:rFonts w:ascii="仿宋_GB2312" w:eastAsia="仿宋_GB2312" w:cs="Courier New"/>
          <w:b/>
          <w:sz w:val="24"/>
        </w:rPr>
      </w:pPr>
      <w:r>
        <w:rPr>
          <w:rFonts w:hint="eastAsia" w:ascii="仿宋_GB2312" w:eastAsia="仿宋_GB2312" w:cs="Courier New"/>
          <w:b/>
          <w:sz w:val="24"/>
        </w:rPr>
        <w:t>同时出现两种以上不一致的，按照前款规定的顺序修正。评标委员会通过广西政府采购云平台发起询标函，投标人在规定时间内通过广西政府采购云平台确认，投标人的确认应当加盖投标人CA电子签章。修正后的报价按照87号令第五十一条第二款的规定经投标人确认后产生约束力，投标人不确认的，其投标无效。</w:t>
      </w:r>
    </w:p>
    <w:p>
      <w:pPr>
        <w:pStyle w:val="26"/>
        <w:tabs>
          <w:tab w:val="left" w:pos="630"/>
        </w:tabs>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30.评标原则和评标方法</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30.2本项目评标方法是综合评分法，具体评标内容及评标标准等详见第四章：评标方法及评标标准。</w:t>
      </w:r>
    </w:p>
    <w:p>
      <w:pPr>
        <w:pStyle w:val="26"/>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31.评标过程的监控</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31.1本项目评标过程实行全程录音、录像监控（或政府采购监督管理部门工作人员进行现场监督），投标人在评标过程中所进行的试图影响评标结果的不公正活动，可能导致其投标被拒绝。</w:t>
      </w:r>
    </w:p>
    <w:p>
      <w:pPr>
        <w:pStyle w:val="26"/>
        <w:snapToGrid w:val="0"/>
        <w:spacing w:line="370" w:lineRule="exact"/>
        <w:ind w:firstLine="482" w:firstLineChars="200"/>
        <w:rPr>
          <w:rFonts w:hint="eastAsia" w:ascii="仿宋_GB2312" w:hAnsi="宋体" w:eastAsia="仿宋_GB2312"/>
          <w:sz w:val="24"/>
          <w:szCs w:val="24"/>
        </w:rPr>
      </w:pPr>
      <w:r>
        <w:rPr>
          <w:rFonts w:hint="eastAsia" w:ascii="仿宋_GB2312" w:hAnsi="宋体" w:eastAsia="仿宋_GB2312"/>
          <w:b/>
          <w:sz w:val="24"/>
          <w:szCs w:val="24"/>
        </w:rPr>
        <w:t>七、评标结果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32.采购人或者采购代理机构核对评标结果。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33.采购人或者采购代理机构在公告中标结果的同时，对未通过资格审查的投标人，应当告知其未通过的原因；采用综合评分法评审的，还应当告知未中标人本人的评审得分与排序。</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34.采购人或者采购代理机构在评标结束后2个工作日内将评标报告送采购人，采购人在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35.采购人或采购代理机构应当自中标人确定之日起2个工作日内，在中国政府采购网、广西壮族自治区政府采购网、柳州市政府采购网发布中标公告。在发布中标公告的同时，向中标人发出中标通知书。</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36.在中标通知书发出前，采购人或采购代理机构应当对中标人信用进行查询，并按照信用信息使用规则处理。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37.投标人对中标公告有异议的，应当在中标公告</w:t>
      </w:r>
      <w:r>
        <w:rPr>
          <w:rFonts w:hint="eastAsia" w:ascii="仿宋_GB2312" w:hAnsi="宋体" w:eastAsia="仿宋_GB2312"/>
          <w:bCs/>
          <w:sz w:val="24"/>
        </w:rPr>
        <w:t>期限届满</w:t>
      </w:r>
      <w:r>
        <w:rPr>
          <w:rFonts w:hint="eastAsia" w:ascii="仿宋_GB2312" w:eastAsia="仿宋_GB2312" w:cs="Courier New"/>
          <w:sz w:val="24"/>
        </w:rPr>
        <w:t>之日起七个工作日内，以书面形式向采购人或采购代理机构提出质疑，并及时索要书面回执。</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38.采购人或采购代理机构（采购代理机构应当按照有关规定就采购人委托授权范围内的事项）在收到投标人的书面质疑后七个工作日内作出答复，但答复的内容不得涉及商业秘密。</w:t>
      </w:r>
    </w:p>
    <w:p>
      <w:pPr>
        <w:pStyle w:val="26"/>
        <w:snapToGrid w:val="0"/>
        <w:spacing w:line="370" w:lineRule="exact"/>
        <w:ind w:firstLine="472" w:firstLineChars="196"/>
        <w:rPr>
          <w:rFonts w:hint="eastAsia" w:ascii="仿宋_GB2312" w:hAnsi="宋体" w:eastAsia="仿宋_GB2312"/>
          <w:b/>
          <w:sz w:val="24"/>
          <w:szCs w:val="24"/>
        </w:rPr>
      </w:pPr>
      <w:bookmarkStart w:id="78" w:name="_Toc254970547"/>
      <w:bookmarkStart w:id="79" w:name="_Toc254970688"/>
      <w:r>
        <w:rPr>
          <w:rFonts w:hint="eastAsia" w:ascii="仿宋_GB2312" w:hAnsi="宋体" w:eastAsia="仿宋_GB2312"/>
          <w:b/>
          <w:sz w:val="24"/>
          <w:szCs w:val="24"/>
        </w:rPr>
        <w:t>八、</w:t>
      </w:r>
      <w:bookmarkEnd w:id="78"/>
      <w:bookmarkEnd w:id="79"/>
      <w:r>
        <w:rPr>
          <w:rFonts w:hint="eastAsia" w:ascii="仿宋_GB2312" w:hAnsi="宋体" w:eastAsia="仿宋_GB2312"/>
          <w:b/>
          <w:sz w:val="24"/>
          <w:szCs w:val="24"/>
        </w:rPr>
        <w:t>签订合同</w:t>
      </w:r>
    </w:p>
    <w:p>
      <w:pPr>
        <w:pStyle w:val="26"/>
        <w:snapToGrid w:val="0"/>
        <w:spacing w:line="370" w:lineRule="exact"/>
        <w:ind w:firstLine="472" w:firstLineChars="196"/>
        <w:rPr>
          <w:rFonts w:hint="eastAsia" w:ascii="仿宋_GB2312" w:hAnsi="宋体" w:eastAsia="仿宋_GB2312"/>
          <w:b/>
          <w:bCs/>
          <w:sz w:val="24"/>
          <w:szCs w:val="24"/>
        </w:rPr>
      </w:pPr>
      <w:r>
        <w:rPr>
          <w:rFonts w:hint="eastAsia" w:ascii="仿宋_GB2312" w:hAnsi="宋体" w:eastAsia="仿宋_GB2312"/>
          <w:b/>
          <w:sz w:val="24"/>
          <w:szCs w:val="24"/>
        </w:rPr>
        <w:t>39.合同授予标准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39.1合同将授予被确定实质上响应招标文件要求，具备履行合同能力，综合评分排名第一的投标人。</w:t>
      </w:r>
    </w:p>
    <w:p>
      <w:pPr>
        <w:snapToGrid w:val="0"/>
        <w:spacing w:line="370" w:lineRule="exact"/>
        <w:ind w:firstLine="420"/>
        <w:jc w:val="left"/>
        <w:rPr>
          <w:rFonts w:ascii="仿宋_GB2312" w:eastAsia="仿宋_GB2312" w:cs="Courier New"/>
          <w:b/>
          <w:bCs/>
          <w:sz w:val="24"/>
        </w:rPr>
      </w:pPr>
      <w:r>
        <w:rPr>
          <w:rFonts w:hint="eastAsia" w:ascii="仿宋_GB2312" w:eastAsia="仿宋_GB2312" w:cs="Courier New"/>
          <w:b/>
          <w:bCs/>
          <w:sz w:val="24"/>
        </w:rPr>
        <w:t>40.签订合同</w:t>
      </w:r>
    </w:p>
    <w:p>
      <w:pPr>
        <w:snapToGrid w:val="0"/>
        <w:spacing w:line="370" w:lineRule="exact"/>
        <w:ind w:firstLine="420"/>
        <w:jc w:val="left"/>
        <w:rPr>
          <w:rFonts w:ascii="仿宋_GB2312" w:eastAsia="仿宋_GB2312" w:cs="Courier New"/>
          <w:sz w:val="24"/>
        </w:rPr>
      </w:pPr>
      <w:bookmarkStart w:id="80" w:name="_Hlk93676812"/>
      <w:r>
        <w:rPr>
          <w:rFonts w:hint="eastAsia" w:ascii="仿宋_GB2312" w:eastAsia="仿宋_GB2312" w:cs="Courier New"/>
          <w:sz w:val="24"/>
        </w:rPr>
        <w:t>40.1中标人接到中标通知书后，应按有关规定与采购人签订合同。</w:t>
      </w:r>
    </w:p>
    <w:bookmarkEnd w:id="80"/>
    <w:p>
      <w:pPr>
        <w:snapToGrid w:val="0"/>
        <w:spacing w:line="400" w:lineRule="atLeast"/>
        <w:ind w:firstLine="420"/>
        <w:jc w:val="left"/>
        <w:rPr>
          <w:rFonts w:hint="eastAsia" w:ascii="仿宋_GB2312" w:eastAsia="仿宋_GB2312" w:cs="Courier New"/>
          <w:sz w:val="24"/>
        </w:rPr>
      </w:pPr>
      <w:r>
        <w:rPr>
          <w:rFonts w:hint="eastAsia" w:ascii="仿宋_GB2312" w:eastAsia="仿宋_GB2312" w:cs="Courier New"/>
          <w:sz w:val="24"/>
        </w:rPr>
        <w:t>40.2中标人因不可抗力或者自身原因不能履行采购合同的，采购人或采购代理机构应将该情况报政府采购监督管理部门，从合格的中标候选人中另行确定中标人或重新开展政府采购活动。</w:t>
      </w:r>
      <w:bookmarkStart w:id="81" w:name="_Toc254970689"/>
      <w:bookmarkStart w:id="82" w:name="_Toc254970548"/>
      <w:bookmarkStart w:id="83" w:name="_Toc497578452"/>
    </w:p>
    <w:p>
      <w:pPr>
        <w:snapToGrid w:val="0"/>
        <w:spacing w:line="400" w:lineRule="atLeast"/>
        <w:ind w:firstLine="480" w:firstLineChars="200"/>
        <w:jc w:val="left"/>
        <w:rPr>
          <w:rFonts w:hint="default" w:eastAsia="仿宋_GB2312"/>
          <w:color w:val="auto"/>
          <w:highlight w:val="none"/>
          <w:lang w:val="en-US" w:eastAsia="zh-CN"/>
        </w:rPr>
      </w:pPr>
      <w:r>
        <w:rPr>
          <w:rFonts w:hint="eastAsia" w:ascii="仿宋_GB2312" w:eastAsia="仿宋_GB2312" w:cs="Courier New"/>
          <w:color w:val="auto"/>
          <w:sz w:val="24"/>
          <w:highlight w:val="none"/>
          <w:lang w:val="en-US" w:eastAsia="zh-CN"/>
        </w:rPr>
        <w:t>40.3 联合体投标的，联合体各方应当共同与采购人签订采购合同，均应在合同的签章处签章，就采购合同约定的事项对采购人承担连带责任。</w:t>
      </w:r>
    </w:p>
    <w:p>
      <w:pPr>
        <w:snapToGrid w:val="0"/>
        <w:spacing w:line="360" w:lineRule="exact"/>
        <w:ind w:right="-470" w:rightChars="-224" w:firstLine="420"/>
        <w:jc w:val="left"/>
        <w:rPr>
          <w:rFonts w:ascii="仿宋_GB2312" w:eastAsia="仿宋_GB2312" w:cs="Courier New"/>
          <w:sz w:val="24"/>
        </w:rPr>
        <w:sectPr>
          <w:pgSz w:w="11906" w:h="16838"/>
          <w:pgMar w:top="1440" w:right="1440" w:bottom="1440" w:left="1440" w:header="851" w:footer="992" w:gutter="0"/>
          <w:cols w:space="720" w:num="1"/>
          <w:docGrid w:linePitch="312" w:charSpace="0"/>
        </w:sectPr>
      </w:pPr>
    </w:p>
    <w:p/>
    <w:p/>
    <w:p/>
    <w:p/>
    <w:p/>
    <w:p/>
    <w:p/>
    <w:p/>
    <w:p/>
    <w:p/>
    <w:p/>
    <w:p/>
    <w:p/>
    <w:p/>
    <w:p/>
    <w:p/>
    <w:p/>
    <w:p>
      <w:pPr>
        <w:pStyle w:val="4"/>
        <w:jc w:val="center"/>
        <w:rPr>
          <w:sz w:val="30"/>
          <w:szCs w:val="30"/>
        </w:rPr>
      </w:pPr>
      <w:bookmarkStart w:id="84" w:name="_Toc27328"/>
      <w:r>
        <w:rPr>
          <w:rFonts w:hint="eastAsia"/>
          <w:sz w:val="30"/>
          <w:szCs w:val="30"/>
        </w:rPr>
        <w:t xml:space="preserve">第四章 </w:t>
      </w:r>
      <w:bookmarkEnd w:id="81"/>
      <w:bookmarkEnd w:id="82"/>
      <w:r>
        <w:rPr>
          <w:rFonts w:hint="eastAsia"/>
          <w:sz w:val="30"/>
          <w:szCs w:val="30"/>
        </w:rPr>
        <w:t>评标方法及评标标准</w:t>
      </w:r>
      <w:bookmarkEnd w:id="83"/>
      <w:bookmarkEnd w:id="84"/>
      <w:r>
        <w:tab/>
      </w:r>
    </w:p>
    <w:p>
      <w:pPr>
        <w:tabs>
          <w:tab w:val="left" w:pos="3055"/>
        </w:tabs>
        <w:jc w:val="center"/>
        <w:rPr>
          <w:b/>
          <w:sz w:val="30"/>
          <w:szCs w:val="30"/>
        </w:rPr>
      </w:pPr>
      <w:r>
        <w:br w:type="page"/>
      </w:r>
      <w:r>
        <w:rPr>
          <w:rFonts w:hint="eastAsia" w:ascii="宋体" w:hAnsi="宋体" w:cs="Courier New"/>
          <w:b/>
          <w:bCs/>
          <w:color w:val="000000"/>
          <w:sz w:val="32"/>
          <w:szCs w:val="32"/>
        </w:rPr>
        <w:t>评标方法及评标标准</w:t>
      </w:r>
    </w:p>
    <w:p>
      <w:pPr>
        <w:spacing w:line="390" w:lineRule="exact"/>
        <w:ind w:right="-168" w:rightChars="-80" w:firstLine="482" w:firstLineChars="200"/>
        <w:rPr>
          <w:rFonts w:ascii="仿宋_GB2312" w:eastAsia="仿宋_GB2312"/>
          <w:b/>
          <w:bCs/>
          <w:sz w:val="24"/>
        </w:rPr>
      </w:pPr>
      <w:r>
        <w:rPr>
          <w:rFonts w:hint="eastAsia" w:ascii="仿宋_GB2312" w:eastAsia="仿宋_GB2312"/>
          <w:b/>
          <w:bCs/>
          <w:sz w:val="24"/>
        </w:rPr>
        <w:t>一、评标原则</w:t>
      </w:r>
    </w:p>
    <w:p>
      <w:pPr>
        <w:spacing w:line="390" w:lineRule="exact"/>
        <w:ind w:right="-168" w:rightChars="-80"/>
        <w:rPr>
          <w:rFonts w:ascii="仿宋_GB2312" w:eastAsia="仿宋_GB2312"/>
          <w:sz w:val="24"/>
        </w:rPr>
      </w:pPr>
      <w:r>
        <w:rPr>
          <w:rFonts w:hint="eastAsia" w:ascii="仿宋_GB2312" w:eastAsia="仿宋_GB2312"/>
          <w:sz w:val="24"/>
        </w:rPr>
        <w:t xml:space="preserve">    （一）评委构成：本招标采购项目的评委分别由依法组成的</w:t>
      </w:r>
      <w:bookmarkStart w:id="85" w:name="OLE_LINK13"/>
      <w:r>
        <w:rPr>
          <w:rFonts w:hint="eastAsia" w:ascii="仿宋_GB2312" w:eastAsia="仿宋_GB2312"/>
          <w:sz w:val="24"/>
        </w:rPr>
        <w:t>评审专家、采购人代表共</w:t>
      </w:r>
      <w:r>
        <w:rPr>
          <w:rFonts w:hint="eastAsia" w:ascii="仿宋_GB2312" w:eastAsia="仿宋_GB2312"/>
          <w:sz w:val="24"/>
          <w:lang w:val="en-US" w:eastAsia="zh-CN"/>
        </w:rPr>
        <w:t>七</w:t>
      </w:r>
      <w:r>
        <w:rPr>
          <w:rFonts w:hint="eastAsia" w:ascii="仿宋_GB2312" w:eastAsia="仿宋_GB2312"/>
          <w:sz w:val="24"/>
        </w:rPr>
        <w:t>人或以上单数构成</w:t>
      </w:r>
      <w:bookmarkEnd w:id="85"/>
      <w:r>
        <w:rPr>
          <w:rFonts w:hint="eastAsia" w:ascii="仿宋_GB2312" w:eastAsia="仿宋_GB2312"/>
          <w:sz w:val="24"/>
        </w:rPr>
        <w:t>，其中专家人数不少于评标委员会成员总数的三分之二。</w:t>
      </w:r>
    </w:p>
    <w:p>
      <w:pPr>
        <w:spacing w:line="390" w:lineRule="exact"/>
        <w:ind w:right="-168" w:rightChars="-80" w:firstLine="435"/>
        <w:rPr>
          <w:rFonts w:ascii="仿宋_GB2312" w:eastAsia="仿宋_GB2312"/>
          <w:b/>
          <w:sz w:val="24"/>
        </w:rPr>
      </w:pPr>
      <w:r>
        <w:rPr>
          <w:rFonts w:hint="eastAsia" w:ascii="仿宋_GB2312" w:eastAsia="仿宋_GB2312"/>
          <w:b/>
          <w:sz w:val="24"/>
        </w:rPr>
        <w:t>（二）评标依据：评委将以招投标文件为评标依据</w:t>
      </w:r>
      <w:bookmarkStart w:id="86" w:name="_Hlk93676870"/>
      <w:r>
        <w:rPr>
          <w:rFonts w:hint="eastAsia" w:ascii="仿宋_GB2312" w:eastAsia="仿宋_GB2312"/>
          <w:b/>
          <w:sz w:val="24"/>
        </w:rPr>
        <w:t>，对投标人的价格、技术、信誉、业绩等</w:t>
      </w:r>
      <w:bookmarkEnd w:id="86"/>
      <w:r>
        <w:rPr>
          <w:rFonts w:hint="eastAsia" w:ascii="仿宋_GB2312" w:eastAsia="仿宋_GB2312"/>
          <w:b/>
          <w:sz w:val="24"/>
        </w:rPr>
        <w:t>方面按百分制打分。</w:t>
      </w:r>
    </w:p>
    <w:p>
      <w:pPr>
        <w:spacing w:line="390" w:lineRule="exact"/>
        <w:ind w:right="-168" w:rightChars="-80" w:firstLine="435"/>
        <w:rPr>
          <w:rFonts w:ascii="仿宋_GB2312" w:eastAsia="仿宋_GB2312"/>
          <w:sz w:val="24"/>
        </w:rPr>
      </w:pPr>
      <w:r>
        <w:rPr>
          <w:rFonts w:hint="eastAsia" w:ascii="仿宋_GB2312" w:eastAsia="仿宋_GB2312"/>
          <w:sz w:val="24"/>
        </w:rPr>
        <w:t>（三）评标方式：以封闭方式进行。</w:t>
      </w:r>
    </w:p>
    <w:p>
      <w:pPr>
        <w:spacing w:line="390" w:lineRule="exact"/>
        <w:ind w:right="-168" w:rightChars="-80" w:firstLine="435"/>
        <w:rPr>
          <w:rFonts w:ascii="仿宋_GB2312" w:eastAsia="仿宋_GB2312"/>
          <w:sz w:val="24"/>
        </w:rPr>
      </w:pPr>
      <w:r>
        <w:rPr>
          <w:rFonts w:hint="eastAsia" w:ascii="仿宋_GB2312" w:eastAsia="仿宋_GB2312"/>
          <w:sz w:val="24"/>
        </w:rPr>
        <w:t>（四）评标委员会认为投标人的报价明显低于其他通过符合性审查投标人的报价，有可能影响产品质量或者不能诚信履约的，</w:t>
      </w:r>
      <w:r>
        <w:rPr>
          <w:rFonts w:hint="eastAsia" w:ascii="仿宋_GB2312" w:eastAsia="仿宋_GB2312" w:cs="Courier New"/>
          <w:sz w:val="24"/>
        </w:rPr>
        <w:t>应当通过广西政府采购云平台发起询标函，要求其在评标现场合理的时间内通过广西政府采购云平台提供书面说明</w:t>
      </w:r>
      <w:r>
        <w:rPr>
          <w:rFonts w:hint="eastAsia" w:ascii="仿宋_GB2312" w:eastAsia="仿宋_GB2312"/>
          <w:sz w:val="24"/>
        </w:rPr>
        <w:t xml:space="preserve">，必要时提交相关证明材料；投标人不能证明其报价合理性的，评标委员会应当将其作为无效投标处理。     </w:t>
      </w:r>
    </w:p>
    <w:p>
      <w:pPr>
        <w:spacing w:line="390" w:lineRule="exact"/>
        <w:ind w:right="-168" w:rightChars="-80" w:firstLine="435"/>
        <w:rPr>
          <w:rFonts w:ascii="仿宋_GB2312" w:eastAsia="仿宋_GB2312"/>
          <w:b/>
          <w:bCs/>
          <w:sz w:val="24"/>
        </w:rPr>
      </w:pPr>
      <w:r>
        <w:rPr>
          <w:rFonts w:hint="eastAsia" w:ascii="仿宋_GB2312" w:eastAsia="仿宋_GB2312"/>
          <w:b/>
          <w:bCs/>
          <w:sz w:val="24"/>
        </w:rPr>
        <w:t>二、评标方法</w:t>
      </w:r>
      <w:r>
        <w:rPr>
          <w:rFonts w:ascii="仿宋_GB2312" w:eastAsia="仿宋_GB2312"/>
          <w:b/>
          <w:bCs/>
          <w:sz w:val="24"/>
        </w:rPr>
        <w:tab/>
      </w:r>
    </w:p>
    <w:p>
      <w:pPr>
        <w:spacing w:line="390" w:lineRule="exact"/>
        <w:ind w:right="-168" w:rightChars="-80" w:firstLine="435"/>
        <w:rPr>
          <w:rFonts w:ascii="仿宋_GB2312" w:eastAsia="仿宋_GB2312"/>
          <w:sz w:val="24"/>
        </w:rPr>
      </w:pPr>
      <w:r>
        <w:rPr>
          <w:rFonts w:hint="eastAsia" w:ascii="仿宋_GB2312" w:eastAsia="仿宋_GB2312"/>
          <w:sz w:val="24"/>
        </w:rPr>
        <w:t>（一）对进入详评的，采用百分制综合评分法。</w:t>
      </w:r>
    </w:p>
    <w:p>
      <w:pPr>
        <w:spacing w:line="400" w:lineRule="atLeast"/>
        <w:ind w:firstLine="480" w:firstLineChars="200"/>
        <w:jc w:val="left"/>
        <w:rPr>
          <w:rFonts w:hint="eastAsia" w:ascii="仿宋_GB2312" w:hAnsi="宋体" w:eastAsia="仿宋_GB2312"/>
          <w:color w:val="000000"/>
          <w:sz w:val="24"/>
        </w:rPr>
      </w:pPr>
      <w:r>
        <w:rPr>
          <w:rFonts w:hint="eastAsia" w:ascii="仿宋_GB2312" w:eastAsia="仿宋_GB2312"/>
          <w:sz w:val="24"/>
        </w:rPr>
        <w:t>（二）计分办法（分值计算保留小数点后两位，第三位四舍五入）</w:t>
      </w:r>
      <w:r>
        <w:rPr>
          <w:rFonts w:hint="eastAsia" w:ascii="仿宋_GB2312" w:hAnsi="宋体" w:eastAsia="仿宋_GB2312"/>
          <w:color w:val="000000"/>
          <w:sz w:val="24"/>
        </w:rPr>
        <w:t>：</w:t>
      </w:r>
    </w:p>
    <w:tbl>
      <w:tblPr>
        <w:tblStyle w:val="301"/>
        <w:tblpPr w:leftFromText="180" w:rightFromText="180" w:vertAnchor="text" w:horzAnchor="page" w:tblpX="661" w:tblpY="378"/>
        <w:tblOverlap w:val="never"/>
        <w:tblW w:w="10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090"/>
        <w:gridCol w:w="5776"/>
        <w:gridCol w:w="1182"/>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310" w:type="dxa"/>
            <w:gridSpan w:val="5"/>
            <w:shd w:val="clear" w:color="auto" w:fill="D7D7D7"/>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eastAsia="仿宋_GB2312"/>
                <w:b/>
                <w:sz w:val="3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评分项</w:t>
            </w:r>
          </w:p>
        </w:tc>
        <w:tc>
          <w:tcPr>
            <w:tcW w:w="109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评审因素</w:t>
            </w:r>
          </w:p>
        </w:tc>
        <w:tc>
          <w:tcPr>
            <w:tcW w:w="5776"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评分标准说明</w:t>
            </w:r>
          </w:p>
        </w:tc>
        <w:tc>
          <w:tcPr>
            <w:tcW w:w="1182"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分值</w:t>
            </w:r>
          </w:p>
        </w:tc>
        <w:tc>
          <w:tcPr>
            <w:tcW w:w="1413"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对应的投标文件格式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trPr>
        <w:tc>
          <w:tcPr>
            <w:tcW w:w="849"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价格分</w:t>
            </w:r>
          </w:p>
        </w:tc>
        <w:tc>
          <w:tcPr>
            <w:tcW w:w="109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价格</w:t>
            </w:r>
          </w:p>
        </w:tc>
        <w:tc>
          <w:tcPr>
            <w:tcW w:w="5776" w:type="dxa"/>
            <w:vAlign w:val="center"/>
          </w:tcPr>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Cs w:val="21"/>
              </w:rPr>
              <w:t>1.满足招标文件要求且</w:t>
            </w:r>
            <w:r>
              <w:rPr>
                <w:rFonts w:hint="eastAsia" w:ascii="仿宋_GB2312" w:hAnsi="仿宋_GB2312" w:eastAsia="仿宋_GB2312" w:cs="仿宋_GB2312"/>
                <w:sz w:val="21"/>
                <w:szCs w:val="21"/>
              </w:rPr>
              <w:t>投标价格最低的投标报价为评标基准价，其投标人的报价分为最高分3</w:t>
            </w:r>
            <w:r>
              <w:rPr>
                <w:rFonts w:hint="eastAsia" w:ascii="仿宋_GB2312" w:hAnsi="仿宋_GB2312" w:eastAsia="仿宋_GB2312" w:cs="仿宋_GB2312"/>
                <w:sz w:val="21"/>
                <w:szCs w:val="21"/>
                <w:lang w:val="en-US" w:eastAsia="zh-CN"/>
              </w:rPr>
              <w:t>0</w:t>
            </w:r>
            <w:r>
              <w:rPr>
                <w:rFonts w:hint="eastAsia" w:ascii="仿宋_GB2312" w:hAnsi="仿宋_GB2312" w:eastAsia="仿宋_GB2312" w:cs="仿宋_GB2312"/>
                <w:sz w:val="21"/>
                <w:szCs w:val="21"/>
              </w:rPr>
              <w:t>分；</w:t>
            </w: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仿宋_GB2312" w:hAnsi="仿宋_GB2312" w:eastAsia="仿宋_GB2312" w:cs="仿宋_GB2312"/>
                <w:szCs w:val="21"/>
              </w:rPr>
            </w:pPr>
            <w:r>
              <w:rPr>
                <w:rFonts w:hint="eastAsia" w:ascii="仿宋_GB2312" w:hAnsi="仿宋_GB2312" w:eastAsia="仿宋_GB2312" w:cs="仿宋_GB2312"/>
                <w:sz w:val="21"/>
                <w:szCs w:val="21"/>
              </w:rPr>
              <w:t>2.其他投标人的报价得</w:t>
            </w:r>
            <w:r>
              <w:rPr>
                <w:rFonts w:hint="eastAsia" w:ascii="仿宋_GB2312" w:hAnsi="仿宋_GB2312" w:eastAsia="仿宋_GB2312" w:cs="仿宋_GB2312"/>
                <w:szCs w:val="21"/>
              </w:rPr>
              <w:t>分按以下公式计算：</w:t>
            </w:r>
          </w:p>
          <w:p>
            <w:pPr>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报价得分=（评标基准价／某投标人投标报价）×3</w:t>
            </w:r>
            <w:r>
              <w:rPr>
                <w:rFonts w:hint="eastAsia" w:ascii="仿宋_GB2312" w:hAnsi="仿宋_GB2312" w:eastAsia="仿宋_GB2312" w:cs="仿宋_GB2312"/>
                <w:szCs w:val="21"/>
                <w:lang w:val="en-US" w:eastAsia="zh-CN"/>
              </w:rPr>
              <w:t>0</w:t>
            </w:r>
            <w:r>
              <w:rPr>
                <w:rFonts w:hint="eastAsia" w:ascii="仿宋_GB2312" w:hAnsi="仿宋_GB2312" w:eastAsia="仿宋_GB2312" w:cs="仿宋_GB2312"/>
                <w:szCs w:val="21"/>
              </w:rPr>
              <w:t>分；</w:t>
            </w: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3.小型、微型企业价格折扣率：</w:t>
            </w: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ascii="仿宋_GB2312" w:hAnsi="仿宋_GB2312" w:eastAsia="仿宋_GB2312" w:cs="仿宋_GB2312"/>
                <w:b/>
              </w:rPr>
            </w:pPr>
            <w:r>
              <w:rPr>
                <w:rFonts w:hint="eastAsia" w:ascii="仿宋_GB2312" w:hAnsi="仿宋_GB2312" w:eastAsia="仿宋_GB2312" w:cs="仿宋_GB2312"/>
                <w:sz w:val="21"/>
                <w:szCs w:val="21"/>
              </w:rPr>
              <w:t>符合《政府采购促进中小企业发展管理办法》（财库〔2020〕46号）规定条件且出具该办法规定的《中小企业声明函》的小型和微型企业参与报价，对其报价给予20%的扣除</w:t>
            </w:r>
            <w:r>
              <w:rPr>
                <w:rFonts w:hint="eastAsia" w:ascii="仿宋_GB2312" w:hAnsi="仿宋_GB2312" w:eastAsia="仿宋_GB2312" w:cs="仿宋_GB2312"/>
                <w:sz w:val="21"/>
                <w:szCs w:val="21"/>
                <w:lang w:eastAsia="zh-CN"/>
              </w:rPr>
              <w:t>；若为大中型企业与小微企业组成联合体的，</w:t>
            </w:r>
            <w:r>
              <w:rPr>
                <w:rFonts w:hint="eastAsia" w:ascii="仿宋_GB2312" w:eastAsia="仿宋_GB2312"/>
                <w:color w:val="000000"/>
              </w:rPr>
              <w:t>对于联合协议约定小微企业的合同份额占到合同总金额 30%以上的</w:t>
            </w:r>
            <w:r>
              <w:rPr>
                <w:rFonts w:hint="eastAsia" w:ascii="仿宋_GB2312" w:eastAsia="仿宋_GB2312"/>
                <w:color w:val="000000"/>
                <w:lang w:eastAsia="zh-CN"/>
              </w:rPr>
              <w:t>，</w:t>
            </w:r>
            <w:r>
              <w:rPr>
                <w:rFonts w:hint="eastAsia" w:ascii="仿宋_GB2312" w:hAnsi="仿宋_GB2312" w:eastAsia="仿宋_GB2312" w:cs="仿宋_GB2312"/>
                <w:sz w:val="21"/>
                <w:szCs w:val="21"/>
                <w:lang w:eastAsia="zh-CN"/>
              </w:rPr>
              <w:t>对其联合体报价给予</w:t>
            </w:r>
            <w:r>
              <w:rPr>
                <w:rFonts w:hint="eastAsia" w:ascii="仿宋_GB2312" w:hAnsi="仿宋_GB2312" w:eastAsia="仿宋_GB2312" w:cs="仿宋_GB2312"/>
                <w:sz w:val="21"/>
                <w:szCs w:val="21"/>
                <w:lang w:val="en-US" w:eastAsia="zh-CN"/>
              </w:rPr>
              <w:t>6</w:t>
            </w:r>
            <w:r>
              <w:rPr>
                <w:rFonts w:hint="eastAsia" w:ascii="仿宋_GB2312" w:hAnsi="仿宋_GB2312" w:eastAsia="仿宋_GB2312" w:cs="仿宋_GB2312"/>
                <w:sz w:val="21"/>
                <w:szCs w:val="21"/>
                <w:lang w:eastAsia="zh-CN"/>
              </w:rPr>
              <w:t>%的扣除。</w:t>
            </w:r>
            <w:r>
              <w:rPr>
                <w:rFonts w:hint="eastAsia" w:ascii="仿宋_GB2312" w:hAnsi="仿宋_GB2312" w:eastAsia="仿宋_GB2312" w:cs="仿宋_GB2312"/>
                <w:sz w:val="21"/>
                <w:szCs w:val="21"/>
              </w:rPr>
              <w:t>监狱企业、残疾人福利性企业视同小微型企业，不重复享受政策</w:t>
            </w:r>
            <w:r>
              <w:rPr>
                <w:rFonts w:hint="eastAsia" w:ascii="仿宋_GB2312" w:hAnsi="仿宋_GB2312" w:eastAsia="仿宋_GB2312" w:cs="仿宋_GB2312"/>
                <w:szCs w:val="21"/>
              </w:rPr>
              <w:t>。</w:t>
            </w:r>
          </w:p>
        </w:tc>
        <w:tc>
          <w:tcPr>
            <w:tcW w:w="1182"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lang w:eastAsia="zh-CN"/>
              </w:rPr>
            </w:pPr>
            <w:r>
              <w:rPr>
                <w:rFonts w:hint="eastAsia" w:ascii="仿宋_GB2312" w:hAnsi="仿宋_GB2312" w:eastAsia="仿宋_GB2312" w:cs="仿宋_GB2312"/>
                <w:b/>
                <w:bCs/>
              </w:rPr>
              <w:t>3</w:t>
            </w:r>
            <w:r>
              <w:rPr>
                <w:rFonts w:hint="eastAsia" w:ascii="仿宋_GB2312" w:hAnsi="仿宋_GB2312" w:eastAsia="仿宋_GB2312" w:cs="仿宋_GB2312"/>
                <w:b/>
                <w:bCs/>
                <w:lang w:val="en-US" w:eastAsia="zh-CN"/>
              </w:rPr>
              <w:t>0</w:t>
            </w:r>
          </w:p>
        </w:tc>
        <w:tc>
          <w:tcPr>
            <w:tcW w:w="1413"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rPr>
            </w:pPr>
            <w:r>
              <w:rPr>
                <w:rFonts w:hint="eastAsia" w:ascii="仿宋_GB2312" w:hAnsi="仿宋_GB2312" w:eastAsia="仿宋_GB2312" w:cs="仿宋_GB2312"/>
                <w:b/>
                <w:bCs/>
              </w:rPr>
              <w:t>信誉分</w:t>
            </w:r>
          </w:p>
        </w:tc>
        <w:tc>
          <w:tcPr>
            <w:tcW w:w="109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体系认证</w:t>
            </w:r>
          </w:p>
        </w:tc>
        <w:tc>
          <w:tcPr>
            <w:tcW w:w="5776" w:type="dxa"/>
            <w:vAlign w:val="center"/>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仿宋_GB2312" w:hAnsi="仿宋_GB2312" w:eastAsia="仿宋_GB2312" w:cs="仿宋_GB2312"/>
              </w:rPr>
            </w:pPr>
            <w:r>
              <w:rPr>
                <w:rFonts w:hint="eastAsia" w:ascii="仿宋_GB2312" w:eastAsia="仿宋_GB2312"/>
                <w:color w:val="000000"/>
              </w:rPr>
              <w:t>投标人（或联合体牵头人）具备有效的质量管理体系认证证书</w:t>
            </w:r>
            <w:r>
              <w:rPr>
                <w:rFonts w:hint="eastAsia" w:ascii="仿宋_GB2312" w:hAnsi="仿宋_GB2312" w:eastAsia="仿宋_GB2312" w:cs="仿宋_GB2312"/>
              </w:rPr>
              <w:t>得</w:t>
            </w:r>
            <w:r>
              <w:rPr>
                <w:rFonts w:hint="eastAsia" w:ascii="仿宋_GB2312" w:hAnsi="仿宋_GB2312" w:eastAsia="仿宋_GB2312" w:cs="仿宋_GB2312"/>
                <w:lang w:val="en-US" w:eastAsia="zh-CN"/>
              </w:rPr>
              <w:t>2</w:t>
            </w:r>
            <w:r>
              <w:rPr>
                <w:rFonts w:hint="eastAsia" w:ascii="仿宋_GB2312" w:hAnsi="仿宋_GB2312" w:eastAsia="仿宋_GB2312" w:cs="仿宋_GB2312"/>
              </w:rPr>
              <w:t>分，满分</w:t>
            </w:r>
            <w:r>
              <w:rPr>
                <w:rFonts w:hint="eastAsia" w:ascii="仿宋_GB2312" w:hAnsi="仿宋_GB2312" w:eastAsia="仿宋_GB2312" w:cs="仿宋_GB2312"/>
                <w:lang w:val="en-US" w:eastAsia="zh-CN"/>
              </w:rPr>
              <w:t>2</w:t>
            </w:r>
            <w:r>
              <w:rPr>
                <w:rFonts w:hint="eastAsia" w:ascii="仿宋_GB2312" w:hAnsi="仿宋_GB2312" w:eastAsia="仿宋_GB2312" w:cs="仿宋_GB2312"/>
              </w:rPr>
              <w:t>分。</w:t>
            </w:r>
          </w:p>
          <w:p>
            <w:pPr>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ascii="仿宋_GB2312" w:hAnsi="仿宋_GB2312" w:eastAsia="仿宋_GB2312" w:cs="仿宋_GB2312"/>
              </w:rPr>
            </w:pPr>
            <w:r>
              <w:rPr>
                <w:rFonts w:hint="eastAsia"/>
                <w:lang w:val="en-US" w:eastAsia="zh-CN"/>
              </w:rPr>
              <w:t xml:space="preserve">    </w:t>
            </w:r>
            <w:r>
              <w:rPr>
                <w:rFonts w:hint="eastAsia" w:ascii="仿宋_GB2312" w:hAnsi="仿宋_GB2312" w:eastAsia="仿宋_GB2312" w:cs="仿宋_GB2312"/>
                <w:b/>
              </w:rPr>
              <w:t>注：投标人提供证书材料并加盖投标人CA电子签章，否则不予计分。</w:t>
            </w:r>
          </w:p>
        </w:tc>
        <w:tc>
          <w:tcPr>
            <w:tcW w:w="1182"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lang w:eastAsia="zh-CN"/>
              </w:rPr>
            </w:pPr>
            <w:r>
              <w:rPr>
                <w:rFonts w:hint="eastAsia" w:ascii="仿宋_GB2312" w:hAnsi="仿宋_GB2312" w:eastAsia="仿宋_GB2312" w:cs="仿宋_GB2312"/>
                <w:b/>
                <w:bCs/>
                <w:highlight w:val="none"/>
                <w:lang w:val="en-US" w:eastAsia="zh-CN"/>
              </w:rPr>
              <w:t>2</w:t>
            </w:r>
          </w:p>
        </w:tc>
        <w:tc>
          <w:tcPr>
            <w:tcW w:w="1413"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bCs/>
              </w:rPr>
            </w:pPr>
            <w:r>
              <w:rPr>
                <w:rFonts w:hint="eastAsia" w:ascii="仿宋_GB2312" w:hAnsi="仿宋_GB2312" w:eastAsia="仿宋_GB2312" w:cs="仿宋_GB2312"/>
              </w:rPr>
              <w:t>相关认证证书材料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Align w:val="center"/>
          </w:tcPr>
          <w:p>
            <w:pPr>
              <w:spacing w:line="360" w:lineRule="exact"/>
              <w:jc w:val="center"/>
              <w:rPr>
                <w:rFonts w:hint="eastAsia" w:ascii="仿宋_GB2312" w:hAnsi="仿宋_GB2312" w:eastAsia="仿宋_GB2312" w:cs="仿宋_GB2312"/>
                <w:b/>
                <w:bCs/>
                <w:color w:val="auto"/>
                <w:highlight w:val="none"/>
              </w:rPr>
            </w:pPr>
            <w:r>
              <w:rPr>
                <w:rFonts w:hint="eastAsia" w:ascii="仿宋_GB2312" w:hAnsi="仿宋_GB2312" w:eastAsia="仿宋_GB2312" w:cs="仿宋_GB2312"/>
                <w:b/>
                <w:sz w:val="24"/>
                <w:szCs w:val="24"/>
              </w:rPr>
              <w:t>政策功能分</w:t>
            </w:r>
          </w:p>
        </w:tc>
        <w:tc>
          <w:tcPr>
            <w:tcW w:w="1090" w:type="dxa"/>
            <w:vAlign w:val="center"/>
          </w:tcPr>
          <w:p>
            <w:pPr>
              <w:widowControl/>
              <w:spacing w:line="360" w:lineRule="exact"/>
              <w:jc w:val="center"/>
              <w:rPr>
                <w:rFonts w:hint="eastAsia" w:ascii="仿宋_GB2312" w:hAnsi="仿宋_GB2312" w:eastAsia="仿宋_GB2312" w:cs="仿宋_GB2312"/>
                <w:b/>
                <w:bCs/>
                <w:color w:val="auto"/>
                <w:highlight w:val="none"/>
              </w:rPr>
            </w:pPr>
            <w:r>
              <w:rPr>
                <w:rFonts w:hint="eastAsia" w:ascii="仿宋_GB2312" w:hAnsi="仿宋_GB2312" w:eastAsia="仿宋_GB2312" w:cs="仿宋_GB2312"/>
                <w:b/>
                <w:sz w:val="24"/>
                <w:szCs w:val="24"/>
              </w:rPr>
              <w:t>政策功能</w:t>
            </w:r>
          </w:p>
        </w:tc>
        <w:tc>
          <w:tcPr>
            <w:tcW w:w="5776" w:type="dxa"/>
            <w:vAlign w:val="center"/>
          </w:tcPr>
          <w:p>
            <w:pPr>
              <w:spacing w:line="420" w:lineRule="exact"/>
              <w:ind w:firstLine="420" w:firstLineChars="200"/>
              <w:rPr>
                <w:rFonts w:hint="eastAsia"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sz w:val="21"/>
                <w:szCs w:val="21"/>
              </w:rPr>
              <w:t>若采购货物属于财政部 生态环境部《关于印发环境标志产品政府采购品目清单的通知》中环境标志产品政府采购品目清单范围的，提供投标产品</w:t>
            </w:r>
            <w:r>
              <w:rPr>
                <w:rFonts w:hint="eastAsia" w:ascii="仿宋_GB2312" w:hAnsi="仿宋_GB2312" w:eastAsia="仿宋_GB2312" w:cs="仿宋_GB2312"/>
                <w:sz w:val="21"/>
                <w:szCs w:val="21"/>
                <w:lang w:eastAsia="zh-CN"/>
              </w:rPr>
              <w:t>由</w:t>
            </w:r>
            <w:r>
              <w:rPr>
                <w:rFonts w:hint="eastAsia" w:ascii="仿宋_GB2312" w:hAnsi="仿宋_GB2312" w:eastAsia="仿宋_GB2312" w:cs="仿宋_GB2312"/>
                <w:sz w:val="21"/>
                <w:szCs w:val="21"/>
              </w:rPr>
              <w:t>国家确定的认证机构出具的、处于有效期之内的环境标志产品认证证书材料并加盖投标人CA电子签章，每有一项产品得</w:t>
            </w:r>
            <w:r>
              <w:rPr>
                <w:rFonts w:hint="eastAsia" w:ascii="仿宋_GB2312" w:hAnsi="仿宋_GB2312" w:eastAsia="仿宋_GB2312" w:cs="仿宋_GB2312"/>
                <w:sz w:val="21"/>
                <w:szCs w:val="21"/>
                <w:lang w:val="en-US" w:eastAsia="zh-CN"/>
              </w:rPr>
              <w:t>0.5</w:t>
            </w:r>
            <w:r>
              <w:rPr>
                <w:rFonts w:hint="eastAsia" w:ascii="仿宋_GB2312" w:hAnsi="仿宋_GB2312" w:eastAsia="仿宋_GB2312" w:cs="仿宋_GB2312"/>
                <w:sz w:val="21"/>
                <w:szCs w:val="21"/>
              </w:rPr>
              <w:t>分，满分</w:t>
            </w: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分</w:t>
            </w:r>
            <w:r>
              <w:rPr>
                <w:rFonts w:hint="eastAsia" w:ascii="仿宋_GB2312" w:hAnsi="仿宋_GB2312" w:eastAsia="仿宋_GB2312" w:cs="仿宋_GB2312"/>
                <w:sz w:val="24"/>
                <w:szCs w:val="24"/>
              </w:rPr>
              <w:t>。</w:t>
            </w:r>
          </w:p>
        </w:tc>
        <w:tc>
          <w:tcPr>
            <w:tcW w:w="1182" w:type="dxa"/>
            <w:vAlign w:val="center"/>
          </w:tcPr>
          <w:p>
            <w:pPr>
              <w:spacing w:line="360" w:lineRule="exact"/>
              <w:jc w:val="center"/>
              <w:rPr>
                <w:rFonts w:hint="eastAsia"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b/>
                <w:bCs/>
                <w:highlight w:val="none"/>
                <w:lang w:val="en-US" w:eastAsia="zh-CN"/>
              </w:rPr>
              <w:t>2</w:t>
            </w:r>
          </w:p>
        </w:tc>
        <w:tc>
          <w:tcPr>
            <w:tcW w:w="1413" w:type="dxa"/>
            <w:vAlign w:val="center"/>
          </w:tcPr>
          <w:p>
            <w:pPr>
              <w:spacing w:line="360" w:lineRule="exact"/>
              <w:jc w:val="center"/>
              <w:rPr>
                <w:rFonts w:hint="eastAsia" w:ascii="仿宋_GB2312" w:hAnsi="仿宋_GB2312" w:eastAsia="仿宋_GB2312" w:cs="仿宋_GB2312"/>
                <w:b w:val="0"/>
                <w:bCs w:val="0"/>
                <w:color w:val="auto"/>
                <w:szCs w:val="24"/>
                <w:highlight w:val="none"/>
                <w:lang w:eastAsia="zh-CN"/>
              </w:rPr>
            </w:pPr>
            <w:r>
              <w:rPr>
                <w:rFonts w:hint="eastAsia" w:ascii="仿宋_GB2312" w:hAnsi="仿宋_GB2312" w:eastAsia="仿宋_GB2312" w:cs="仿宋_GB2312"/>
                <w:sz w:val="24"/>
                <w:szCs w:val="24"/>
              </w:rPr>
              <w:t>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Align w:val="center"/>
          </w:tcPr>
          <w:p>
            <w:pPr>
              <w:spacing w:line="360" w:lineRule="exact"/>
              <w:jc w:val="center"/>
              <w:rPr>
                <w:rFonts w:hint="eastAsia" w:ascii="仿宋_GB2312" w:hAnsi="仿宋_GB2312" w:eastAsia="仿宋_GB2312" w:cs="仿宋_GB2312"/>
                <w:b/>
                <w:bCs/>
              </w:rPr>
            </w:pPr>
            <w:r>
              <w:rPr>
                <w:rFonts w:hint="eastAsia" w:ascii="仿宋_GB2312" w:hAnsi="仿宋_GB2312" w:eastAsia="仿宋_GB2312" w:cs="仿宋_GB2312"/>
                <w:b/>
                <w:bCs/>
                <w:color w:val="auto"/>
                <w:highlight w:val="none"/>
              </w:rPr>
              <w:t>业绩分</w:t>
            </w:r>
          </w:p>
        </w:tc>
        <w:tc>
          <w:tcPr>
            <w:tcW w:w="1090" w:type="dxa"/>
            <w:vAlign w:val="center"/>
          </w:tcPr>
          <w:p>
            <w:pPr>
              <w:spacing w:line="360" w:lineRule="exact"/>
              <w:jc w:val="center"/>
              <w:rPr>
                <w:rFonts w:hint="eastAsia" w:ascii="仿宋_GB2312" w:hAnsi="仿宋_GB2312" w:eastAsia="仿宋_GB2312" w:cs="仿宋_GB2312"/>
                <w:b/>
                <w:bCs/>
              </w:rPr>
            </w:pPr>
            <w:r>
              <w:rPr>
                <w:rFonts w:hint="eastAsia" w:ascii="仿宋_GB2312" w:hAnsi="仿宋_GB2312" w:eastAsia="仿宋_GB2312" w:cs="仿宋_GB2312"/>
                <w:b/>
                <w:bCs/>
                <w:color w:val="auto"/>
                <w:highlight w:val="none"/>
              </w:rPr>
              <w:t>同类项目经验</w:t>
            </w:r>
          </w:p>
        </w:tc>
        <w:tc>
          <w:tcPr>
            <w:tcW w:w="5776" w:type="dxa"/>
            <w:vAlign w:val="center"/>
          </w:tcPr>
          <w:p>
            <w:pPr>
              <w:spacing w:line="360" w:lineRule="exact"/>
              <w:ind w:firstLine="420" w:firstLineChars="20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投标人</w:t>
            </w:r>
            <w:r>
              <w:rPr>
                <w:rFonts w:hint="eastAsia" w:ascii="仿宋_GB2312" w:hAnsi="仿宋_GB2312" w:eastAsia="仿宋_GB2312" w:cs="仿宋_GB2312"/>
                <w:color w:val="000000"/>
                <w:sz w:val="21"/>
                <w:szCs w:val="21"/>
              </w:rPr>
              <w:t>（或联合体牵头人）</w:t>
            </w:r>
            <w:r>
              <w:rPr>
                <w:rFonts w:hint="eastAsia" w:ascii="仿宋_GB2312" w:hAnsi="仿宋_GB2312" w:eastAsia="仿宋_GB2312" w:cs="仿宋_GB2312"/>
                <w:color w:val="auto"/>
                <w:sz w:val="21"/>
                <w:szCs w:val="21"/>
                <w:highlight w:val="none"/>
              </w:rPr>
              <w:t>202</w:t>
            </w: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color w:val="auto"/>
                <w:sz w:val="21"/>
                <w:szCs w:val="21"/>
                <w:highlight w:val="none"/>
              </w:rPr>
              <w:t>年1月1日起至</w:t>
            </w:r>
            <w:r>
              <w:rPr>
                <w:rFonts w:hint="eastAsia" w:ascii="仿宋_GB2312" w:hAnsi="仿宋_GB2312" w:eastAsia="仿宋_GB2312" w:cs="仿宋_GB2312"/>
                <w:color w:val="auto"/>
                <w:sz w:val="21"/>
                <w:szCs w:val="21"/>
                <w:highlight w:val="none"/>
                <w:lang w:val="en-US" w:eastAsia="zh-CN"/>
              </w:rPr>
              <w:t>今</w:t>
            </w:r>
            <w:r>
              <w:rPr>
                <w:rFonts w:hint="eastAsia" w:ascii="仿宋_GB2312" w:hAnsi="仿宋_GB2312" w:eastAsia="仿宋_GB2312" w:cs="仿宋_GB2312"/>
              </w:rPr>
              <w:t>承接的同类项目</w:t>
            </w:r>
            <w:r>
              <w:rPr>
                <w:rFonts w:hint="eastAsia" w:ascii="仿宋_GB2312" w:hAnsi="仿宋_GB2312" w:eastAsia="仿宋_GB2312" w:cs="仿宋_GB2312"/>
                <w:color w:val="auto"/>
                <w:sz w:val="21"/>
                <w:szCs w:val="21"/>
                <w:highlight w:val="none"/>
                <w:lang w:val="en-US" w:eastAsia="zh-CN"/>
              </w:rPr>
              <w:t>，</w:t>
            </w:r>
            <w:r>
              <w:rPr>
                <w:rFonts w:hint="eastAsia" w:ascii="仿宋_GB2312" w:hAnsi="仿宋_GB2312" w:eastAsia="仿宋_GB2312" w:cs="仿宋_GB2312"/>
                <w:color w:val="auto"/>
                <w:sz w:val="21"/>
                <w:szCs w:val="21"/>
                <w:highlight w:val="none"/>
              </w:rPr>
              <w:t>每有一项得</w:t>
            </w: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color w:val="auto"/>
                <w:sz w:val="21"/>
                <w:szCs w:val="21"/>
                <w:highlight w:val="none"/>
              </w:rPr>
              <w:t>分，满分</w:t>
            </w:r>
            <w:r>
              <w:rPr>
                <w:rFonts w:hint="eastAsia" w:ascii="仿宋_GB2312" w:hAnsi="仿宋_GB2312" w:eastAsia="仿宋_GB2312" w:cs="仿宋_GB2312"/>
                <w:color w:val="auto"/>
                <w:sz w:val="21"/>
                <w:szCs w:val="21"/>
                <w:highlight w:val="none"/>
                <w:lang w:val="en-US" w:eastAsia="zh-CN"/>
              </w:rPr>
              <w:t>4</w:t>
            </w:r>
            <w:r>
              <w:rPr>
                <w:rFonts w:hint="eastAsia" w:ascii="仿宋_GB2312" w:hAnsi="仿宋_GB2312" w:eastAsia="仿宋_GB2312" w:cs="仿宋_GB2312"/>
                <w:color w:val="auto"/>
                <w:sz w:val="21"/>
                <w:szCs w:val="21"/>
                <w:highlight w:val="none"/>
              </w:rPr>
              <w:t>分</w:t>
            </w:r>
            <w:r>
              <w:rPr>
                <w:rFonts w:hint="eastAsia" w:ascii="仿宋_GB2312" w:hAnsi="仿宋_GB2312" w:eastAsia="仿宋_GB2312" w:cs="仿宋_GB2312"/>
                <w:color w:val="auto"/>
                <w:sz w:val="21"/>
                <w:szCs w:val="21"/>
                <w:highlight w:val="none"/>
                <w:lang w:eastAsia="zh-CN"/>
              </w:rPr>
              <w:t>。</w:t>
            </w:r>
          </w:p>
          <w:p>
            <w:pPr>
              <w:widowControl/>
              <w:spacing w:line="360" w:lineRule="exact"/>
              <w:ind w:firstLine="422" w:firstLineChars="200"/>
              <w:jc w:val="left"/>
              <w:rPr>
                <w:rFonts w:hint="eastAsia" w:ascii="仿宋_GB2312" w:hAnsi="仿宋_GB2312" w:eastAsia="仿宋_GB2312" w:cs="仿宋_GB2312"/>
                <w:b/>
                <w:bCs/>
                <w:color w:val="auto"/>
                <w:sz w:val="21"/>
                <w:szCs w:val="21"/>
                <w:highlight w:val="none"/>
                <w:lang w:eastAsia="zh-CN"/>
              </w:rPr>
            </w:pPr>
            <w:r>
              <w:rPr>
                <w:rFonts w:hint="eastAsia" w:ascii="仿宋_GB2312" w:hAnsi="仿宋_GB2312" w:eastAsia="仿宋_GB2312" w:cs="仿宋_GB2312"/>
                <w:b/>
                <w:bCs/>
                <w:color w:val="auto"/>
                <w:sz w:val="21"/>
                <w:szCs w:val="21"/>
                <w:highlight w:val="none"/>
              </w:rPr>
              <w:t>注：1.同类项目指计算机及配套基础软件</w:t>
            </w:r>
            <w:r>
              <w:rPr>
                <w:rFonts w:hint="eastAsia" w:ascii="仿宋_GB2312" w:hAnsi="仿宋_GB2312" w:eastAsia="仿宋_GB2312" w:cs="仿宋_GB2312"/>
                <w:b/>
                <w:bCs/>
                <w:color w:val="auto"/>
                <w:sz w:val="21"/>
                <w:szCs w:val="21"/>
                <w:highlight w:val="none"/>
                <w:lang w:eastAsia="zh-CN"/>
              </w:rPr>
              <w:t>（</w:t>
            </w:r>
            <w:r>
              <w:rPr>
                <w:rFonts w:hint="eastAsia" w:ascii="仿宋_GB2312" w:hAnsi="仿宋_GB2312" w:eastAsia="仿宋_GB2312" w:cs="仿宋_GB2312"/>
                <w:b/>
                <w:bCs/>
                <w:color w:val="auto"/>
                <w:sz w:val="21"/>
                <w:szCs w:val="21"/>
                <w:highlight w:val="none"/>
                <w:lang w:val="en-US" w:eastAsia="zh-CN"/>
              </w:rPr>
              <w:t>含</w:t>
            </w:r>
            <w:r>
              <w:rPr>
                <w:rFonts w:hint="eastAsia" w:ascii="仿宋_GB2312" w:hAnsi="仿宋_GB2312" w:eastAsia="仿宋_GB2312" w:cs="仿宋_GB2312"/>
                <w:b/>
                <w:bCs/>
                <w:i w:val="0"/>
                <w:iCs w:val="0"/>
                <w:color w:val="auto"/>
                <w:kern w:val="2"/>
                <w:sz w:val="21"/>
                <w:szCs w:val="21"/>
                <w:highlight w:val="none"/>
                <w:u w:val="none"/>
                <w:lang w:val="en-US" w:eastAsia="zh-CN"/>
              </w:rPr>
              <w:t>桌面操作系统、流式办公软件、版式软件、网络防病毒系统、可信浏览器、文档安全系统、隐写溯源系统客户端中的任意三项</w:t>
            </w:r>
            <w:r>
              <w:rPr>
                <w:rFonts w:hint="eastAsia" w:ascii="仿宋_GB2312" w:hAnsi="仿宋_GB2312" w:eastAsia="仿宋_GB2312" w:cs="仿宋_GB2312"/>
                <w:b/>
                <w:bCs/>
                <w:color w:val="auto"/>
                <w:sz w:val="21"/>
                <w:szCs w:val="21"/>
                <w:highlight w:val="none"/>
                <w:lang w:eastAsia="zh-CN"/>
              </w:rPr>
              <w:t>）</w:t>
            </w:r>
            <w:r>
              <w:rPr>
                <w:rFonts w:hint="eastAsia" w:ascii="仿宋_GB2312" w:hAnsi="仿宋_GB2312" w:eastAsia="仿宋_GB2312" w:cs="仿宋_GB2312"/>
                <w:b/>
                <w:bCs/>
                <w:color w:val="auto"/>
                <w:sz w:val="21"/>
                <w:szCs w:val="21"/>
                <w:highlight w:val="none"/>
              </w:rPr>
              <w:t>供货项目，能在合同中体现清楚</w:t>
            </w:r>
            <w:r>
              <w:rPr>
                <w:rFonts w:hint="eastAsia" w:ascii="仿宋_GB2312" w:hAnsi="仿宋_GB2312" w:eastAsia="仿宋_GB2312" w:cs="仿宋_GB2312"/>
                <w:b/>
                <w:bCs/>
                <w:color w:val="auto"/>
                <w:sz w:val="21"/>
                <w:szCs w:val="21"/>
                <w:highlight w:val="none"/>
                <w:lang w:eastAsia="zh-CN"/>
              </w:rPr>
              <w:t>；</w:t>
            </w:r>
          </w:p>
          <w:p>
            <w:pPr>
              <w:spacing w:line="360" w:lineRule="exact"/>
              <w:ind w:firstLine="422" w:firstLineChars="200"/>
              <w:jc w:val="left"/>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lang w:val="en-US" w:eastAsia="zh-CN"/>
              </w:rPr>
              <w:t>2.</w:t>
            </w:r>
            <w:r>
              <w:rPr>
                <w:rFonts w:hint="eastAsia" w:ascii="仿宋_GB2312" w:hAnsi="仿宋_GB2312" w:eastAsia="仿宋_GB2312" w:cs="仿宋_GB2312"/>
                <w:b/>
                <w:bCs/>
                <w:color w:val="auto"/>
                <w:sz w:val="21"/>
                <w:szCs w:val="21"/>
                <w:highlight w:val="none"/>
              </w:rPr>
              <w:t>以合同签订时间为准；</w:t>
            </w:r>
          </w:p>
          <w:p>
            <w:pPr>
              <w:spacing w:line="360" w:lineRule="exact"/>
              <w:ind w:firstLine="422" w:firstLineChars="200"/>
              <w:jc w:val="left"/>
              <w:rPr>
                <w:rFonts w:hint="eastAsia" w:ascii="仿宋_GB2312" w:hAnsi="仿宋_GB2312" w:eastAsia="仿宋_GB2312" w:cs="仿宋_GB2312"/>
                <w:b/>
                <w:bCs/>
                <w:color w:val="auto"/>
                <w:sz w:val="21"/>
                <w:szCs w:val="21"/>
                <w:lang w:val="en-US" w:eastAsia="zh-CN"/>
              </w:rPr>
            </w:pPr>
            <w:r>
              <w:rPr>
                <w:rFonts w:hint="eastAsia" w:ascii="仿宋_GB2312" w:hAnsi="仿宋_GB2312" w:eastAsia="仿宋_GB2312" w:cs="仿宋_GB2312"/>
                <w:b/>
                <w:bCs/>
                <w:color w:val="auto"/>
                <w:sz w:val="21"/>
                <w:szCs w:val="21"/>
                <w:highlight w:val="none"/>
                <w:lang w:val="en-US" w:eastAsia="zh-CN"/>
              </w:rPr>
              <w:t>3.</w:t>
            </w:r>
            <w:r>
              <w:rPr>
                <w:rFonts w:hint="eastAsia" w:ascii="仿宋_GB2312" w:hAnsi="仿宋_GB2312" w:eastAsia="仿宋_GB2312" w:cs="仿宋_GB2312"/>
                <w:b/>
                <w:bCs/>
                <w:color w:val="auto"/>
                <w:sz w:val="21"/>
                <w:szCs w:val="21"/>
                <w:highlight w:val="none"/>
              </w:rPr>
              <w:t>投标人提供上述合同材料并加盖投标人</w:t>
            </w:r>
            <w:r>
              <w:rPr>
                <w:rFonts w:hint="eastAsia" w:ascii="仿宋_GB2312" w:hAnsi="仿宋_GB2312" w:eastAsia="仿宋_GB2312" w:cs="仿宋_GB2312"/>
                <w:b/>
                <w:bCs/>
                <w:color w:val="auto"/>
                <w:sz w:val="21"/>
                <w:szCs w:val="21"/>
                <w:highlight w:val="none"/>
                <w:lang w:val="en-US" w:eastAsia="zh-CN"/>
              </w:rPr>
              <w:t>公</w:t>
            </w:r>
            <w:r>
              <w:rPr>
                <w:rFonts w:hint="eastAsia" w:ascii="仿宋_GB2312" w:hAnsi="仿宋_GB2312" w:eastAsia="仿宋_GB2312" w:cs="仿宋_GB2312"/>
                <w:b/>
                <w:bCs/>
                <w:color w:val="auto"/>
                <w:sz w:val="21"/>
                <w:szCs w:val="21"/>
                <w:highlight w:val="none"/>
              </w:rPr>
              <w:t>章，否则不予计分。</w:t>
            </w:r>
          </w:p>
        </w:tc>
        <w:tc>
          <w:tcPr>
            <w:tcW w:w="1182" w:type="dxa"/>
            <w:vAlign w:val="center"/>
          </w:tcPr>
          <w:p>
            <w:pPr>
              <w:spacing w:line="360" w:lineRule="exact"/>
              <w:jc w:val="center"/>
              <w:rPr>
                <w:rFonts w:hint="eastAsia" w:ascii="仿宋_GB2312" w:hAnsi="仿宋_GB2312" w:eastAsia="仿宋_GB2312" w:cs="仿宋_GB2312"/>
                <w:b/>
                <w:bCs/>
                <w:color w:val="auto"/>
                <w:kern w:val="2"/>
                <w:sz w:val="21"/>
                <w:szCs w:val="21"/>
                <w:highlight w:val="none"/>
                <w:lang w:val="en-US" w:eastAsia="zh-CN" w:bidi="ar-SA"/>
              </w:rPr>
            </w:pPr>
            <w:r>
              <w:rPr>
                <w:rFonts w:hint="eastAsia" w:ascii="仿宋_GB2312" w:hAnsi="仿宋_GB2312" w:eastAsia="仿宋_GB2312" w:cs="仿宋_GB2312"/>
                <w:b/>
                <w:bCs/>
                <w:color w:val="auto"/>
                <w:sz w:val="21"/>
                <w:szCs w:val="21"/>
                <w:highlight w:val="none"/>
                <w:lang w:val="en-US" w:eastAsia="zh-CN"/>
              </w:rPr>
              <w:t>4</w:t>
            </w:r>
          </w:p>
        </w:tc>
        <w:tc>
          <w:tcPr>
            <w:tcW w:w="1413"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rPr>
            </w:pPr>
            <w:r>
              <w:rPr>
                <w:rFonts w:hint="eastAsia" w:ascii="仿宋_GB2312" w:hAnsi="仿宋_GB2312" w:eastAsia="仿宋_GB2312" w:cs="仿宋_GB2312"/>
                <w:b w:val="0"/>
                <w:bCs w:val="0"/>
                <w:color w:val="auto"/>
                <w:szCs w:val="24"/>
                <w:highlight w:val="none"/>
                <w:lang w:eastAsia="zh-CN"/>
              </w:rPr>
              <w:t>投标人同类项目经验一览表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Align w:val="center"/>
          </w:tcPr>
          <w:p>
            <w:pPr>
              <w:spacing w:line="36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color w:val="auto"/>
                <w:szCs w:val="24"/>
                <w:highlight w:val="none"/>
                <w:lang w:eastAsia="zh-CN"/>
              </w:rPr>
              <w:t>拟投入人员分</w:t>
            </w:r>
          </w:p>
        </w:tc>
        <w:tc>
          <w:tcPr>
            <w:tcW w:w="1090" w:type="dxa"/>
            <w:vAlign w:val="center"/>
          </w:tcPr>
          <w:p>
            <w:pPr>
              <w:spacing w:line="360" w:lineRule="exact"/>
              <w:jc w:val="center"/>
              <w:rPr>
                <w:rFonts w:hint="eastAsia" w:ascii="仿宋_GB2312" w:hAnsi="仿宋_GB2312" w:eastAsia="仿宋_GB2312" w:cs="仿宋_GB2312"/>
                <w:b/>
                <w:bCs/>
                <w:sz w:val="21"/>
                <w:szCs w:val="21"/>
              </w:rPr>
            </w:pPr>
            <w:r>
              <w:rPr>
                <w:rFonts w:hint="eastAsia" w:ascii="仿宋_GB2312" w:eastAsia="仿宋_GB2312"/>
                <w:b/>
                <w:bCs/>
              </w:rPr>
              <w:t>拟投入人员</w:t>
            </w:r>
          </w:p>
        </w:tc>
        <w:tc>
          <w:tcPr>
            <w:tcW w:w="5776" w:type="dxa"/>
            <w:vAlign w:val="center"/>
          </w:tcPr>
          <w:p>
            <w:pPr>
              <w:spacing w:line="360" w:lineRule="exact"/>
              <w:ind w:firstLine="420"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bCs w:val="0"/>
                <w:color w:val="auto"/>
                <w:kern w:val="2"/>
                <w:sz w:val="21"/>
                <w:szCs w:val="21"/>
                <w:highlight w:val="none"/>
                <w:lang w:val="en-US" w:eastAsia="zh-CN"/>
              </w:rPr>
              <w:t>1.项目经理</w:t>
            </w:r>
            <w:r>
              <w:rPr>
                <w:rStyle w:val="293"/>
                <w:rFonts w:hint="eastAsia" w:ascii="仿宋_GB2312" w:hAnsi="仿宋_GB2312" w:eastAsia="仿宋_GB2312" w:cs="仿宋_GB2312"/>
                <w:b w:val="0"/>
                <w:bCs w:val="0"/>
                <w:color w:val="auto"/>
                <w:kern w:val="2"/>
                <w:sz w:val="21"/>
                <w:szCs w:val="21"/>
                <w:highlight w:val="none"/>
                <w:u w:val="none"/>
                <w:lang w:val="en-US" w:eastAsia="zh-CN" w:bidi="ar-SA"/>
              </w:rPr>
              <w:t>具备高级信息系统项目管理师职业资格证书</w:t>
            </w:r>
            <w:r>
              <w:rPr>
                <w:rFonts w:hint="eastAsia" w:ascii="仿宋_GB2312" w:hAnsi="仿宋_GB2312" w:eastAsia="仿宋_GB2312" w:cs="仿宋_GB2312"/>
                <w:bCs w:val="0"/>
                <w:color w:val="auto"/>
                <w:kern w:val="2"/>
                <w:sz w:val="21"/>
                <w:szCs w:val="21"/>
                <w:highlight w:val="none"/>
                <w:lang w:val="en-US" w:eastAsia="zh-CN"/>
              </w:rPr>
              <w:t>的</w:t>
            </w:r>
            <w:r>
              <w:rPr>
                <w:rFonts w:hint="eastAsia" w:ascii="仿宋_GB2312" w:hAnsi="仿宋_GB2312" w:eastAsia="仿宋_GB2312" w:cs="仿宋_GB2312"/>
                <w:bCs w:val="0"/>
                <w:color w:val="auto"/>
                <w:kern w:val="2"/>
                <w:sz w:val="21"/>
                <w:szCs w:val="21"/>
                <w:highlight w:val="none"/>
              </w:rPr>
              <w:t>得</w:t>
            </w:r>
            <w:r>
              <w:rPr>
                <w:rFonts w:hint="eastAsia" w:ascii="仿宋_GB2312" w:hAnsi="仿宋_GB2312" w:eastAsia="仿宋_GB2312" w:cs="仿宋_GB2312"/>
                <w:bCs w:val="0"/>
                <w:color w:val="auto"/>
                <w:kern w:val="2"/>
                <w:sz w:val="21"/>
                <w:szCs w:val="21"/>
                <w:highlight w:val="none"/>
                <w:lang w:val="en-US" w:eastAsia="zh-CN"/>
              </w:rPr>
              <w:t>2</w:t>
            </w:r>
            <w:r>
              <w:rPr>
                <w:rFonts w:hint="eastAsia" w:ascii="仿宋_GB2312" w:hAnsi="仿宋_GB2312" w:eastAsia="仿宋_GB2312" w:cs="仿宋_GB2312"/>
                <w:bCs w:val="0"/>
                <w:color w:val="auto"/>
                <w:kern w:val="2"/>
                <w:sz w:val="21"/>
                <w:szCs w:val="21"/>
                <w:highlight w:val="none"/>
              </w:rPr>
              <w:t>分</w:t>
            </w:r>
            <w:r>
              <w:rPr>
                <w:rFonts w:hint="eastAsia" w:ascii="仿宋_GB2312" w:hAnsi="仿宋_GB2312" w:eastAsia="仿宋_GB2312" w:cs="仿宋_GB2312"/>
                <w:bCs w:val="0"/>
                <w:color w:val="auto"/>
                <w:kern w:val="2"/>
                <w:sz w:val="21"/>
                <w:szCs w:val="21"/>
                <w:highlight w:val="none"/>
                <w:lang w:eastAsia="zh-CN"/>
              </w:rPr>
              <w:t>，满分</w:t>
            </w:r>
            <w:r>
              <w:rPr>
                <w:rFonts w:hint="eastAsia" w:ascii="仿宋_GB2312" w:hAnsi="仿宋_GB2312" w:eastAsia="仿宋_GB2312" w:cs="仿宋_GB2312"/>
                <w:bCs w:val="0"/>
                <w:color w:val="auto"/>
                <w:kern w:val="2"/>
                <w:sz w:val="21"/>
                <w:szCs w:val="21"/>
                <w:highlight w:val="none"/>
                <w:lang w:val="en-US" w:eastAsia="zh-CN"/>
              </w:rPr>
              <w:t>2分</w:t>
            </w:r>
            <w:r>
              <w:rPr>
                <w:rFonts w:hint="eastAsia" w:ascii="仿宋_GB2312" w:hAnsi="仿宋_GB2312" w:eastAsia="仿宋_GB2312" w:cs="仿宋_GB2312"/>
                <w:color w:val="auto"/>
                <w:sz w:val="21"/>
                <w:szCs w:val="21"/>
                <w:highlight w:val="none"/>
              </w:rPr>
              <w:t>。</w:t>
            </w:r>
          </w:p>
          <w:p>
            <w:pPr>
              <w:spacing w:line="360" w:lineRule="exact"/>
              <w:ind w:firstLine="420"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2.项目实施技术人员每有1人具备中级系统集成项目管理工程师、中级网络工程师、中级</w:t>
            </w:r>
            <w:r>
              <w:rPr>
                <w:rFonts w:hint="eastAsia" w:ascii="仿宋_GB2312" w:hAnsi="仿宋_GB2312" w:eastAsia="仿宋_GB2312" w:cs="仿宋_GB2312"/>
                <w:bCs w:val="0"/>
                <w:color w:val="auto"/>
                <w:kern w:val="2"/>
                <w:sz w:val="21"/>
                <w:szCs w:val="21"/>
                <w:highlight w:val="none"/>
                <w:lang w:val="en-US" w:eastAsia="zh-CN"/>
              </w:rPr>
              <w:t>软件设计师</w:t>
            </w:r>
            <w:r>
              <w:rPr>
                <w:rFonts w:hint="eastAsia" w:ascii="仿宋_GB2312" w:hAnsi="仿宋_GB2312" w:eastAsia="仿宋_GB2312" w:cs="仿宋_GB2312"/>
                <w:b w:val="0"/>
                <w:bCs w:val="0"/>
                <w:color w:val="auto"/>
                <w:kern w:val="2"/>
                <w:sz w:val="21"/>
                <w:szCs w:val="21"/>
                <w:highlight w:val="none"/>
                <w:u w:val="none"/>
                <w:lang w:val="en-US" w:eastAsia="zh-CN" w:bidi="ar-SA"/>
              </w:rPr>
              <w:t>职业资格证书得2分，满分8分（同一人具有不同</w:t>
            </w:r>
            <w:r>
              <w:rPr>
                <w:rFonts w:hint="eastAsia" w:ascii="仿宋_GB2312" w:hAnsi="仿宋_GB2312" w:eastAsia="仿宋_GB2312" w:cs="仿宋_GB2312"/>
                <w:b w:val="0"/>
                <w:bCs w:val="0"/>
                <w:color w:val="auto"/>
                <w:sz w:val="21"/>
                <w:szCs w:val="21"/>
                <w:highlight w:val="none"/>
                <w:u w:val="none"/>
                <w:lang w:val="en-US" w:eastAsia="zh-CN"/>
              </w:rPr>
              <w:t>证书不重复计分</w:t>
            </w:r>
            <w:r>
              <w:rPr>
                <w:rFonts w:hint="eastAsia" w:ascii="仿宋_GB2312" w:hAnsi="仿宋_GB2312" w:eastAsia="仿宋_GB2312" w:cs="仿宋_GB2312"/>
                <w:b w:val="0"/>
                <w:bCs w:val="0"/>
                <w:color w:val="auto"/>
                <w:kern w:val="2"/>
                <w:sz w:val="21"/>
                <w:szCs w:val="21"/>
                <w:highlight w:val="none"/>
                <w:u w:val="none"/>
                <w:lang w:val="en-US" w:eastAsia="zh-CN" w:bidi="ar-SA"/>
              </w:rPr>
              <w:t>）。</w:t>
            </w:r>
          </w:p>
          <w:p>
            <w:pPr>
              <w:spacing w:line="360" w:lineRule="exact"/>
              <w:ind w:left="0" w:leftChars="0" w:firstLine="422" w:firstLineChars="200"/>
              <w:rPr>
                <w:rFonts w:hint="eastAsia"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b/>
                <w:bCs/>
                <w:color w:val="auto"/>
                <w:sz w:val="21"/>
                <w:szCs w:val="21"/>
                <w:highlight w:val="none"/>
              </w:rPr>
              <w:t>注：</w:t>
            </w:r>
            <w:r>
              <w:rPr>
                <w:rFonts w:hint="eastAsia" w:ascii="仿宋_GB2312" w:hAnsi="仿宋_GB2312" w:eastAsia="仿宋_GB2312" w:cs="仿宋_GB2312"/>
                <w:b/>
                <w:bCs/>
                <w:color w:val="auto"/>
                <w:sz w:val="21"/>
                <w:szCs w:val="21"/>
                <w:highlight w:val="none"/>
                <w:lang w:val="en-US" w:eastAsia="zh-CN"/>
              </w:rPr>
              <w:t>1.同一人提供多个相同专业职称证书按最高级别计算；</w:t>
            </w:r>
          </w:p>
          <w:p>
            <w:pPr>
              <w:spacing w:line="360" w:lineRule="exact"/>
              <w:ind w:left="0" w:leftChars="0" w:firstLine="422" w:firstLineChars="200"/>
              <w:rPr>
                <w:rFonts w:hint="eastAsia" w:ascii="仿宋_GB2312" w:hAnsi="仿宋_GB2312" w:eastAsia="仿宋_GB2312" w:cs="仿宋_GB2312"/>
                <w:b/>
                <w:bCs/>
                <w:color w:val="auto"/>
                <w:sz w:val="21"/>
                <w:szCs w:val="21"/>
                <w:highlight w:val="none"/>
                <w:lang w:eastAsia="zh-CN"/>
              </w:rPr>
            </w:pPr>
            <w:r>
              <w:rPr>
                <w:rFonts w:hint="eastAsia" w:ascii="仿宋_GB2312" w:hAnsi="仿宋_GB2312" w:eastAsia="仿宋_GB2312" w:cs="仿宋_GB2312"/>
                <w:b/>
                <w:bCs/>
                <w:color w:val="auto"/>
                <w:sz w:val="21"/>
                <w:szCs w:val="21"/>
                <w:highlight w:val="none"/>
                <w:lang w:val="en-US" w:eastAsia="zh-CN"/>
              </w:rPr>
              <w:t>2.提供</w:t>
            </w:r>
            <w:r>
              <w:rPr>
                <w:rFonts w:hint="eastAsia" w:ascii="仿宋_GB2312" w:hAnsi="仿宋_GB2312" w:eastAsia="仿宋_GB2312" w:cs="仿宋_GB2312"/>
                <w:b/>
                <w:bCs/>
                <w:color w:val="auto"/>
                <w:sz w:val="21"/>
                <w:szCs w:val="21"/>
                <w:highlight w:val="none"/>
              </w:rPr>
              <w:t>项目</w:t>
            </w:r>
            <w:r>
              <w:rPr>
                <w:rFonts w:hint="eastAsia" w:ascii="仿宋_GB2312" w:hAnsi="仿宋_GB2312" w:eastAsia="仿宋_GB2312" w:cs="仿宋_GB2312"/>
                <w:b/>
                <w:bCs/>
                <w:color w:val="auto"/>
                <w:sz w:val="21"/>
                <w:szCs w:val="21"/>
                <w:highlight w:val="none"/>
                <w:lang w:eastAsia="zh-CN"/>
              </w:rPr>
              <w:t>经理、</w:t>
            </w:r>
            <w:r>
              <w:rPr>
                <w:rFonts w:hint="eastAsia" w:ascii="仿宋_GB2312" w:hAnsi="仿宋_GB2312" w:eastAsia="仿宋_GB2312" w:cs="仿宋_GB2312"/>
                <w:b/>
                <w:bCs/>
                <w:color w:val="auto"/>
                <w:sz w:val="21"/>
                <w:szCs w:val="21"/>
                <w:highlight w:val="none"/>
                <w:lang w:val="en-US" w:eastAsia="zh-CN"/>
              </w:rPr>
              <w:t>项目实施技术人员</w:t>
            </w:r>
            <w:r>
              <w:rPr>
                <w:rFonts w:hint="eastAsia" w:ascii="仿宋_GB2312" w:hAnsi="仿宋_GB2312" w:eastAsia="仿宋_GB2312" w:cs="仿宋_GB2312"/>
                <w:b/>
                <w:bCs/>
                <w:color w:val="auto"/>
                <w:sz w:val="21"/>
                <w:szCs w:val="21"/>
                <w:highlight w:val="none"/>
              </w:rPr>
              <w:t>相关</w:t>
            </w:r>
            <w:r>
              <w:rPr>
                <w:rFonts w:hint="eastAsia" w:ascii="仿宋_GB2312" w:hAnsi="仿宋_GB2312" w:eastAsia="仿宋_GB2312" w:cs="仿宋_GB2312"/>
                <w:b/>
                <w:bCs/>
                <w:color w:val="auto"/>
                <w:kern w:val="2"/>
                <w:sz w:val="21"/>
                <w:szCs w:val="21"/>
                <w:highlight w:val="none"/>
                <w:u w:val="none"/>
                <w:lang w:val="en-US" w:eastAsia="zh-CN" w:bidi="ar-SA"/>
              </w:rPr>
              <w:t>证书证明</w:t>
            </w:r>
            <w:r>
              <w:rPr>
                <w:rFonts w:hint="eastAsia" w:ascii="仿宋_GB2312" w:hAnsi="仿宋_GB2312" w:eastAsia="仿宋_GB2312" w:cs="仿宋_GB2312"/>
                <w:b/>
                <w:bCs/>
                <w:color w:val="auto"/>
                <w:sz w:val="21"/>
                <w:szCs w:val="21"/>
                <w:highlight w:val="none"/>
              </w:rPr>
              <w:t>材料并加盖投标人CA电子签章</w:t>
            </w:r>
            <w:r>
              <w:rPr>
                <w:rFonts w:hint="eastAsia" w:ascii="仿宋_GB2312" w:hAnsi="仿宋_GB2312" w:eastAsia="仿宋_GB2312" w:cs="仿宋_GB2312"/>
                <w:b/>
                <w:bCs/>
                <w:color w:val="auto"/>
                <w:sz w:val="21"/>
                <w:szCs w:val="21"/>
                <w:highlight w:val="none"/>
                <w:lang w:eastAsia="zh-CN"/>
              </w:rPr>
              <w:t>，</w:t>
            </w:r>
            <w:r>
              <w:rPr>
                <w:rFonts w:hint="eastAsia" w:ascii="仿宋_GB2312" w:hAnsi="仿宋_GB2312" w:eastAsia="仿宋_GB2312" w:cs="仿宋_GB2312"/>
                <w:b/>
                <w:bCs/>
                <w:color w:val="auto"/>
                <w:sz w:val="21"/>
                <w:szCs w:val="21"/>
                <w:highlight w:val="none"/>
                <w:lang w:val="en-US" w:eastAsia="zh-CN"/>
              </w:rPr>
              <w:t>未</w:t>
            </w:r>
            <w:r>
              <w:rPr>
                <w:rFonts w:hint="eastAsia" w:ascii="仿宋_GB2312" w:hAnsi="仿宋_GB2312" w:eastAsia="仿宋_GB2312" w:cs="仿宋_GB2312"/>
                <w:b/>
                <w:bCs/>
                <w:color w:val="auto"/>
                <w:sz w:val="21"/>
                <w:szCs w:val="21"/>
                <w:highlight w:val="none"/>
              </w:rPr>
              <w:t>提供的，对应加分项不予计分</w:t>
            </w:r>
            <w:r>
              <w:rPr>
                <w:rFonts w:hint="eastAsia" w:ascii="仿宋_GB2312" w:hAnsi="仿宋_GB2312" w:eastAsia="仿宋_GB2312" w:cs="仿宋_GB2312"/>
                <w:b/>
                <w:bCs/>
                <w:color w:val="auto"/>
                <w:sz w:val="21"/>
                <w:szCs w:val="21"/>
                <w:highlight w:val="none"/>
                <w:lang w:eastAsia="zh-CN"/>
              </w:rPr>
              <w:t>；</w:t>
            </w:r>
          </w:p>
          <w:p>
            <w:pPr>
              <w:spacing w:line="360" w:lineRule="exact"/>
              <w:ind w:left="0" w:leftChars="0" w:firstLine="422" w:firstLineChars="200"/>
              <w:rPr>
                <w:rStyle w:val="851"/>
                <w:rFonts w:hint="eastAsia" w:ascii="仿宋_GB2312" w:hAnsi="仿宋_GB2312" w:eastAsia="仿宋_GB2312" w:cs="仿宋_GB2312"/>
                <w:b/>
                <w:bCs/>
                <w:color w:val="auto"/>
                <w:kern w:val="2"/>
                <w:sz w:val="21"/>
                <w:szCs w:val="21"/>
                <w:highlight w:val="none"/>
                <w:u w:val="none"/>
                <w:lang w:val="en-US" w:eastAsia="zh-CN" w:bidi="ar-SA"/>
              </w:rPr>
            </w:pPr>
            <w:r>
              <w:rPr>
                <w:rFonts w:hint="eastAsia" w:ascii="仿宋_GB2312" w:hAnsi="仿宋_GB2312" w:eastAsia="仿宋_GB2312" w:cs="仿宋_GB2312"/>
                <w:b/>
                <w:bCs/>
                <w:color w:val="auto"/>
                <w:sz w:val="21"/>
                <w:szCs w:val="21"/>
                <w:highlight w:val="none"/>
                <w:lang w:val="en-US" w:eastAsia="zh-CN"/>
              </w:rPr>
              <w:t>3.上述人员必须是投标人（</w:t>
            </w:r>
            <w:r>
              <w:rPr>
                <w:rFonts w:hint="eastAsia" w:ascii="仿宋_GB2312" w:hAnsi="仿宋_GB2312" w:eastAsia="仿宋_GB2312" w:cs="仿宋_GB2312"/>
                <w:b/>
                <w:bCs/>
                <w:color w:val="auto"/>
                <w:sz w:val="21"/>
                <w:szCs w:val="21"/>
                <w:highlight w:val="none"/>
                <w:lang w:eastAsia="zh-CN"/>
              </w:rPr>
              <w:t>若为联合体投标的，需为牵头</w:t>
            </w:r>
            <w:r>
              <w:rPr>
                <w:rFonts w:hint="eastAsia" w:ascii="仿宋_GB2312" w:hAnsi="仿宋_GB2312" w:eastAsia="仿宋_GB2312" w:cs="仿宋_GB2312"/>
                <w:b/>
                <w:bCs/>
                <w:color w:val="auto"/>
                <w:sz w:val="21"/>
                <w:szCs w:val="21"/>
                <w:highlight w:val="none"/>
                <w:lang w:val="en-US" w:eastAsia="zh-CN"/>
              </w:rPr>
              <w:t>人在职人员）在职人员，</w:t>
            </w:r>
            <w:r>
              <w:rPr>
                <w:rStyle w:val="851"/>
                <w:rFonts w:hint="eastAsia" w:ascii="仿宋_GB2312" w:hAnsi="仿宋_GB2312" w:eastAsia="仿宋_GB2312" w:cs="仿宋_GB2312"/>
                <w:b/>
                <w:bCs/>
                <w:color w:val="auto"/>
                <w:kern w:val="2"/>
                <w:sz w:val="21"/>
                <w:szCs w:val="21"/>
                <w:highlight w:val="none"/>
                <w:u w:val="none"/>
                <w:lang w:val="en-US" w:eastAsia="zh-CN" w:bidi="ar-SA"/>
              </w:rPr>
              <w:t>投标人须提供在职证明材料（劳动合同或协议）并加盖投标人CA电子签章，未提供证明材料的，该人员不予计分；</w:t>
            </w:r>
          </w:p>
          <w:p>
            <w:pPr>
              <w:spacing w:line="360" w:lineRule="exact"/>
              <w:ind w:left="0" w:leftChars="0" w:firstLine="422" w:firstLineChars="200"/>
              <w:rPr>
                <w:rFonts w:hint="eastAsia" w:ascii="仿宋_GB2312" w:hAnsi="仿宋_GB2312" w:eastAsia="仿宋_GB2312" w:cs="仿宋_GB2312"/>
                <w:sz w:val="21"/>
                <w:szCs w:val="21"/>
              </w:rPr>
            </w:pPr>
            <w:r>
              <w:rPr>
                <w:rStyle w:val="851"/>
                <w:rFonts w:hint="eastAsia" w:ascii="仿宋_GB2312" w:hAnsi="仿宋_GB2312" w:eastAsia="仿宋_GB2312" w:cs="仿宋_GB2312"/>
                <w:b/>
                <w:bCs/>
                <w:color w:val="auto"/>
                <w:kern w:val="2"/>
                <w:sz w:val="21"/>
                <w:szCs w:val="21"/>
                <w:highlight w:val="none"/>
                <w:u w:val="none"/>
                <w:lang w:val="en-US" w:eastAsia="zh-CN" w:bidi="ar-SA"/>
              </w:rPr>
              <w:t>4.中标人在进场时提供拟投入人员的证明材料（劳动合同或协议），若提供拟投入人员与投标文件承诺不相符的，采购人有权将相关情形报财政部门处理</w:t>
            </w:r>
            <w:r>
              <w:rPr>
                <w:rStyle w:val="293"/>
                <w:rFonts w:hint="eastAsia" w:ascii="仿宋_GB2312" w:hAnsi="仿宋_GB2312" w:eastAsia="仿宋_GB2312" w:cs="仿宋_GB2312"/>
                <w:b/>
                <w:bCs/>
                <w:color w:val="auto"/>
                <w:kern w:val="2"/>
                <w:sz w:val="21"/>
                <w:szCs w:val="21"/>
                <w:highlight w:val="none"/>
                <w:u w:val="none"/>
                <w:lang w:val="en-US" w:eastAsia="zh-CN" w:bidi="ar-SA"/>
              </w:rPr>
              <w:t>。</w:t>
            </w:r>
          </w:p>
        </w:tc>
        <w:tc>
          <w:tcPr>
            <w:tcW w:w="1182" w:type="dxa"/>
            <w:vAlign w:val="center"/>
          </w:tcPr>
          <w:p>
            <w:pPr>
              <w:spacing w:line="360" w:lineRule="exact"/>
              <w:jc w:val="center"/>
              <w:rPr>
                <w:rFonts w:hint="default" w:ascii="仿宋_GB2312" w:hAnsi="仿宋_GB2312" w:eastAsia="仿宋_GB2312" w:cs="仿宋_GB2312"/>
                <w:b/>
                <w:bCs/>
                <w:strike/>
                <w:sz w:val="21"/>
                <w:szCs w:val="21"/>
                <w:lang w:val="en-US" w:eastAsia="zh-CN"/>
              </w:rPr>
            </w:pPr>
            <w:r>
              <w:rPr>
                <w:rFonts w:hint="eastAsia" w:ascii="仿宋_GB2312" w:hAnsi="仿宋_GB2312" w:eastAsia="仿宋_GB2312" w:cs="仿宋_GB2312"/>
                <w:b/>
                <w:bCs/>
                <w:color w:val="auto"/>
                <w:sz w:val="21"/>
                <w:szCs w:val="21"/>
                <w:highlight w:val="none"/>
                <w:lang w:val="en-US" w:eastAsia="zh-CN"/>
              </w:rPr>
              <w:t>10</w:t>
            </w:r>
          </w:p>
        </w:tc>
        <w:tc>
          <w:tcPr>
            <w:tcW w:w="1413" w:type="dxa"/>
            <w:vAlign w:val="center"/>
          </w:tcPr>
          <w:p>
            <w:pPr>
              <w:spacing w:line="360" w:lineRule="exact"/>
              <w:jc w:val="cente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val="0"/>
                <w:bCs w:val="0"/>
                <w:color w:val="auto"/>
                <w:szCs w:val="24"/>
                <w:highlight w:val="none"/>
              </w:rPr>
              <w:t>拟投入人员一览表</w:t>
            </w:r>
            <w:r>
              <w:rPr>
                <w:rFonts w:hint="eastAsia" w:ascii="仿宋_GB2312" w:hAnsi="仿宋_GB2312" w:eastAsia="仿宋_GB2312" w:cs="仿宋_GB2312"/>
                <w:b w:val="0"/>
                <w:bCs w:val="0"/>
                <w:color w:val="auto"/>
                <w:highlight w:val="none"/>
                <w:lang w:val="en-US" w:eastAsia="zh-CN"/>
              </w:rPr>
              <w:t>及</w:t>
            </w:r>
            <w:r>
              <w:rPr>
                <w:rFonts w:hint="eastAsia" w:ascii="仿宋_GB2312" w:hAnsi="仿宋_GB2312" w:eastAsia="仿宋_GB2312" w:cs="仿宋_GB2312"/>
                <w:b w:val="0"/>
                <w:bCs w:val="0"/>
                <w:color w:val="auto"/>
                <w:highlight w:val="none"/>
              </w:rPr>
              <w:t>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715" w:type="dxa"/>
            <w:gridSpan w:val="3"/>
            <w:vAlign w:val="center"/>
          </w:tcPr>
          <w:p>
            <w:pPr>
              <w:pStyle w:val="302"/>
              <w:keepNext w:val="0"/>
              <w:keepLines w:val="0"/>
              <w:pageBreakBefore w:val="0"/>
              <w:tabs>
                <w:tab w:val="left" w:pos="312"/>
              </w:tabs>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szCs w:val="24"/>
              </w:rPr>
            </w:pPr>
            <w:r>
              <w:rPr>
                <w:rFonts w:hint="eastAsia" w:ascii="仿宋_GB2312" w:hAnsi="宋体" w:eastAsia="仿宋_GB2312"/>
                <w:b/>
                <w:bCs/>
              </w:rPr>
              <w:t>客观分总分</w:t>
            </w:r>
          </w:p>
        </w:tc>
        <w:tc>
          <w:tcPr>
            <w:tcW w:w="1182"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宋体" w:cs="仿宋_GB2312"/>
                <w:b/>
                <w:bCs/>
                <w:lang w:val="en-US" w:eastAsia="zh-CN"/>
              </w:rPr>
            </w:pPr>
            <w:r>
              <w:rPr>
                <w:rFonts w:hint="eastAsia" w:ascii="仿宋_GB2312" w:hAnsi="仿宋_GB2312" w:eastAsia="仿宋_GB2312" w:cs="仿宋_GB2312"/>
                <w:b/>
                <w:bCs/>
                <w:lang w:val="en-US" w:eastAsia="zh-CN"/>
              </w:rPr>
              <w:t>48</w:t>
            </w:r>
          </w:p>
        </w:tc>
        <w:tc>
          <w:tcPr>
            <w:tcW w:w="1413"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rPr>
            </w:pPr>
          </w:p>
        </w:tc>
      </w:tr>
    </w:tbl>
    <w:p/>
    <w:tbl>
      <w:tblPr>
        <w:tblStyle w:val="301"/>
        <w:tblpPr w:leftFromText="180" w:rightFromText="180" w:vertAnchor="text" w:horzAnchor="page" w:tblpX="661" w:tblpY="1"/>
        <w:tblOverlap w:val="never"/>
        <w:tblW w:w="10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090"/>
        <w:gridCol w:w="5859"/>
        <w:gridCol w:w="967"/>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315" w:type="dxa"/>
            <w:gridSpan w:val="5"/>
            <w:shd w:val="clear" w:color="auto" w:fill="D7D7D7"/>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rPr>
            </w:pPr>
            <w:r>
              <w:rPr>
                <w:rFonts w:hint="eastAsia" w:ascii="仿宋_GB2312" w:eastAsia="仿宋_GB2312"/>
                <w:b/>
                <w:sz w:val="3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49"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评分项</w:t>
            </w:r>
          </w:p>
        </w:tc>
        <w:tc>
          <w:tcPr>
            <w:tcW w:w="1090"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评审因素</w:t>
            </w:r>
          </w:p>
        </w:tc>
        <w:tc>
          <w:tcPr>
            <w:tcW w:w="5859"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评分标准说明</w:t>
            </w:r>
          </w:p>
        </w:tc>
        <w:tc>
          <w:tcPr>
            <w:tcW w:w="967"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分值</w:t>
            </w:r>
          </w:p>
        </w:tc>
        <w:tc>
          <w:tcPr>
            <w:tcW w:w="1550"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对应的投标文件格式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rPr>
            </w:pPr>
            <w:r>
              <w:rPr>
                <w:rFonts w:hint="eastAsia" w:ascii="仿宋_GB2312" w:hAnsi="仿宋_GB2312" w:eastAsia="仿宋_GB2312" w:cs="仿宋_GB2312"/>
                <w:b/>
                <w:bCs/>
                <w:color w:val="auto"/>
                <w:sz w:val="21"/>
                <w:szCs w:val="21"/>
                <w:highlight w:val="none"/>
              </w:rPr>
              <w:t>项目</w:t>
            </w:r>
            <w:r>
              <w:rPr>
                <w:rFonts w:hint="eastAsia" w:ascii="仿宋_GB2312" w:hAnsi="仿宋_GB2312" w:eastAsia="仿宋_GB2312" w:cs="仿宋_GB2312"/>
                <w:b/>
                <w:bCs/>
                <w:color w:val="auto"/>
                <w:sz w:val="21"/>
                <w:szCs w:val="21"/>
                <w:highlight w:val="none"/>
                <w:lang w:val="en-US" w:eastAsia="zh-CN"/>
              </w:rPr>
              <w:t>技术</w:t>
            </w:r>
            <w:r>
              <w:rPr>
                <w:rFonts w:hint="eastAsia" w:ascii="仿宋_GB2312" w:hAnsi="仿宋_GB2312" w:eastAsia="仿宋_GB2312" w:cs="仿宋_GB2312"/>
                <w:b/>
                <w:bCs/>
                <w:color w:val="auto"/>
                <w:sz w:val="21"/>
                <w:szCs w:val="21"/>
                <w:highlight w:val="none"/>
              </w:rPr>
              <w:t>方案</w:t>
            </w:r>
            <w:r>
              <w:rPr>
                <w:rFonts w:hint="eastAsia" w:ascii="仿宋_GB2312" w:hAnsi="仿宋_GB2312" w:eastAsia="仿宋_GB2312" w:cs="仿宋_GB2312"/>
                <w:b/>
                <w:bCs/>
              </w:rPr>
              <w:t>分</w:t>
            </w:r>
          </w:p>
        </w:tc>
        <w:tc>
          <w:tcPr>
            <w:tcW w:w="1090" w:type="dxa"/>
            <w:vAlign w:val="center"/>
          </w:tcPr>
          <w:p>
            <w:pPr>
              <w:keepNext w:val="0"/>
              <w:keepLines w:val="0"/>
              <w:pageBreakBefore w:val="0"/>
              <w:widowControl/>
              <w:kinsoku/>
              <w:overflowPunct/>
              <w:autoSpaceDE/>
              <w:autoSpaceDN/>
              <w:spacing w:line="400" w:lineRule="exact"/>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b/>
                <w:bCs/>
                <w:color w:val="auto"/>
                <w:sz w:val="21"/>
                <w:szCs w:val="21"/>
                <w:highlight w:val="none"/>
              </w:rPr>
              <w:t>项目</w:t>
            </w:r>
            <w:r>
              <w:rPr>
                <w:rFonts w:hint="eastAsia" w:ascii="仿宋_GB2312" w:hAnsi="仿宋_GB2312" w:eastAsia="仿宋_GB2312" w:cs="仿宋_GB2312"/>
                <w:b/>
                <w:bCs/>
                <w:color w:val="auto"/>
                <w:sz w:val="21"/>
                <w:szCs w:val="21"/>
                <w:highlight w:val="none"/>
                <w:lang w:val="en-US" w:eastAsia="zh-CN"/>
              </w:rPr>
              <w:t>技术</w:t>
            </w:r>
            <w:r>
              <w:rPr>
                <w:rFonts w:hint="eastAsia" w:ascii="仿宋_GB2312" w:hAnsi="仿宋_GB2312" w:eastAsia="仿宋_GB2312" w:cs="仿宋_GB2312"/>
                <w:b/>
                <w:bCs/>
                <w:color w:val="auto"/>
                <w:sz w:val="21"/>
                <w:szCs w:val="21"/>
                <w:highlight w:val="none"/>
              </w:rPr>
              <w:t>方案</w:t>
            </w:r>
          </w:p>
        </w:tc>
        <w:tc>
          <w:tcPr>
            <w:tcW w:w="5859"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bCs/>
                <w:color w:val="auto"/>
                <w:sz w:val="21"/>
                <w:szCs w:val="21"/>
                <w:highlight w:val="none"/>
              </w:rPr>
              <w:t>一档（</w:t>
            </w:r>
            <w:r>
              <w:rPr>
                <w:rFonts w:hint="eastAsia" w:ascii="仿宋_GB2312" w:hAnsi="仿宋_GB2312" w:eastAsia="仿宋_GB2312" w:cs="仿宋_GB2312"/>
                <w:b/>
                <w:bCs/>
                <w:color w:val="auto"/>
                <w:sz w:val="21"/>
                <w:szCs w:val="21"/>
                <w:highlight w:val="none"/>
                <w:lang w:val="en-US" w:eastAsia="zh-CN"/>
              </w:rPr>
              <w:t>18</w:t>
            </w:r>
            <w:r>
              <w:rPr>
                <w:rFonts w:hint="eastAsia" w:ascii="仿宋_GB2312" w:hAnsi="仿宋_GB2312" w:eastAsia="仿宋_GB2312" w:cs="仿宋_GB2312"/>
                <w:b/>
                <w:bCs/>
                <w:color w:val="auto"/>
                <w:sz w:val="21"/>
                <w:szCs w:val="21"/>
                <w:highlight w:val="none"/>
              </w:rPr>
              <w:t>分）：</w:t>
            </w:r>
            <w:r>
              <w:rPr>
                <w:rFonts w:hint="eastAsia" w:ascii="仿宋_GB2312" w:hAnsi="仿宋_GB2312" w:eastAsia="仿宋_GB2312" w:cs="仿宋_GB2312"/>
                <w:b w:val="0"/>
                <w:bCs w:val="0"/>
                <w:color w:val="auto"/>
                <w:sz w:val="21"/>
                <w:szCs w:val="21"/>
                <w:highlight w:val="none"/>
              </w:rPr>
              <w:t>在满足二档的基础上，</w:t>
            </w:r>
            <w:r>
              <w:rPr>
                <w:rFonts w:hint="eastAsia" w:ascii="仿宋_GB2312" w:hAnsi="仿宋_GB2312" w:eastAsia="仿宋_GB2312" w:cs="仿宋_GB2312"/>
                <w:b w:val="0"/>
                <w:bCs w:val="0"/>
                <w:color w:val="auto"/>
                <w:sz w:val="21"/>
                <w:szCs w:val="21"/>
                <w:highlight w:val="none"/>
                <w:lang w:val="en-US" w:eastAsia="zh-CN"/>
              </w:rPr>
              <w:t>对整个项目背景、建设内容描述正确，总体技术方案优秀，技术路径具体、可行；熟悉掌握柳州市党政机关电子公文系统配套计算机终端采购建设需求且提供详细正确的采购建设相关技术图表；按文件要求提出切实完整可行的项目建设保障方案；提供计算机终端实现“单轨运行”、“真替真用”的配套服务方案；</w:t>
            </w:r>
            <w:r>
              <w:rPr>
                <w:rFonts w:hint="eastAsia" w:ascii="仿宋_GB2312" w:hAnsi="仿宋_GB2312" w:eastAsia="仿宋_GB2312" w:cs="仿宋_GB2312"/>
                <w:i w:val="0"/>
                <w:iCs w:val="0"/>
                <w:caps w:val="0"/>
                <w:color w:val="auto"/>
                <w:spacing w:val="0"/>
                <w:sz w:val="21"/>
                <w:szCs w:val="21"/>
                <w:highlight w:val="none"/>
                <w:shd w:val="clear" w:color="auto" w:fill="auto"/>
              </w:rPr>
              <w:t>所投产品应具备适配应用的能力，需提供详细的适配</w:t>
            </w:r>
            <w:r>
              <w:rPr>
                <w:rFonts w:hint="eastAsia" w:ascii="仿宋_GB2312" w:hAnsi="仿宋_GB2312" w:eastAsia="仿宋_GB2312" w:cs="仿宋_GB2312"/>
                <w:i w:val="0"/>
                <w:iCs w:val="0"/>
                <w:caps w:val="0"/>
                <w:color w:val="auto"/>
                <w:spacing w:val="0"/>
                <w:sz w:val="21"/>
                <w:szCs w:val="21"/>
                <w:highlight w:val="none"/>
                <w:shd w:val="clear" w:color="auto" w:fill="auto"/>
                <w:lang w:val="en-US" w:eastAsia="zh-CN"/>
              </w:rPr>
              <w:t>应用服务</w:t>
            </w:r>
            <w:r>
              <w:rPr>
                <w:rFonts w:hint="eastAsia" w:ascii="仿宋_GB2312" w:hAnsi="仿宋_GB2312" w:eastAsia="仿宋_GB2312" w:cs="仿宋_GB2312"/>
                <w:i w:val="0"/>
                <w:iCs w:val="0"/>
                <w:caps w:val="0"/>
                <w:color w:val="auto"/>
                <w:spacing w:val="0"/>
                <w:sz w:val="21"/>
                <w:szCs w:val="21"/>
                <w:highlight w:val="none"/>
                <w:shd w:val="clear" w:color="auto" w:fill="auto"/>
              </w:rPr>
              <w:t>方案，明确适配的技术路径，满足</w:t>
            </w:r>
            <w:r>
              <w:rPr>
                <w:rFonts w:hint="eastAsia" w:ascii="仿宋_GB2312" w:hAnsi="仿宋_GB2312" w:eastAsia="仿宋_GB2312" w:cs="仿宋_GB2312"/>
                <w:i w:val="0"/>
                <w:iCs w:val="0"/>
                <w:caps w:val="0"/>
                <w:color w:val="auto"/>
                <w:spacing w:val="0"/>
                <w:sz w:val="21"/>
                <w:szCs w:val="21"/>
                <w:highlight w:val="none"/>
                <w:shd w:val="clear" w:color="auto" w:fill="auto"/>
                <w:lang w:val="en-US" w:eastAsia="zh-CN"/>
              </w:rPr>
              <w:t>日常</w:t>
            </w:r>
            <w:r>
              <w:rPr>
                <w:rFonts w:hint="eastAsia" w:ascii="仿宋_GB2312" w:hAnsi="仿宋_GB2312" w:eastAsia="仿宋_GB2312" w:cs="仿宋_GB2312"/>
                <w:i w:val="0"/>
                <w:iCs w:val="0"/>
                <w:caps w:val="0"/>
                <w:color w:val="auto"/>
                <w:spacing w:val="0"/>
                <w:sz w:val="21"/>
                <w:szCs w:val="21"/>
                <w:highlight w:val="none"/>
                <w:shd w:val="clear" w:color="auto" w:fill="auto"/>
              </w:rPr>
              <w:t>政务办公业务需求</w:t>
            </w:r>
            <w:r>
              <w:rPr>
                <w:rFonts w:hint="eastAsia" w:ascii="仿宋_GB2312" w:hAnsi="仿宋_GB2312" w:eastAsia="仿宋_GB2312" w:cs="仿宋_GB2312"/>
                <w:b w:val="0"/>
                <w:bCs w:val="0"/>
                <w:color w:val="auto"/>
                <w:sz w:val="21"/>
                <w:szCs w:val="21"/>
                <w:highlight w:val="none"/>
                <w:lang w:val="en-US" w:eastAsia="zh-CN"/>
              </w:rPr>
              <w:t>；</w:t>
            </w:r>
          </w:p>
          <w:p>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bCs/>
                <w:color w:val="auto"/>
                <w:sz w:val="21"/>
                <w:szCs w:val="21"/>
                <w:highlight w:val="none"/>
              </w:rPr>
              <w:t>二档（</w:t>
            </w:r>
            <w:r>
              <w:rPr>
                <w:rFonts w:hint="eastAsia" w:ascii="仿宋_GB2312" w:hAnsi="仿宋_GB2312" w:eastAsia="仿宋_GB2312" w:cs="仿宋_GB2312"/>
                <w:b/>
                <w:bCs/>
                <w:color w:val="auto"/>
                <w:sz w:val="21"/>
                <w:szCs w:val="21"/>
                <w:highlight w:val="none"/>
                <w:lang w:val="en-US" w:eastAsia="zh-CN"/>
              </w:rPr>
              <w:t>13</w:t>
            </w:r>
            <w:r>
              <w:rPr>
                <w:rFonts w:hint="eastAsia" w:ascii="仿宋_GB2312" w:hAnsi="仿宋_GB2312" w:eastAsia="仿宋_GB2312" w:cs="仿宋_GB2312"/>
                <w:b/>
                <w:bCs/>
                <w:color w:val="auto"/>
                <w:sz w:val="21"/>
                <w:szCs w:val="21"/>
                <w:highlight w:val="none"/>
              </w:rPr>
              <w:t>分）：</w:t>
            </w:r>
            <w:r>
              <w:rPr>
                <w:rFonts w:hint="eastAsia" w:ascii="仿宋_GB2312" w:hAnsi="仿宋_GB2312" w:eastAsia="仿宋_GB2312" w:cs="仿宋_GB2312"/>
                <w:b w:val="0"/>
                <w:bCs w:val="0"/>
                <w:color w:val="auto"/>
                <w:sz w:val="21"/>
                <w:szCs w:val="21"/>
                <w:highlight w:val="none"/>
              </w:rPr>
              <w:t>在满足</w:t>
            </w:r>
            <w:r>
              <w:rPr>
                <w:rFonts w:hint="eastAsia" w:ascii="仿宋_GB2312" w:hAnsi="仿宋_GB2312" w:eastAsia="仿宋_GB2312" w:cs="仿宋_GB2312"/>
                <w:b w:val="0"/>
                <w:bCs w:val="0"/>
                <w:color w:val="auto"/>
                <w:sz w:val="21"/>
                <w:szCs w:val="21"/>
                <w:highlight w:val="none"/>
                <w:lang w:val="en-US" w:eastAsia="zh-CN"/>
              </w:rPr>
              <w:t>三</w:t>
            </w:r>
            <w:r>
              <w:rPr>
                <w:rFonts w:hint="eastAsia" w:ascii="仿宋_GB2312" w:hAnsi="仿宋_GB2312" w:eastAsia="仿宋_GB2312" w:cs="仿宋_GB2312"/>
                <w:b w:val="0"/>
                <w:bCs w:val="0"/>
                <w:color w:val="auto"/>
                <w:sz w:val="21"/>
                <w:szCs w:val="21"/>
                <w:highlight w:val="none"/>
              </w:rPr>
              <w:t>档的基础上，项目</w:t>
            </w:r>
            <w:r>
              <w:rPr>
                <w:rFonts w:hint="eastAsia" w:ascii="仿宋_GB2312" w:hAnsi="仿宋_GB2312" w:eastAsia="仿宋_GB2312" w:cs="仿宋_GB2312"/>
                <w:b w:val="0"/>
                <w:bCs w:val="0"/>
                <w:color w:val="auto"/>
                <w:sz w:val="21"/>
                <w:szCs w:val="21"/>
                <w:highlight w:val="none"/>
                <w:lang w:val="en-US" w:eastAsia="zh-CN"/>
              </w:rPr>
              <w:t>技术</w:t>
            </w:r>
            <w:r>
              <w:rPr>
                <w:rFonts w:hint="eastAsia" w:ascii="仿宋_GB2312" w:hAnsi="仿宋_GB2312" w:eastAsia="仿宋_GB2312" w:cs="仿宋_GB2312"/>
                <w:b w:val="0"/>
                <w:bCs w:val="0"/>
                <w:color w:val="auto"/>
                <w:sz w:val="21"/>
                <w:szCs w:val="21"/>
                <w:highlight w:val="none"/>
              </w:rPr>
              <w:t>方案详细完整，充分理解客户需求，项目技术服务内容和措施完善</w:t>
            </w:r>
            <w:r>
              <w:rPr>
                <w:rFonts w:hint="eastAsia" w:ascii="仿宋_GB2312" w:hAnsi="仿宋_GB2312" w:eastAsia="仿宋_GB2312" w:cs="仿宋_GB2312"/>
                <w:b w:val="0"/>
                <w:bCs w:val="0"/>
                <w:color w:val="auto"/>
                <w:sz w:val="21"/>
                <w:szCs w:val="21"/>
                <w:highlight w:val="none"/>
                <w:lang w:eastAsia="zh-CN"/>
              </w:rPr>
              <w:t>，</w:t>
            </w:r>
            <w:r>
              <w:rPr>
                <w:rFonts w:hint="eastAsia" w:ascii="仿宋_GB2312" w:hAnsi="仿宋_GB2312" w:eastAsia="仿宋_GB2312" w:cs="仿宋_GB2312"/>
                <w:b w:val="0"/>
                <w:bCs w:val="0"/>
                <w:color w:val="auto"/>
                <w:sz w:val="21"/>
                <w:szCs w:val="21"/>
                <w:highlight w:val="none"/>
              </w:rPr>
              <w:t>具备较强的操作性，提出合理化改进方案，能较好保障项目的</w:t>
            </w:r>
            <w:r>
              <w:rPr>
                <w:rFonts w:hint="eastAsia" w:ascii="仿宋_GB2312" w:hAnsi="仿宋_GB2312" w:eastAsia="仿宋_GB2312" w:cs="仿宋_GB2312"/>
                <w:b w:val="0"/>
                <w:bCs w:val="0"/>
                <w:color w:val="auto"/>
                <w:sz w:val="21"/>
                <w:szCs w:val="21"/>
                <w:highlight w:val="none"/>
                <w:lang w:val="en-US" w:eastAsia="zh-CN"/>
              </w:rPr>
              <w:t>技术应用</w:t>
            </w:r>
            <w:r>
              <w:rPr>
                <w:rFonts w:hint="eastAsia" w:ascii="仿宋_GB2312" w:hAnsi="仿宋_GB2312" w:eastAsia="仿宋_GB2312" w:cs="仿宋_GB2312"/>
                <w:b w:val="0"/>
                <w:bCs w:val="0"/>
                <w:color w:val="auto"/>
                <w:sz w:val="21"/>
                <w:szCs w:val="21"/>
                <w:highlight w:val="none"/>
              </w:rPr>
              <w:t>需要，方案设计规划合理、描述准确，具备可行性、可靠性、合理性的，提供</w:t>
            </w:r>
            <w:r>
              <w:rPr>
                <w:rFonts w:hint="eastAsia" w:ascii="仿宋_GB2312" w:hAnsi="仿宋_GB2312" w:eastAsia="仿宋_GB2312" w:cs="仿宋_GB2312"/>
                <w:b w:val="0"/>
                <w:bCs w:val="0"/>
                <w:color w:val="auto"/>
                <w:sz w:val="21"/>
                <w:szCs w:val="21"/>
                <w:highlight w:val="none"/>
                <w:lang w:val="en-US" w:eastAsia="zh-CN"/>
              </w:rPr>
              <w:t>所有</w:t>
            </w:r>
            <w:r>
              <w:rPr>
                <w:rFonts w:hint="eastAsia" w:ascii="仿宋_GB2312" w:hAnsi="仿宋_GB2312" w:eastAsia="仿宋_GB2312" w:cs="仿宋_GB2312"/>
                <w:b w:val="0"/>
                <w:bCs w:val="0"/>
                <w:color w:val="auto"/>
                <w:sz w:val="21"/>
                <w:szCs w:val="21"/>
                <w:highlight w:val="none"/>
              </w:rPr>
              <w:t>产品为</w:t>
            </w:r>
            <w:r>
              <w:rPr>
                <w:rFonts w:hint="eastAsia" w:ascii="仿宋_GB2312" w:hAnsi="仿宋_GB2312" w:eastAsia="仿宋_GB2312" w:cs="仿宋_GB2312"/>
                <w:b w:val="0"/>
                <w:bCs w:val="0"/>
                <w:color w:val="auto"/>
                <w:sz w:val="21"/>
                <w:szCs w:val="21"/>
                <w:highlight w:val="none"/>
                <w:lang w:val="en-US" w:eastAsia="zh-CN"/>
              </w:rPr>
              <w:t>正品</w:t>
            </w:r>
            <w:r>
              <w:rPr>
                <w:rFonts w:hint="eastAsia" w:ascii="仿宋_GB2312" w:hAnsi="仿宋_GB2312" w:eastAsia="仿宋_GB2312" w:cs="仿宋_GB2312"/>
                <w:b w:val="0"/>
                <w:bCs w:val="0"/>
                <w:color w:val="auto"/>
                <w:sz w:val="21"/>
                <w:szCs w:val="21"/>
                <w:highlight w:val="none"/>
              </w:rPr>
              <w:t>供货证明，确保</w:t>
            </w:r>
            <w:r>
              <w:rPr>
                <w:rFonts w:hint="eastAsia" w:ascii="仿宋_GB2312" w:hAnsi="仿宋_GB2312" w:eastAsia="仿宋_GB2312" w:cs="仿宋_GB2312"/>
                <w:b w:val="0"/>
                <w:bCs w:val="0"/>
                <w:color w:val="auto"/>
                <w:sz w:val="21"/>
                <w:szCs w:val="21"/>
                <w:highlight w:val="none"/>
                <w:lang w:val="en-US" w:eastAsia="zh-CN"/>
              </w:rPr>
              <w:t>项目整体</w:t>
            </w:r>
            <w:r>
              <w:rPr>
                <w:rFonts w:hint="eastAsia" w:ascii="仿宋_GB2312" w:hAnsi="仿宋_GB2312" w:eastAsia="仿宋_GB2312" w:cs="仿宋_GB2312"/>
                <w:b w:val="0"/>
                <w:bCs w:val="0"/>
                <w:color w:val="auto"/>
                <w:sz w:val="21"/>
                <w:szCs w:val="21"/>
                <w:highlight w:val="none"/>
              </w:rPr>
              <w:t>系统的稳定运行</w:t>
            </w:r>
            <w:bookmarkStart w:id="95" w:name="_GoBack"/>
            <w:bookmarkEnd w:id="95"/>
            <w:r>
              <w:rPr>
                <w:rFonts w:hint="eastAsia" w:ascii="仿宋_GB2312" w:hAnsi="仿宋_GB2312" w:eastAsia="仿宋_GB2312" w:cs="仿宋_GB2312"/>
                <w:b w:val="0"/>
                <w:bCs w:val="0"/>
                <w:color w:val="auto"/>
                <w:sz w:val="21"/>
                <w:szCs w:val="21"/>
                <w:highlight w:val="none"/>
              </w:rPr>
              <w:t>满足采购文件要求；</w:t>
            </w:r>
          </w:p>
          <w:p>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bCs/>
                <w:color w:val="auto"/>
                <w:sz w:val="21"/>
                <w:szCs w:val="21"/>
                <w:highlight w:val="none"/>
              </w:rPr>
              <w:t>三档（</w:t>
            </w:r>
            <w:r>
              <w:rPr>
                <w:rFonts w:hint="eastAsia" w:ascii="仿宋_GB2312" w:hAnsi="仿宋_GB2312" w:eastAsia="仿宋_GB2312" w:cs="仿宋_GB2312"/>
                <w:b/>
                <w:bCs/>
                <w:color w:val="auto"/>
                <w:sz w:val="21"/>
                <w:szCs w:val="21"/>
                <w:highlight w:val="none"/>
                <w:lang w:val="en-US" w:eastAsia="zh-CN"/>
              </w:rPr>
              <w:t>8</w:t>
            </w:r>
            <w:r>
              <w:rPr>
                <w:rFonts w:hint="eastAsia" w:ascii="仿宋_GB2312" w:hAnsi="仿宋_GB2312" w:eastAsia="仿宋_GB2312" w:cs="仿宋_GB2312"/>
                <w:b/>
                <w:bCs/>
                <w:color w:val="auto"/>
                <w:sz w:val="21"/>
                <w:szCs w:val="21"/>
                <w:highlight w:val="none"/>
              </w:rPr>
              <w:t>分）：</w:t>
            </w:r>
            <w:r>
              <w:rPr>
                <w:rFonts w:hint="eastAsia" w:ascii="仿宋_GB2312" w:hAnsi="仿宋_GB2312" w:eastAsia="仿宋_GB2312" w:cs="仿宋_GB2312"/>
                <w:b w:val="0"/>
                <w:bCs w:val="0"/>
                <w:color w:val="auto"/>
                <w:sz w:val="21"/>
                <w:szCs w:val="21"/>
                <w:highlight w:val="none"/>
                <w:lang w:val="en-US" w:eastAsia="zh-CN"/>
              </w:rPr>
              <w:t>项目投标产品技术资料完整，</w:t>
            </w:r>
            <w:r>
              <w:rPr>
                <w:rFonts w:hint="eastAsia" w:ascii="仿宋_GB2312" w:hAnsi="仿宋_GB2312" w:eastAsia="仿宋_GB2312" w:cs="仿宋_GB2312"/>
                <w:b w:val="0"/>
                <w:bCs w:val="0"/>
                <w:color w:val="auto"/>
                <w:sz w:val="21"/>
                <w:szCs w:val="21"/>
                <w:highlight w:val="none"/>
              </w:rPr>
              <w:t>提供</w:t>
            </w:r>
            <w:r>
              <w:rPr>
                <w:rFonts w:hint="eastAsia" w:ascii="仿宋_GB2312" w:hAnsi="仿宋_GB2312" w:eastAsia="仿宋_GB2312" w:cs="仿宋_GB2312"/>
                <w:b w:val="0"/>
                <w:bCs w:val="0"/>
                <w:color w:val="auto"/>
                <w:sz w:val="21"/>
                <w:szCs w:val="21"/>
                <w:highlight w:val="none"/>
                <w:lang w:val="en-US" w:eastAsia="zh-CN"/>
              </w:rPr>
              <w:t>部分</w:t>
            </w:r>
            <w:r>
              <w:rPr>
                <w:rFonts w:hint="eastAsia" w:ascii="仿宋_GB2312" w:hAnsi="仿宋_GB2312" w:eastAsia="仿宋_GB2312" w:cs="仿宋_GB2312"/>
                <w:b w:val="0"/>
                <w:bCs w:val="0"/>
                <w:color w:val="auto"/>
                <w:sz w:val="21"/>
                <w:szCs w:val="21"/>
                <w:highlight w:val="none"/>
              </w:rPr>
              <w:t>产品为</w:t>
            </w:r>
            <w:r>
              <w:rPr>
                <w:rFonts w:hint="eastAsia" w:ascii="仿宋_GB2312" w:hAnsi="仿宋_GB2312" w:eastAsia="仿宋_GB2312" w:cs="仿宋_GB2312"/>
                <w:b w:val="0"/>
                <w:bCs w:val="0"/>
                <w:color w:val="auto"/>
                <w:sz w:val="21"/>
                <w:szCs w:val="21"/>
                <w:highlight w:val="none"/>
                <w:lang w:val="en-US" w:eastAsia="zh-CN"/>
              </w:rPr>
              <w:t>正品</w:t>
            </w:r>
            <w:r>
              <w:rPr>
                <w:rFonts w:hint="eastAsia" w:ascii="仿宋_GB2312" w:hAnsi="仿宋_GB2312" w:eastAsia="仿宋_GB2312" w:cs="仿宋_GB2312"/>
                <w:b w:val="0"/>
                <w:bCs w:val="0"/>
                <w:color w:val="auto"/>
                <w:sz w:val="21"/>
                <w:szCs w:val="21"/>
                <w:highlight w:val="none"/>
              </w:rPr>
              <w:t>供货证明，</w:t>
            </w:r>
            <w:r>
              <w:rPr>
                <w:rFonts w:hint="eastAsia" w:ascii="仿宋_GB2312" w:hAnsi="仿宋_GB2312" w:eastAsia="仿宋_GB2312" w:cs="仿宋_GB2312"/>
                <w:b w:val="0"/>
                <w:bCs w:val="0"/>
                <w:color w:val="auto"/>
                <w:sz w:val="21"/>
                <w:szCs w:val="21"/>
                <w:highlight w:val="none"/>
                <w:lang w:val="en-US" w:eastAsia="zh-CN"/>
              </w:rPr>
              <w:t>计算机终端技术路线明确，能够理解本项目的特点，提出了基本可行的项目技术方案。</w:t>
            </w:r>
          </w:p>
          <w:p>
            <w:pPr>
              <w:keepNext w:val="0"/>
              <w:keepLines w:val="0"/>
              <w:pageBreakBefore w:val="0"/>
              <w:widowControl/>
              <w:kinsoku/>
              <w:overflowPunct/>
              <w:autoSpaceDE/>
              <w:autoSpaceDN/>
              <w:spacing w:line="400" w:lineRule="exact"/>
              <w:ind w:firstLine="422" w:firstLineChars="200"/>
              <w:rPr>
                <w:rFonts w:hint="eastAsia" w:ascii="仿宋_GB2312" w:hAnsi="仿宋_GB2312" w:eastAsia="仿宋_GB2312" w:cs="仿宋_GB2312"/>
                <w:b/>
                <w:bCs/>
                <w:color w:val="auto"/>
                <w:spacing w:val="0"/>
                <w:kern w:val="2"/>
                <w:sz w:val="21"/>
                <w:szCs w:val="21"/>
                <w:highlight w:val="none"/>
                <w:lang w:val="en-US" w:eastAsia="zh-CN" w:bidi="ar-SA"/>
              </w:rPr>
            </w:pPr>
            <w:r>
              <w:rPr>
                <w:rFonts w:hint="eastAsia" w:ascii="仿宋_GB2312" w:hAnsi="仿宋_GB2312" w:eastAsia="仿宋_GB2312" w:cs="仿宋_GB2312"/>
                <w:b/>
                <w:bCs/>
                <w:color w:val="auto"/>
                <w:sz w:val="21"/>
                <w:szCs w:val="21"/>
                <w:highlight w:val="none"/>
              </w:rPr>
              <w:t>注：1.该方案内容可以包括：</w:t>
            </w:r>
            <w:r>
              <w:rPr>
                <w:rFonts w:hint="eastAsia" w:ascii="仿宋_GB2312" w:hAnsi="仿宋_GB2312" w:eastAsia="仿宋_GB2312" w:cs="仿宋_GB2312"/>
                <w:b/>
                <w:bCs/>
                <w:color w:val="auto"/>
                <w:spacing w:val="0"/>
                <w:kern w:val="2"/>
                <w:sz w:val="21"/>
                <w:szCs w:val="21"/>
                <w:highlight w:val="none"/>
                <w:lang w:val="en-US" w:eastAsia="zh-CN" w:bidi="ar-SA"/>
              </w:rPr>
              <w:t>（1）项目背景阐述方案；（2）项目总体技术方案；（3）建设相关技术图表；（4）项目建设整体保障方案。（5）详细的适配应用方案。</w:t>
            </w:r>
          </w:p>
          <w:p>
            <w:pPr>
              <w:pStyle w:val="314"/>
              <w:keepNext w:val="0"/>
              <w:keepLines w:val="0"/>
              <w:pageBreakBefore w:val="0"/>
              <w:widowControl/>
              <w:kinsoku/>
              <w:overflowPunct/>
              <w:autoSpaceDE/>
              <w:autoSpaceDN/>
              <w:spacing w:line="400" w:lineRule="exact"/>
              <w:ind w:firstLine="462" w:firstLineChars="200"/>
              <w:rPr>
                <w:rFonts w:hint="eastAsia" w:ascii="仿宋_GB2312" w:hAnsi="仿宋_GB2312" w:eastAsia="仿宋_GB2312" w:cs="仿宋_GB2312"/>
                <w:bCs w:val="0"/>
                <w:color w:val="auto"/>
                <w:spacing w:val="0"/>
                <w:kern w:val="2"/>
                <w:sz w:val="21"/>
                <w:szCs w:val="21"/>
                <w:highlight w:val="none"/>
                <w:lang w:val="en-US" w:eastAsia="zh-CN" w:bidi="ar-SA"/>
              </w:rPr>
            </w:pPr>
            <w:r>
              <w:rPr>
                <w:rFonts w:hint="eastAsia" w:ascii="仿宋_GB2312" w:hAnsi="仿宋_GB2312" w:eastAsia="仿宋_GB2312" w:cs="仿宋_GB2312"/>
                <w:b/>
                <w:color w:val="auto"/>
                <w:sz w:val="21"/>
                <w:szCs w:val="21"/>
                <w:highlight w:val="none"/>
              </w:rPr>
              <w:t>2.未提供方案或提供的内容与本项目无关的得0分。</w:t>
            </w:r>
          </w:p>
        </w:tc>
        <w:tc>
          <w:tcPr>
            <w:tcW w:w="967" w:type="dxa"/>
            <w:vAlign w:val="center"/>
          </w:tcPr>
          <w:p>
            <w:pPr>
              <w:keepNext w:val="0"/>
              <w:keepLines w:val="0"/>
              <w:pageBreakBefore w:val="0"/>
              <w:widowControl/>
              <w:kinsoku/>
              <w:overflowPunct/>
              <w:autoSpaceDE/>
              <w:autoSpaceDN/>
              <w:spacing w:line="400" w:lineRule="exact"/>
              <w:jc w:val="center"/>
              <w:rPr>
                <w:rFonts w:hint="eastAsia" w:ascii="仿宋_GB2312" w:hAnsi="仿宋_GB2312" w:eastAsia="仿宋_GB2312" w:cs="仿宋_GB2312"/>
                <w:b/>
                <w:bCs/>
                <w:color w:val="auto"/>
                <w:kern w:val="2"/>
                <w:sz w:val="21"/>
                <w:szCs w:val="21"/>
                <w:highlight w:val="none"/>
                <w:lang w:val="en-US" w:eastAsia="zh-CN" w:bidi="ar-SA"/>
              </w:rPr>
            </w:pPr>
            <w:r>
              <w:rPr>
                <w:rFonts w:hint="eastAsia" w:ascii="仿宋_GB2312" w:hAnsi="仿宋_GB2312" w:eastAsia="仿宋_GB2312" w:cs="仿宋_GB2312"/>
                <w:b/>
                <w:bCs/>
                <w:color w:val="auto"/>
                <w:sz w:val="21"/>
                <w:szCs w:val="21"/>
                <w:highlight w:val="none"/>
                <w:lang w:val="en-US" w:eastAsia="zh-CN"/>
              </w:rPr>
              <w:t>18</w:t>
            </w:r>
          </w:p>
        </w:tc>
        <w:tc>
          <w:tcPr>
            <w:tcW w:w="1550" w:type="dxa"/>
            <w:vAlign w:val="center"/>
          </w:tcPr>
          <w:p>
            <w:pPr>
              <w:spacing w:line="400" w:lineRule="exact"/>
              <w:jc w:val="center"/>
              <w:rPr>
                <w:rFonts w:hint="eastAsia"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bCs/>
                <w:color w:val="auto"/>
                <w:kern w:val="2"/>
                <w:sz w:val="21"/>
                <w:szCs w:val="24"/>
                <w:highlight w:val="none"/>
                <w:lang w:val="en-US" w:eastAsia="zh-CN" w:bidi="ar-SA"/>
              </w:rPr>
              <w:t>项目技术方案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rPr>
            </w:pPr>
            <w:r>
              <w:rPr>
                <w:rFonts w:hint="eastAsia" w:ascii="仿宋_GB2312" w:hAnsi="仿宋_GB2312" w:eastAsia="仿宋_GB2312" w:cs="仿宋_GB2312"/>
                <w:b/>
                <w:bCs/>
              </w:rPr>
              <w:t>项目实施方案分</w:t>
            </w:r>
          </w:p>
        </w:tc>
        <w:tc>
          <w:tcPr>
            <w:tcW w:w="1090" w:type="dxa"/>
            <w:vAlign w:val="center"/>
          </w:tcPr>
          <w:p>
            <w:pPr>
              <w:keepNext w:val="0"/>
              <w:keepLines w:val="0"/>
              <w:pageBreakBefore w:val="0"/>
              <w:widowControl/>
              <w:kinsoku/>
              <w:overflowPunct/>
              <w:autoSpaceDE/>
              <w:autoSpaceDN/>
              <w:spacing w:line="400" w:lineRule="exact"/>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b/>
                <w:bCs/>
                <w:color w:val="auto"/>
                <w:sz w:val="21"/>
                <w:szCs w:val="21"/>
                <w:highlight w:val="none"/>
                <w:lang w:val="en-US" w:eastAsia="zh-CN"/>
              </w:rPr>
              <w:t>项目实施方案</w:t>
            </w:r>
          </w:p>
        </w:tc>
        <w:tc>
          <w:tcPr>
            <w:tcW w:w="5859"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val="en-US" w:eastAsia="zh-CN"/>
              </w:rPr>
              <w:t>一档（12分）：</w:t>
            </w:r>
            <w:r>
              <w:rPr>
                <w:rFonts w:hint="eastAsia" w:ascii="仿宋_GB2312" w:hAnsi="仿宋_GB2312" w:eastAsia="仿宋_GB2312" w:cs="仿宋_GB2312"/>
                <w:b w:val="0"/>
                <w:bCs w:val="0"/>
                <w:color w:val="auto"/>
                <w:sz w:val="21"/>
                <w:szCs w:val="21"/>
                <w:highlight w:val="none"/>
                <w:lang w:val="en-US" w:eastAsia="zh-CN"/>
              </w:rPr>
              <w:t>在满足二档的基础上，项目实施保障方案全面且详细，完全满足项目工作要求，较好地把握本项目实施关键因素；供货进度合理紧凑、各施工节点衔接连贯，工期保证措施可行性强；关键工作安排详细，步骤和要点描述详细全面，切合实际，科学合理，方案先进，可行性强，对采购人有实际性帮助；同时提供详细的安全保密服务方案；能结合项目使用部门需求进行详细分析说明；提供拟投入本项目稳定且专业的实施团队组织架构及职责分工，确保项目稳定、高效、可靠专业的实施。</w:t>
            </w:r>
          </w:p>
          <w:p>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val="en-US" w:eastAsia="zh-CN"/>
              </w:rPr>
              <w:t>二档（8分）：</w:t>
            </w:r>
            <w:r>
              <w:rPr>
                <w:rFonts w:hint="eastAsia" w:ascii="仿宋_GB2312" w:hAnsi="仿宋_GB2312" w:eastAsia="仿宋_GB2312" w:cs="仿宋_GB2312"/>
                <w:b w:val="0"/>
                <w:bCs w:val="0"/>
                <w:color w:val="auto"/>
                <w:sz w:val="21"/>
                <w:szCs w:val="21"/>
                <w:highlight w:val="none"/>
                <w:lang w:val="en-US" w:eastAsia="zh-CN"/>
              </w:rPr>
              <w:t>在满足三档的基础上，项目实施方案较详细，满足项目工作要求，较好地把握本项目需求的重点、难点和要点，有较好的实施保障方案；投标人根据场地情况合理安排供货进度且较贴合项目需求，供货工期推进保证具体措施到位，步骤和要点描述较详细可行；能提供良好的安全保密服务方案；提供具体的拟投入本项目的实施团队组织架构及职责分工。</w:t>
            </w:r>
          </w:p>
          <w:p>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val="en-US" w:eastAsia="zh-CN"/>
              </w:rPr>
              <w:t>三档（4分）：</w:t>
            </w:r>
            <w:r>
              <w:rPr>
                <w:rFonts w:hint="eastAsia" w:ascii="仿宋_GB2312" w:hAnsi="仿宋_GB2312" w:eastAsia="仿宋_GB2312" w:cs="仿宋_GB2312"/>
                <w:b w:val="0"/>
                <w:bCs w:val="0"/>
                <w:color w:val="auto"/>
                <w:sz w:val="21"/>
                <w:szCs w:val="21"/>
                <w:highlight w:val="none"/>
                <w:lang w:val="en-US" w:eastAsia="zh-CN"/>
              </w:rPr>
              <w:t>实施方案基本满足采购需求，质量保证措施基本可行；供货进度满足采购需求，工期保证措施基本可行；项目拟投入实施人员一览表中人员配置一般。</w:t>
            </w:r>
          </w:p>
          <w:p>
            <w:pPr>
              <w:keepNext w:val="0"/>
              <w:keepLines w:val="0"/>
              <w:pageBreakBefore w:val="0"/>
              <w:widowControl/>
              <w:kinsoku/>
              <w:overflowPunct/>
              <w:autoSpaceDE/>
              <w:autoSpaceDN/>
              <w:spacing w:line="400" w:lineRule="exact"/>
              <w:ind w:firstLine="422" w:firstLineChars="200"/>
              <w:rPr>
                <w:rFonts w:hint="eastAsia" w:ascii="仿宋_GB2312" w:hAnsi="仿宋_GB2312" w:eastAsia="仿宋_GB2312" w:cs="仿宋_GB2312"/>
                <w:b/>
                <w:bCs/>
                <w:color w:val="auto"/>
                <w:spacing w:val="0"/>
                <w:kern w:val="2"/>
                <w:sz w:val="21"/>
                <w:szCs w:val="21"/>
                <w:highlight w:val="none"/>
              </w:rPr>
            </w:pPr>
            <w:r>
              <w:rPr>
                <w:rFonts w:hint="eastAsia" w:ascii="仿宋_GB2312" w:hAnsi="仿宋_GB2312" w:eastAsia="仿宋_GB2312" w:cs="仿宋_GB2312"/>
                <w:b/>
                <w:bCs/>
                <w:color w:val="auto"/>
                <w:spacing w:val="0"/>
                <w:kern w:val="2"/>
                <w:sz w:val="21"/>
                <w:szCs w:val="21"/>
                <w:highlight w:val="none"/>
              </w:rPr>
              <w:t>注：1.该方案内容可以包括：</w:t>
            </w:r>
            <w:r>
              <w:rPr>
                <w:rFonts w:hint="eastAsia" w:ascii="仿宋_GB2312" w:hAnsi="仿宋_GB2312" w:eastAsia="仿宋_GB2312" w:cs="仿宋_GB2312"/>
                <w:b/>
                <w:bCs/>
                <w:color w:val="auto"/>
                <w:sz w:val="21"/>
                <w:szCs w:val="21"/>
                <w:highlight w:val="none"/>
              </w:rPr>
              <w:t>（1）</w:t>
            </w:r>
            <w:r>
              <w:rPr>
                <w:rFonts w:hint="eastAsia" w:ascii="仿宋_GB2312" w:hAnsi="仿宋_GB2312" w:eastAsia="仿宋_GB2312" w:cs="仿宋_GB2312"/>
                <w:b/>
                <w:bCs/>
                <w:color w:val="auto"/>
                <w:sz w:val="21"/>
                <w:szCs w:val="21"/>
                <w:highlight w:val="none"/>
                <w:lang w:val="en-US" w:eastAsia="zh-CN"/>
              </w:rPr>
              <w:t>实施</w:t>
            </w:r>
            <w:r>
              <w:rPr>
                <w:rFonts w:hint="eastAsia" w:ascii="仿宋_GB2312" w:hAnsi="仿宋_GB2312" w:eastAsia="仿宋_GB2312" w:cs="仿宋_GB2312"/>
                <w:b/>
                <w:bCs/>
                <w:color w:val="auto"/>
                <w:sz w:val="21"/>
                <w:szCs w:val="21"/>
                <w:highlight w:val="none"/>
              </w:rPr>
              <w:t>人员配置</w:t>
            </w:r>
            <w:r>
              <w:rPr>
                <w:rFonts w:hint="eastAsia" w:ascii="仿宋_GB2312" w:hAnsi="仿宋_GB2312" w:eastAsia="仿宋_GB2312" w:cs="仿宋_GB2312"/>
                <w:b/>
                <w:bCs/>
                <w:color w:val="auto"/>
                <w:sz w:val="21"/>
                <w:szCs w:val="21"/>
                <w:highlight w:val="none"/>
                <w:lang w:val="en-US" w:eastAsia="zh-CN"/>
              </w:rPr>
              <w:t>方案</w:t>
            </w:r>
            <w:r>
              <w:rPr>
                <w:rFonts w:hint="eastAsia" w:ascii="仿宋_GB2312" w:hAnsi="仿宋_GB2312" w:eastAsia="仿宋_GB2312" w:cs="仿宋_GB2312"/>
                <w:b/>
                <w:bCs/>
                <w:color w:val="auto"/>
                <w:sz w:val="21"/>
                <w:szCs w:val="21"/>
                <w:highlight w:val="none"/>
              </w:rPr>
              <w:t>；（2）安装质量保证措施；（</w:t>
            </w:r>
            <w:r>
              <w:rPr>
                <w:rFonts w:hint="eastAsia" w:ascii="仿宋_GB2312" w:hAnsi="仿宋_GB2312" w:eastAsia="仿宋_GB2312" w:cs="仿宋_GB2312"/>
                <w:b/>
                <w:bCs/>
                <w:color w:val="auto"/>
                <w:sz w:val="21"/>
                <w:szCs w:val="21"/>
                <w:highlight w:val="none"/>
                <w:lang w:eastAsia="zh-CN"/>
              </w:rPr>
              <w:t>3</w:t>
            </w:r>
            <w:r>
              <w:rPr>
                <w:rFonts w:hint="eastAsia" w:ascii="仿宋_GB2312" w:hAnsi="仿宋_GB2312" w:eastAsia="仿宋_GB2312" w:cs="仿宋_GB2312"/>
                <w:b/>
                <w:bCs/>
                <w:color w:val="auto"/>
                <w:sz w:val="21"/>
                <w:szCs w:val="21"/>
                <w:highlight w:val="none"/>
              </w:rPr>
              <w:t>）风险应对措施</w:t>
            </w:r>
            <w:r>
              <w:rPr>
                <w:rFonts w:hint="eastAsia" w:ascii="仿宋_GB2312" w:hAnsi="仿宋_GB2312" w:eastAsia="仿宋_GB2312" w:cs="仿宋_GB2312"/>
                <w:b/>
                <w:bCs/>
                <w:color w:val="auto"/>
                <w:sz w:val="21"/>
                <w:szCs w:val="21"/>
                <w:highlight w:val="none"/>
                <w:lang w:eastAsia="zh-CN"/>
              </w:rPr>
              <w:t>；</w:t>
            </w:r>
            <w:r>
              <w:rPr>
                <w:rFonts w:hint="eastAsia" w:ascii="仿宋_GB2312" w:hAnsi="仿宋_GB2312" w:eastAsia="仿宋_GB2312" w:cs="仿宋_GB2312"/>
                <w:b/>
                <w:bCs/>
                <w:color w:val="auto"/>
                <w:spacing w:val="0"/>
                <w:kern w:val="2"/>
                <w:sz w:val="21"/>
                <w:szCs w:val="21"/>
                <w:highlight w:val="none"/>
              </w:rPr>
              <w:t>（</w:t>
            </w:r>
            <w:r>
              <w:rPr>
                <w:rFonts w:hint="eastAsia" w:ascii="仿宋_GB2312" w:hAnsi="仿宋_GB2312" w:eastAsia="仿宋_GB2312" w:cs="仿宋_GB2312"/>
                <w:b/>
                <w:bCs/>
                <w:color w:val="auto"/>
                <w:spacing w:val="0"/>
                <w:kern w:val="2"/>
                <w:sz w:val="21"/>
                <w:szCs w:val="21"/>
                <w:highlight w:val="none"/>
                <w:lang w:eastAsia="zh-CN"/>
              </w:rPr>
              <w:t>4</w:t>
            </w:r>
            <w:r>
              <w:rPr>
                <w:rFonts w:hint="eastAsia" w:ascii="仿宋_GB2312" w:hAnsi="仿宋_GB2312" w:eastAsia="仿宋_GB2312" w:cs="仿宋_GB2312"/>
                <w:b/>
                <w:bCs/>
                <w:color w:val="auto"/>
                <w:spacing w:val="0"/>
                <w:kern w:val="2"/>
                <w:sz w:val="21"/>
                <w:szCs w:val="21"/>
                <w:highlight w:val="none"/>
              </w:rPr>
              <w:t>）安装进度计划；（</w:t>
            </w:r>
            <w:r>
              <w:rPr>
                <w:rFonts w:hint="eastAsia" w:ascii="仿宋_GB2312" w:hAnsi="仿宋_GB2312" w:eastAsia="仿宋_GB2312" w:cs="仿宋_GB2312"/>
                <w:b/>
                <w:bCs/>
                <w:color w:val="auto"/>
                <w:spacing w:val="0"/>
                <w:kern w:val="2"/>
                <w:sz w:val="21"/>
                <w:szCs w:val="21"/>
                <w:highlight w:val="none"/>
                <w:lang w:eastAsia="zh-CN"/>
              </w:rPr>
              <w:t>5</w:t>
            </w:r>
            <w:r>
              <w:rPr>
                <w:rFonts w:hint="eastAsia" w:ascii="仿宋_GB2312" w:hAnsi="仿宋_GB2312" w:eastAsia="仿宋_GB2312" w:cs="仿宋_GB2312"/>
                <w:b/>
                <w:bCs/>
                <w:color w:val="auto"/>
                <w:spacing w:val="0"/>
                <w:kern w:val="2"/>
                <w:sz w:val="21"/>
                <w:szCs w:val="21"/>
                <w:highlight w:val="none"/>
              </w:rPr>
              <w:t>）工期保证措施。</w:t>
            </w:r>
          </w:p>
          <w:p>
            <w:pPr>
              <w:numPr>
                <w:ilvl w:val="0"/>
                <w:numId w:val="0"/>
              </w:numPr>
              <w:spacing w:line="400" w:lineRule="exact"/>
              <w:ind w:left="0" w:leftChars="0" w:firstLine="422" w:firstLineChars="200"/>
              <w:rPr>
                <w:rFonts w:hint="eastAsia" w:ascii="仿宋_GB2312" w:hAnsi="仿宋_GB2312" w:eastAsia="仿宋_GB2312" w:cs="仿宋_GB2312"/>
                <w:bCs w:val="0"/>
                <w:color w:val="auto"/>
                <w:spacing w:val="0"/>
                <w:kern w:val="2"/>
                <w:sz w:val="21"/>
                <w:szCs w:val="21"/>
                <w:highlight w:val="none"/>
                <w:lang w:val="en-US" w:eastAsia="zh-CN" w:bidi="ar-SA"/>
              </w:rPr>
            </w:pPr>
            <w:r>
              <w:rPr>
                <w:rFonts w:hint="eastAsia" w:ascii="仿宋_GB2312" w:hAnsi="仿宋_GB2312" w:eastAsia="仿宋_GB2312" w:cs="仿宋_GB2312"/>
                <w:b/>
                <w:bCs/>
                <w:color w:val="auto"/>
                <w:spacing w:val="0"/>
                <w:kern w:val="2"/>
                <w:sz w:val="21"/>
                <w:szCs w:val="21"/>
                <w:highlight w:val="none"/>
                <w:lang w:val="en-US" w:eastAsia="zh-CN"/>
              </w:rPr>
              <w:t>2.</w:t>
            </w:r>
            <w:r>
              <w:rPr>
                <w:rFonts w:hint="eastAsia" w:ascii="仿宋_GB2312" w:hAnsi="仿宋_GB2312" w:eastAsia="仿宋_GB2312" w:cs="仿宋_GB2312"/>
                <w:b/>
                <w:bCs/>
                <w:color w:val="auto"/>
                <w:spacing w:val="0"/>
                <w:kern w:val="2"/>
                <w:sz w:val="21"/>
                <w:szCs w:val="21"/>
                <w:highlight w:val="none"/>
              </w:rPr>
              <w:t>未提供方案或提供的内容与本项目无关的得0分。</w:t>
            </w:r>
          </w:p>
        </w:tc>
        <w:tc>
          <w:tcPr>
            <w:tcW w:w="967" w:type="dxa"/>
            <w:vAlign w:val="center"/>
          </w:tcPr>
          <w:p>
            <w:pPr>
              <w:keepNext w:val="0"/>
              <w:keepLines w:val="0"/>
              <w:pageBreakBefore w:val="0"/>
              <w:widowControl/>
              <w:kinsoku/>
              <w:overflowPunct/>
              <w:autoSpaceDE/>
              <w:autoSpaceDN/>
              <w:spacing w:line="400" w:lineRule="exact"/>
              <w:jc w:val="center"/>
              <w:rPr>
                <w:rFonts w:hint="eastAsia" w:ascii="仿宋_GB2312" w:hAnsi="仿宋_GB2312" w:eastAsia="仿宋_GB2312" w:cs="仿宋_GB2312"/>
                <w:b/>
                <w:bCs/>
                <w:color w:val="auto"/>
                <w:kern w:val="2"/>
                <w:sz w:val="21"/>
                <w:szCs w:val="21"/>
                <w:highlight w:val="none"/>
                <w:lang w:val="en-US" w:eastAsia="zh-CN" w:bidi="ar-SA"/>
              </w:rPr>
            </w:pPr>
            <w:r>
              <w:rPr>
                <w:rFonts w:hint="eastAsia" w:ascii="仿宋_GB2312" w:hAnsi="仿宋_GB2312" w:eastAsia="仿宋_GB2312" w:cs="仿宋_GB2312"/>
                <w:b/>
                <w:bCs/>
                <w:color w:val="auto"/>
                <w:sz w:val="21"/>
                <w:szCs w:val="21"/>
                <w:highlight w:val="none"/>
                <w:lang w:val="en-US" w:eastAsia="zh-CN"/>
              </w:rPr>
              <w:t>12</w:t>
            </w:r>
          </w:p>
        </w:tc>
        <w:tc>
          <w:tcPr>
            <w:tcW w:w="1550" w:type="dxa"/>
            <w:vAlign w:val="center"/>
          </w:tcPr>
          <w:p>
            <w:pPr>
              <w:spacing w:line="400" w:lineRule="exact"/>
              <w:jc w:val="center"/>
              <w:rPr>
                <w:rFonts w:hint="eastAsia"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bCs/>
                <w:color w:val="auto"/>
                <w:kern w:val="2"/>
                <w:sz w:val="21"/>
                <w:szCs w:val="24"/>
                <w:highlight w:val="none"/>
                <w:lang w:val="en-US" w:eastAsia="zh-CN" w:bidi="ar-SA"/>
              </w:rPr>
              <w:t>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rPr>
            </w:pPr>
            <w:r>
              <w:rPr>
                <w:rFonts w:hint="eastAsia" w:ascii="仿宋_GB2312" w:hAnsi="仿宋_GB2312" w:eastAsia="仿宋_GB2312" w:cs="仿宋_GB2312"/>
                <w:b/>
                <w:bCs/>
              </w:rPr>
              <w:t>项目实施方案分</w:t>
            </w:r>
          </w:p>
        </w:tc>
        <w:tc>
          <w:tcPr>
            <w:tcW w:w="1090" w:type="dxa"/>
            <w:vAlign w:val="center"/>
          </w:tcPr>
          <w:p>
            <w:pPr>
              <w:keepNext w:val="0"/>
              <w:keepLines w:val="0"/>
              <w:pageBreakBefore w:val="0"/>
              <w:widowControl/>
              <w:kinsoku/>
              <w:overflowPunct/>
              <w:autoSpaceDE/>
              <w:autoSpaceDN/>
              <w:spacing w:line="400" w:lineRule="exact"/>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b/>
                <w:bCs/>
                <w:color w:val="auto"/>
                <w:sz w:val="21"/>
                <w:szCs w:val="21"/>
                <w:highlight w:val="none"/>
                <w:lang w:val="en-US" w:eastAsia="zh-CN"/>
              </w:rPr>
              <w:t>服务保障体系方案</w:t>
            </w:r>
          </w:p>
        </w:tc>
        <w:tc>
          <w:tcPr>
            <w:tcW w:w="5859"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b w:val="0"/>
                <w:bCs w:val="0"/>
                <w:color w:val="auto"/>
                <w:sz w:val="21"/>
                <w:szCs w:val="21"/>
                <w:highlight w:val="none"/>
                <w:lang w:val="en-US"/>
              </w:rPr>
            </w:pPr>
            <w:r>
              <w:rPr>
                <w:rFonts w:hint="eastAsia" w:ascii="仿宋_GB2312" w:hAnsi="仿宋_GB2312" w:eastAsia="仿宋_GB2312" w:cs="仿宋_GB2312"/>
                <w:b/>
                <w:bCs/>
                <w:color w:val="auto"/>
                <w:spacing w:val="0"/>
                <w:kern w:val="2"/>
                <w:sz w:val="21"/>
                <w:szCs w:val="21"/>
                <w:highlight w:val="none"/>
                <w:lang w:val="en-US" w:eastAsia="zh-CN"/>
              </w:rPr>
              <w:t>一</w:t>
            </w:r>
            <w:r>
              <w:rPr>
                <w:rFonts w:hint="eastAsia" w:ascii="仿宋_GB2312" w:hAnsi="仿宋_GB2312" w:eastAsia="仿宋_GB2312" w:cs="仿宋_GB2312"/>
                <w:b/>
                <w:bCs/>
                <w:color w:val="auto"/>
                <w:spacing w:val="0"/>
                <w:kern w:val="2"/>
                <w:sz w:val="21"/>
                <w:szCs w:val="21"/>
                <w:highlight w:val="none"/>
              </w:rPr>
              <w:t>档（</w:t>
            </w:r>
            <w:r>
              <w:rPr>
                <w:rFonts w:hint="eastAsia" w:ascii="仿宋_GB2312" w:hAnsi="仿宋_GB2312" w:eastAsia="仿宋_GB2312" w:cs="仿宋_GB2312"/>
                <w:b/>
                <w:bCs/>
                <w:color w:val="auto"/>
                <w:spacing w:val="0"/>
                <w:kern w:val="2"/>
                <w:sz w:val="21"/>
                <w:szCs w:val="21"/>
                <w:highlight w:val="none"/>
                <w:lang w:val="en-US" w:eastAsia="zh-CN"/>
              </w:rPr>
              <w:t>10</w:t>
            </w:r>
            <w:r>
              <w:rPr>
                <w:rFonts w:hint="eastAsia" w:ascii="仿宋_GB2312" w:hAnsi="仿宋_GB2312" w:eastAsia="仿宋_GB2312" w:cs="仿宋_GB2312"/>
                <w:b/>
                <w:bCs/>
                <w:color w:val="auto"/>
                <w:spacing w:val="0"/>
                <w:kern w:val="2"/>
                <w:sz w:val="21"/>
                <w:szCs w:val="21"/>
                <w:highlight w:val="none"/>
              </w:rPr>
              <w:t>分）：</w:t>
            </w:r>
            <w:r>
              <w:rPr>
                <w:rFonts w:hint="eastAsia" w:ascii="仿宋_GB2312" w:hAnsi="仿宋_GB2312" w:eastAsia="仿宋_GB2312" w:cs="仿宋_GB2312"/>
                <w:b w:val="0"/>
                <w:bCs w:val="0"/>
                <w:color w:val="auto"/>
                <w:sz w:val="21"/>
                <w:szCs w:val="21"/>
                <w:highlight w:val="none"/>
              </w:rPr>
              <w:t>在满足</w:t>
            </w:r>
            <w:r>
              <w:rPr>
                <w:rFonts w:hint="eastAsia" w:ascii="仿宋_GB2312" w:hAnsi="仿宋_GB2312" w:eastAsia="仿宋_GB2312" w:cs="仿宋_GB2312"/>
                <w:b w:val="0"/>
                <w:bCs w:val="0"/>
                <w:color w:val="auto"/>
                <w:sz w:val="21"/>
                <w:szCs w:val="21"/>
                <w:highlight w:val="none"/>
                <w:lang w:val="en-US" w:eastAsia="zh-CN"/>
              </w:rPr>
              <w:t>二</w:t>
            </w:r>
            <w:r>
              <w:rPr>
                <w:rFonts w:hint="eastAsia" w:ascii="仿宋_GB2312" w:hAnsi="仿宋_GB2312" w:eastAsia="仿宋_GB2312" w:cs="仿宋_GB2312"/>
                <w:b w:val="0"/>
                <w:bCs w:val="0"/>
                <w:color w:val="auto"/>
                <w:sz w:val="21"/>
                <w:szCs w:val="21"/>
                <w:highlight w:val="none"/>
              </w:rPr>
              <w:t>档的基础上，</w:t>
            </w:r>
            <w:r>
              <w:rPr>
                <w:rFonts w:hint="eastAsia" w:ascii="仿宋_GB2312" w:hAnsi="仿宋_GB2312" w:eastAsia="仿宋_GB2312" w:cs="仿宋_GB2312"/>
                <w:b w:val="0"/>
                <w:bCs w:val="0"/>
                <w:color w:val="auto"/>
                <w:sz w:val="21"/>
                <w:szCs w:val="21"/>
                <w:highlight w:val="none"/>
                <w:lang w:val="en-US" w:eastAsia="zh-CN"/>
              </w:rPr>
              <w:t>项目服务保障体系方案较详细，能提供较详细的</w:t>
            </w:r>
            <w:r>
              <w:rPr>
                <w:rStyle w:val="316"/>
                <w:rFonts w:hint="eastAsia" w:ascii="仿宋_GB2312" w:hAnsi="仿宋_GB2312" w:eastAsia="仿宋_GB2312" w:cs="仿宋_GB2312"/>
                <w:b w:val="0"/>
                <w:bCs w:val="0"/>
                <w:color w:val="auto"/>
                <w:kern w:val="2"/>
                <w:sz w:val="21"/>
                <w:szCs w:val="21"/>
                <w:highlight w:val="none"/>
                <w:u w:val="none"/>
                <w:lang w:val="en-US" w:eastAsia="zh-CN" w:bidi="ar-SA"/>
              </w:rPr>
              <w:t>管理体系、服务网络、技术体系、培训体系、知识库等方案。提供结构清晰、科学合理服务流程方案，方案包含服务受理、处理、投诉和内部监督等服务流程说明，有完整清晰、针对性和可操作性强的服务流程图及相关流程说明材料及过往流程修订过程记录材料，佐证流程具备可操作性，服务流程能贴合实际场景，服务流程方案完全满足采购要求。投标人提供的</w:t>
            </w:r>
            <w:r>
              <w:rPr>
                <w:rStyle w:val="316"/>
                <w:rFonts w:hint="eastAsia" w:ascii="仿宋_GB2312" w:hAnsi="仿宋_GB2312" w:eastAsia="仿宋_GB2312" w:cs="仿宋_GB2312"/>
                <w:color w:val="auto"/>
                <w:sz w:val="21"/>
                <w:szCs w:val="21"/>
                <w:highlight w:val="none"/>
                <w:u w:val="none"/>
              </w:rPr>
              <w:t>本项目服务保障体系具备</w:t>
            </w:r>
            <w:r>
              <w:rPr>
                <w:rStyle w:val="316"/>
                <w:rFonts w:hint="eastAsia" w:ascii="仿宋_GB2312" w:hAnsi="仿宋_GB2312" w:eastAsia="仿宋_GB2312" w:cs="仿宋_GB2312"/>
                <w:color w:val="auto"/>
                <w:sz w:val="21"/>
                <w:szCs w:val="21"/>
                <w:highlight w:val="none"/>
                <w:u w:val="none"/>
                <w:lang w:val="en-US" w:eastAsia="zh-CN"/>
              </w:rPr>
              <w:t>前后</w:t>
            </w:r>
            <w:r>
              <w:rPr>
                <w:rStyle w:val="316"/>
                <w:rFonts w:hint="eastAsia" w:ascii="仿宋_GB2312" w:hAnsi="仿宋_GB2312" w:eastAsia="仿宋_GB2312" w:cs="仿宋_GB2312"/>
                <w:color w:val="auto"/>
                <w:sz w:val="21"/>
                <w:szCs w:val="21"/>
                <w:highlight w:val="none"/>
                <w:u w:val="none"/>
              </w:rPr>
              <w:t>有效衔接、融合建设的能力，确保使用单位的问题反馈渠道畅通及统一报修流程高效便捷。</w:t>
            </w:r>
          </w:p>
          <w:p>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Style w:val="316"/>
                <w:rFonts w:hint="eastAsia" w:ascii="仿宋_GB2312" w:hAnsi="仿宋_GB2312" w:eastAsia="仿宋_GB2312" w:cs="仿宋_GB2312"/>
                <w:b w:val="0"/>
                <w:bCs w:val="0"/>
                <w:color w:val="auto"/>
                <w:kern w:val="2"/>
                <w:sz w:val="21"/>
                <w:szCs w:val="21"/>
                <w:highlight w:val="none"/>
                <w:u w:val="none"/>
                <w:lang w:val="en-US" w:eastAsia="zh-CN" w:bidi="ar-SA"/>
              </w:rPr>
            </w:pPr>
            <w:r>
              <w:rPr>
                <w:rFonts w:hint="eastAsia" w:ascii="仿宋_GB2312" w:hAnsi="仿宋_GB2312" w:eastAsia="仿宋_GB2312" w:cs="仿宋_GB2312"/>
                <w:b/>
                <w:bCs/>
                <w:color w:val="auto"/>
                <w:spacing w:val="0"/>
                <w:kern w:val="2"/>
                <w:sz w:val="21"/>
                <w:szCs w:val="21"/>
                <w:highlight w:val="none"/>
                <w:lang w:val="en-US" w:eastAsia="zh-CN"/>
              </w:rPr>
              <w:t>二</w:t>
            </w:r>
            <w:r>
              <w:rPr>
                <w:rFonts w:hint="eastAsia" w:ascii="仿宋_GB2312" w:hAnsi="仿宋_GB2312" w:eastAsia="仿宋_GB2312" w:cs="仿宋_GB2312"/>
                <w:b/>
                <w:bCs/>
                <w:color w:val="auto"/>
                <w:spacing w:val="0"/>
                <w:kern w:val="2"/>
                <w:sz w:val="21"/>
                <w:szCs w:val="21"/>
                <w:highlight w:val="none"/>
              </w:rPr>
              <w:t>档（</w:t>
            </w:r>
            <w:r>
              <w:rPr>
                <w:rFonts w:hint="eastAsia" w:ascii="仿宋_GB2312" w:hAnsi="仿宋_GB2312" w:eastAsia="仿宋_GB2312" w:cs="仿宋_GB2312"/>
                <w:b/>
                <w:bCs/>
                <w:color w:val="auto"/>
                <w:spacing w:val="0"/>
                <w:kern w:val="2"/>
                <w:sz w:val="21"/>
                <w:szCs w:val="21"/>
                <w:highlight w:val="none"/>
                <w:lang w:val="en-US" w:eastAsia="zh-CN"/>
              </w:rPr>
              <w:t>5</w:t>
            </w:r>
            <w:r>
              <w:rPr>
                <w:rFonts w:hint="eastAsia" w:ascii="仿宋_GB2312" w:hAnsi="仿宋_GB2312" w:eastAsia="仿宋_GB2312" w:cs="仿宋_GB2312"/>
                <w:b/>
                <w:bCs/>
                <w:color w:val="auto"/>
                <w:spacing w:val="0"/>
                <w:kern w:val="2"/>
                <w:sz w:val="21"/>
                <w:szCs w:val="21"/>
                <w:highlight w:val="none"/>
              </w:rPr>
              <w:t>分）：</w:t>
            </w:r>
            <w:r>
              <w:rPr>
                <w:rFonts w:hint="eastAsia" w:ascii="仿宋_GB2312" w:hAnsi="仿宋_GB2312" w:eastAsia="仿宋_GB2312" w:cs="仿宋_GB2312"/>
                <w:b w:val="0"/>
                <w:bCs w:val="0"/>
                <w:color w:val="auto"/>
                <w:kern w:val="2"/>
                <w:sz w:val="21"/>
                <w:szCs w:val="21"/>
                <w:highlight w:val="none"/>
                <w:lang w:val="en-US" w:eastAsia="zh-CN" w:bidi="ar-SA"/>
              </w:rPr>
              <w:t>服务保障体系方案基本满足采购需求，服务保障措施基本可行，</w:t>
            </w:r>
            <w:r>
              <w:rPr>
                <w:rFonts w:hint="eastAsia" w:ascii="仿宋_GB2312" w:hAnsi="仿宋_GB2312" w:eastAsia="仿宋_GB2312" w:cs="仿宋_GB2312"/>
                <w:b w:val="0"/>
                <w:bCs w:val="0"/>
                <w:color w:val="auto"/>
                <w:sz w:val="21"/>
                <w:szCs w:val="21"/>
                <w:highlight w:val="none"/>
                <w:lang w:val="en-US" w:eastAsia="zh-CN"/>
              </w:rPr>
              <w:t>能提供可行的</w:t>
            </w:r>
            <w:r>
              <w:rPr>
                <w:rStyle w:val="316"/>
                <w:rFonts w:hint="eastAsia" w:ascii="仿宋_GB2312" w:hAnsi="仿宋_GB2312" w:eastAsia="仿宋_GB2312" w:cs="仿宋_GB2312"/>
                <w:b w:val="0"/>
                <w:bCs w:val="0"/>
                <w:color w:val="auto"/>
                <w:kern w:val="2"/>
                <w:sz w:val="21"/>
                <w:szCs w:val="21"/>
                <w:highlight w:val="none"/>
                <w:u w:val="none"/>
                <w:lang w:val="en-US" w:eastAsia="zh-CN" w:bidi="ar-SA"/>
              </w:rPr>
              <w:t>管理体系、服务网络、技术体系、培训体系、知识库等方案。能提供可行的服务保障流程。投标人提供的</w:t>
            </w:r>
            <w:r>
              <w:rPr>
                <w:rStyle w:val="316"/>
                <w:rFonts w:hint="eastAsia" w:ascii="仿宋_GB2312" w:hAnsi="仿宋_GB2312" w:eastAsia="仿宋_GB2312" w:cs="仿宋_GB2312"/>
                <w:i w:val="0"/>
                <w:iCs w:val="0"/>
                <w:caps w:val="0"/>
                <w:color w:val="auto"/>
                <w:spacing w:val="0"/>
                <w:sz w:val="21"/>
                <w:szCs w:val="21"/>
                <w:highlight w:val="none"/>
                <w:u w:val="none"/>
                <w:shd w:val="clear" w:color="auto" w:fill="FFFFFF"/>
              </w:rPr>
              <w:t>本项目服务保障体系具备</w:t>
            </w:r>
            <w:r>
              <w:rPr>
                <w:rStyle w:val="316"/>
                <w:rFonts w:hint="eastAsia" w:ascii="仿宋_GB2312" w:hAnsi="仿宋_GB2312" w:eastAsia="仿宋_GB2312" w:cs="仿宋_GB2312"/>
                <w:i w:val="0"/>
                <w:iCs w:val="0"/>
                <w:caps w:val="0"/>
                <w:color w:val="auto"/>
                <w:spacing w:val="0"/>
                <w:sz w:val="21"/>
                <w:szCs w:val="21"/>
                <w:highlight w:val="none"/>
                <w:u w:val="none"/>
                <w:shd w:val="clear" w:color="auto" w:fill="FFFFFF"/>
                <w:lang w:val="en-US" w:eastAsia="zh-CN"/>
              </w:rPr>
              <w:t>前后</w:t>
            </w:r>
            <w:r>
              <w:rPr>
                <w:rStyle w:val="316"/>
                <w:rFonts w:hint="eastAsia" w:ascii="仿宋_GB2312" w:hAnsi="仿宋_GB2312" w:eastAsia="仿宋_GB2312" w:cs="仿宋_GB2312"/>
                <w:i w:val="0"/>
                <w:iCs w:val="0"/>
                <w:caps w:val="0"/>
                <w:color w:val="auto"/>
                <w:spacing w:val="0"/>
                <w:sz w:val="21"/>
                <w:szCs w:val="21"/>
                <w:highlight w:val="none"/>
                <w:u w:val="none"/>
                <w:shd w:val="clear" w:color="auto" w:fill="FFFFFF"/>
              </w:rPr>
              <w:t>有效衔接</w:t>
            </w:r>
            <w:r>
              <w:rPr>
                <w:rStyle w:val="316"/>
                <w:rFonts w:hint="eastAsia" w:ascii="仿宋_GB2312" w:hAnsi="仿宋_GB2312" w:eastAsia="仿宋_GB2312" w:cs="仿宋_GB2312"/>
                <w:color w:val="auto"/>
                <w:szCs w:val="21"/>
                <w:highlight w:val="none"/>
                <w:u w:val="none"/>
                <w:shd w:val="clear" w:color="auto" w:fill="FFFFFF"/>
                <w:lang w:eastAsia="zh-CN"/>
              </w:rPr>
              <w:t>能力</w:t>
            </w:r>
            <w:r>
              <w:rPr>
                <w:rStyle w:val="316"/>
                <w:rFonts w:hint="eastAsia" w:ascii="仿宋_GB2312" w:hAnsi="仿宋_GB2312" w:eastAsia="仿宋_GB2312" w:cs="仿宋_GB2312"/>
                <w:b w:val="0"/>
                <w:bCs w:val="0"/>
                <w:color w:val="auto"/>
                <w:kern w:val="2"/>
                <w:sz w:val="21"/>
                <w:szCs w:val="21"/>
                <w:highlight w:val="none"/>
                <w:u w:val="none"/>
                <w:lang w:val="en-US" w:eastAsia="zh-CN" w:bidi="ar-SA"/>
              </w:rPr>
              <w:t>。</w:t>
            </w:r>
          </w:p>
          <w:p>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b/>
                <w:bCs/>
                <w:color w:val="auto"/>
                <w:sz w:val="21"/>
                <w:szCs w:val="21"/>
                <w:highlight w:val="none"/>
              </w:rPr>
              <w:t>注：未提供方案或提供的内容与本项目无关的得0分</w:t>
            </w:r>
          </w:p>
        </w:tc>
        <w:tc>
          <w:tcPr>
            <w:tcW w:w="967" w:type="dxa"/>
            <w:vAlign w:val="center"/>
          </w:tcPr>
          <w:p>
            <w:pPr>
              <w:keepNext w:val="0"/>
              <w:keepLines w:val="0"/>
              <w:pageBreakBefore w:val="0"/>
              <w:widowControl/>
              <w:kinsoku/>
              <w:overflowPunct/>
              <w:autoSpaceDE/>
              <w:autoSpaceDN/>
              <w:spacing w:line="400" w:lineRule="exact"/>
              <w:jc w:val="center"/>
              <w:rPr>
                <w:rFonts w:hint="default" w:ascii="仿宋_GB2312" w:hAnsi="仿宋_GB2312" w:eastAsia="仿宋_GB2312" w:cs="仿宋_GB2312"/>
                <w:b/>
                <w:bCs/>
                <w:color w:val="auto"/>
                <w:kern w:val="2"/>
                <w:sz w:val="21"/>
                <w:szCs w:val="21"/>
                <w:highlight w:val="none"/>
                <w:lang w:val="en-US" w:eastAsia="zh-CN" w:bidi="ar-SA"/>
              </w:rPr>
            </w:pPr>
            <w:r>
              <w:rPr>
                <w:rFonts w:hint="eastAsia" w:ascii="仿宋_GB2312" w:hAnsi="仿宋_GB2312" w:eastAsia="仿宋_GB2312" w:cs="仿宋_GB2312"/>
                <w:b/>
                <w:bCs/>
                <w:color w:val="auto"/>
                <w:sz w:val="21"/>
                <w:szCs w:val="21"/>
                <w:highlight w:val="none"/>
                <w:lang w:val="en-US" w:eastAsia="zh-CN"/>
              </w:rPr>
              <w:t>10</w:t>
            </w:r>
          </w:p>
        </w:tc>
        <w:tc>
          <w:tcPr>
            <w:tcW w:w="1550" w:type="dxa"/>
            <w:vAlign w:val="center"/>
          </w:tcPr>
          <w:p>
            <w:pPr>
              <w:keepNext w:val="0"/>
              <w:keepLines w:val="0"/>
              <w:pageBreakBefore w:val="0"/>
              <w:widowControl/>
              <w:kinsoku/>
              <w:overflowPunct/>
              <w:autoSpaceDE/>
              <w:autoSpaceDN/>
              <w:spacing w:line="400" w:lineRule="exact"/>
              <w:jc w:val="center"/>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bCs/>
                <w:color w:val="auto"/>
                <w:sz w:val="21"/>
                <w:szCs w:val="21"/>
                <w:highlight w:val="none"/>
                <w:lang w:val="en-US" w:eastAsia="zh-CN"/>
              </w:rPr>
              <w:t>服务保障体系方案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rPr>
            </w:pPr>
            <w:r>
              <w:rPr>
                <w:rFonts w:hint="eastAsia" w:ascii="仿宋_GB2312" w:hAnsi="仿宋_GB2312" w:eastAsia="仿宋_GB2312" w:cs="仿宋_GB2312"/>
                <w:b/>
                <w:bCs/>
              </w:rPr>
              <w:t>售后服务方案分</w:t>
            </w:r>
          </w:p>
        </w:tc>
        <w:tc>
          <w:tcPr>
            <w:tcW w:w="1090" w:type="dxa"/>
            <w:vAlign w:val="center"/>
          </w:tcPr>
          <w:p>
            <w:pPr>
              <w:keepNext w:val="0"/>
              <w:keepLines w:val="0"/>
              <w:pageBreakBefore w:val="0"/>
              <w:widowControl/>
              <w:kinsoku/>
              <w:overflowPunct/>
              <w:autoSpaceDE/>
              <w:autoSpaceDN/>
              <w:spacing w:line="400" w:lineRule="exact"/>
              <w:jc w:val="center"/>
              <w:rPr>
                <w:rFonts w:hint="eastAsia" w:ascii="仿宋_GB2312" w:hAnsi="仿宋_GB2312" w:eastAsia="仿宋_GB2312" w:cs="仿宋_GB2312"/>
                <w:b/>
                <w:bCs/>
                <w:color w:val="auto"/>
                <w:sz w:val="21"/>
                <w:szCs w:val="21"/>
                <w:highlight w:val="none"/>
              </w:rPr>
            </w:pPr>
          </w:p>
          <w:p>
            <w:pPr>
              <w:keepNext w:val="0"/>
              <w:keepLines w:val="0"/>
              <w:pageBreakBefore w:val="0"/>
              <w:widowControl/>
              <w:kinsoku/>
              <w:overflowPunct/>
              <w:autoSpaceDE/>
              <w:autoSpaceDN/>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b/>
                <w:bCs/>
                <w:color w:val="auto"/>
                <w:sz w:val="21"/>
                <w:szCs w:val="21"/>
                <w:highlight w:val="none"/>
                <w:lang w:val="en-US" w:eastAsia="zh-CN"/>
              </w:rPr>
              <w:t>售后</w:t>
            </w:r>
            <w:r>
              <w:rPr>
                <w:rFonts w:hint="eastAsia" w:ascii="仿宋_GB2312" w:hAnsi="仿宋_GB2312" w:eastAsia="仿宋_GB2312" w:cs="仿宋_GB2312"/>
                <w:b/>
                <w:bCs/>
                <w:color w:val="auto"/>
                <w:sz w:val="21"/>
                <w:szCs w:val="21"/>
                <w:highlight w:val="none"/>
              </w:rPr>
              <w:t>服务方案</w:t>
            </w:r>
          </w:p>
        </w:tc>
        <w:tc>
          <w:tcPr>
            <w:tcW w:w="5859" w:type="dxa"/>
            <w:vAlign w:val="center"/>
          </w:tcPr>
          <w:p>
            <w:pPr>
              <w:pStyle w:val="296"/>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b/>
                <w:bCs/>
                <w:color w:val="auto"/>
                <w:sz w:val="21"/>
                <w:szCs w:val="21"/>
                <w:highlight w:val="none"/>
              </w:rPr>
              <w:t>一档（</w:t>
            </w:r>
            <w:r>
              <w:rPr>
                <w:rFonts w:hint="eastAsia" w:ascii="仿宋_GB2312" w:hAnsi="仿宋_GB2312" w:eastAsia="仿宋_GB2312" w:cs="仿宋_GB2312"/>
                <w:b/>
                <w:bCs/>
                <w:color w:val="auto"/>
                <w:sz w:val="21"/>
                <w:szCs w:val="21"/>
                <w:highlight w:val="none"/>
                <w:lang w:val="en-US" w:eastAsia="zh-CN"/>
              </w:rPr>
              <w:t>12</w:t>
            </w:r>
            <w:r>
              <w:rPr>
                <w:rFonts w:hint="eastAsia" w:ascii="仿宋_GB2312" w:hAnsi="仿宋_GB2312" w:eastAsia="仿宋_GB2312" w:cs="仿宋_GB2312"/>
                <w:b/>
                <w:bCs/>
                <w:color w:val="auto"/>
                <w:sz w:val="21"/>
                <w:szCs w:val="21"/>
                <w:highlight w:val="none"/>
              </w:rPr>
              <w:t>分）：</w:t>
            </w:r>
            <w:r>
              <w:rPr>
                <w:rFonts w:hint="eastAsia" w:ascii="仿宋_GB2312" w:hAnsi="仿宋_GB2312" w:eastAsia="仿宋_GB2312" w:cs="仿宋_GB2312"/>
                <w:color w:val="auto"/>
                <w:sz w:val="21"/>
                <w:szCs w:val="21"/>
                <w:highlight w:val="none"/>
              </w:rPr>
              <w:t>售后服务方案及承诺详细、全面，各项内容编制思路合理、完整周全，安排有专职售后服务人员且职责明确，故障出现解决方案、免费保修期外维修方案详细全面、可操作性强，有质保期内的免费保修等条款，有完善的定期回访计划，且投标人或投标人所投的投标产品厂商具有充足的售后资源及规范的管理制度；</w:t>
            </w:r>
            <w:r>
              <w:rPr>
                <w:rFonts w:hint="eastAsia" w:ascii="仿宋_GB2312" w:hAnsi="仿宋_GB2312" w:eastAsia="仿宋_GB2312" w:cs="仿宋_GB2312"/>
                <w:color w:val="auto"/>
                <w:sz w:val="21"/>
                <w:szCs w:val="21"/>
                <w:highlight w:val="none"/>
                <w:lang w:val="en-US" w:eastAsia="zh-CN"/>
              </w:rPr>
              <w:t>提供具体详细针对使用部门可行、安全、高效的售后服务措施；项目现场主要售后维护人员具备信息系统运维工程师服务能力、具备信息系统高级项目经理能力。</w:t>
            </w:r>
          </w:p>
          <w:p>
            <w:pPr>
              <w:pStyle w:val="296"/>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b/>
                <w:bCs/>
                <w:color w:val="auto"/>
                <w:sz w:val="21"/>
                <w:szCs w:val="21"/>
                <w:highlight w:val="none"/>
              </w:rPr>
              <w:t>二档（</w:t>
            </w:r>
            <w:r>
              <w:rPr>
                <w:rFonts w:hint="eastAsia" w:ascii="仿宋_GB2312" w:hAnsi="仿宋_GB2312" w:eastAsia="仿宋_GB2312" w:cs="仿宋_GB2312"/>
                <w:b/>
                <w:bCs/>
                <w:color w:val="auto"/>
                <w:sz w:val="21"/>
                <w:szCs w:val="21"/>
                <w:highlight w:val="none"/>
                <w:lang w:val="en-US" w:eastAsia="zh-CN"/>
              </w:rPr>
              <w:t>8</w:t>
            </w:r>
            <w:r>
              <w:rPr>
                <w:rFonts w:hint="eastAsia" w:ascii="仿宋_GB2312" w:hAnsi="仿宋_GB2312" w:eastAsia="仿宋_GB2312" w:cs="仿宋_GB2312"/>
                <w:b/>
                <w:bCs/>
                <w:color w:val="auto"/>
                <w:sz w:val="21"/>
                <w:szCs w:val="21"/>
                <w:highlight w:val="none"/>
              </w:rPr>
              <w:t>分）：</w:t>
            </w:r>
            <w:r>
              <w:rPr>
                <w:rFonts w:hint="eastAsia" w:ascii="仿宋_GB2312" w:hAnsi="仿宋_GB2312" w:eastAsia="仿宋_GB2312" w:cs="仿宋_GB2312"/>
                <w:b w:val="0"/>
                <w:bCs w:val="0"/>
                <w:color w:val="auto"/>
                <w:sz w:val="21"/>
                <w:szCs w:val="21"/>
                <w:highlight w:val="none"/>
              </w:rPr>
              <w:t>在满足</w:t>
            </w:r>
            <w:r>
              <w:rPr>
                <w:rFonts w:hint="eastAsia" w:ascii="仿宋_GB2312" w:hAnsi="仿宋_GB2312" w:eastAsia="仿宋_GB2312" w:cs="仿宋_GB2312"/>
                <w:b w:val="0"/>
                <w:bCs w:val="0"/>
                <w:color w:val="auto"/>
                <w:sz w:val="21"/>
                <w:szCs w:val="21"/>
                <w:highlight w:val="none"/>
                <w:lang w:val="en-US" w:eastAsia="zh-CN"/>
              </w:rPr>
              <w:t>三</w:t>
            </w:r>
            <w:r>
              <w:rPr>
                <w:rFonts w:hint="eastAsia" w:ascii="仿宋_GB2312" w:hAnsi="仿宋_GB2312" w:eastAsia="仿宋_GB2312" w:cs="仿宋_GB2312"/>
                <w:b w:val="0"/>
                <w:bCs w:val="0"/>
                <w:color w:val="auto"/>
                <w:sz w:val="21"/>
                <w:szCs w:val="21"/>
                <w:highlight w:val="none"/>
              </w:rPr>
              <w:t>档的基础上，</w:t>
            </w:r>
            <w:r>
              <w:rPr>
                <w:rFonts w:hint="eastAsia" w:ascii="仿宋_GB2312" w:hAnsi="仿宋_GB2312" w:eastAsia="仿宋_GB2312" w:cs="仿宋_GB2312"/>
                <w:color w:val="auto"/>
                <w:sz w:val="21"/>
                <w:szCs w:val="21"/>
                <w:highlight w:val="none"/>
              </w:rPr>
              <w:t>方案能较好满足采购需求，符合实际，有一定的针对性、可行性；售后服务有承诺，并有定期回访制度，有主要零配件储备供应清单，常用的、容易损坏的备品备件及易损件配备的齐全，保障响应措施较有力，服务经验较丰富。</w:t>
            </w:r>
            <w:r>
              <w:rPr>
                <w:rFonts w:hint="eastAsia" w:ascii="仿宋_GB2312" w:hAnsi="仿宋_GB2312" w:eastAsia="仿宋_GB2312" w:cs="仿宋_GB2312"/>
                <w:color w:val="auto"/>
                <w:sz w:val="21"/>
                <w:szCs w:val="21"/>
                <w:highlight w:val="none"/>
                <w:lang w:val="en-US" w:eastAsia="zh-CN"/>
              </w:rPr>
              <w:t>方案表述较详细，具有较好的可操作性。项目现场主要售后维护人员具备信息系统运维工程师服务能力。</w:t>
            </w:r>
          </w:p>
          <w:p>
            <w:pPr>
              <w:pStyle w:val="296"/>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三档（</w:t>
            </w:r>
            <w:r>
              <w:rPr>
                <w:rFonts w:hint="eastAsia" w:ascii="仿宋_GB2312" w:hAnsi="仿宋_GB2312" w:eastAsia="仿宋_GB2312" w:cs="仿宋_GB2312"/>
                <w:b/>
                <w:bCs/>
                <w:color w:val="auto"/>
                <w:sz w:val="21"/>
                <w:szCs w:val="21"/>
                <w:highlight w:val="none"/>
                <w:lang w:val="en-US" w:eastAsia="zh-CN"/>
              </w:rPr>
              <w:t>4</w:t>
            </w:r>
            <w:r>
              <w:rPr>
                <w:rFonts w:hint="eastAsia" w:ascii="仿宋_GB2312" w:hAnsi="仿宋_GB2312" w:eastAsia="仿宋_GB2312" w:cs="仿宋_GB2312"/>
                <w:b/>
                <w:bCs/>
                <w:color w:val="auto"/>
                <w:sz w:val="21"/>
                <w:szCs w:val="21"/>
                <w:highlight w:val="none"/>
              </w:rPr>
              <w:t>分）：</w:t>
            </w:r>
            <w:r>
              <w:rPr>
                <w:rFonts w:hint="eastAsia" w:ascii="仿宋_GB2312" w:hAnsi="仿宋_GB2312" w:eastAsia="仿宋_GB2312" w:cs="仿宋_GB2312"/>
                <w:b w:val="0"/>
                <w:bCs w:val="0"/>
                <w:color w:val="auto"/>
                <w:sz w:val="21"/>
                <w:szCs w:val="21"/>
                <w:highlight w:val="none"/>
              </w:rPr>
              <w:t>方案比较细致、合理、可行，保障响应措施较有力，</w:t>
            </w:r>
            <w:r>
              <w:rPr>
                <w:rFonts w:hint="eastAsia" w:ascii="仿宋_GB2312" w:hAnsi="仿宋_GB2312" w:eastAsia="仿宋_GB2312" w:cs="仿宋_GB2312"/>
                <w:b w:val="0"/>
                <w:bCs w:val="0"/>
                <w:color w:val="auto"/>
                <w:sz w:val="21"/>
                <w:szCs w:val="21"/>
                <w:highlight w:val="none"/>
                <w:lang w:val="en-US" w:eastAsia="zh-CN"/>
              </w:rPr>
              <w:t>售后</w:t>
            </w:r>
            <w:r>
              <w:rPr>
                <w:rFonts w:hint="eastAsia" w:ascii="仿宋_GB2312" w:hAnsi="仿宋_GB2312" w:eastAsia="仿宋_GB2312" w:cs="仿宋_GB2312"/>
                <w:b w:val="0"/>
                <w:bCs w:val="0"/>
                <w:color w:val="auto"/>
                <w:sz w:val="21"/>
                <w:szCs w:val="21"/>
                <w:highlight w:val="none"/>
              </w:rPr>
              <w:t>服务经验</w:t>
            </w:r>
            <w:r>
              <w:rPr>
                <w:rFonts w:hint="eastAsia" w:ascii="仿宋_GB2312" w:hAnsi="仿宋_GB2312" w:eastAsia="仿宋_GB2312" w:cs="仿宋_GB2312"/>
                <w:b w:val="0"/>
                <w:bCs w:val="0"/>
                <w:color w:val="auto"/>
                <w:sz w:val="21"/>
                <w:szCs w:val="21"/>
                <w:highlight w:val="none"/>
                <w:lang w:val="en-US" w:eastAsia="zh-CN"/>
              </w:rPr>
              <w:t>一般</w:t>
            </w:r>
            <w:r>
              <w:rPr>
                <w:rFonts w:hint="eastAsia" w:ascii="仿宋_GB2312" w:hAnsi="仿宋_GB2312" w:eastAsia="仿宋_GB2312" w:cs="仿宋_GB2312"/>
                <w:b w:val="0"/>
                <w:bCs w:val="0"/>
                <w:color w:val="auto"/>
                <w:sz w:val="21"/>
                <w:szCs w:val="21"/>
                <w:highlight w:val="none"/>
              </w:rPr>
              <w:t>，</w:t>
            </w:r>
            <w:r>
              <w:rPr>
                <w:rFonts w:hint="eastAsia" w:ascii="仿宋_GB2312" w:hAnsi="仿宋_GB2312" w:eastAsia="仿宋_GB2312" w:cs="仿宋_GB2312"/>
                <w:b w:val="0"/>
                <w:bCs w:val="0"/>
                <w:color w:val="auto"/>
                <w:sz w:val="21"/>
                <w:szCs w:val="21"/>
                <w:highlight w:val="none"/>
                <w:lang w:val="en-US" w:eastAsia="zh-CN"/>
              </w:rPr>
              <w:t>所提供的项目售后运维方案简单但基本可行。本项目售后服务人员具备基本的维护能力。</w:t>
            </w:r>
          </w:p>
          <w:p>
            <w:pPr>
              <w:keepNext w:val="0"/>
              <w:keepLines w:val="0"/>
              <w:pageBreakBefore w:val="0"/>
              <w:widowControl/>
              <w:kinsoku/>
              <w:overflowPunct/>
              <w:autoSpaceDE/>
              <w:autoSpaceDN/>
              <w:spacing w:line="400" w:lineRule="exact"/>
              <w:ind w:firstLine="422" w:firstLineChars="200"/>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注：1.该方案内容可以包括：（1）定期回访维护方案；（2）售后服务技术支持（包括售后服务机构、技术人员等）；（3）维修应急预案；（4）零配件储备供应；（5）保修期外维修方案</w:t>
            </w:r>
            <w:r>
              <w:rPr>
                <w:rFonts w:hint="eastAsia" w:ascii="仿宋_GB2312" w:hAnsi="仿宋_GB2312" w:eastAsia="仿宋_GB2312" w:cs="仿宋_GB2312"/>
                <w:b/>
                <w:bCs/>
                <w:color w:val="auto"/>
                <w:sz w:val="21"/>
                <w:szCs w:val="21"/>
                <w:highlight w:val="none"/>
                <w:lang w:eastAsia="zh-CN"/>
              </w:rPr>
              <w:t>；（</w:t>
            </w:r>
            <w:r>
              <w:rPr>
                <w:rFonts w:hint="eastAsia" w:ascii="仿宋_GB2312" w:hAnsi="仿宋_GB2312" w:eastAsia="仿宋_GB2312" w:cs="仿宋_GB2312"/>
                <w:b/>
                <w:bCs/>
                <w:color w:val="auto"/>
                <w:sz w:val="21"/>
                <w:szCs w:val="21"/>
                <w:highlight w:val="none"/>
                <w:lang w:val="en-US" w:eastAsia="zh-CN"/>
              </w:rPr>
              <w:t>6</w:t>
            </w:r>
            <w:r>
              <w:rPr>
                <w:rFonts w:hint="eastAsia" w:ascii="仿宋_GB2312" w:hAnsi="仿宋_GB2312" w:eastAsia="仿宋_GB2312" w:cs="仿宋_GB2312"/>
                <w:b/>
                <w:bCs/>
                <w:color w:val="auto"/>
                <w:sz w:val="21"/>
                <w:szCs w:val="21"/>
                <w:highlight w:val="none"/>
                <w:lang w:eastAsia="zh-CN"/>
              </w:rPr>
              <w:t>）</w:t>
            </w:r>
            <w:r>
              <w:rPr>
                <w:rFonts w:hint="eastAsia" w:ascii="仿宋_GB2312" w:hAnsi="仿宋_GB2312" w:eastAsia="仿宋_GB2312" w:cs="仿宋_GB2312"/>
                <w:b/>
                <w:bCs/>
                <w:color w:val="auto"/>
                <w:sz w:val="21"/>
                <w:szCs w:val="21"/>
                <w:highlight w:val="none"/>
                <w:lang w:val="en-US" w:eastAsia="zh-CN"/>
              </w:rPr>
              <w:t>项目培训方案</w:t>
            </w:r>
            <w:r>
              <w:rPr>
                <w:rFonts w:hint="eastAsia" w:ascii="仿宋_GB2312" w:hAnsi="仿宋_GB2312" w:eastAsia="仿宋_GB2312" w:cs="仿宋_GB2312"/>
                <w:b/>
                <w:bCs/>
                <w:color w:val="auto"/>
                <w:sz w:val="21"/>
                <w:szCs w:val="21"/>
                <w:highlight w:val="none"/>
              </w:rPr>
              <w:t>。</w:t>
            </w:r>
          </w:p>
          <w:p>
            <w:pPr>
              <w:pStyle w:val="317"/>
              <w:keepNext w:val="0"/>
              <w:keepLines w:val="0"/>
              <w:pageBreakBefore w:val="0"/>
              <w:widowControl/>
              <w:numPr>
                <w:ilvl w:val="-1"/>
                <w:numId w:val="0"/>
              </w:numPr>
              <w:kinsoku/>
              <w:overflowPunct/>
              <w:autoSpaceDE/>
              <w:autoSpaceDN/>
              <w:spacing w:line="400" w:lineRule="exact"/>
              <w:ind w:firstLine="422" w:firstLineChars="200"/>
              <w:rPr>
                <w:rFonts w:hint="eastAsia" w:ascii="仿宋_GB2312" w:hAnsi="仿宋_GB2312" w:eastAsia="仿宋_GB2312" w:cs="仿宋_GB2312"/>
                <w:sz w:val="21"/>
                <w:szCs w:val="21"/>
              </w:rPr>
            </w:pPr>
            <w:r>
              <w:rPr>
                <w:rFonts w:hint="eastAsia" w:ascii="仿宋_GB2312" w:hAnsi="仿宋_GB2312" w:eastAsia="仿宋_GB2312" w:cs="仿宋_GB2312"/>
                <w:b/>
                <w:bCs/>
                <w:color w:val="auto"/>
                <w:sz w:val="21"/>
                <w:szCs w:val="21"/>
                <w:highlight w:val="none"/>
                <w:lang w:val="en-US" w:eastAsia="zh-CN"/>
              </w:rPr>
              <w:t>2.</w:t>
            </w:r>
            <w:r>
              <w:rPr>
                <w:rFonts w:hint="eastAsia" w:ascii="仿宋_GB2312" w:hAnsi="仿宋_GB2312" w:eastAsia="仿宋_GB2312" w:cs="仿宋_GB2312"/>
                <w:b/>
                <w:bCs/>
                <w:color w:val="auto"/>
                <w:sz w:val="21"/>
                <w:szCs w:val="21"/>
                <w:highlight w:val="none"/>
              </w:rPr>
              <w:t>未提供方案或提供的内容与本项目无关的得0分。</w:t>
            </w:r>
          </w:p>
        </w:tc>
        <w:tc>
          <w:tcPr>
            <w:tcW w:w="967" w:type="dxa"/>
            <w:vAlign w:val="center"/>
          </w:tcPr>
          <w:p>
            <w:pPr>
              <w:keepNext w:val="0"/>
              <w:keepLines w:val="0"/>
              <w:pageBreakBefore w:val="0"/>
              <w:widowControl/>
              <w:kinsoku/>
              <w:overflowPunct/>
              <w:autoSpaceDE/>
              <w:autoSpaceDN/>
              <w:spacing w:line="400" w:lineRule="exact"/>
              <w:jc w:val="center"/>
              <w:rPr>
                <w:rFonts w:hint="eastAsia" w:ascii="仿宋_GB2312" w:hAnsi="仿宋_GB2312" w:eastAsia="仿宋_GB2312" w:cs="仿宋_GB2312"/>
                <w:b/>
                <w:bCs/>
                <w:color w:val="auto"/>
                <w:sz w:val="21"/>
                <w:szCs w:val="21"/>
                <w:highlight w:val="none"/>
              </w:rPr>
            </w:pPr>
          </w:p>
          <w:p>
            <w:pPr>
              <w:keepNext w:val="0"/>
              <w:keepLines w:val="0"/>
              <w:pageBreakBefore w:val="0"/>
              <w:widowControl/>
              <w:kinsoku/>
              <w:overflowPunct/>
              <w:autoSpaceDE/>
              <w:autoSpaceDN/>
              <w:spacing w:line="400" w:lineRule="exact"/>
              <w:jc w:val="center"/>
              <w:rPr>
                <w:rFonts w:hint="eastAsia" w:ascii="仿宋_GB2312" w:hAnsi="仿宋_GB2312" w:eastAsia="仿宋_GB2312" w:cs="仿宋_GB2312"/>
                <w:b/>
                <w:bCs/>
                <w:strike/>
                <w:sz w:val="21"/>
                <w:szCs w:val="21"/>
                <w:lang w:val="en-US" w:eastAsia="zh-CN"/>
              </w:rPr>
            </w:pPr>
            <w:r>
              <w:rPr>
                <w:rFonts w:hint="eastAsia" w:ascii="仿宋_GB2312" w:hAnsi="仿宋_GB2312" w:eastAsia="仿宋_GB2312" w:cs="仿宋_GB2312"/>
                <w:b/>
                <w:bCs/>
                <w:color w:val="auto"/>
                <w:sz w:val="21"/>
                <w:szCs w:val="21"/>
                <w:highlight w:val="none"/>
                <w:lang w:val="en-US" w:eastAsia="zh-CN"/>
              </w:rPr>
              <w:t>12</w:t>
            </w:r>
          </w:p>
        </w:tc>
        <w:tc>
          <w:tcPr>
            <w:tcW w:w="1550" w:type="dxa"/>
            <w:vAlign w:val="center"/>
          </w:tcPr>
          <w:p>
            <w:pPr>
              <w:keepNext w:val="0"/>
              <w:keepLines w:val="0"/>
              <w:pageBreakBefore w:val="0"/>
              <w:widowControl/>
              <w:kinsoku/>
              <w:overflowPunct/>
              <w:autoSpaceDE/>
              <w:autoSpaceDN/>
              <w:spacing w:line="400" w:lineRule="exact"/>
              <w:jc w:val="center"/>
              <w:rPr>
                <w:rFonts w:hint="eastAsia" w:ascii="仿宋_GB2312" w:hAnsi="仿宋_GB2312" w:eastAsia="仿宋_GB2312" w:cs="仿宋_GB2312"/>
                <w:color w:val="auto"/>
                <w:sz w:val="21"/>
                <w:szCs w:val="21"/>
                <w:highlight w:val="none"/>
              </w:rPr>
            </w:pPr>
          </w:p>
          <w:p>
            <w:pPr>
              <w:keepNext w:val="0"/>
              <w:keepLines w:val="0"/>
              <w:pageBreakBefore w:val="0"/>
              <w:widowControl/>
              <w:kinsoku/>
              <w:overflowPunct/>
              <w:autoSpaceDE/>
              <w:autoSpaceDN/>
              <w:spacing w:line="40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color w:val="auto"/>
                <w:sz w:val="21"/>
                <w:szCs w:val="21"/>
                <w:highlight w:val="none"/>
                <w:lang w:val="en-US" w:eastAsia="zh-CN"/>
              </w:rPr>
              <w:t>售后</w:t>
            </w:r>
            <w:r>
              <w:rPr>
                <w:rFonts w:hint="eastAsia" w:ascii="仿宋_GB2312" w:hAnsi="仿宋_GB2312" w:eastAsia="仿宋_GB2312" w:cs="仿宋_GB2312"/>
                <w:b/>
                <w:bCs/>
                <w:color w:val="auto"/>
                <w:sz w:val="21"/>
                <w:szCs w:val="21"/>
                <w:highlight w:val="none"/>
              </w:rPr>
              <w:t>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98" w:type="dxa"/>
            <w:gridSpan w:val="3"/>
            <w:vAlign w:val="center"/>
          </w:tcPr>
          <w:p>
            <w:pPr>
              <w:pStyle w:val="302"/>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b/>
                <w:bCs/>
                <w:szCs w:val="24"/>
              </w:rPr>
            </w:pPr>
            <w:r>
              <w:rPr>
                <w:rFonts w:hint="eastAsia" w:ascii="仿宋_GB2312" w:hAnsi="仿宋_GB2312" w:eastAsia="仿宋_GB2312" w:cs="仿宋_GB2312"/>
                <w:b/>
                <w:bCs/>
                <w:szCs w:val="24"/>
              </w:rPr>
              <w:t>主观分总分</w:t>
            </w:r>
          </w:p>
        </w:tc>
        <w:tc>
          <w:tcPr>
            <w:tcW w:w="967"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52</w:t>
            </w:r>
          </w:p>
        </w:tc>
        <w:tc>
          <w:tcPr>
            <w:tcW w:w="1550"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rPr>
            </w:pPr>
          </w:p>
        </w:tc>
      </w:tr>
    </w:tbl>
    <w:p/>
    <w:p>
      <w:pPr>
        <w:spacing w:line="390" w:lineRule="exact"/>
        <w:ind w:right="-168" w:rightChars="-80" w:firstLine="236" w:firstLineChars="98"/>
        <w:rPr>
          <w:rFonts w:ascii="仿宋_GB2312" w:eastAsia="仿宋_GB2312"/>
          <w:b/>
          <w:sz w:val="24"/>
        </w:rPr>
      </w:pPr>
      <w:r>
        <w:rPr>
          <w:rFonts w:hint="eastAsia" w:ascii="仿宋_GB2312" w:eastAsia="仿宋_GB2312"/>
          <w:b/>
          <w:sz w:val="24"/>
        </w:rPr>
        <w:t>（三）总得分=客观分+主观分</w:t>
      </w:r>
    </w:p>
    <w:p>
      <w:pPr>
        <w:adjustRightInd w:val="0"/>
        <w:spacing w:line="400" w:lineRule="exact"/>
        <w:ind w:firstLine="482" w:firstLineChars="200"/>
        <w:jc w:val="left"/>
        <w:textAlignment w:val="baseline"/>
        <w:rPr>
          <w:rFonts w:hint="eastAsia" w:ascii="仿宋_GB2312" w:hAnsi="宋体" w:eastAsia="仿宋_GB2312"/>
          <w:b/>
          <w:kern w:val="0"/>
          <w:sz w:val="24"/>
        </w:rPr>
      </w:pPr>
      <w:bookmarkStart w:id="87" w:name="gxebd_pack_1_EvalFactorScoreEnd"/>
      <w:bookmarkEnd w:id="87"/>
      <w:r>
        <w:rPr>
          <w:rFonts w:hint="eastAsia" w:ascii="仿宋_GB2312" w:hAnsi="宋体" w:eastAsia="仿宋_GB2312"/>
          <w:b/>
          <w:kern w:val="0"/>
          <w:sz w:val="24"/>
        </w:rPr>
        <w:t>三、中标标准及中标候选人推荐原则</w:t>
      </w:r>
    </w:p>
    <w:p>
      <w:pPr>
        <w:adjustRightInd w:val="0"/>
        <w:spacing w:line="400" w:lineRule="exact"/>
        <w:ind w:firstLine="482" w:firstLineChars="200"/>
        <w:jc w:val="left"/>
        <w:textAlignment w:val="baseline"/>
        <w:rPr>
          <w:rFonts w:hint="eastAsia" w:ascii="仿宋_GB2312" w:hAnsi="宋体" w:eastAsia="仿宋_GB2312"/>
          <w:b/>
          <w:kern w:val="0"/>
          <w:sz w:val="24"/>
        </w:rPr>
      </w:pPr>
      <w:r>
        <w:rPr>
          <w:rFonts w:hint="eastAsia" w:ascii="仿宋_GB2312" w:hAnsi="宋体" w:eastAsia="仿宋_GB2312"/>
          <w:b/>
          <w:kern w:val="0"/>
          <w:sz w:val="24"/>
        </w:rPr>
        <w:t>评标委员会将根据综合得分由高到低排列次序（得分相同时，以投标报价由低到高顺序排列；得分相同且投标报价相同的，按技术指标优劣顺序排列）并推荐综合得分前三名为中标候选人。采购人应当确定评审委员会推荐排名第一的中标候选人为中标人。</w:t>
      </w:r>
      <w:bookmarkStart w:id="88" w:name="_Hlk93676949"/>
      <w:r>
        <w:rPr>
          <w:rFonts w:hint="eastAsia" w:ascii="仿宋_GB2312" w:hAnsi="宋体" w:eastAsia="仿宋_GB2312"/>
          <w:b/>
          <w:kern w:val="0"/>
          <w:sz w:val="24"/>
        </w:rPr>
        <w:t>排名第一的中标候选人放弃中标、因不可抗力提出不能履行合同，</w:t>
      </w:r>
      <w:bookmarkEnd w:id="88"/>
      <w:r>
        <w:rPr>
          <w:rFonts w:hint="eastAsia" w:ascii="仿宋_GB2312" w:hAnsi="宋体" w:eastAsia="仿宋_GB2312"/>
          <w:b/>
          <w:kern w:val="0"/>
          <w:sz w:val="24"/>
        </w:rPr>
        <w:t>采购人或采购代理机构应将该情况报政府采购监督管理部门，从合格的中标候选人中另行确定中标人或重新开展政府采购活动。</w:t>
      </w:r>
    </w:p>
    <w:p>
      <w:pPr>
        <w:adjustRightInd w:val="0"/>
        <w:spacing w:line="400" w:lineRule="exact"/>
        <w:ind w:firstLine="482" w:firstLineChars="200"/>
        <w:jc w:val="left"/>
        <w:textAlignment w:val="baseline"/>
        <w:rPr>
          <w:rFonts w:hint="eastAsia" w:ascii="仿宋_GB2312" w:hAnsi="宋体" w:eastAsia="仿宋_GB2312"/>
          <w:b/>
          <w:bCs/>
          <w:sz w:val="24"/>
        </w:rPr>
      </w:pPr>
      <w:r>
        <w:rPr>
          <w:rFonts w:hint="eastAsia" w:ascii="仿宋_GB2312" w:hAnsi="宋体" w:eastAsia="仿宋_GB2312"/>
          <w:b/>
          <w:kern w:val="0"/>
          <w:sz w:val="24"/>
        </w:rPr>
        <w:t>在中标通知书发出前，采购人或采购代理机构应当对中标人信用进行查询，并按照信用信息使用规则处理。当中标人属于信用信息使用规则中应被拒绝参与政府采购活动的情形时，采购人或采购代理机构应将该情况报政府采购监督管理部门，从合格的中标候选人中另行确定中标人或重新开展政府采购活动</w:t>
      </w:r>
      <w:r>
        <w:rPr>
          <w:rFonts w:hint="eastAsia" w:ascii="仿宋_GB2312" w:hAnsi="宋体" w:eastAsia="仿宋_GB2312"/>
          <w:b/>
          <w:bCs/>
          <w:sz w:val="24"/>
        </w:rPr>
        <w:t>。</w:t>
      </w:r>
    </w:p>
    <w:p>
      <w:pPr>
        <w:widowControl/>
        <w:jc w:val="left"/>
        <w:rPr>
          <w:rFonts w:hint="eastAsia" w:ascii="仿宋_GB2312" w:hAnsi="宋体" w:eastAsia="仿宋_GB2312"/>
          <w:b/>
          <w:bCs/>
          <w:sz w:val="24"/>
        </w:rPr>
      </w:pPr>
      <w:r>
        <w:rPr>
          <w:rFonts w:hint="eastAsia" w:ascii="仿宋_GB2312" w:hAnsi="宋体" w:eastAsia="仿宋_GB2312"/>
          <w:b/>
          <w:bCs/>
          <w:sz w:val="24"/>
        </w:rPr>
        <w:br w:type="page"/>
      </w:r>
    </w:p>
    <w:p>
      <w:pPr>
        <w:spacing w:before="342" w:line="400" w:lineRule="exact"/>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附件一：</w:t>
      </w:r>
    </w:p>
    <w:p>
      <w:pPr>
        <w:spacing w:before="342" w:line="175" w:lineRule="auto"/>
        <w:jc w:val="center"/>
        <w:rPr>
          <w:rFonts w:hint="eastAsia" w:ascii="微软雅黑" w:hAnsi="微软雅黑" w:eastAsia="微软雅黑" w:cs="微软雅黑"/>
          <w:sz w:val="40"/>
          <w:szCs w:val="40"/>
        </w:rPr>
      </w:pPr>
      <w:r>
        <w:rPr>
          <w:rFonts w:ascii="微软雅黑" w:hAnsi="微软雅黑" w:eastAsia="微软雅黑" w:cs="微软雅黑"/>
          <w:spacing w:val="-2"/>
          <w:sz w:val="40"/>
          <w:szCs w:val="40"/>
        </w:rPr>
        <w:t>节能产品政府采购品目清单</w:t>
      </w:r>
    </w:p>
    <w:p>
      <w:pPr>
        <w:spacing w:line="151" w:lineRule="exact"/>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jc w:val="center"/>
        </w:trPr>
        <w:tc>
          <w:tcPr>
            <w:tcW w:w="632" w:type="dxa"/>
          </w:tcPr>
          <w:p>
            <w:pPr>
              <w:pStyle w:val="234"/>
              <w:spacing w:before="129" w:line="249" w:lineRule="auto"/>
              <w:ind w:left="72" w:right="66" w:firstLine="18"/>
              <w:rPr>
                <w:rFonts w:hint="eastAsia"/>
                <w:sz w:val="22"/>
                <w:szCs w:val="22"/>
              </w:rPr>
            </w:pPr>
            <w:r>
              <w:rPr>
                <w:b/>
                <w:bCs/>
                <w:spacing w:val="-15"/>
                <w:sz w:val="22"/>
                <w:szCs w:val="22"/>
              </w:rPr>
              <w:t>品目</w:t>
            </w:r>
            <w:r>
              <w:rPr>
                <w:sz w:val="22"/>
                <w:szCs w:val="22"/>
              </w:rPr>
              <w:t xml:space="preserve"> </w:t>
            </w:r>
            <w:r>
              <w:rPr>
                <w:b/>
                <w:bCs/>
                <w:spacing w:val="-6"/>
                <w:sz w:val="22"/>
                <w:szCs w:val="22"/>
              </w:rPr>
              <w:t>序号</w:t>
            </w:r>
          </w:p>
        </w:tc>
        <w:tc>
          <w:tcPr>
            <w:tcW w:w="5335" w:type="dxa"/>
            <w:gridSpan w:val="3"/>
          </w:tcPr>
          <w:p>
            <w:pPr>
              <w:pStyle w:val="234"/>
              <w:spacing w:before="285" w:line="223" w:lineRule="auto"/>
              <w:ind w:left="2226"/>
              <w:rPr>
                <w:rFonts w:hint="eastAsia"/>
                <w:sz w:val="22"/>
                <w:szCs w:val="22"/>
              </w:rPr>
            </w:pPr>
            <w:r>
              <w:rPr>
                <w:b/>
                <w:bCs/>
                <w:spacing w:val="-5"/>
                <w:sz w:val="22"/>
                <w:szCs w:val="22"/>
              </w:rPr>
              <w:t>名称</w:t>
            </w:r>
          </w:p>
        </w:tc>
        <w:tc>
          <w:tcPr>
            <w:tcW w:w="3247" w:type="dxa"/>
          </w:tcPr>
          <w:p>
            <w:pPr>
              <w:pStyle w:val="234"/>
              <w:spacing w:before="285" w:line="220" w:lineRule="auto"/>
              <w:ind w:left="939"/>
              <w:rPr>
                <w:rFonts w:hint="eastAsia"/>
                <w:sz w:val="22"/>
                <w:szCs w:val="22"/>
              </w:rPr>
            </w:pPr>
            <w:r>
              <w:rPr>
                <w:b/>
                <w:bCs/>
                <w:spacing w:val="-4"/>
                <w:sz w:val="22"/>
                <w:szCs w:val="22"/>
              </w:rPr>
              <w:t>依据的标准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jc w:val="center"/>
        </w:trPr>
        <w:tc>
          <w:tcPr>
            <w:tcW w:w="632" w:type="dxa"/>
            <w:vMerge w:val="restart"/>
            <w:tcBorders>
              <w:bottom w:val="nil"/>
            </w:tcBorders>
          </w:tcPr>
          <w:p>
            <w:pPr>
              <w:spacing w:line="253" w:lineRule="auto"/>
              <w:rPr>
                <w:rFonts w:ascii="Arial"/>
              </w:rPr>
            </w:pPr>
          </w:p>
          <w:p>
            <w:pPr>
              <w:spacing w:line="253" w:lineRule="auto"/>
              <w:rPr>
                <w:rFonts w:ascii="Arial"/>
              </w:rPr>
            </w:pPr>
          </w:p>
          <w:p>
            <w:pPr>
              <w:spacing w:line="253" w:lineRule="auto"/>
              <w:rPr>
                <w:rFonts w:ascii="Arial"/>
              </w:rPr>
            </w:pPr>
          </w:p>
          <w:p>
            <w:pPr>
              <w:spacing w:line="255" w:lineRule="auto"/>
              <w:rPr>
                <w:rFonts w:ascii="Arial"/>
              </w:rPr>
            </w:pPr>
          </w:p>
          <w:p>
            <w:pPr>
              <w:pStyle w:val="234"/>
              <w:spacing w:before="62" w:line="190" w:lineRule="auto"/>
              <w:ind w:left="257"/>
              <w:rPr>
                <w:rFonts w:hint="eastAsia"/>
              </w:rPr>
            </w:pPr>
            <w:r>
              <w:t>1</w:t>
            </w:r>
          </w:p>
        </w:tc>
        <w:tc>
          <w:tcPr>
            <w:tcW w:w="1275" w:type="dxa"/>
            <w:vMerge w:val="restart"/>
            <w:tcBorders>
              <w:bottom w:val="nil"/>
            </w:tcBorders>
          </w:tcPr>
          <w:p>
            <w:pPr>
              <w:spacing w:line="277" w:lineRule="auto"/>
              <w:rPr>
                <w:rFonts w:ascii="Arial"/>
              </w:rPr>
            </w:pPr>
          </w:p>
          <w:p>
            <w:pPr>
              <w:spacing w:line="277" w:lineRule="auto"/>
              <w:rPr>
                <w:rFonts w:ascii="Arial"/>
              </w:rPr>
            </w:pPr>
          </w:p>
          <w:p>
            <w:pPr>
              <w:spacing w:line="278" w:lineRule="auto"/>
              <w:rPr>
                <w:rFonts w:ascii="Arial"/>
              </w:rPr>
            </w:pPr>
          </w:p>
          <w:p>
            <w:pPr>
              <w:pStyle w:val="234"/>
              <w:spacing w:before="61" w:line="288" w:lineRule="auto"/>
              <w:ind w:left="14" w:right="8" w:hanging="5"/>
              <w:rPr>
                <w:rFonts w:hint="eastAsia"/>
              </w:rPr>
            </w:pPr>
            <w:r>
              <w:rPr>
                <w:spacing w:val="5"/>
              </w:rPr>
              <w:t>A020101</w:t>
            </w:r>
            <w:r>
              <w:rPr>
                <w:spacing w:val="-43"/>
              </w:rPr>
              <w:t xml:space="preserve"> </w:t>
            </w:r>
            <w:r>
              <w:rPr>
                <w:spacing w:val="5"/>
              </w:rPr>
              <w:t>计算</w:t>
            </w:r>
            <w:r>
              <w:t xml:space="preserve"> </w:t>
            </w:r>
            <w:r>
              <w:rPr>
                <w:spacing w:val="6"/>
              </w:rPr>
              <w:t>机设备</w:t>
            </w:r>
          </w:p>
        </w:tc>
        <w:tc>
          <w:tcPr>
            <w:tcW w:w="1967" w:type="dxa"/>
          </w:tcPr>
          <w:p>
            <w:pPr>
              <w:pStyle w:val="234"/>
              <w:spacing w:before="155" w:line="288" w:lineRule="auto"/>
              <w:ind w:left="17" w:right="10" w:firstLine="1"/>
              <w:rPr>
                <w:rFonts w:hint="eastAsia"/>
              </w:rPr>
            </w:pPr>
            <w:r>
              <w:rPr>
                <w:spacing w:val="3"/>
              </w:rPr>
              <w:t>★A02010104 台式计</w:t>
            </w:r>
            <w:r>
              <w:rPr>
                <w:spacing w:val="12"/>
              </w:rPr>
              <w:t xml:space="preserve"> </w:t>
            </w:r>
            <w:r>
              <w:rPr>
                <w:spacing w:val="4"/>
              </w:rPr>
              <w:t>算机</w:t>
            </w:r>
          </w:p>
        </w:tc>
        <w:tc>
          <w:tcPr>
            <w:tcW w:w="2093" w:type="dxa"/>
          </w:tcPr>
          <w:p>
            <w:pPr>
              <w:rPr>
                <w:rFonts w:ascii="Arial"/>
              </w:rPr>
            </w:pPr>
          </w:p>
        </w:tc>
        <w:tc>
          <w:tcPr>
            <w:tcW w:w="3247" w:type="dxa"/>
          </w:tcPr>
          <w:p>
            <w:pPr>
              <w:pStyle w:val="234"/>
              <w:spacing w:before="155" w:line="288" w:lineRule="auto"/>
              <w:ind w:left="19" w:right="11" w:firstLine="3"/>
              <w:rPr>
                <w:rFonts w:hint="eastAsia"/>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tcPr>
          <w:p>
            <w:pPr>
              <w:pStyle w:val="234"/>
              <w:spacing w:before="110" w:line="288" w:lineRule="auto"/>
              <w:ind w:left="15" w:right="10" w:firstLine="3"/>
              <w:rPr>
                <w:rFonts w:hint="eastAsia"/>
              </w:rPr>
            </w:pPr>
            <w:r>
              <w:rPr>
                <w:spacing w:val="3"/>
              </w:rPr>
              <w:t>★A02010105 便携式</w:t>
            </w:r>
            <w:r>
              <w:rPr>
                <w:spacing w:val="12"/>
              </w:rPr>
              <w:t xml:space="preserve"> </w:t>
            </w:r>
            <w:r>
              <w:rPr>
                <w:spacing w:val="6"/>
              </w:rPr>
              <w:t>计算机</w:t>
            </w:r>
          </w:p>
        </w:tc>
        <w:tc>
          <w:tcPr>
            <w:tcW w:w="2093" w:type="dxa"/>
          </w:tcPr>
          <w:p>
            <w:pPr>
              <w:rPr>
                <w:rFonts w:ascii="Arial"/>
              </w:rPr>
            </w:pPr>
          </w:p>
        </w:tc>
        <w:tc>
          <w:tcPr>
            <w:tcW w:w="3247" w:type="dxa"/>
          </w:tcPr>
          <w:p>
            <w:pPr>
              <w:pStyle w:val="234"/>
              <w:spacing w:before="111" w:line="288" w:lineRule="auto"/>
              <w:ind w:left="19" w:right="11" w:firstLine="3"/>
              <w:rPr>
                <w:rFonts w:hint="eastAsia"/>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jc w:val="center"/>
        </w:trPr>
        <w:tc>
          <w:tcPr>
            <w:tcW w:w="632" w:type="dxa"/>
            <w:vMerge w:val="continue"/>
            <w:tcBorders>
              <w:top w:val="nil"/>
            </w:tcBorders>
          </w:tcPr>
          <w:p>
            <w:pPr>
              <w:rPr>
                <w:rFonts w:ascii="Arial"/>
              </w:rPr>
            </w:pPr>
          </w:p>
        </w:tc>
        <w:tc>
          <w:tcPr>
            <w:tcW w:w="1275" w:type="dxa"/>
            <w:vMerge w:val="continue"/>
            <w:tcBorders>
              <w:top w:val="nil"/>
            </w:tcBorders>
          </w:tcPr>
          <w:p>
            <w:pPr>
              <w:rPr>
                <w:rFonts w:ascii="Arial"/>
              </w:rPr>
            </w:pPr>
          </w:p>
        </w:tc>
        <w:tc>
          <w:tcPr>
            <w:tcW w:w="1967" w:type="dxa"/>
          </w:tcPr>
          <w:p>
            <w:pPr>
              <w:pStyle w:val="234"/>
              <w:spacing w:before="130" w:line="288" w:lineRule="auto"/>
              <w:ind w:left="15" w:right="10" w:firstLine="3"/>
              <w:rPr>
                <w:rFonts w:hint="eastAsia"/>
                <w:lang w:eastAsia="zh-CN"/>
              </w:rPr>
            </w:pPr>
            <w:r>
              <w:rPr>
                <w:spacing w:val="3"/>
                <w:lang w:eastAsia="zh-CN"/>
              </w:rPr>
              <w:t>★A02010107 平板式</w:t>
            </w:r>
            <w:r>
              <w:rPr>
                <w:spacing w:val="12"/>
                <w:lang w:eastAsia="zh-CN"/>
              </w:rPr>
              <w:t xml:space="preserve"> </w:t>
            </w:r>
            <w:r>
              <w:rPr>
                <w:spacing w:val="8"/>
                <w:lang w:eastAsia="zh-CN"/>
              </w:rPr>
              <w:t>微型计算机</w:t>
            </w:r>
          </w:p>
        </w:tc>
        <w:tc>
          <w:tcPr>
            <w:tcW w:w="2093" w:type="dxa"/>
          </w:tcPr>
          <w:p>
            <w:pPr>
              <w:rPr>
                <w:rFonts w:ascii="Arial"/>
              </w:rPr>
            </w:pPr>
          </w:p>
        </w:tc>
        <w:tc>
          <w:tcPr>
            <w:tcW w:w="3247" w:type="dxa"/>
          </w:tcPr>
          <w:p>
            <w:pPr>
              <w:pStyle w:val="234"/>
              <w:spacing w:before="130" w:line="288" w:lineRule="auto"/>
              <w:ind w:left="19" w:right="11" w:firstLine="3"/>
              <w:rPr>
                <w:rFonts w:hint="eastAsia"/>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632" w:type="dxa"/>
            <w:vMerge w:val="restart"/>
            <w:tcBorders>
              <w:bottom w:val="nil"/>
            </w:tcBorders>
          </w:tcPr>
          <w:p>
            <w:pPr>
              <w:spacing w:line="255" w:lineRule="auto"/>
              <w:rPr>
                <w:rFonts w:ascii="Arial"/>
              </w:rPr>
            </w:pPr>
          </w:p>
          <w:p>
            <w:pPr>
              <w:spacing w:line="255" w:lineRule="auto"/>
              <w:rPr>
                <w:rFonts w:ascii="Arial"/>
              </w:rPr>
            </w:pPr>
          </w:p>
          <w:p>
            <w:pPr>
              <w:spacing w:line="255" w:lineRule="auto"/>
              <w:rPr>
                <w:rFonts w:ascii="Arial"/>
              </w:rPr>
            </w:pPr>
          </w:p>
          <w:p>
            <w:pPr>
              <w:spacing w:line="255" w:lineRule="auto"/>
              <w:rPr>
                <w:rFonts w:ascii="Arial"/>
              </w:rPr>
            </w:pPr>
          </w:p>
          <w:p>
            <w:pPr>
              <w:spacing w:line="255" w:lineRule="auto"/>
              <w:rPr>
                <w:rFonts w:ascii="Arial"/>
              </w:rPr>
            </w:pPr>
          </w:p>
          <w:p>
            <w:pPr>
              <w:spacing w:line="255" w:lineRule="auto"/>
              <w:rPr>
                <w:rFonts w:ascii="Arial"/>
              </w:rPr>
            </w:pPr>
          </w:p>
          <w:p>
            <w:pPr>
              <w:spacing w:line="256" w:lineRule="auto"/>
              <w:rPr>
                <w:rFonts w:ascii="Arial"/>
              </w:rPr>
            </w:pPr>
          </w:p>
          <w:p>
            <w:pPr>
              <w:spacing w:line="256" w:lineRule="auto"/>
              <w:rPr>
                <w:rFonts w:ascii="Arial"/>
              </w:rPr>
            </w:pPr>
          </w:p>
          <w:p>
            <w:pPr>
              <w:pStyle w:val="234"/>
              <w:spacing w:before="62" w:line="189" w:lineRule="auto"/>
              <w:ind w:left="245"/>
              <w:rPr>
                <w:rFonts w:hint="eastAsia"/>
              </w:rPr>
            </w:pPr>
            <w:r>
              <w:t>2</w:t>
            </w:r>
          </w:p>
        </w:tc>
        <w:tc>
          <w:tcPr>
            <w:tcW w:w="1275" w:type="dxa"/>
            <w:vMerge w:val="restart"/>
            <w:tcBorders>
              <w:bottom w:val="nil"/>
            </w:tcBorders>
          </w:tcPr>
          <w:p>
            <w:pPr>
              <w:spacing w:line="265" w:lineRule="auto"/>
              <w:rPr>
                <w:rFonts w:ascii="Arial"/>
              </w:rPr>
            </w:pPr>
          </w:p>
          <w:p>
            <w:pPr>
              <w:spacing w:line="265" w:lineRule="auto"/>
              <w:rPr>
                <w:rFonts w:ascii="Arial"/>
              </w:rPr>
            </w:pPr>
          </w:p>
          <w:p>
            <w:pPr>
              <w:spacing w:line="265" w:lineRule="auto"/>
              <w:rPr>
                <w:rFonts w:ascii="Arial"/>
              </w:rPr>
            </w:pPr>
          </w:p>
          <w:p>
            <w:pPr>
              <w:spacing w:line="265" w:lineRule="auto"/>
              <w:rPr>
                <w:rFonts w:ascii="Arial"/>
              </w:rPr>
            </w:pPr>
          </w:p>
          <w:p>
            <w:pPr>
              <w:spacing w:line="265" w:lineRule="auto"/>
              <w:rPr>
                <w:rFonts w:ascii="Arial"/>
              </w:rPr>
            </w:pPr>
          </w:p>
          <w:p>
            <w:pPr>
              <w:spacing w:line="265" w:lineRule="auto"/>
              <w:rPr>
                <w:rFonts w:ascii="Arial"/>
              </w:rPr>
            </w:pPr>
          </w:p>
          <w:p>
            <w:pPr>
              <w:spacing w:line="266" w:lineRule="auto"/>
              <w:rPr>
                <w:rFonts w:ascii="Arial"/>
              </w:rPr>
            </w:pPr>
          </w:p>
          <w:p>
            <w:pPr>
              <w:pStyle w:val="234"/>
              <w:spacing w:before="62" w:line="288" w:lineRule="auto"/>
              <w:ind w:left="14" w:right="8" w:hanging="5"/>
              <w:rPr>
                <w:rFonts w:hint="eastAsia"/>
              </w:rPr>
            </w:pPr>
            <w:r>
              <w:rPr>
                <w:spacing w:val="5"/>
              </w:rPr>
              <w:t>A020106</w:t>
            </w:r>
            <w:r>
              <w:rPr>
                <w:spacing w:val="-43"/>
              </w:rPr>
              <w:t xml:space="preserve"> </w:t>
            </w:r>
            <w:r>
              <w:rPr>
                <w:spacing w:val="5"/>
              </w:rPr>
              <w:t>输入</w:t>
            </w:r>
            <w:r>
              <w:t xml:space="preserve"> </w:t>
            </w:r>
            <w:r>
              <w:rPr>
                <w:spacing w:val="7"/>
              </w:rPr>
              <w:t>输出设备</w:t>
            </w:r>
          </w:p>
        </w:tc>
        <w:tc>
          <w:tcPr>
            <w:tcW w:w="1967" w:type="dxa"/>
            <w:vMerge w:val="restart"/>
            <w:tcBorders>
              <w:bottom w:val="nil"/>
            </w:tcBorders>
          </w:tcPr>
          <w:p>
            <w:pPr>
              <w:spacing w:line="316" w:lineRule="auto"/>
              <w:rPr>
                <w:rFonts w:ascii="Arial"/>
              </w:rPr>
            </w:pPr>
          </w:p>
          <w:p>
            <w:pPr>
              <w:spacing w:line="316" w:lineRule="auto"/>
              <w:rPr>
                <w:rFonts w:ascii="Arial"/>
              </w:rPr>
            </w:pPr>
          </w:p>
          <w:p>
            <w:pPr>
              <w:spacing w:line="317" w:lineRule="auto"/>
              <w:rPr>
                <w:rFonts w:ascii="Arial"/>
              </w:rPr>
            </w:pPr>
          </w:p>
          <w:p>
            <w:pPr>
              <w:pStyle w:val="234"/>
              <w:spacing w:before="62" w:line="229" w:lineRule="auto"/>
              <w:ind w:left="9"/>
              <w:rPr>
                <w:rFonts w:hint="eastAsia"/>
              </w:rPr>
            </w:pPr>
            <w:r>
              <w:rPr>
                <w:spacing w:val="5"/>
              </w:rPr>
              <w:t>A02010601</w:t>
            </w:r>
            <w:r>
              <w:rPr>
                <w:spacing w:val="-28"/>
              </w:rPr>
              <w:t xml:space="preserve"> </w:t>
            </w:r>
            <w:r>
              <w:rPr>
                <w:spacing w:val="5"/>
              </w:rPr>
              <w:t>打印设备</w:t>
            </w:r>
          </w:p>
        </w:tc>
        <w:tc>
          <w:tcPr>
            <w:tcW w:w="2093" w:type="dxa"/>
          </w:tcPr>
          <w:p>
            <w:pPr>
              <w:pStyle w:val="234"/>
              <w:spacing w:before="119" w:line="288" w:lineRule="auto"/>
              <w:ind w:left="31" w:right="8" w:hanging="21"/>
              <w:rPr>
                <w:rFonts w:hint="eastAsia"/>
              </w:rPr>
            </w:pPr>
            <w:r>
              <w:rPr>
                <w:spacing w:val="3"/>
              </w:rPr>
              <w:t>A0201060101</w:t>
            </w:r>
            <w:r>
              <w:rPr>
                <w:spacing w:val="50"/>
              </w:rPr>
              <w:t xml:space="preserve"> </w:t>
            </w:r>
            <w:r>
              <w:rPr>
                <w:spacing w:val="3"/>
              </w:rPr>
              <w:t>喷</w:t>
            </w:r>
            <w:r>
              <w:rPr>
                <w:spacing w:val="-51"/>
              </w:rPr>
              <w:t xml:space="preserve"> </w:t>
            </w:r>
            <w:r>
              <w:rPr>
                <w:spacing w:val="3"/>
              </w:rPr>
              <w:t>墨</w:t>
            </w:r>
            <w:r>
              <w:rPr>
                <w:spacing w:val="-53"/>
              </w:rPr>
              <w:t xml:space="preserve"> </w:t>
            </w:r>
            <w:r>
              <w:rPr>
                <w:spacing w:val="3"/>
              </w:rPr>
              <w:t>打</w:t>
            </w:r>
            <w:r>
              <w:t xml:space="preserve"> </w:t>
            </w:r>
            <w:r>
              <w:rPr>
                <w:spacing w:val="-2"/>
              </w:rPr>
              <w:t>印机</w:t>
            </w:r>
          </w:p>
        </w:tc>
        <w:tc>
          <w:tcPr>
            <w:tcW w:w="3247" w:type="dxa"/>
          </w:tcPr>
          <w:p>
            <w:pPr>
              <w:pStyle w:val="234"/>
              <w:spacing w:before="120" w:line="288" w:lineRule="auto"/>
              <w:ind w:left="22" w:right="13"/>
              <w:rPr>
                <w:rFonts w:hint="eastAsia"/>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vMerge w:val="continue"/>
            <w:tcBorders>
              <w:top w:val="nil"/>
              <w:bottom w:val="nil"/>
            </w:tcBorders>
          </w:tcPr>
          <w:p>
            <w:pPr>
              <w:rPr>
                <w:rFonts w:ascii="Arial"/>
              </w:rPr>
            </w:pPr>
          </w:p>
        </w:tc>
        <w:tc>
          <w:tcPr>
            <w:tcW w:w="2093" w:type="dxa"/>
          </w:tcPr>
          <w:p>
            <w:pPr>
              <w:pStyle w:val="234"/>
              <w:spacing w:before="119" w:line="288" w:lineRule="auto"/>
              <w:ind w:left="19" w:right="8"/>
              <w:rPr>
                <w:rFonts w:hint="eastAsia"/>
              </w:rPr>
            </w:pPr>
            <w:r>
              <w:rPr>
                <w:spacing w:val="3"/>
              </w:rPr>
              <w:t>★</w:t>
            </w:r>
            <w:r>
              <w:rPr>
                <w:spacing w:val="-50"/>
              </w:rPr>
              <w:t xml:space="preserve"> </w:t>
            </w:r>
            <w:r>
              <w:rPr>
                <w:spacing w:val="3"/>
              </w:rPr>
              <w:t>A0201060102</w:t>
            </w:r>
            <w:r>
              <w:rPr>
                <w:spacing w:val="41"/>
              </w:rPr>
              <w:t xml:space="preserve"> </w:t>
            </w:r>
            <w:r>
              <w:rPr>
                <w:spacing w:val="3"/>
              </w:rPr>
              <w:t>激</w:t>
            </w:r>
            <w:r>
              <w:rPr>
                <w:spacing w:val="-54"/>
              </w:rPr>
              <w:t xml:space="preserve"> </w:t>
            </w:r>
            <w:r>
              <w:rPr>
                <w:spacing w:val="3"/>
              </w:rPr>
              <w:t>光</w:t>
            </w:r>
            <w:r>
              <w:t xml:space="preserve"> </w:t>
            </w:r>
            <w:r>
              <w:rPr>
                <w:spacing w:val="5"/>
              </w:rPr>
              <w:t>打印机</w:t>
            </w:r>
          </w:p>
        </w:tc>
        <w:tc>
          <w:tcPr>
            <w:tcW w:w="3247" w:type="dxa"/>
          </w:tcPr>
          <w:p>
            <w:pPr>
              <w:pStyle w:val="234"/>
              <w:spacing w:before="120" w:line="288" w:lineRule="auto"/>
              <w:ind w:left="22" w:right="13"/>
              <w:rPr>
                <w:rFonts w:hint="eastAsia"/>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vMerge w:val="continue"/>
            <w:tcBorders>
              <w:top w:val="nil"/>
            </w:tcBorders>
          </w:tcPr>
          <w:p>
            <w:pPr>
              <w:rPr>
                <w:rFonts w:ascii="Arial"/>
              </w:rPr>
            </w:pPr>
          </w:p>
        </w:tc>
        <w:tc>
          <w:tcPr>
            <w:tcW w:w="2093" w:type="dxa"/>
          </w:tcPr>
          <w:p>
            <w:pPr>
              <w:pStyle w:val="234"/>
              <w:spacing w:before="119" w:line="288" w:lineRule="auto"/>
              <w:ind w:left="19" w:right="8"/>
              <w:rPr>
                <w:rFonts w:hint="eastAsia"/>
              </w:rPr>
            </w:pPr>
            <w:r>
              <w:rPr>
                <w:spacing w:val="3"/>
              </w:rPr>
              <w:t>★</w:t>
            </w:r>
            <w:r>
              <w:rPr>
                <w:spacing w:val="-54"/>
              </w:rPr>
              <w:t xml:space="preserve"> </w:t>
            </w:r>
            <w:r>
              <w:rPr>
                <w:spacing w:val="3"/>
              </w:rPr>
              <w:t>A0201060104</w:t>
            </w:r>
            <w:r>
              <w:rPr>
                <w:spacing w:val="43"/>
              </w:rPr>
              <w:t xml:space="preserve"> </w:t>
            </w:r>
            <w:r>
              <w:rPr>
                <w:spacing w:val="3"/>
              </w:rPr>
              <w:t>针</w:t>
            </w:r>
            <w:r>
              <w:rPr>
                <w:spacing w:val="-52"/>
              </w:rPr>
              <w:t xml:space="preserve"> </w:t>
            </w:r>
            <w:r>
              <w:rPr>
                <w:spacing w:val="3"/>
              </w:rPr>
              <w:t>式</w:t>
            </w:r>
            <w:r>
              <w:t xml:space="preserve"> </w:t>
            </w:r>
            <w:r>
              <w:rPr>
                <w:spacing w:val="5"/>
              </w:rPr>
              <w:t>打印机</w:t>
            </w:r>
          </w:p>
        </w:tc>
        <w:tc>
          <w:tcPr>
            <w:tcW w:w="3247" w:type="dxa"/>
          </w:tcPr>
          <w:p>
            <w:pPr>
              <w:pStyle w:val="234"/>
              <w:spacing w:before="120" w:line="288" w:lineRule="auto"/>
              <w:ind w:left="22" w:right="13"/>
              <w:rPr>
                <w:rFonts w:hint="eastAsia"/>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tcPr>
          <w:p>
            <w:pPr>
              <w:pStyle w:val="234"/>
              <w:spacing w:before="292" w:line="230" w:lineRule="auto"/>
              <w:ind w:left="9"/>
              <w:rPr>
                <w:rFonts w:hint="eastAsia"/>
              </w:rPr>
            </w:pPr>
            <w:r>
              <w:rPr>
                <w:spacing w:val="5"/>
              </w:rPr>
              <w:t>A02010604</w:t>
            </w:r>
            <w:r>
              <w:rPr>
                <w:spacing w:val="-28"/>
              </w:rPr>
              <w:t xml:space="preserve"> </w:t>
            </w:r>
            <w:r>
              <w:rPr>
                <w:spacing w:val="5"/>
              </w:rPr>
              <w:t>显示设备</w:t>
            </w:r>
          </w:p>
        </w:tc>
        <w:tc>
          <w:tcPr>
            <w:tcW w:w="2093" w:type="dxa"/>
          </w:tcPr>
          <w:p>
            <w:pPr>
              <w:pStyle w:val="234"/>
              <w:spacing w:before="136" w:line="289" w:lineRule="auto"/>
              <w:ind w:left="20" w:right="8" w:hanging="1"/>
              <w:rPr>
                <w:rFonts w:hint="eastAsia"/>
              </w:rPr>
            </w:pPr>
            <w:r>
              <w:rPr>
                <w:spacing w:val="2"/>
              </w:rPr>
              <w:t>★</w:t>
            </w:r>
            <w:r>
              <w:rPr>
                <w:spacing w:val="-54"/>
              </w:rPr>
              <w:t xml:space="preserve"> </w:t>
            </w:r>
            <w:r>
              <w:rPr>
                <w:spacing w:val="2"/>
              </w:rPr>
              <w:t>A0201060401</w:t>
            </w:r>
            <w:r>
              <w:rPr>
                <w:spacing w:val="44"/>
              </w:rPr>
              <w:t xml:space="preserve"> </w:t>
            </w:r>
            <w:r>
              <w:rPr>
                <w:spacing w:val="2"/>
              </w:rPr>
              <w:t>液</w:t>
            </w:r>
            <w:r>
              <w:rPr>
                <w:spacing w:val="-39"/>
              </w:rPr>
              <w:t xml:space="preserve"> </w:t>
            </w:r>
            <w:r>
              <w:rPr>
                <w:spacing w:val="2"/>
              </w:rPr>
              <w:t>晶</w:t>
            </w:r>
            <w:r>
              <w:t xml:space="preserve"> </w:t>
            </w:r>
            <w:r>
              <w:rPr>
                <w:spacing w:val="5"/>
              </w:rPr>
              <w:t>显示器</w:t>
            </w:r>
          </w:p>
        </w:tc>
        <w:tc>
          <w:tcPr>
            <w:tcW w:w="3247" w:type="dxa"/>
          </w:tcPr>
          <w:p>
            <w:pPr>
              <w:pStyle w:val="234"/>
              <w:spacing w:before="136" w:line="288" w:lineRule="auto"/>
              <w:ind w:left="22" w:right="11"/>
              <w:rPr>
                <w:rFonts w:hint="eastAsia"/>
                <w:lang w:eastAsia="zh-CN"/>
              </w:rPr>
            </w:pPr>
            <w:r>
              <w:rPr>
                <w:spacing w:val="19"/>
                <w:lang w:eastAsia="zh-CN"/>
              </w:rPr>
              <w:t>《计算机显示器能效限定值及能</w:t>
            </w:r>
            <w:r>
              <w:rPr>
                <w:spacing w:val="2"/>
                <w:lang w:eastAsia="zh-CN"/>
              </w:rPr>
              <w:t xml:space="preserve"> </w:t>
            </w:r>
            <w:r>
              <w:rPr>
                <w:spacing w:val="6"/>
                <w:lang w:eastAsia="zh-CN"/>
              </w:rPr>
              <w:t>效等级》（</w:t>
            </w:r>
            <w:r>
              <w:rPr>
                <w:lang w:eastAsia="zh-CN"/>
              </w:rPr>
              <w:t>GB</w:t>
            </w:r>
            <w:r>
              <w:rPr>
                <w:spacing w:val="6"/>
                <w:lang w:eastAsia="zh-CN"/>
              </w:rPr>
              <w:t xml:space="preserve"> 21520）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6" w:hRule="atLeast"/>
          <w:jc w:val="center"/>
        </w:trPr>
        <w:tc>
          <w:tcPr>
            <w:tcW w:w="632" w:type="dxa"/>
            <w:vMerge w:val="continue"/>
            <w:tcBorders>
              <w:top w:val="nil"/>
            </w:tcBorders>
          </w:tcPr>
          <w:p>
            <w:pPr>
              <w:rPr>
                <w:rFonts w:ascii="Arial"/>
              </w:rPr>
            </w:pPr>
          </w:p>
        </w:tc>
        <w:tc>
          <w:tcPr>
            <w:tcW w:w="1275" w:type="dxa"/>
            <w:vMerge w:val="continue"/>
            <w:tcBorders>
              <w:top w:val="nil"/>
            </w:tcBorders>
          </w:tcPr>
          <w:p>
            <w:pPr>
              <w:rPr>
                <w:rFonts w:ascii="Arial"/>
              </w:rPr>
            </w:pPr>
          </w:p>
        </w:tc>
        <w:tc>
          <w:tcPr>
            <w:tcW w:w="1967" w:type="dxa"/>
          </w:tcPr>
          <w:p>
            <w:pPr>
              <w:spacing w:line="365" w:lineRule="auto"/>
              <w:rPr>
                <w:rFonts w:ascii="Arial"/>
              </w:rPr>
            </w:pPr>
          </w:p>
          <w:p>
            <w:pPr>
              <w:pStyle w:val="234"/>
              <w:spacing w:before="62" w:line="288" w:lineRule="auto"/>
              <w:ind w:left="14" w:right="10" w:hanging="5"/>
              <w:rPr>
                <w:rFonts w:hint="eastAsia"/>
              </w:rPr>
            </w:pPr>
            <w:r>
              <w:rPr>
                <w:spacing w:val="4"/>
              </w:rPr>
              <w:t>A02010609 图形图像</w:t>
            </w:r>
            <w:r>
              <w:rPr>
                <w:spacing w:val="7"/>
              </w:rPr>
              <w:t xml:space="preserve"> 输入设备</w:t>
            </w:r>
          </w:p>
        </w:tc>
        <w:tc>
          <w:tcPr>
            <w:tcW w:w="2093" w:type="dxa"/>
          </w:tcPr>
          <w:p>
            <w:pPr>
              <w:spacing w:line="260" w:lineRule="auto"/>
              <w:rPr>
                <w:rFonts w:ascii="Arial"/>
              </w:rPr>
            </w:pPr>
          </w:p>
          <w:p>
            <w:pPr>
              <w:spacing w:line="260" w:lineRule="auto"/>
              <w:rPr>
                <w:rFonts w:ascii="Arial"/>
              </w:rPr>
            </w:pPr>
          </w:p>
          <w:p>
            <w:pPr>
              <w:pStyle w:val="234"/>
              <w:spacing w:before="61" w:line="229" w:lineRule="auto"/>
              <w:ind w:left="10"/>
              <w:rPr>
                <w:rFonts w:hint="eastAsia"/>
              </w:rPr>
            </w:pPr>
            <w:r>
              <w:rPr>
                <w:spacing w:val="5"/>
              </w:rPr>
              <w:t>A0201060901</w:t>
            </w:r>
            <w:r>
              <w:rPr>
                <w:spacing w:val="-34"/>
              </w:rPr>
              <w:t xml:space="preserve"> </w:t>
            </w:r>
            <w:r>
              <w:rPr>
                <w:spacing w:val="5"/>
              </w:rPr>
              <w:t>扫描仪</w:t>
            </w:r>
          </w:p>
        </w:tc>
        <w:tc>
          <w:tcPr>
            <w:tcW w:w="3247" w:type="dxa"/>
          </w:tcPr>
          <w:p>
            <w:pPr>
              <w:pStyle w:val="234"/>
              <w:spacing w:before="114" w:line="296" w:lineRule="auto"/>
              <w:ind w:left="22" w:hanging="3"/>
              <w:rPr>
                <w:rFonts w:hint="eastAsia"/>
                <w:lang w:eastAsia="zh-CN"/>
              </w:rPr>
            </w:pPr>
            <w:r>
              <w:rPr>
                <w:lang w:eastAsia="zh-CN"/>
              </w:rPr>
              <w:t>参照《复印机、打印机和传真机能</w:t>
            </w:r>
            <w:r>
              <w:rPr>
                <w:spacing w:val="3"/>
                <w:lang w:eastAsia="zh-CN"/>
              </w:rPr>
              <w:t xml:space="preserve">  </w:t>
            </w:r>
            <w:r>
              <w:rPr>
                <w:spacing w:val="-4"/>
                <w:lang w:eastAsia="zh-CN"/>
              </w:rPr>
              <w:t>效限定值及能效等级》（GB</w:t>
            </w:r>
            <w:r>
              <w:rPr>
                <w:spacing w:val="-24"/>
                <w:lang w:eastAsia="zh-CN"/>
              </w:rPr>
              <w:t xml:space="preserve"> </w:t>
            </w:r>
            <w:r>
              <w:rPr>
                <w:spacing w:val="-4"/>
                <w:lang w:eastAsia="zh-CN"/>
              </w:rPr>
              <w:t>21521）</w:t>
            </w:r>
            <w:r>
              <w:rPr>
                <w:lang w:eastAsia="zh-CN"/>
              </w:rPr>
              <w:t xml:space="preserve"> </w:t>
            </w:r>
            <w:r>
              <w:rPr>
                <w:spacing w:val="4"/>
                <w:lang w:eastAsia="zh-CN"/>
              </w:rPr>
              <w:t>中打印速度为</w:t>
            </w:r>
            <w:r>
              <w:rPr>
                <w:spacing w:val="38"/>
                <w:lang w:eastAsia="zh-CN"/>
              </w:rPr>
              <w:t xml:space="preserve"> </w:t>
            </w:r>
            <w:r>
              <w:rPr>
                <w:spacing w:val="4"/>
                <w:lang w:eastAsia="zh-CN"/>
              </w:rPr>
              <w:t>15 页/分的针式打</w:t>
            </w:r>
            <w:r>
              <w:rPr>
                <w:lang w:eastAsia="zh-CN"/>
              </w:rPr>
              <w:t xml:space="preserve">  </w:t>
            </w:r>
            <w:r>
              <w:rPr>
                <w:spacing w:val="2"/>
                <w:lang w:eastAsia="zh-CN"/>
              </w:rPr>
              <w:t>印机相关要求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jc w:val="center"/>
        </w:trPr>
        <w:tc>
          <w:tcPr>
            <w:tcW w:w="632" w:type="dxa"/>
          </w:tcPr>
          <w:p>
            <w:pPr>
              <w:pStyle w:val="234"/>
              <w:spacing w:before="277" w:line="189" w:lineRule="auto"/>
              <w:ind w:left="246"/>
              <w:rPr>
                <w:rFonts w:hint="eastAsia"/>
              </w:rPr>
            </w:pPr>
            <w:r>
              <w:t>3</w:t>
            </w:r>
          </w:p>
        </w:tc>
        <w:tc>
          <w:tcPr>
            <w:tcW w:w="1275" w:type="dxa"/>
          </w:tcPr>
          <w:p>
            <w:pPr>
              <w:pStyle w:val="234"/>
              <w:spacing w:before="90" w:line="281" w:lineRule="auto"/>
              <w:ind w:left="15" w:right="8" w:hanging="6"/>
              <w:rPr>
                <w:rFonts w:hint="eastAsia"/>
              </w:rPr>
            </w:pPr>
            <w:r>
              <w:rPr>
                <w:spacing w:val="4"/>
              </w:rPr>
              <w:t>A020202</w:t>
            </w:r>
            <w:r>
              <w:rPr>
                <w:spacing w:val="-34"/>
              </w:rPr>
              <w:t xml:space="preserve"> </w:t>
            </w:r>
            <w:r>
              <w:rPr>
                <w:spacing w:val="4"/>
              </w:rPr>
              <w:t>投影</w:t>
            </w:r>
            <w:r>
              <w:t xml:space="preserve"> 仪</w:t>
            </w:r>
          </w:p>
        </w:tc>
        <w:tc>
          <w:tcPr>
            <w:tcW w:w="1967" w:type="dxa"/>
          </w:tcPr>
          <w:p>
            <w:pPr>
              <w:rPr>
                <w:rFonts w:ascii="Arial"/>
              </w:rPr>
            </w:pPr>
          </w:p>
        </w:tc>
        <w:tc>
          <w:tcPr>
            <w:tcW w:w="2093" w:type="dxa"/>
          </w:tcPr>
          <w:p>
            <w:pPr>
              <w:rPr>
                <w:rFonts w:ascii="Arial"/>
              </w:rPr>
            </w:pPr>
          </w:p>
        </w:tc>
        <w:tc>
          <w:tcPr>
            <w:tcW w:w="3247" w:type="dxa"/>
          </w:tcPr>
          <w:p>
            <w:pPr>
              <w:pStyle w:val="234"/>
              <w:spacing w:before="90" w:line="281" w:lineRule="auto"/>
              <w:ind w:left="27" w:hanging="4"/>
              <w:rPr>
                <w:rFonts w:hint="eastAsia"/>
                <w:lang w:eastAsia="zh-CN"/>
              </w:rPr>
            </w:pPr>
            <w:r>
              <w:rPr>
                <w:spacing w:val="6"/>
                <w:lang w:eastAsia="zh-CN"/>
              </w:rPr>
              <w:t>《投影机能效限定值及能效等级》</w:t>
            </w:r>
            <w:r>
              <w:rPr>
                <w:lang w:eastAsia="zh-CN"/>
              </w:rPr>
              <w:t xml:space="preserve"> （GB</w:t>
            </w:r>
            <w:r>
              <w:rPr>
                <w:spacing w:val="22"/>
                <w:lang w:eastAsia="zh-CN"/>
              </w:rPr>
              <w:t xml:space="preserve"> </w:t>
            </w:r>
            <w:r>
              <w:rPr>
                <w:lang w:eastAsia="zh-CN"/>
              </w:rPr>
              <w:t>32028）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632" w:type="dxa"/>
          </w:tcPr>
          <w:p>
            <w:pPr>
              <w:spacing w:line="257" w:lineRule="auto"/>
              <w:rPr>
                <w:rFonts w:ascii="Arial"/>
              </w:rPr>
            </w:pPr>
          </w:p>
          <w:p>
            <w:pPr>
              <w:pStyle w:val="234"/>
              <w:spacing w:before="62" w:line="189" w:lineRule="auto"/>
              <w:ind w:left="242"/>
              <w:rPr>
                <w:rFonts w:hint="eastAsia"/>
              </w:rPr>
            </w:pPr>
            <w:r>
              <w:t>4</w:t>
            </w:r>
          </w:p>
        </w:tc>
        <w:tc>
          <w:tcPr>
            <w:tcW w:w="1275" w:type="dxa"/>
          </w:tcPr>
          <w:p>
            <w:pPr>
              <w:pStyle w:val="234"/>
              <w:spacing w:before="133" w:line="288" w:lineRule="auto"/>
              <w:ind w:left="22" w:right="8" w:hanging="13"/>
              <w:rPr>
                <w:rFonts w:hint="eastAsia"/>
              </w:rPr>
            </w:pPr>
            <w:r>
              <w:rPr>
                <w:spacing w:val="4"/>
              </w:rPr>
              <w:t>A020204</w:t>
            </w:r>
            <w:r>
              <w:rPr>
                <w:spacing w:val="-34"/>
              </w:rPr>
              <w:t xml:space="preserve"> </w:t>
            </w:r>
            <w:r>
              <w:rPr>
                <w:spacing w:val="4"/>
              </w:rPr>
              <w:t>多功</w:t>
            </w:r>
            <w:r>
              <w:t xml:space="preserve"> </w:t>
            </w:r>
            <w:r>
              <w:rPr>
                <w:spacing w:val="5"/>
              </w:rPr>
              <w:t>能一体机</w:t>
            </w:r>
          </w:p>
        </w:tc>
        <w:tc>
          <w:tcPr>
            <w:tcW w:w="1967" w:type="dxa"/>
          </w:tcPr>
          <w:p>
            <w:pPr>
              <w:rPr>
                <w:rFonts w:ascii="Arial"/>
              </w:rPr>
            </w:pPr>
          </w:p>
        </w:tc>
        <w:tc>
          <w:tcPr>
            <w:tcW w:w="2093" w:type="dxa"/>
          </w:tcPr>
          <w:p>
            <w:pPr>
              <w:rPr>
                <w:rFonts w:ascii="Arial"/>
              </w:rPr>
            </w:pPr>
          </w:p>
        </w:tc>
        <w:tc>
          <w:tcPr>
            <w:tcW w:w="3247" w:type="dxa"/>
          </w:tcPr>
          <w:p>
            <w:pPr>
              <w:pStyle w:val="234"/>
              <w:spacing w:before="133" w:line="288" w:lineRule="auto"/>
              <w:ind w:left="22" w:right="13"/>
              <w:rPr>
                <w:rFonts w:hint="eastAsia"/>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jc w:val="center"/>
        </w:trPr>
        <w:tc>
          <w:tcPr>
            <w:tcW w:w="632" w:type="dxa"/>
          </w:tcPr>
          <w:p>
            <w:pPr>
              <w:pStyle w:val="234"/>
              <w:spacing w:before="260" w:line="188" w:lineRule="auto"/>
              <w:ind w:left="246"/>
              <w:rPr>
                <w:rFonts w:hint="eastAsia"/>
              </w:rPr>
            </w:pPr>
            <w:r>
              <w:t>5</w:t>
            </w:r>
          </w:p>
        </w:tc>
        <w:tc>
          <w:tcPr>
            <w:tcW w:w="1275" w:type="dxa"/>
          </w:tcPr>
          <w:p>
            <w:pPr>
              <w:pStyle w:val="234"/>
              <w:spacing w:before="227" w:line="229" w:lineRule="auto"/>
              <w:ind w:left="9"/>
              <w:rPr>
                <w:rFonts w:hint="eastAsia"/>
              </w:rPr>
            </w:pPr>
            <w:r>
              <w:rPr>
                <w:spacing w:val="4"/>
              </w:rPr>
              <w:t>A020519</w:t>
            </w:r>
            <w:r>
              <w:rPr>
                <w:spacing w:val="-32"/>
              </w:rPr>
              <w:t xml:space="preserve"> </w:t>
            </w:r>
            <w:r>
              <w:rPr>
                <w:spacing w:val="4"/>
              </w:rPr>
              <w:t>泵</w:t>
            </w:r>
          </w:p>
        </w:tc>
        <w:tc>
          <w:tcPr>
            <w:tcW w:w="1967" w:type="dxa"/>
          </w:tcPr>
          <w:p>
            <w:pPr>
              <w:pStyle w:val="234"/>
              <w:spacing w:before="227" w:line="229" w:lineRule="auto"/>
              <w:ind w:left="9"/>
              <w:rPr>
                <w:rFonts w:hint="eastAsia"/>
              </w:rPr>
            </w:pPr>
            <w:r>
              <w:rPr>
                <w:spacing w:val="5"/>
              </w:rPr>
              <w:t>A02051901</w:t>
            </w:r>
            <w:r>
              <w:rPr>
                <w:spacing w:val="-33"/>
              </w:rPr>
              <w:t xml:space="preserve"> </w:t>
            </w:r>
            <w:r>
              <w:rPr>
                <w:spacing w:val="5"/>
              </w:rPr>
              <w:t>离心泵</w:t>
            </w:r>
          </w:p>
        </w:tc>
        <w:tc>
          <w:tcPr>
            <w:tcW w:w="2093" w:type="dxa"/>
          </w:tcPr>
          <w:p>
            <w:pPr>
              <w:rPr>
                <w:rFonts w:ascii="Arial"/>
              </w:rPr>
            </w:pPr>
          </w:p>
        </w:tc>
        <w:tc>
          <w:tcPr>
            <w:tcW w:w="3247" w:type="dxa"/>
          </w:tcPr>
          <w:p>
            <w:pPr>
              <w:pStyle w:val="234"/>
              <w:spacing w:before="71" w:line="272" w:lineRule="auto"/>
              <w:ind w:left="17" w:right="11" w:firstLine="6"/>
              <w:rPr>
                <w:rFonts w:hint="eastAsia"/>
                <w:lang w:eastAsia="zh-CN"/>
              </w:rPr>
            </w:pPr>
            <w:r>
              <w:rPr>
                <w:spacing w:val="19"/>
                <w:lang w:eastAsia="zh-CN"/>
              </w:rPr>
              <w:t>《清水离心泵能效限定值及节能</w:t>
            </w:r>
            <w:r>
              <w:rPr>
                <w:spacing w:val="2"/>
                <w:lang w:eastAsia="zh-CN"/>
              </w:rPr>
              <w:t xml:space="preserve"> </w:t>
            </w:r>
            <w:r>
              <w:rPr>
                <w:spacing w:val="4"/>
                <w:lang w:eastAsia="zh-CN"/>
              </w:rPr>
              <w:t>评价值》（</w:t>
            </w:r>
            <w:r>
              <w:rPr>
                <w:lang w:eastAsia="zh-CN"/>
              </w:rPr>
              <w:t>GB</w:t>
            </w:r>
            <w:r>
              <w:rPr>
                <w:spacing w:val="39"/>
                <w:lang w:eastAsia="zh-CN"/>
              </w:rPr>
              <w:t xml:space="preserve"> </w:t>
            </w:r>
            <w:r>
              <w:rPr>
                <w:spacing w:val="4"/>
                <w:lang w:eastAsia="zh-CN"/>
              </w:rPr>
              <w:t>19762）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7" w:hRule="atLeast"/>
          <w:jc w:val="center"/>
        </w:trPr>
        <w:tc>
          <w:tcPr>
            <w:tcW w:w="632" w:type="dxa"/>
            <w:vMerge w:val="restart"/>
            <w:tcBorders>
              <w:bottom w:val="nil"/>
            </w:tcBorders>
          </w:tcPr>
          <w:p>
            <w:pPr>
              <w:spacing w:line="300" w:lineRule="auto"/>
              <w:rPr>
                <w:rFonts w:ascii="Arial"/>
              </w:rPr>
            </w:pPr>
          </w:p>
          <w:p>
            <w:pPr>
              <w:spacing w:line="300" w:lineRule="auto"/>
              <w:rPr>
                <w:rFonts w:ascii="Arial"/>
              </w:rPr>
            </w:pPr>
          </w:p>
          <w:p>
            <w:pPr>
              <w:spacing w:line="301" w:lineRule="auto"/>
              <w:rPr>
                <w:rFonts w:ascii="Arial"/>
              </w:rPr>
            </w:pPr>
          </w:p>
          <w:p>
            <w:pPr>
              <w:pStyle w:val="234"/>
              <w:spacing w:before="62" w:line="189" w:lineRule="auto"/>
              <w:ind w:left="244"/>
              <w:rPr>
                <w:rFonts w:hint="eastAsia"/>
              </w:rPr>
            </w:pPr>
            <w:r>
              <w:t>6</w:t>
            </w:r>
          </w:p>
        </w:tc>
        <w:tc>
          <w:tcPr>
            <w:tcW w:w="1275" w:type="dxa"/>
            <w:vMerge w:val="restart"/>
            <w:tcBorders>
              <w:bottom w:val="nil"/>
            </w:tcBorders>
          </w:tcPr>
          <w:p>
            <w:pPr>
              <w:spacing w:line="357" w:lineRule="auto"/>
              <w:rPr>
                <w:rFonts w:ascii="Arial"/>
              </w:rPr>
            </w:pPr>
          </w:p>
          <w:p>
            <w:pPr>
              <w:spacing w:line="358" w:lineRule="auto"/>
              <w:rPr>
                <w:rFonts w:ascii="Arial"/>
              </w:rPr>
            </w:pPr>
          </w:p>
          <w:p>
            <w:pPr>
              <w:pStyle w:val="234"/>
              <w:spacing w:before="61" w:line="289" w:lineRule="auto"/>
              <w:ind w:left="21" w:right="8" w:hanging="12"/>
              <w:rPr>
                <w:rFonts w:hint="eastAsia"/>
              </w:rPr>
            </w:pPr>
            <w:r>
              <w:rPr>
                <w:spacing w:val="5"/>
              </w:rPr>
              <w:t>A020523</w:t>
            </w:r>
            <w:r>
              <w:rPr>
                <w:spacing w:val="-43"/>
              </w:rPr>
              <w:t xml:space="preserve"> </w:t>
            </w:r>
            <w:r>
              <w:rPr>
                <w:spacing w:val="5"/>
              </w:rPr>
              <w:t>制冷</w:t>
            </w:r>
            <w:r>
              <w:t xml:space="preserve"> </w:t>
            </w:r>
            <w:r>
              <w:rPr>
                <w:spacing w:val="5"/>
              </w:rPr>
              <w:t>空调设备</w:t>
            </w:r>
          </w:p>
        </w:tc>
        <w:tc>
          <w:tcPr>
            <w:tcW w:w="1967" w:type="dxa"/>
            <w:vMerge w:val="restart"/>
            <w:tcBorders>
              <w:bottom w:val="nil"/>
            </w:tcBorders>
          </w:tcPr>
          <w:p>
            <w:pPr>
              <w:spacing w:line="357" w:lineRule="auto"/>
              <w:rPr>
                <w:rFonts w:ascii="Arial"/>
              </w:rPr>
            </w:pPr>
          </w:p>
          <w:p>
            <w:pPr>
              <w:spacing w:line="357" w:lineRule="auto"/>
              <w:rPr>
                <w:rFonts w:ascii="Arial"/>
              </w:rPr>
            </w:pPr>
          </w:p>
          <w:p>
            <w:pPr>
              <w:pStyle w:val="234"/>
              <w:spacing w:before="62" w:line="288" w:lineRule="auto"/>
              <w:ind w:left="15" w:right="10" w:firstLine="3"/>
              <w:rPr>
                <w:rFonts w:hint="eastAsia"/>
              </w:rPr>
            </w:pPr>
            <w:r>
              <w:rPr>
                <w:spacing w:val="3"/>
              </w:rPr>
              <w:t>★A02052301 制冷压</w:t>
            </w:r>
            <w:r>
              <w:rPr>
                <w:spacing w:val="12"/>
              </w:rPr>
              <w:t xml:space="preserve"> </w:t>
            </w:r>
            <w:r>
              <w:rPr>
                <w:spacing w:val="5"/>
              </w:rPr>
              <w:t>缩机</w:t>
            </w:r>
          </w:p>
        </w:tc>
        <w:tc>
          <w:tcPr>
            <w:tcW w:w="2093" w:type="dxa"/>
          </w:tcPr>
          <w:p>
            <w:pPr>
              <w:spacing w:line="249" w:lineRule="auto"/>
              <w:rPr>
                <w:rFonts w:ascii="Arial"/>
              </w:rPr>
            </w:pPr>
          </w:p>
          <w:p>
            <w:pPr>
              <w:spacing w:line="251" w:lineRule="auto"/>
              <w:rPr>
                <w:rFonts w:ascii="Arial"/>
              </w:rPr>
            </w:pPr>
          </w:p>
          <w:p>
            <w:pPr>
              <w:pStyle w:val="234"/>
              <w:spacing w:before="61" w:line="228" w:lineRule="auto"/>
              <w:ind w:left="18"/>
              <w:rPr>
                <w:rFonts w:hint="eastAsia"/>
              </w:rPr>
            </w:pPr>
            <w:r>
              <w:rPr>
                <w:spacing w:val="6"/>
              </w:rPr>
              <w:t>冷水机组</w:t>
            </w:r>
          </w:p>
        </w:tc>
        <w:tc>
          <w:tcPr>
            <w:tcW w:w="3247" w:type="dxa"/>
          </w:tcPr>
          <w:p>
            <w:pPr>
              <w:pStyle w:val="234"/>
              <w:spacing w:before="96" w:line="294" w:lineRule="auto"/>
              <w:ind w:left="17" w:right="11" w:firstLine="5"/>
              <w:rPr>
                <w:rFonts w:hint="eastAsia"/>
                <w:lang w:eastAsia="zh-CN"/>
              </w:rPr>
            </w:pPr>
            <w:r>
              <w:rPr>
                <w:spacing w:val="19"/>
                <w:lang w:eastAsia="zh-CN"/>
              </w:rPr>
              <w:t>《冷水机组能效限定值及能效等</w:t>
            </w:r>
            <w:r>
              <w:rPr>
                <w:spacing w:val="2"/>
                <w:lang w:eastAsia="zh-CN"/>
              </w:rPr>
              <w:t xml:space="preserve"> </w:t>
            </w:r>
            <w:r>
              <w:rPr>
                <w:spacing w:val="6"/>
                <w:lang w:eastAsia="zh-CN"/>
              </w:rPr>
              <w:t>级》（</w:t>
            </w:r>
            <w:r>
              <w:rPr>
                <w:lang w:eastAsia="zh-CN"/>
              </w:rPr>
              <w:t>GB</w:t>
            </w:r>
            <w:r>
              <w:rPr>
                <w:spacing w:val="-21"/>
                <w:lang w:eastAsia="zh-CN"/>
              </w:rPr>
              <w:t xml:space="preserve"> </w:t>
            </w:r>
            <w:r>
              <w:rPr>
                <w:spacing w:val="6"/>
                <w:lang w:eastAsia="zh-CN"/>
              </w:rPr>
              <w:t>19577</w:t>
            </w:r>
            <w:r>
              <w:rPr>
                <w:spacing w:val="9"/>
                <w:lang w:eastAsia="zh-CN"/>
              </w:rPr>
              <w:t>），</w:t>
            </w:r>
            <w:r>
              <w:rPr>
                <w:spacing w:val="6"/>
                <w:lang w:eastAsia="zh-CN"/>
              </w:rPr>
              <w:t>《低环境温度</w:t>
            </w:r>
            <w:r>
              <w:rPr>
                <w:lang w:eastAsia="zh-CN"/>
              </w:rPr>
              <w:t xml:space="preserve"> </w:t>
            </w:r>
            <w:r>
              <w:rPr>
                <w:spacing w:val="5"/>
                <w:lang w:eastAsia="zh-CN"/>
              </w:rPr>
              <w:t>空气源热泵（冷水）机组能效限定</w:t>
            </w:r>
            <w:r>
              <w:rPr>
                <w:spacing w:val="6"/>
                <w:lang w:eastAsia="zh-CN"/>
              </w:rPr>
              <w:t xml:space="preserve"> </w:t>
            </w:r>
            <w:r>
              <w:rPr>
                <w:spacing w:val="7"/>
                <w:lang w:eastAsia="zh-CN"/>
              </w:rPr>
              <w:t>值及能效等级》（</w:t>
            </w:r>
            <w:r>
              <w:rPr>
                <w:lang w:eastAsia="zh-CN"/>
              </w:rPr>
              <w:t>GB</w:t>
            </w:r>
            <w:r>
              <w:rPr>
                <w:spacing w:val="7"/>
                <w:lang w:eastAsia="zh-CN"/>
              </w:rPr>
              <w:t xml:space="preserve"> 37480）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jc w:val="center"/>
        </w:trPr>
        <w:tc>
          <w:tcPr>
            <w:tcW w:w="632" w:type="dxa"/>
            <w:vMerge w:val="continue"/>
            <w:tcBorders>
              <w:top w:val="nil"/>
            </w:tcBorders>
          </w:tcPr>
          <w:p>
            <w:pPr>
              <w:rPr>
                <w:rFonts w:ascii="Arial"/>
              </w:rPr>
            </w:pPr>
          </w:p>
        </w:tc>
        <w:tc>
          <w:tcPr>
            <w:tcW w:w="1275" w:type="dxa"/>
            <w:vMerge w:val="continue"/>
            <w:tcBorders>
              <w:top w:val="nil"/>
            </w:tcBorders>
          </w:tcPr>
          <w:p>
            <w:pPr>
              <w:rPr>
                <w:rFonts w:ascii="Arial"/>
              </w:rPr>
            </w:pPr>
          </w:p>
        </w:tc>
        <w:tc>
          <w:tcPr>
            <w:tcW w:w="1967" w:type="dxa"/>
            <w:vMerge w:val="continue"/>
            <w:tcBorders>
              <w:top w:val="nil"/>
            </w:tcBorders>
          </w:tcPr>
          <w:p>
            <w:pPr>
              <w:rPr>
                <w:rFonts w:ascii="Arial"/>
              </w:rPr>
            </w:pPr>
          </w:p>
        </w:tc>
        <w:tc>
          <w:tcPr>
            <w:tcW w:w="2093" w:type="dxa"/>
          </w:tcPr>
          <w:p>
            <w:pPr>
              <w:pStyle w:val="234"/>
              <w:spacing w:before="275" w:line="228" w:lineRule="auto"/>
              <w:ind w:left="19"/>
              <w:rPr>
                <w:rFonts w:hint="eastAsia"/>
              </w:rPr>
            </w:pPr>
            <w:r>
              <w:rPr>
                <w:spacing w:val="7"/>
              </w:rPr>
              <w:t>水源热泵机组</w:t>
            </w:r>
          </w:p>
        </w:tc>
        <w:tc>
          <w:tcPr>
            <w:tcW w:w="3247" w:type="dxa"/>
          </w:tcPr>
          <w:p>
            <w:pPr>
              <w:pStyle w:val="234"/>
              <w:spacing w:before="120" w:line="288" w:lineRule="auto"/>
              <w:ind w:left="17" w:right="13" w:firstLine="6"/>
              <w:rPr>
                <w:rFonts w:hint="eastAsia"/>
                <w:lang w:eastAsia="zh-CN"/>
              </w:rPr>
            </w:pPr>
            <w:r>
              <w:rPr>
                <w:spacing w:val="5"/>
                <w:lang w:eastAsia="zh-CN"/>
              </w:rPr>
              <w:t>《水（地）源热泵机组能效限定值</w:t>
            </w:r>
            <w:r>
              <w:rPr>
                <w:lang w:eastAsia="zh-CN"/>
              </w:rPr>
              <w:t xml:space="preserve"> </w:t>
            </w:r>
            <w:r>
              <w:rPr>
                <w:spacing w:val="7"/>
                <w:lang w:eastAsia="zh-CN"/>
              </w:rPr>
              <w:t>及能效等级》（</w:t>
            </w:r>
            <w:r>
              <w:rPr>
                <w:lang w:eastAsia="zh-CN"/>
              </w:rPr>
              <w:t>GB</w:t>
            </w:r>
            <w:r>
              <w:rPr>
                <w:spacing w:val="7"/>
                <w:lang w:eastAsia="zh-CN"/>
              </w:rPr>
              <w:t xml:space="preserve"> 30721）</w:t>
            </w:r>
          </w:p>
        </w:tc>
      </w:tr>
    </w:tbl>
    <w:p>
      <w:pPr>
        <w:rPr>
          <w:rFonts w:ascii="Arial"/>
        </w:rPr>
      </w:pPr>
    </w:p>
    <w:p>
      <w:pPr>
        <w:rPr>
          <w:rFonts w:ascii="Arial" w:hAnsi="Arial" w:eastAsia="Arial" w:cs="Arial"/>
          <w:szCs w:val="21"/>
        </w:rPr>
        <w:sectPr>
          <w:pgSz w:w="11906" w:h="16838"/>
          <w:pgMar w:top="1431" w:right="1691" w:bottom="0" w:left="1783" w:header="850" w:footer="992" w:gutter="0"/>
          <w:cols w:space="720" w:num="1"/>
        </w:sectPr>
      </w:pPr>
    </w:p>
    <w:p>
      <w:pPr>
        <w:spacing w:line="91" w:lineRule="auto"/>
        <w:rPr>
          <w:rFonts w:ascii="Arial"/>
          <w:sz w:val="2"/>
        </w:rPr>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jc w:val="center"/>
        </w:trPr>
        <w:tc>
          <w:tcPr>
            <w:tcW w:w="632" w:type="dxa"/>
            <w:vMerge w:val="restart"/>
            <w:tcBorders>
              <w:bottom w:val="nil"/>
            </w:tcBorders>
          </w:tcPr>
          <w:p>
            <w:pPr>
              <w:rPr>
                <w:rFonts w:ascii="Arial"/>
              </w:rPr>
            </w:pPr>
          </w:p>
        </w:tc>
        <w:tc>
          <w:tcPr>
            <w:tcW w:w="1275" w:type="dxa"/>
            <w:vMerge w:val="restart"/>
            <w:tcBorders>
              <w:bottom w:val="nil"/>
            </w:tcBorders>
          </w:tcPr>
          <w:p>
            <w:pPr>
              <w:rPr>
                <w:rFonts w:ascii="Arial"/>
              </w:rPr>
            </w:pPr>
          </w:p>
        </w:tc>
        <w:tc>
          <w:tcPr>
            <w:tcW w:w="1967" w:type="dxa"/>
          </w:tcPr>
          <w:p>
            <w:pPr>
              <w:rPr>
                <w:rFonts w:ascii="Arial"/>
              </w:rPr>
            </w:pPr>
          </w:p>
        </w:tc>
        <w:tc>
          <w:tcPr>
            <w:tcW w:w="2093" w:type="dxa"/>
          </w:tcPr>
          <w:p>
            <w:pPr>
              <w:pStyle w:val="234"/>
              <w:spacing w:before="159" w:line="294" w:lineRule="auto"/>
              <w:ind w:left="19" w:right="11" w:firstLine="1"/>
              <w:rPr>
                <w:rFonts w:hint="eastAsia"/>
                <w:lang w:eastAsia="zh-CN"/>
              </w:rPr>
            </w:pPr>
            <w:r>
              <w:rPr>
                <w:spacing w:val="18"/>
                <w:lang w:eastAsia="zh-CN"/>
              </w:rPr>
              <w:t>溴化锂吸收式冷水机</w:t>
            </w:r>
            <w:r>
              <w:rPr>
                <w:spacing w:val="4"/>
                <w:lang w:eastAsia="zh-CN"/>
              </w:rPr>
              <w:t xml:space="preserve"> </w:t>
            </w:r>
            <w:r>
              <w:rPr>
                <w:lang w:eastAsia="zh-CN"/>
              </w:rPr>
              <w:t>组</w:t>
            </w:r>
          </w:p>
        </w:tc>
        <w:tc>
          <w:tcPr>
            <w:tcW w:w="3247" w:type="dxa"/>
          </w:tcPr>
          <w:p>
            <w:pPr>
              <w:pStyle w:val="234"/>
              <w:spacing w:before="160" w:line="288" w:lineRule="auto"/>
              <w:ind w:left="22" w:right="11"/>
              <w:rPr>
                <w:rFonts w:hint="eastAsia"/>
                <w:lang w:eastAsia="zh-CN"/>
              </w:rPr>
            </w:pPr>
            <w:r>
              <w:rPr>
                <w:spacing w:val="19"/>
                <w:lang w:eastAsia="zh-CN"/>
              </w:rPr>
              <w:t>《溴化锂吸收式冷水机组能效限</w:t>
            </w:r>
            <w:r>
              <w:rPr>
                <w:spacing w:val="2"/>
                <w:lang w:eastAsia="zh-CN"/>
              </w:rPr>
              <w:t xml:space="preserve"> </w:t>
            </w:r>
            <w:r>
              <w:rPr>
                <w:spacing w:val="7"/>
                <w:lang w:eastAsia="zh-CN"/>
              </w:rPr>
              <w:t>定值及能效等级》（</w:t>
            </w:r>
            <w:r>
              <w:rPr>
                <w:lang w:eastAsia="zh-CN"/>
              </w:rPr>
              <w:t>GB</w:t>
            </w:r>
            <w:r>
              <w:rPr>
                <w:spacing w:val="7"/>
                <w:lang w:eastAsia="zh-CN"/>
              </w:rPr>
              <w:t xml:space="preserve"> 29540）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vMerge w:val="restart"/>
            <w:tcBorders>
              <w:bottom w:val="nil"/>
            </w:tcBorders>
          </w:tcPr>
          <w:p>
            <w:pPr>
              <w:spacing w:line="265" w:lineRule="auto"/>
              <w:rPr>
                <w:rFonts w:ascii="Arial"/>
              </w:rPr>
            </w:pPr>
          </w:p>
          <w:p>
            <w:pPr>
              <w:spacing w:line="265" w:lineRule="auto"/>
              <w:rPr>
                <w:rFonts w:ascii="Arial"/>
              </w:rPr>
            </w:pPr>
          </w:p>
          <w:p>
            <w:pPr>
              <w:spacing w:line="265" w:lineRule="auto"/>
              <w:rPr>
                <w:rFonts w:ascii="Arial"/>
              </w:rPr>
            </w:pPr>
          </w:p>
          <w:p>
            <w:pPr>
              <w:pStyle w:val="234"/>
              <w:spacing w:before="62" w:line="294" w:lineRule="auto"/>
              <w:ind w:left="17" w:right="10"/>
              <w:rPr>
                <w:rFonts w:hint="eastAsia"/>
              </w:rPr>
            </w:pPr>
            <w:r>
              <w:rPr>
                <w:spacing w:val="3"/>
              </w:rPr>
              <w:t>★A02052305 空调机</w:t>
            </w:r>
            <w:r>
              <w:rPr>
                <w:spacing w:val="12"/>
              </w:rPr>
              <w:t xml:space="preserve"> </w:t>
            </w:r>
            <w:r>
              <w:t>组</w:t>
            </w:r>
          </w:p>
        </w:tc>
        <w:tc>
          <w:tcPr>
            <w:tcW w:w="2093" w:type="dxa"/>
          </w:tcPr>
          <w:p>
            <w:pPr>
              <w:pStyle w:val="234"/>
              <w:spacing w:before="65" w:line="284" w:lineRule="auto"/>
              <w:ind w:left="15" w:right="11" w:firstLine="10"/>
              <w:rPr>
                <w:rFonts w:hint="eastAsia"/>
                <w:lang w:eastAsia="zh-CN"/>
              </w:rPr>
            </w:pPr>
            <w:r>
              <w:rPr>
                <w:spacing w:val="15"/>
                <w:lang w:eastAsia="zh-CN"/>
              </w:rPr>
              <w:t>多联式空调（热泵）</w:t>
            </w:r>
            <w:r>
              <w:rPr>
                <w:spacing w:val="7"/>
                <w:lang w:eastAsia="zh-CN"/>
              </w:rPr>
              <w:t xml:space="preserve"> </w:t>
            </w:r>
            <w:r>
              <w:rPr>
                <w:spacing w:val="-8"/>
                <w:lang w:eastAsia="zh-CN"/>
              </w:rPr>
              <w:t>机</w:t>
            </w:r>
            <w:r>
              <w:rPr>
                <w:spacing w:val="34"/>
                <w:lang w:eastAsia="zh-CN"/>
              </w:rPr>
              <w:t xml:space="preserve">  </w:t>
            </w:r>
            <w:r>
              <w:rPr>
                <w:spacing w:val="-8"/>
                <w:lang w:eastAsia="zh-CN"/>
              </w:rPr>
              <w:t>组</w:t>
            </w:r>
            <w:r>
              <w:rPr>
                <w:spacing w:val="2"/>
                <w:lang w:eastAsia="zh-CN"/>
              </w:rPr>
              <w:t xml:space="preserve">   </w:t>
            </w:r>
            <w:r>
              <w:rPr>
                <w:spacing w:val="-8"/>
                <w:lang w:eastAsia="zh-CN"/>
              </w:rPr>
              <w:t>(</w:t>
            </w:r>
            <w:r>
              <w:rPr>
                <w:spacing w:val="33"/>
                <w:lang w:eastAsia="zh-CN"/>
              </w:rPr>
              <w:t xml:space="preserve">  </w:t>
            </w:r>
            <w:r>
              <w:rPr>
                <w:spacing w:val="-8"/>
                <w:lang w:eastAsia="zh-CN"/>
              </w:rPr>
              <w:t>制</w:t>
            </w:r>
            <w:r>
              <w:rPr>
                <w:spacing w:val="35"/>
                <w:lang w:eastAsia="zh-CN"/>
              </w:rPr>
              <w:t xml:space="preserve">  </w:t>
            </w:r>
            <w:r>
              <w:rPr>
                <w:spacing w:val="-8"/>
                <w:lang w:eastAsia="zh-CN"/>
              </w:rPr>
              <w:t>冷</w:t>
            </w:r>
            <w:r>
              <w:rPr>
                <w:lang w:eastAsia="zh-CN"/>
              </w:rPr>
              <w:t xml:space="preserve"> </w:t>
            </w:r>
            <w:r>
              <w:rPr>
                <w:spacing w:val="5"/>
                <w:lang w:eastAsia="zh-CN"/>
              </w:rPr>
              <w:t>量&gt;14000W)</w:t>
            </w:r>
          </w:p>
        </w:tc>
        <w:tc>
          <w:tcPr>
            <w:tcW w:w="3247" w:type="dxa"/>
          </w:tcPr>
          <w:p>
            <w:pPr>
              <w:pStyle w:val="234"/>
              <w:spacing w:before="223" w:line="288" w:lineRule="auto"/>
              <w:ind w:left="22"/>
              <w:rPr>
                <w:rFonts w:hint="eastAsia"/>
                <w:lang w:eastAsia="zh-CN"/>
              </w:rPr>
            </w:pPr>
            <w:r>
              <w:rPr>
                <w:lang w:eastAsia="zh-CN"/>
              </w:rPr>
              <w:t>《多联式空调（热泵）机组能效限</w:t>
            </w:r>
            <w:r>
              <w:rPr>
                <w:spacing w:val="2"/>
                <w:lang w:eastAsia="zh-CN"/>
              </w:rPr>
              <w:t xml:space="preserve">  </w:t>
            </w:r>
            <w:r>
              <w:rPr>
                <w:spacing w:val="-4"/>
                <w:lang w:eastAsia="zh-CN"/>
              </w:rPr>
              <w:t>定值及能源效率等级》（GB</w:t>
            </w:r>
            <w:r>
              <w:rPr>
                <w:spacing w:val="-24"/>
                <w:lang w:eastAsia="zh-CN"/>
              </w:rPr>
              <w:t xml:space="preserve"> </w:t>
            </w:r>
            <w:r>
              <w:rPr>
                <w:spacing w:val="-4"/>
                <w:lang w:eastAsia="zh-CN"/>
              </w:rPr>
              <w:t>21454）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6"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vMerge w:val="continue"/>
            <w:tcBorders>
              <w:top w:val="nil"/>
            </w:tcBorders>
          </w:tcPr>
          <w:p>
            <w:pPr>
              <w:rPr>
                <w:rFonts w:ascii="Arial"/>
              </w:rPr>
            </w:pPr>
          </w:p>
        </w:tc>
        <w:tc>
          <w:tcPr>
            <w:tcW w:w="2093" w:type="dxa"/>
          </w:tcPr>
          <w:p>
            <w:pPr>
              <w:spacing w:line="319" w:lineRule="auto"/>
              <w:rPr>
                <w:rFonts w:ascii="Arial"/>
              </w:rPr>
            </w:pPr>
          </w:p>
          <w:p>
            <w:pPr>
              <w:pStyle w:val="234"/>
              <w:spacing w:before="61" w:line="289" w:lineRule="auto"/>
              <w:ind w:left="51" w:right="11" w:hanging="33"/>
              <w:rPr>
                <w:rFonts w:hint="eastAsia"/>
                <w:lang w:eastAsia="zh-CN"/>
              </w:rPr>
            </w:pPr>
            <w:r>
              <w:rPr>
                <w:spacing w:val="44"/>
                <w:lang w:eastAsia="zh-CN"/>
              </w:rPr>
              <w:t>单元式空气调节机</w:t>
            </w:r>
            <w:r>
              <w:rPr>
                <w:spacing w:val="6"/>
                <w:lang w:eastAsia="zh-CN"/>
              </w:rPr>
              <w:t xml:space="preserve"> </w:t>
            </w:r>
            <w:r>
              <w:rPr>
                <w:spacing w:val="2"/>
                <w:lang w:eastAsia="zh-CN"/>
              </w:rPr>
              <w:t>(制冷量&gt;14000W)</w:t>
            </w:r>
          </w:p>
        </w:tc>
        <w:tc>
          <w:tcPr>
            <w:tcW w:w="3247" w:type="dxa"/>
          </w:tcPr>
          <w:p>
            <w:pPr>
              <w:pStyle w:val="234"/>
              <w:spacing w:before="72" w:line="290" w:lineRule="auto"/>
              <w:ind w:left="16" w:right="11" w:firstLine="6"/>
              <w:rPr>
                <w:rFonts w:hint="eastAsia"/>
                <w:lang w:eastAsia="zh-CN"/>
              </w:rPr>
            </w:pPr>
            <w:r>
              <w:rPr>
                <w:spacing w:val="19"/>
                <w:lang w:eastAsia="zh-CN"/>
              </w:rPr>
              <w:t>《单元式空气调节机能效限定值</w:t>
            </w:r>
            <w:r>
              <w:rPr>
                <w:spacing w:val="2"/>
                <w:lang w:eastAsia="zh-CN"/>
              </w:rPr>
              <w:t xml:space="preserve"> </w:t>
            </w:r>
            <w:r>
              <w:rPr>
                <w:spacing w:val="6"/>
                <w:lang w:eastAsia="zh-CN"/>
              </w:rPr>
              <w:t>及能效等级》（</w:t>
            </w:r>
            <w:r>
              <w:rPr>
                <w:lang w:eastAsia="zh-CN"/>
              </w:rPr>
              <w:t>GB</w:t>
            </w:r>
            <w:r>
              <w:rPr>
                <w:spacing w:val="-13"/>
                <w:lang w:eastAsia="zh-CN"/>
              </w:rPr>
              <w:t xml:space="preserve"> </w:t>
            </w:r>
            <w:r>
              <w:rPr>
                <w:spacing w:val="6"/>
                <w:lang w:eastAsia="zh-CN"/>
              </w:rPr>
              <w:t>19576）《风管</w:t>
            </w:r>
            <w:r>
              <w:rPr>
                <w:lang w:eastAsia="zh-CN"/>
              </w:rPr>
              <w:t xml:space="preserve"> </w:t>
            </w:r>
            <w:r>
              <w:rPr>
                <w:spacing w:val="19"/>
                <w:lang w:eastAsia="zh-CN"/>
              </w:rPr>
              <w:t>送风式空调机组能效限定值及能</w:t>
            </w:r>
            <w:r>
              <w:rPr>
                <w:spacing w:val="9"/>
                <w:lang w:eastAsia="zh-CN"/>
              </w:rPr>
              <w:t xml:space="preserve"> </w:t>
            </w:r>
            <w:r>
              <w:rPr>
                <w:spacing w:val="7"/>
                <w:lang w:eastAsia="zh-CN"/>
              </w:rPr>
              <w:t>效等级》（</w:t>
            </w:r>
            <w:r>
              <w:rPr>
                <w:lang w:eastAsia="zh-CN"/>
              </w:rPr>
              <w:t>GB</w:t>
            </w:r>
            <w:r>
              <w:rPr>
                <w:spacing w:val="7"/>
                <w:lang w:eastAsia="zh-CN"/>
              </w:rPr>
              <w:t xml:space="preserve"> 37479）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tcPr>
          <w:p>
            <w:pPr>
              <w:pStyle w:val="234"/>
              <w:spacing w:before="145" w:line="287" w:lineRule="auto"/>
              <w:ind w:left="17" w:right="10" w:firstLine="1"/>
              <w:rPr>
                <w:rFonts w:hint="eastAsia"/>
                <w:lang w:eastAsia="zh-CN"/>
              </w:rPr>
            </w:pPr>
            <w:r>
              <w:rPr>
                <w:spacing w:val="3"/>
                <w:lang w:eastAsia="zh-CN"/>
              </w:rPr>
              <w:t>★A02052309 专用制</w:t>
            </w:r>
            <w:r>
              <w:rPr>
                <w:spacing w:val="12"/>
                <w:lang w:eastAsia="zh-CN"/>
              </w:rPr>
              <w:t xml:space="preserve"> </w:t>
            </w:r>
            <w:r>
              <w:rPr>
                <w:spacing w:val="8"/>
                <w:lang w:eastAsia="zh-CN"/>
              </w:rPr>
              <w:t>冷、空调设备</w:t>
            </w:r>
          </w:p>
        </w:tc>
        <w:tc>
          <w:tcPr>
            <w:tcW w:w="2093" w:type="dxa"/>
          </w:tcPr>
          <w:p>
            <w:pPr>
              <w:pStyle w:val="234"/>
              <w:spacing w:before="300" w:line="228" w:lineRule="auto"/>
              <w:ind w:left="15"/>
              <w:rPr>
                <w:rFonts w:hint="eastAsia"/>
              </w:rPr>
            </w:pPr>
            <w:r>
              <w:rPr>
                <w:spacing w:val="7"/>
              </w:rPr>
              <w:t>机房空调</w:t>
            </w:r>
          </w:p>
        </w:tc>
        <w:tc>
          <w:tcPr>
            <w:tcW w:w="3247" w:type="dxa"/>
          </w:tcPr>
          <w:p>
            <w:pPr>
              <w:pStyle w:val="234"/>
              <w:spacing w:before="146" w:line="286" w:lineRule="auto"/>
              <w:ind w:left="17" w:right="11" w:firstLine="6"/>
              <w:rPr>
                <w:rFonts w:hint="eastAsia"/>
                <w:lang w:eastAsia="zh-CN"/>
              </w:rPr>
            </w:pPr>
            <w:r>
              <w:rPr>
                <w:spacing w:val="19"/>
                <w:lang w:eastAsia="zh-CN"/>
              </w:rPr>
              <w:t>《单元式空气调节机能效限定值</w:t>
            </w:r>
            <w:r>
              <w:rPr>
                <w:spacing w:val="2"/>
                <w:lang w:eastAsia="zh-CN"/>
              </w:rPr>
              <w:t xml:space="preserve"> </w:t>
            </w:r>
            <w:r>
              <w:rPr>
                <w:spacing w:val="5"/>
                <w:lang w:eastAsia="zh-CN"/>
              </w:rPr>
              <w:t>及能效等级》（</w:t>
            </w:r>
            <w:r>
              <w:rPr>
                <w:lang w:eastAsia="zh-CN"/>
              </w:rPr>
              <w:t>GB</w:t>
            </w:r>
            <w:r>
              <w:rPr>
                <w:spacing w:val="39"/>
                <w:lang w:eastAsia="zh-CN"/>
              </w:rPr>
              <w:t xml:space="preserve"> </w:t>
            </w:r>
            <w:r>
              <w:rPr>
                <w:spacing w:val="5"/>
                <w:lang w:eastAsia="zh-CN"/>
              </w:rPr>
              <w:t>19576）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6" w:hRule="atLeast"/>
          <w:jc w:val="center"/>
        </w:trPr>
        <w:tc>
          <w:tcPr>
            <w:tcW w:w="632" w:type="dxa"/>
            <w:vMerge w:val="continue"/>
            <w:tcBorders>
              <w:top w:val="nil"/>
            </w:tcBorders>
          </w:tcPr>
          <w:p>
            <w:pPr>
              <w:rPr>
                <w:rFonts w:ascii="Arial"/>
              </w:rPr>
            </w:pPr>
          </w:p>
        </w:tc>
        <w:tc>
          <w:tcPr>
            <w:tcW w:w="1275" w:type="dxa"/>
            <w:vMerge w:val="continue"/>
            <w:tcBorders>
              <w:top w:val="nil"/>
            </w:tcBorders>
          </w:tcPr>
          <w:p>
            <w:pPr>
              <w:rPr>
                <w:rFonts w:ascii="Arial"/>
              </w:rPr>
            </w:pPr>
          </w:p>
        </w:tc>
        <w:tc>
          <w:tcPr>
            <w:tcW w:w="1967" w:type="dxa"/>
          </w:tcPr>
          <w:p>
            <w:pPr>
              <w:spacing w:line="265" w:lineRule="auto"/>
              <w:rPr>
                <w:rFonts w:ascii="Arial"/>
              </w:rPr>
            </w:pPr>
          </w:p>
          <w:p>
            <w:pPr>
              <w:spacing w:line="265" w:lineRule="auto"/>
              <w:rPr>
                <w:rFonts w:ascii="Arial"/>
              </w:rPr>
            </w:pPr>
          </w:p>
          <w:p>
            <w:pPr>
              <w:pStyle w:val="234"/>
              <w:spacing w:before="62" w:line="289" w:lineRule="auto"/>
              <w:ind w:left="21" w:right="10" w:hanging="12"/>
              <w:rPr>
                <w:rFonts w:hint="eastAsia"/>
              </w:rPr>
            </w:pPr>
            <w:r>
              <w:rPr>
                <w:spacing w:val="4"/>
              </w:rPr>
              <w:t>A02052399 其他制冷</w:t>
            </w:r>
            <w:r>
              <w:rPr>
                <w:spacing w:val="7"/>
              </w:rPr>
              <w:t xml:space="preserve"> </w:t>
            </w:r>
            <w:r>
              <w:rPr>
                <w:spacing w:val="5"/>
              </w:rPr>
              <w:t>空调设备</w:t>
            </w:r>
          </w:p>
        </w:tc>
        <w:tc>
          <w:tcPr>
            <w:tcW w:w="2093" w:type="dxa"/>
          </w:tcPr>
          <w:p>
            <w:pPr>
              <w:spacing w:line="343" w:lineRule="auto"/>
              <w:rPr>
                <w:rFonts w:ascii="Arial"/>
              </w:rPr>
            </w:pPr>
          </w:p>
          <w:p>
            <w:pPr>
              <w:spacing w:line="343" w:lineRule="auto"/>
              <w:rPr>
                <w:rFonts w:ascii="Arial"/>
              </w:rPr>
            </w:pPr>
          </w:p>
          <w:p>
            <w:pPr>
              <w:pStyle w:val="234"/>
              <w:spacing w:before="62" w:line="231" w:lineRule="auto"/>
              <w:ind w:left="18"/>
              <w:rPr>
                <w:rFonts w:hint="eastAsia"/>
              </w:rPr>
            </w:pPr>
            <w:r>
              <w:rPr>
                <w:spacing w:val="6"/>
              </w:rPr>
              <w:t>冷却塔</w:t>
            </w:r>
          </w:p>
        </w:tc>
        <w:tc>
          <w:tcPr>
            <w:tcW w:w="3247" w:type="dxa"/>
          </w:tcPr>
          <w:p>
            <w:pPr>
              <w:pStyle w:val="234"/>
              <w:spacing w:before="284" w:line="296" w:lineRule="auto"/>
              <w:ind w:left="23"/>
              <w:rPr>
                <w:rFonts w:hint="eastAsia"/>
                <w:lang w:eastAsia="zh-CN"/>
              </w:rPr>
            </w:pPr>
            <w:r>
              <w:rPr>
                <w:spacing w:val="2"/>
                <w:lang w:eastAsia="zh-CN"/>
              </w:rPr>
              <w:t>《机械通风冷却塔 第 1 部分：中</w:t>
            </w:r>
            <w:r>
              <w:rPr>
                <w:spacing w:val="3"/>
                <w:lang w:eastAsia="zh-CN"/>
              </w:rPr>
              <w:t xml:space="preserve"> </w:t>
            </w:r>
            <w:r>
              <w:rPr>
                <w:spacing w:val="-6"/>
                <w:lang w:eastAsia="zh-CN"/>
              </w:rPr>
              <w:t>小型开式冷却塔》（GB</w:t>
            </w:r>
            <w:r>
              <w:rPr>
                <w:spacing w:val="-36"/>
                <w:lang w:eastAsia="zh-CN"/>
              </w:rPr>
              <w:t xml:space="preserve"> </w:t>
            </w:r>
            <w:r>
              <w:rPr>
                <w:spacing w:val="-6"/>
                <w:lang w:eastAsia="zh-CN"/>
              </w:rPr>
              <w:t>/T</w:t>
            </w:r>
            <w:r>
              <w:rPr>
                <w:spacing w:val="-31"/>
                <w:lang w:eastAsia="zh-CN"/>
              </w:rPr>
              <w:t xml:space="preserve"> </w:t>
            </w:r>
            <w:r>
              <w:rPr>
                <w:spacing w:val="-6"/>
                <w:lang w:eastAsia="zh-CN"/>
              </w:rPr>
              <w:t>7190.1</w:t>
            </w:r>
            <w:r>
              <w:rPr>
                <w:spacing w:val="-49"/>
                <w:w w:val="97"/>
                <w:lang w:eastAsia="zh-CN"/>
              </w:rPr>
              <w:t>）；</w:t>
            </w:r>
            <w:r>
              <w:rPr>
                <w:lang w:eastAsia="zh-CN"/>
              </w:rPr>
              <w:t xml:space="preserve"> </w:t>
            </w:r>
            <w:r>
              <w:rPr>
                <w:spacing w:val="2"/>
                <w:lang w:eastAsia="zh-CN"/>
              </w:rPr>
              <w:t>《机械通风冷却塔 第 2 部分：大</w:t>
            </w:r>
            <w:r>
              <w:rPr>
                <w:spacing w:val="3"/>
                <w:lang w:eastAsia="zh-CN"/>
              </w:rPr>
              <w:t xml:space="preserve"> </w:t>
            </w:r>
            <w:r>
              <w:rPr>
                <w:spacing w:val="4"/>
                <w:lang w:eastAsia="zh-CN"/>
              </w:rPr>
              <w:t>型开式冷却塔》（</w:t>
            </w:r>
            <w:r>
              <w:rPr>
                <w:lang w:eastAsia="zh-CN"/>
              </w:rPr>
              <w:t>GB</w:t>
            </w:r>
            <w:r>
              <w:rPr>
                <w:spacing w:val="4"/>
                <w:lang w:eastAsia="zh-CN"/>
              </w:rPr>
              <w:t xml:space="preserve"> /T 7190.2）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632" w:type="dxa"/>
          </w:tcPr>
          <w:p>
            <w:pPr>
              <w:spacing w:line="242" w:lineRule="auto"/>
              <w:rPr>
                <w:rFonts w:ascii="Arial"/>
              </w:rPr>
            </w:pPr>
          </w:p>
          <w:p>
            <w:pPr>
              <w:pStyle w:val="234"/>
              <w:spacing w:before="62" w:line="188" w:lineRule="auto"/>
              <w:ind w:left="247"/>
              <w:rPr>
                <w:rFonts w:hint="eastAsia"/>
              </w:rPr>
            </w:pPr>
            <w:r>
              <w:t>7</w:t>
            </w:r>
          </w:p>
        </w:tc>
        <w:tc>
          <w:tcPr>
            <w:tcW w:w="1275" w:type="dxa"/>
          </w:tcPr>
          <w:p>
            <w:pPr>
              <w:pStyle w:val="234"/>
              <w:spacing w:before="273" w:line="228" w:lineRule="auto"/>
              <w:ind w:left="9"/>
              <w:rPr>
                <w:rFonts w:hint="eastAsia"/>
              </w:rPr>
            </w:pPr>
            <w:r>
              <w:rPr>
                <w:spacing w:val="3"/>
              </w:rPr>
              <w:t>A020601</w:t>
            </w:r>
            <w:r>
              <w:rPr>
                <w:spacing w:val="-19"/>
              </w:rPr>
              <w:t xml:space="preserve"> </w:t>
            </w:r>
            <w:r>
              <w:rPr>
                <w:spacing w:val="3"/>
              </w:rPr>
              <w:t>电机</w:t>
            </w:r>
          </w:p>
        </w:tc>
        <w:tc>
          <w:tcPr>
            <w:tcW w:w="1967" w:type="dxa"/>
          </w:tcPr>
          <w:p>
            <w:pPr>
              <w:rPr>
                <w:rFonts w:ascii="Arial"/>
              </w:rPr>
            </w:pPr>
          </w:p>
        </w:tc>
        <w:tc>
          <w:tcPr>
            <w:tcW w:w="2093" w:type="dxa"/>
          </w:tcPr>
          <w:p>
            <w:pPr>
              <w:rPr>
                <w:rFonts w:ascii="Arial"/>
              </w:rPr>
            </w:pPr>
          </w:p>
        </w:tc>
        <w:tc>
          <w:tcPr>
            <w:tcW w:w="3247" w:type="dxa"/>
          </w:tcPr>
          <w:p>
            <w:pPr>
              <w:pStyle w:val="234"/>
              <w:spacing w:before="117" w:line="288" w:lineRule="auto"/>
              <w:ind w:left="22" w:right="11"/>
              <w:rPr>
                <w:rFonts w:hint="eastAsia"/>
                <w:lang w:eastAsia="zh-CN"/>
              </w:rPr>
            </w:pPr>
            <w:r>
              <w:rPr>
                <w:spacing w:val="19"/>
                <w:lang w:eastAsia="zh-CN"/>
              </w:rPr>
              <w:t>《中小型三相异步电动机能效限</w:t>
            </w:r>
            <w:r>
              <w:rPr>
                <w:spacing w:val="2"/>
                <w:lang w:eastAsia="zh-CN"/>
              </w:rPr>
              <w:t xml:space="preserve"> </w:t>
            </w:r>
            <w:r>
              <w:rPr>
                <w:spacing w:val="5"/>
                <w:lang w:eastAsia="zh-CN"/>
              </w:rPr>
              <w:t>定值及能效等级》（</w:t>
            </w:r>
            <w:r>
              <w:rPr>
                <w:lang w:eastAsia="zh-CN"/>
              </w:rPr>
              <w:t>GB</w:t>
            </w:r>
            <w:r>
              <w:rPr>
                <w:spacing w:val="42"/>
                <w:lang w:eastAsia="zh-CN"/>
              </w:rPr>
              <w:t xml:space="preserve"> </w:t>
            </w:r>
            <w:r>
              <w:rPr>
                <w:spacing w:val="5"/>
                <w:lang w:eastAsia="zh-CN"/>
              </w:rPr>
              <w:t>18613）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jc w:val="center"/>
        </w:trPr>
        <w:tc>
          <w:tcPr>
            <w:tcW w:w="632" w:type="dxa"/>
          </w:tcPr>
          <w:p>
            <w:pPr>
              <w:pStyle w:val="234"/>
              <w:spacing w:before="283" w:line="189" w:lineRule="auto"/>
              <w:ind w:left="243"/>
              <w:rPr>
                <w:rFonts w:hint="eastAsia"/>
              </w:rPr>
            </w:pPr>
            <w:r>
              <w:t>8</w:t>
            </w:r>
          </w:p>
        </w:tc>
        <w:tc>
          <w:tcPr>
            <w:tcW w:w="1275" w:type="dxa"/>
          </w:tcPr>
          <w:p>
            <w:pPr>
              <w:pStyle w:val="234"/>
              <w:spacing w:before="96" w:line="285" w:lineRule="auto"/>
              <w:ind w:left="15" w:right="8" w:hanging="6"/>
              <w:rPr>
                <w:rFonts w:hint="eastAsia"/>
              </w:rPr>
            </w:pPr>
            <w:r>
              <w:rPr>
                <w:spacing w:val="5"/>
              </w:rPr>
              <w:t>A020602</w:t>
            </w:r>
            <w:r>
              <w:rPr>
                <w:spacing w:val="-43"/>
              </w:rPr>
              <w:t xml:space="preserve"> </w:t>
            </w:r>
            <w:r>
              <w:rPr>
                <w:spacing w:val="5"/>
              </w:rPr>
              <w:t>变压</w:t>
            </w:r>
            <w:r>
              <w:t xml:space="preserve"> </w:t>
            </w:r>
            <w:r>
              <w:rPr>
                <w:spacing w:val="1"/>
              </w:rPr>
              <w:t>器</w:t>
            </w:r>
          </w:p>
        </w:tc>
        <w:tc>
          <w:tcPr>
            <w:tcW w:w="1967" w:type="dxa"/>
          </w:tcPr>
          <w:p>
            <w:pPr>
              <w:pStyle w:val="234"/>
              <w:spacing w:before="252" w:line="230" w:lineRule="auto"/>
              <w:ind w:left="15"/>
              <w:rPr>
                <w:rFonts w:hint="eastAsia"/>
              </w:rPr>
            </w:pPr>
            <w:r>
              <w:rPr>
                <w:spacing w:val="8"/>
              </w:rPr>
              <w:t>配电变压器</w:t>
            </w:r>
          </w:p>
        </w:tc>
        <w:tc>
          <w:tcPr>
            <w:tcW w:w="2093" w:type="dxa"/>
          </w:tcPr>
          <w:p>
            <w:pPr>
              <w:rPr>
                <w:rFonts w:ascii="Arial"/>
              </w:rPr>
            </w:pPr>
          </w:p>
        </w:tc>
        <w:tc>
          <w:tcPr>
            <w:tcW w:w="3247" w:type="dxa"/>
          </w:tcPr>
          <w:p>
            <w:pPr>
              <w:pStyle w:val="234"/>
              <w:spacing w:before="96" w:line="285" w:lineRule="auto"/>
              <w:ind w:left="25" w:right="11" w:hanging="2"/>
              <w:rPr>
                <w:rFonts w:hint="eastAsia"/>
                <w:lang w:eastAsia="zh-CN"/>
              </w:rPr>
            </w:pPr>
            <w:r>
              <w:rPr>
                <w:spacing w:val="19"/>
                <w:lang w:eastAsia="zh-CN"/>
              </w:rPr>
              <w:t>《三相配电变压器能效限定值及</w:t>
            </w:r>
            <w:r>
              <w:rPr>
                <w:spacing w:val="2"/>
                <w:lang w:eastAsia="zh-CN"/>
              </w:rPr>
              <w:t xml:space="preserve"> </w:t>
            </w:r>
            <w:r>
              <w:rPr>
                <w:spacing w:val="6"/>
                <w:lang w:eastAsia="zh-CN"/>
              </w:rPr>
              <w:t>能效等级》（</w:t>
            </w:r>
            <w:r>
              <w:rPr>
                <w:lang w:eastAsia="zh-CN"/>
              </w:rPr>
              <w:t>GB</w:t>
            </w:r>
            <w:r>
              <w:rPr>
                <w:spacing w:val="6"/>
                <w:lang w:eastAsia="zh-CN"/>
              </w:rPr>
              <w:t xml:space="preserve"> 20052）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jc w:val="center"/>
        </w:trPr>
        <w:tc>
          <w:tcPr>
            <w:tcW w:w="632" w:type="dxa"/>
          </w:tcPr>
          <w:p>
            <w:pPr>
              <w:spacing w:line="316" w:lineRule="auto"/>
              <w:rPr>
                <w:rFonts w:ascii="Arial"/>
              </w:rPr>
            </w:pPr>
          </w:p>
          <w:p>
            <w:pPr>
              <w:pStyle w:val="234"/>
              <w:spacing w:before="61" w:line="189" w:lineRule="auto"/>
              <w:ind w:left="243"/>
              <w:rPr>
                <w:rFonts w:hint="eastAsia"/>
              </w:rPr>
            </w:pPr>
            <w:r>
              <w:t>9</w:t>
            </w:r>
          </w:p>
        </w:tc>
        <w:tc>
          <w:tcPr>
            <w:tcW w:w="1275" w:type="dxa"/>
          </w:tcPr>
          <w:p>
            <w:pPr>
              <w:pStyle w:val="234"/>
              <w:spacing w:before="192" w:line="290" w:lineRule="auto"/>
              <w:ind w:left="16" w:right="8" w:firstLine="2"/>
              <w:rPr>
                <w:rFonts w:hint="eastAsia"/>
              </w:rPr>
            </w:pPr>
            <w:r>
              <w:rPr>
                <w:spacing w:val="4"/>
              </w:rPr>
              <w:t>★A020609</w:t>
            </w:r>
            <w:r>
              <w:rPr>
                <w:spacing w:val="-43"/>
              </w:rPr>
              <w:t xml:space="preserve"> </w:t>
            </w:r>
            <w:r>
              <w:rPr>
                <w:spacing w:val="4"/>
              </w:rPr>
              <w:t>镇</w:t>
            </w:r>
            <w:r>
              <w:t xml:space="preserve"> </w:t>
            </w:r>
            <w:r>
              <w:rPr>
                <w:spacing w:val="4"/>
              </w:rPr>
              <w:t>流器</w:t>
            </w:r>
          </w:p>
        </w:tc>
        <w:tc>
          <w:tcPr>
            <w:tcW w:w="1967" w:type="dxa"/>
          </w:tcPr>
          <w:p>
            <w:pPr>
              <w:spacing w:line="284" w:lineRule="auto"/>
              <w:rPr>
                <w:rFonts w:ascii="Arial"/>
              </w:rPr>
            </w:pPr>
          </w:p>
          <w:p>
            <w:pPr>
              <w:pStyle w:val="234"/>
              <w:spacing w:before="62" w:line="229" w:lineRule="auto"/>
              <w:ind w:left="19"/>
              <w:rPr>
                <w:rFonts w:hint="eastAsia"/>
              </w:rPr>
            </w:pPr>
            <w:r>
              <w:rPr>
                <w:spacing w:val="8"/>
              </w:rPr>
              <w:t>管型荧光灯镇流器</w:t>
            </w:r>
          </w:p>
        </w:tc>
        <w:tc>
          <w:tcPr>
            <w:tcW w:w="2093" w:type="dxa"/>
          </w:tcPr>
          <w:p>
            <w:pPr>
              <w:rPr>
                <w:rFonts w:ascii="Arial"/>
              </w:rPr>
            </w:pPr>
          </w:p>
        </w:tc>
        <w:tc>
          <w:tcPr>
            <w:tcW w:w="3247" w:type="dxa"/>
          </w:tcPr>
          <w:p>
            <w:pPr>
              <w:pStyle w:val="234"/>
              <w:spacing w:before="192" w:line="288" w:lineRule="auto"/>
              <w:ind w:left="17" w:right="11" w:firstLine="6"/>
              <w:rPr>
                <w:rFonts w:hint="eastAsia"/>
                <w:lang w:eastAsia="zh-CN"/>
              </w:rPr>
            </w:pPr>
            <w:r>
              <w:rPr>
                <w:spacing w:val="19"/>
                <w:lang w:eastAsia="zh-CN"/>
              </w:rPr>
              <w:t>《管形荧光灯镇流器能效限定值</w:t>
            </w:r>
            <w:r>
              <w:rPr>
                <w:spacing w:val="2"/>
                <w:lang w:eastAsia="zh-CN"/>
              </w:rPr>
              <w:t xml:space="preserve"> </w:t>
            </w:r>
            <w:r>
              <w:rPr>
                <w:spacing w:val="5"/>
                <w:lang w:eastAsia="zh-CN"/>
              </w:rPr>
              <w:t>及能效等级》（</w:t>
            </w:r>
            <w:r>
              <w:rPr>
                <w:lang w:eastAsia="zh-CN"/>
              </w:rPr>
              <w:t>GB</w:t>
            </w:r>
            <w:r>
              <w:rPr>
                <w:spacing w:val="39"/>
                <w:lang w:eastAsia="zh-CN"/>
              </w:rPr>
              <w:t xml:space="preserve"> </w:t>
            </w:r>
            <w:r>
              <w:rPr>
                <w:spacing w:val="5"/>
                <w:lang w:eastAsia="zh-CN"/>
              </w:rPr>
              <w:t>17896）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jc w:val="center"/>
        </w:trPr>
        <w:tc>
          <w:tcPr>
            <w:tcW w:w="632" w:type="dxa"/>
            <w:vMerge w:val="restart"/>
            <w:tcBorders>
              <w:bottom w:val="nil"/>
            </w:tcBorders>
          </w:tcPr>
          <w:p>
            <w:pPr>
              <w:spacing w:line="261" w:lineRule="auto"/>
              <w:rPr>
                <w:rFonts w:ascii="Arial"/>
              </w:rPr>
            </w:pPr>
          </w:p>
          <w:p>
            <w:pPr>
              <w:spacing w:line="261" w:lineRule="auto"/>
              <w:rPr>
                <w:rFonts w:ascii="Arial"/>
              </w:rPr>
            </w:pPr>
          </w:p>
          <w:p>
            <w:pPr>
              <w:spacing w:line="261" w:lineRule="auto"/>
              <w:rPr>
                <w:rFonts w:ascii="Arial"/>
              </w:rPr>
            </w:pPr>
          </w:p>
          <w:p>
            <w:pPr>
              <w:spacing w:line="261" w:lineRule="auto"/>
              <w:rPr>
                <w:rFonts w:ascii="Arial"/>
              </w:rPr>
            </w:pPr>
          </w:p>
          <w:p>
            <w:pPr>
              <w:spacing w:line="261" w:lineRule="auto"/>
              <w:rPr>
                <w:rFonts w:ascii="Arial"/>
              </w:rPr>
            </w:pPr>
          </w:p>
          <w:p>
            <w:pPr>
              <w:spacing w:line="261" w:lineRule="auto"/>
              <w:rPr>
                <w:rFonts w:ascii="Arial"/>
              </w:rPr>
            </w:pPr>
          </w:p>
          <w:p>
            <w:pPr>
              <w:spacing w:line="262" w:lineRule="auto"/>
              <w:rPr>
                <w:rFonts w:ascii="Arial"/>
              </w:rPr>
            </w:pPr>
          </w:p>
          <w:p>
            <w:pPr>
              <w:spacing w:line="262" w:lineRule="auto"/>
              <w:rPr>
                <w:rFonts w:ascii="Arial"/>
              </w:rPr>
            </w:pPr>
          </w:p>
          <w:p>
            <w:pPr>
              <w:spacing w:line="262" w:lineRule="auto"/>
              <w:rPr>
                <w:rFonts w:ascii="Arial"/>
              </w:rPr>
            </w:pPr>
          </w:p>
          <w:p>
            <w:pPr>
              <w:spacing w:line="262" w:lineRule="auto"/>
              <w:rPr>
                <w:rFonts w:ascii="Arial"/>
              </w:rPr>
            </w:pPr>
          </w:p>
          <w:p>
            <w:pPr>
              <w:pStyle w:val="234"/>
              <w:spacing w:before="62" w:line="190" w:lineRule="auto"/>
              <w:ind w:left="209"/>
              <w:rPr>
                <w:rFonts w:hint="eastAsia"/>
              </w:rPr>
            </w:pPr>
            <w:r>
              <w:rPr>
                <w:spacing w:val="-7"/>
              </w:rPr>
              <w:t>10</w:t>
            </w:r>
          </w:p>
        </w:tc>
        <w:tc>
          <w:tcPr>
            <w:tcW w:w="1275" w:type="dxa"/>
            <w:vMerge w:val="restart"/>
            <w:tcBorders>
              <w:bottom w:val="nil"/>
            </w:tcBorders>
          </w:tcPr>
          <w:p>
            <w:pPr>
              <w:spacing w:line="242"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pStyle w:val="234"/>
              <w:spacing w:before="62" w:line="289" w:lineRule="auto"/>
              <w:ind w:left="16" w:right="8" w:hanging="7"/>
              <w:rPr>
                <w:rFonts w:hint="eastAsia"/>
              </w:rPr>
            </w:pPr>
            <w:r>
              <w:rPr>
                <w:spacing w:val="4"/>
              </w:rPr>
              <w:t>A020618</w:t>
            </w:r>
            <w:r>
              <w:rPr>
                <w:spacing w:val="-34"/>
              </w:rPr>
              <w:t xml:space="preserve"> </w:t>
            </w:r>
            <w:r>
              <w:rPr>
                <w:spacing w:val="4"/>
              </w:rPr>
              <w:t>生活</w:t>
            </w:r>
            <w:r>
              <w:t xml:space="preserve"> </w:t>
            </w:r>
            <w:r>
              <w:rPr>
                <w:spacing w:val="6"/>
              </w:rPr>
              <w:t>用电器</w:t>
            </w:r>
          </w:p>
        </w:tc>
        <w:tc>
          <w:tcPr>
            <w:tcW w:w="1967" w:type="dxa"/>
          </w:tcPr>
          <w:p>
            <w:pPr>
              <w:pStyle w:val="234"/>
              <w:spacing w:before="276" w:line="230" w:lineRule="auto"/>
              <w:ind w:left="9"/>
              <w:rPr>
                <w:rFonts w:hint="eastAsia"/>
              </w:rPr>
            </w:pPr>
            <w:r>
              <w:rPr>
                <w:spacing w:val="3"/>
              </w:rPr>
              <w:t>A0206180101</w:t>
            </w:r>
            <w:r>
              <w:rPr>
                <w:spacing w:val="-4"/>
              </w:rPr>
              <w:t xml:space="preserve"> </w:t>
            </w:r>
            <w:r>
              <w:rPr>
                <w:spacing w:val="3"/>
              </w:rPr>
              <w:t>电冰箱</w:t>
            </w:r>
          </w:p>
        </w:tc>
        <w:tc>
          <w:tcPr>
            <w:tcW w:w="2093" w:type="dxa"/>
          </w:tcPr>
          <w:p>
            <w:pPr>
              <w:rPr>
                <w:rFonts w:ascii="Arial"/>
              </w:rPr>
            </w:pPr>
          </w:p>
        </w:tc>
        <w:tc>
          <w:tcPr>
            <w:tcW w:w="3247" w:type="dxa"/>
          </w:tcPr>
          <w:p>
            <w:pPr>
              <w:pStyle w:val="234"/>
              <w:spacing w:before="121" w:line="288" w:lineRule="auto"/>
              <w:ind w:left="22" w:right="11"/>
              <w:rPr>
                <w:rFonts w:hint="eastAsia"/>
                <w:lang w:eastAsia="zh-CN"/>
              </w:rPr>
            </w:pPr>
            <w:r>
              <w:rPr>
                <w:spacing w:val="19"/>
                <w:lang w:eastAsia="zh-CN"/>
              </w:rPr>
              <w:t>《家用电冰箱耗电量限定值及能</w:t>
            </w:r>
            <w:r>
              <w:rPr>
                <w:spacing w:val="2"/>
                <w:lang w:eastAsia="zh-CN"/>
              </w:rPr>
              <w:t xml:space="preserve"> </w:t>
            </w:r>
            <w:r>
              <w:rPr>
                <w:spacing w:val="4"/>
                <w:lang w:eastAsia="zh-CN"/>
              </w:rPr>
              <w:t>效等级》（</w:t>
            </w:r>
            <w:r>
              <w:rPr>
                <w:lang w:eastAsia="zh-CN"/>
              </w:rPr>
              <w:t>GB</w:t>
            </w:r>
            <w:r>
              <w:rPr>
                <w:spacing w:val="20"/>
                <w:lang w:eastAsia="zh-CN"/>
              </w:rPr>
              <w:t xml:space="preserve">  </w:t>
            </w:r>
            <w:r>
              <w:rPr>
                <w:spacing w:val="4"/>
                <w:lang w:eastAsia="zh-CN"/>
              </w:rPr>
              <w:t>12021.2）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8"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vMerge w:val="restart"/>
            <w:tcBorders>
              <w:bottom w:val="nil"/>
            </w:tcBorders>
          </w:tcPr>
          <w:p>
            <w:pPr>
              <w:spacing w:line="247" w:lineRule="auto"/>
              <w:rPr>
                <w:rFonts w:ascii="Arial"/>
              </w:rPr>
            </w:pPr>
          </w:p>
          <w:p>
            <w:pPr>
              <w:spacing w:line="247" w:lineRule="auto"/>
              <w:rPr>
                <w:rFonts w:ascii="Arial"/>
              </w:rPr>
            </w:pPr>
          </w:p>
          <w:p>
            <w:pPr>
              <w:spacing w:line="248" w:lineRule="auto"/>
              <w:rPr>
                <w:rFonts w:ascii="Arial"/>
              </w:rPr>
            </w:pPr>
          </w:p>
          <w:p>
            <w:pPr>
              <w:spacing w:line="248" w:lineRule="auto"/>
              <w:rPr>
                <w:rFonts w:ascii="Arial"/>
              </w:rPr>
            </w:pPr>
          </w:p>
          <w:p>
            <w:pPr>
              <w:spacing w:line="248" w:lineRule="auto"/>
              <w:rPr>
                <w:rFonts w:ascii="Arial"/>
              </w:rPr>
            </w:pPr>
          </w:p>
          <w:p>
            <w:pPr>
              <w:spacing w:line="248" w:lineRule="auto"/>
              <w:rPr>
                <w:rFonts w:ascii="Arial"/>
              </w:rPr>
            </w:pPr>
          </w:p>
          <w:p>
            <w:pPr>
              <w:spacing w:line="248" w:lineRule="auto"/>
              <w:rPr>
                <w:rFonts w:ascii="Arial"/>
              </w:rPr>
            </w:pPr>
          </w:p>
          <w:p>
            <w:pPr>
              <w:pStyle w:val="234"/>
              <w:spacing w:before="62" w:line="288" w:lineRule="auto"/>
              <w:ind w:left="14" w:right="10" w:firstLine="3"/>
              <w:rPr>
                <w:rFonts w:hint="eastAsia"/>
              </w:rPr>
            </w:pPr>
            <w:r>
              <w:rPr>
                <w:spacing w:val="3"/>
              </w:rPr>
              <w:t>★A0206180203 空调</w:t>
            </w:r>
            <w:r>
              <w:rPr>
                <w:spacing w:val="9"/>
              </w:rPr>
              <w:t xml:space="preserve"> </w:t>
            </w:r>
            <w:r>
              <w:rPr>
                <w:spacing w:val="2"/>
              </w:rPr>
              <w:t>机</w:t>
            </w:r>
          </w:p>
        </w:tc>
        <w:tc>
          <w:tcPr>
            <w:tcW w:w="2093" w:type="dxa"/>
          </w:tcPr>
          <w:p>
            <w:pPr>
              <w:spacing w:line="261" w:lineRule="auto"/>
              <w:rPr>
                <w:rFonts w:ascii="Arial"/>
              </w:rPr>
            </w:pPr>
          </w:p>
          <w:p>
            <w:pPr>
              <w:spacing w:line="261" w:lineRule="auto"/>
              <w:rPr>
                <w:rFonts w:ascii="Arial"/>
              </w:rPr>
            </w:pPr>
          </w:p>
          <w:p>
            <w:pPr>
              <w:spacing w:line="261" w:lineRule="auto"/>
              <w:rPr>
                <w:rFonts w:ascii="Arial"/>
              </w:rPr>
            </w:pPr>
          </w:p>
          <w:p>
            <w:pPr>
              <w:pStyle w:val="234"/>
              <w:spacing w:before="62" w:line="230" w:lineRule="auto"/>
              <w:ind w:left="17"/>
              <w:rPr>
                <w:rFonts w:hint="eastAsia"/>
              </w:rPr>
            </w:pPr>
            <w:r>
              <w:rPr>
                <w:spacing w:val="8"/>
              </w:rPr>
              <w:t>房间空气调节器</w:t>
            </w:r>
          </w:p>
        </w:tc>
        <w:tc>
          <w:tcPr>
            <w:tcW w:w="3247" w:type="dxa"/>
          </w:tcPr>
          <w:p>
            <w:pPr>
              <w:pStyle w:val="234"/>
              <w:spacing w:before="68" w:line="293" w:lineRule="auto"/>
              <w:ind w:left="17" w:firstLine="5"/>
              <w:rPr>
                <w:rFonts w:hint="eastAsia"/>
                <w:lang w:eastAsia="zh-CN"/>
              </w:rPr>
            </w:pPr>
            <w:r>
              <w:rPr>
                <w:spacing w:val="14"/>
                <w:lang w:eastAsia="zh-CN"/>
              </w:rPr>
              <w:t>《转速可控型房间空气调节器能</w:t>
            </w:r>
            <w:r>
              <w:rPr>
                <w:lang w:eastAsia="zh-CN"/>
              </w:rPr>
              <w:t xml:space="preserve">  </w:t>
            </w:r>
            <w:r>
              <w:rPr>
                <w:spacing w:val="-9"/>
                <w:lang w:eastAsia="zh-CN"/>
              </w:rPr>
              <w:t>效</w:t>
            </w:r>
            <w:r>
              <w:rPr>
                <w:spacing w:val="-19"/>
                <w:lang w:eastAsia="zh-CN"/>
              </w:rPr>
              <w:t xml:space="preserve"> </w:t>
            </w:r>
            <w:r>
              <w:rPr>
                <w:spacing w:val="-9"/>
                <w:lang w:eastAsia="zh-CN"/>
              </w:rPr>
              <w:t>限</w:t>
            </w:r>
            <w:r>
              <w:rPr>
                <w:spacing w:val="-33"/>
                <w:lang w:eastAsia="zh-CN"/>
              </w:rPr>
              <w:t xml:space="preserve"> </w:t>
            </w:r>
            <w:r>
              <w:rPr>
                <w:spacing w:val="-9"/>
                <w:lang w:eastAsia="zh-CN"/>
              </w:rPr>
              <w:t>定</w:t>
            </w:r>
            <w:r>
              <w:rPr>
                <w:spacing w:val="-38"/>
                <w:lang w:eastAsia="zh-CN"/>
              </w:rPr>
              <w:t xml:space="preserve"> </w:t>
            </w:r>
            <w:r>
              <w:rPr>
                <w:spacing w:val="-9"/>
                <w:lang w:eastAsia="zh-CN"/>
              </w:rPr>
              <w:t>值</w:t>
            </w:r>
            <w:r>
              <w:rPr>
                <w:spacing w:val="-39"/>
                <w:lang w:eastAsia="zh-CN"/>
              </w:rPr>
              <w:t xml:space="preserve"> </w:t>
            </w:r>
            <w:r>
              <w:rPr>
                <w:spacing w:val="-9"/>
                <w:lang w:eastAsia="zh-CN"/>
              </w:rPr>
              <w:t>及</w:t>
            </w:r>
            <w:r>
              <w:rPr>
                <w:spacing w:val="-31"/>
                <w:lang w:eastAsia="zh-CN"/>
              </w:rPr>
              <w:t xml:space="preserve"> </w:t>
            </w:r>
            <w:r>
              <w:rPr>
                <w:spacing w:val="-9"/>
                <w:lang w:eastAsia="zh-CN"/>
              </w:rPr>
              <w:t>能</w:t>
            </w:r>
            <w:r>
              <w:rPr>
                <w:spacing w:val="-34"/>
                <w:lang w:eastAsia="zh-CN"/>
              </w:rPr>
              <w:t xml:space="preserve"> </w:t>
            </w:r>
            <w:r>
              <w:rPr>
                <w:spacing w:val="-9"/>
                <w:lang w:eastAsia="zh-CN"/>
              </w:rPr>
              <w:t>效</w:t>
            </w:r>
            <w:r>
              <w:rPr>
                <w:spacing w:val="-36"/>
                <w:lang w:eastAsia="zh-CN"/>
              </w:rPr>
              <w:t xml:space="preserve"> </w:t>
            </w:r>
            <w:r>
              <w:rPr>
                <w:spacing w:val="-9"/>
                <w:lang w:eastAsia="zh-CN"/>
              </w:rPr>
              <w:t>等</w:t>
            </w:r>
            <w:r>
              <w:rPr>
                <w:spacing w:val="-36"/>
                <w:lang w:eastAsia="zh-CN"/>
              </w:rPr>
              <w:t xml:space="preserve"> </w:t>
            </w:r>
            <w:r>
              <w:rPr>
                <w:spacing w:val="-9"/>
                <w:lang w:eastAsia="zh-CN"/>
              </w:rPr>
              <w:t>级</w:t>
            </w:r>
            <w:r>
              <w:rPr>
                <w:spacing w:val="-29"/>
                <w:lang w:eastAsia="zh-CN"/>
              </w:rPr>
              <w:t xml:space="preserve"> </w:t>
            </w:r>
            <w:r>
              <w:rPr>
                <w:spacing w:val="-9"/>
                <w:lang w:eastAsia="zh-CN"/>
              </w:rPr>
              <w:t>》</w:t>
            </w:r>
            <w:r>
              <w:rPr>
                <w:spacing w:val="-41"/>
                <w:lang w:eastAsia="zh-CN"/>
              </w:rPr>
              <w:t xml:space="preserve"> </w:t>
            </w:r>
            <w:r>
              <w:rPr>
                <w:spacing w:val="-9"/>
                <w:lang w:eastAsia="zh-CN"/>
              </w:rPr>
              <w:t>（ GB</w:t>
            </w:r>
            <w:r>
              <w:rPr>
                <w:lang w:eastAsia="zh-CN"/>
              </w:rPr>
              <w:t xml:space="preserve">  21455-2013</w:t>
            </w:r>
            <w:r>
              <w:rPr>
                <w:spacing w:val="12"/>
                <w:lang w:eastAsia="zh-CN"/>
              </w:rPr>
              <w:t>），</w:t>
            </w:r>
            <w:r>
              <w:rPr>
                <w:lang w:eastAsia="zh-CN"/>
              </w:rPr>
              <w:t>待 2019</w:t>
            </w:r>
            <w:r>
              <w:rPr>
                <w:spacing w:val="-15"/>
                <w:lang w:eastAsia="zh-CN"/>
              </w:rPr>
              <w:t xml:space="preserve"> </w:t>
            </w:r>
            <w:r>
              <w:rPr>
                <w:lang w:eastAsia="zh-CN"/>
              </w:rPr>
              <w:t>年修订发  布后，按《房间空气调节器能效限</w:t>
            </w:r>
            <w:r>
              <w:rPr>
                <w:spacing w:val="4"/>
                <w:lang w:eastAsia="zh-CN"/>
              </w:rPr>
              <w:t xml:space="preserve">  </w:t>
            </w:r>
            <w:r>
              <w:rPr>
                <w:spacing w:val="-5"/>
                <w:lang w:eastAsia="zh-CN"/>
              </w:rPr>
              <w:t>定值及能效等级》（GB21455-2019）</w:t>
            </w:r>
            <w:r>
              <w:rPr>
                <w:spacing w:val="15"/>
                <w:lang w:eastAsia="zh-CN"/>
              </w:rPr>
              <w:t xml:space="preserve"> </w:t>
            </w:r>
            <w:r>
              <w:rPr>
                <w:lang w:eastAsia="zh-CN"/>
              </w:rPr>
              <w:t>实施。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vMerge w:val="continue"/>
            <w:tcBorders>
              <w:top w:val="nil"/>
              <w:bottom w:val="nil"/>
            </w:tcBorders>
          </w:tcPr>
          <w:p>
            <w:pPr>
              <w:rPr>
                <w:rFonts w:ascii="Arial"/>
              </w:rPr>
            </w:pPr>
          </w:p>
        </w:tc>
        <w:tc>
          <w:tcPr>
            <w:tcW w:w="2093" w:type="dxa"/>
          </w:tcPr>
          <w:p>
            <w:pPr>
              <w:pStyle w:val="234"/>
              <w:spacing w:before="71" w:line="282" w:lineRule="auto"/>
              <w:ind w:left="15" w:right="11" w:firstLine="10"/>
              <w:rPr>
                <w:rFonts w:hint="eastAsia"/>
                <w:lang w:eastAsia="zh-CN"/>
              </w:rPr>
            </w:pPr>
            <w:r>
              <w:rPr>
                <w:spacing w:val="15"/>
                <w:lang w:eastAsia="zh-CN"/>
              </w:rPr>
              <w:t>多联式空调（热泵）</w:t>
            </w:r>
            <w:r>
              <w:rPr>
                <w:spacing w:val="7"/>
                <w:lang w:eastAsia="zh-CN"/>
              </w:rPr>
              <w:t xml:space="preserve"> </w:t>
            </w:r>
            <w:r>
              <w:rPr>
                <w:spacing w:val="-4"/>
                <w:lang w:eastAsia="zh-CN"/>
              </w:rPr>
              <w:t>机 组 （</w:t>
            </w:r>
            <w:r>
              <w:rPr>
                <w:spacing w:val="28"/>
                <w:lang w:eastAsia="zh-CN"/>
              </w:rPr>
              <w:t xml:space="preserve"> </w:t>
            </w:r>
            <w:r>
              <w:rPr>
                <w:spacing w:val="-4"/>
                <w:lang w:eastAsia="zh-CN"/>
              </w:rPr>
              <w:t>制 冷 量 ≤</w:t>
            </w:r>
            <w:r>
              <w:rPr>
                <w:lang w:eastAsia="zh-CN"/>
              </w:rPr>
              <w:t xml:space="preserve"> </w:t>
            </w:r>
            <w:r>
              <w:rPr>
                <w:spacing w:val="3"/>
                <w:lang w:eastAsia="zh-CN"/>
              </w:rPr>
              <w:t>14000W）</w:t>
            </w:r>
          </w:p>
        </w:tc>
        <w:tc>
          <w:tcPr>
            <w:tcW w:w="3247" w:type="dxa"/>
          </w:tcPr>
          <w:p>
            <w:pPr>
              <w:pStyle w:val="234"/>
              <w:spacing w:before="227" w:line="288" w:lineRule="auto"/>
              <w:ind w:left="22"/>
              <w:rPr>
                <w:rFonts w:hint="eastAsia"/>
                <w:lang w:eastAsia="zh-CN"/>
              </w:rPr>
            </w:pPr>
            <w:r>
              <w:rPr>
                <w:lang w:eastAsia="zh-CN"/>
              </w:rPr>
              <w:t>《多联式空调（热泵）机组能效限</w:t>
            </w:r>
            <w:r>
              <w:rPr>
                <w:spacing w:val="2"/>
                <w:lang w:eastAsia="zh-CN"/>
              </w:rPr>
              <w:t xml:space="preserve">  </w:t>
            </w:r>
            <w:r>
              <w:rPr>
                <w:spacing w:val="-4"/>
                <w:lang w:eastAsia="zh-CN"/>
              </w:rPr>
              <w:t>定值及能源效率等级》（GB</w:t>
            </w:r>
            <w:r>
              <w:rPr>
                <w:spacing w:val="-24"/>
                <w:lang w:eastAsia="zh-CN"/>
              </w:rPr>
              <w:t xml:space="preserve"> </w:t>
            </w:r>
            <w:r>
              <w:rPr>
                <w:spacing w:val="-4"/>
                <w:lang w:eastAsia="zh-CN"/>
              </w:rPr>
              <w:t>21454）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vMerge w:val="continue"/>
            <w:tcBorders>
              <w:top w:val="nil"/>
            </w:tcBorders>
          </w:tcPr>
          <w:p>
            <w:pPr>
              <w:rPr>
                <w:rFonts w:ascii="Arial"/>
              </w:rPr>
            </w:pPr>
          </w:p>
        </w:tc>
        <w:tc>
          <w:tcPr>
            <w:tcW w:w="2093" w:type="dxa"/>
          </w:tcPr>
          <w:p>
            <w:pPr>
              <w:spacing w:line="318" w:lineRule="auto"/>
              <w:rPr>
                <w:rFonts w:ascii="Arial"/>
              </w:rPr>
            </w:pPr>
          </w:p>
          <w:p>
            <w:pPr>
              <w:pStyle w:val="234"/>
              <w:spacing w:before="62" w:line="289" w:lineRule="auto"/>
              <w:ind w:left="51" w:right="11" w:hanging="33"/>
              <w:rPr>
                <w:rFonts w:hint="eastAsia"/>
                <w:lang w:eastAsia="zh-CN"/>
              </w:rPr>
            </w:pPr>
            <w:r>
              <w:rPr>
                <w:spacing w:val="44"/>
                <w:lang w:eastAsia="zh-CN"/>
              </w:rPr>
              <w:t>单元式空气调节机</w:t>
            </w:r>
            <w:r>
              <w:rPr>
                <w:spacing w:val="6"/>
                <w:lang w:eastAsia="zh-CN"/>
              </w:rPr>
              <w:t xml:space="preserve"> </w:t>
            </w:r>
            <w:r>
              <w:rPr>
                <w:spacing w:val="3"/>
                <w:lang w:eastAsia="zh-CN"/>
              </w:rPr>
              <w:t>(制冷量≤14000W)</w:t>
            </w:r>
          </w:p>
        </w:tc>
        <w:tc>
          <w:tcPr>
            <w:tcW w:w="3247" w:type="dxa"/>
          </w:tcPr>
          <w:p>
            <w:pPr>
              <w:pStyle w:val="234"/>
              <w:spacing w:before="72" w:line="287" w:lineRule="auto"/>
              <w:ind w:left="17" w:right="11" w:firstLine="6"/>
              <w:rPr>
                <w:rFonts w:hint="eastAsia"/>
                <w:lang w:eastAsia="zh-CN"/>
              </w:rPr>
            </w:pPr>
            <w:r>
              <w:rPr>
                <w:spacing w:val="19"/>
                <w:lang w:eastAsia="zh-CN"/>
              </w:rPr>
              <w:t>《单元式空气调节机能效限定值</w:t>
            </w:r>
            <w:r>
              <w:rPr>
                <w:spacing w:val="2"/>
                <w:lang w:eastAsia="zh-CN"/>
              </w:rPr>
              <w:t xml:space="preserve"> </w:t>
            </w:r>
            <w:r>
              <w:rPr>
                <w:spacing w:val="-5"/>
                <w:lang w:eastAsia="zh-CN"/>
              </w:rPr>
              <w:t>及能源效率等级》（GB</w:t>
            </w:r>
            <w:r>
              <w:rPr>
                <w:spacing w:val="-13"/>
                <w:lang w:eastAsia="zh-CN"/>
              </w:rPr>
              <w:t xml:space="preserve"> </w:t>
            </w:r>
            <w:r>
              <w:rPr>
                <w:spacing w:val="-5"/>
                <w:lang w:eastAsia="zh-CN"/>
              </w:rPr>
              <w:t>19576）《风</w:t>
            </w:r>
            <w:r>
              <w:rPr>
                <w:lang w:eastAsia="zh-CN"/>
              </w:rPr>
              <w:t xml:space="preserve"> </w:t>
            </w:r>
            <w:r>
              <w:rPr>
                <w:spacing w:val="19"/>
                <w:lang w:eastAsia="zh-CN"/>
              </w:rPr>
              <w:t>管送风式空调机组能效限定值及</w:t>
            </w:r>
            <w:r>
              <w:rPr>
                <w:spacing w:val="8"/>
                <w:lang w:eastAsia="zh-CN"/>
              </w:rPr>
              <w:t xml:space="preserve"> </w:t>
            </w:r>
            <w:r>
              <w:rPr>
                <w:spacing w:val="7"/>
                <w:lang w:eastAsia="zh-CN"/>
              </w:rPr>
              <w:t>能效等级》（</w:t>
            </w:r>
            <w:r>
              <w:rPr>
                <w:lang w:eastAsia="zh-CN"/>
              </w:rPr>
              <w:t>GB</w:t>
            </w:r>
            <w:r>
              <w:rPr>
                <w:spacing w:val="7"/>
                <w:lang w:eastAsia="zh-CN"/>
              </w:rPr>
              <w:t xml:space="preserve"> 37479）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jc w:val="center"/>
        </w:trPr>
        <w:tc>
          <w:tcPr>
            <w:tcW w:w="632" w:type="dxa"/>
            <w:vMerge w:val="continue"/>
            <w:tcBorders>
              <w:top w:val="nil"/>
            </w:tcBorders>
          </w:tcPr>
          <w:p>
            <w:pPr>
              <w:rPr>
                <w:rFonts w:ascii="Arial"/>
              </w:rPr>
            </w:pPr>
          </w:p>
        </w:tc>
        <w:tc>
          <w:tcPr>
            <w:tcW w:w="1275" w:type="dxa"/>
            <w:vMerge w:val="continue"/>
            <w:tcBorders>
              <w:top w:val="nil"/>
            </w:tcBorders>
          </w:tcPr>
          <w:p>
            <w:pPr>
              <w:rPr>
                <w:rFonts w:ascii="Arial"/>
              </w:rPr>
            </w:pPr>
          </w:p>
        </w:tc>
        <w:tc>
          <w:tcPr>
            <w:tcW w:w="1967" w:type="dxa"/>
          </w:tcPr>
          <w:p>
            <w:pPr>
              <w:pStyle w:val="234"/>
              <w:spacing w:before="230" w:line="228" w:lineRule="auto"/>
              <w:ind w:left="9"/>
              <w:rPr>
                <w:rFonts w:hint="eastAsia"/>
              </w:rPr>
            </w:pPr>
            <w:r>
              <w:rPr>
                <w:spacing w:val="5"/>
              </w:rPr>
              <w:t>A0206180301</w:t>
            </w:r>
            <w:r>
              <w:rPr>
                <w:spacing w:val="-33"/>
              </w:rPr>
              <w:t xml:space="preserve"> </w:t>
            </w:r>
            <w:r>
              <w:rPr>
                <w:spacing w:val="5"/>
              </w:rPr>
              <w:t>洗衣机</w:t>
            </w:r>
          </w:p>
        </w:tc>
        <w:tc>
          <w:tcPr>
            <w:tcW w:w="2093" w:type="dxa"/>
          </w:tcPr>
          <w:p>
            <w:pPr>
              <w:rPr>
                <w:rFonts w:ascii="Arial"/>
              </w:rPr>
            </w:pPr>
          </w:p>
        </w:tc>
        <w:tc>
          <w:tcPr>
            <w:tcW w:w="3247" w:type="dxa"/>
          </w:tcPr>
          <w:p>
            <w:pPr>
              <w:pStyle w:val="234"/>
              <w:spacing w:before="74" w:line="276" w:lineRule="auto"/>
              <w:ind w:left="19" w:right="11" w:firstLine="3"/>
              <w:rPr>
                <w:rFonts w:hint="eastAsia"/>
                <w:lang w:eastAsia="zh-CN"/>
              </w:rPr>
            </w:pPr>
            <w:r>
              <w:rPr>
                <w:spacing w:val="19"/>
                <w:lang w:eastAsia="zh-CN"/>
              </w:rPr>
              <w:t>《电动洗衣机能效水效限定值及</w:t>
            </w:r>
            <w:r>
              <w:rPr>
                <w:spacing w:val="2"/>
                <w:lang w:eastAsia="zh-CN"/>
              </w:rPr>
              <w:t xml:space="preserve"> </w:t>
            </w:r>
            <w:r>
              <w:rPr>
                <w:spacing w:val="4"/>
                <w:lang w:eastAsia="zh-CN"/>
              </w:rPr>
              <w:t>等级》（</w:t>
            </w:r>
            <w:r>
              <w:rPr>
                <w:lang w:eastAsia="zh-CN"/>
              </w:rPr>
              <w:t>GB</w:t>
            </w:r>
            <w:r>
              <w:rPr>
                <w:spacing w:val="33"/>
                <w:lang w:eastAsia="zh-CN"/>
              </w:rPr>
              <w:t xml:space="preserve"> </w:t>
            </w:r>
            <w:r>
              <w:rPr>
                <w:spacing w:val="4"/>
                <w:lang w:eastAsia="zh-CN"/>
              </w:rPr>
              <w:t>12021.4）</w:t>
            </w:r>
          </w:p>
        </w:tc>
      </w:tr>
    </w:tbl>
    <w:p>
      <w:pPr>
        <w:rPr>
          <w:rFonts w:ascii="Arial"/>
        </w:rPr>
      </w:pPr>
    </w:p>
    <w:p>
      <w:pPr>
        <w:rPr>
          <w:rFonts w:ascii="Arial" w:hAnsi="Arial" w:eastAsia="Arial" w:cs="Arial"/>
          <w:szCs w:val="21"/>
        </w:rPr>
        <w:sectPr>
          <w:pgSz w:w="11906" w:h="16838"/>
          <w:pgMar w:top="1431" w:right="1691" w:bottom="0" w:left="1783" w:header="0" w:footer="0" w:gutter="0"/>
          <w:cols w:space="720" w:num="1"/>
        </w:sectPr>
      </w:pPr>
    </w:p>
    <w:p>
      <w:pPr>
        <w:spacing w:line="91" w:lineRule="auto"/>
        <w:rPr>
          <w:rFonts w:ascii="Arial"/>
          <w:sz w:val="2"/>
        </w:rPr>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41" w:hRule="atLeast"/>
          <w:jc w:val="center"/>
        </w:trPr>
        <w:tc>
          <w:tcPr>
            <w:tcW w:w="632" w:type="dxa"/>
            <w:vMerge w:val="restart"/>
            <w:tcBorders>
              <w:bottom w:val="nil"/>
            </w:tcBorders>
          </w:tcPr>
          <w:p>
            <w:pPr>
              <w:rPr>
                <w:rFonts w:ascii="Arial"/>
              </w:rPr>
            </w:pPr>
          </w:p>
        </w:tc>
        <w:tc>
          <w:tcPr>
            <w:tcW w:w="1275" w:type="dxa"/>
            <w:vMerge w:val="restart"/>
            <w:tcBorders>
              <w:bottom w:val="nil"/>
            </w:tcBorders>
          </w:tcPr>
          <w:p>
            <w:pPr>
              <w:rPr>
                <w:rFonts w:ascii="Arial"/>
              </w:rPr>
            </w:pPr>
          </w:p>
        </w:tc>
        <w:tc>
          <w:tcPr>
            <w:tcW w:w="1967" w:type="dxa"/>
            <w:vMerge w:val="restart"/>
            <w:tcBorders>
              <w:bottom w:val="nil"/>
            </w:tcBorders>
          </w:tcPr>
          <w:p>
            <w:pPr>
              <w:spacing w:line="244" w:lineRule="auto"/>
              <w:rPr>
                <w:rFonts w:ascii="Arial"/>
              </w:rPr>
            </w:pPr>
          </w:p>
          <w:p>
            <w:pPr>
              <w:spacing w:line="244" w:lineRule="auto"/>
              <w:rPr>
                <w:rFonts w:ascii="Arial"/>
              </w:rPr>
            </w:pPr>
          </w:p>
          <w:p>
            <w:pPr>
              <w:spacing w:line="244" w:lineRule="auto"/>
              <w:rPr>
                <w:rFonts w:ascii="Arial"/>
              </w:rPr>
            </w:pPr>
          </w:p>
          <w:p>
            <w:pPr>
              <w:spacing w:line="244" w:lineRule="auto"/>
              <w:rPr>
                <w:rFonts w:ascii="Arial"/>
              </w:rPr>
            </w:pPr>
          </w:p>
          <w:p>
            <w:pPr>
              <w:spacing w:line="245" w:lineRule="auto"/>
              <w:rPr>
                <w:rFonts w:ascii="Arial"/>
              </w:rPr>
            </w:pPr>
          </w:p>
          <w:p>
            <w:pPr>
              <w:spacing w:line="245" w:lineRule="auto"/>
              <w:rPr>
                <w:rFonts w:ascii="Arial"/>
              </w:rPr>
            </w:pPr>
          </w:p>
          <w:p>
            <w:pPr>
              <w:pStyle w:val="234"/>
              <w:spacing w:before="62" w:line="229" w:lineRule="auto"/>
              <w:ind w:left="9"/>
              <w:rPr>
                <w:rFonts w:hint="eastAsia"/>
              </w:rPr>
            </w:pPr>
            <w:r>
              <w:rPr>
                <w:spacing w:val="5"/>
              </w:rPr>
              <w:t>A02061808</w:t>
            </w:r>
            <w:r>
              <w:rPr>
                <w:spacing w:val="-32"/>
              </w:rPr>
              <w:t xml:space="preserve"> </w:t>
            </w:r>
            <w:r>
              <w:rPr>
                <w:spacing w:val="5"/>
              </w:rPr>
              <w:t>热水器</w:t>
            </w:r>
          </w:p>
        </w:tc>
        <w:tc>
          <w:tcPr>
            <w:tcW w:w="2093" w:type="dxa"/>
          </w:tcPr>
          <w:p>
            <w:pPr>
              <w:pStyle w:val="234"/>
              <w:spacing w:before="275" w:line="229" w:lineRule="auto"/>
              <w:ind w:left="19"/>
              <w:rPr>
                <w:rFonts w:hint="eastAsia"/>
              </w:rPr>
            </w:pPr>
            <w:r>
              <w:rPr>
                <w:spacing w:val="7"/>
              </w:rPr>
              <w:t>★电热水器</w:t>
            </w:r>
          </w:p>
        </w:tc>
        <w:tc>
          <w:tcPr>
            <w:tcW w:w="3247" w:type="dxa"/>
          </w:tcPr>
          <w:p>
            <w:pPr>
              <w:pStyle w:val="234"/>
              <w:spacing w:before="119" w:line="288" w:lineRule="auto"/>
              <w:ind w:left="25" w:right="11" w:hanging="2"/>
              <w:rPr>
                <w:rFonts w:hint="eastAsia"/>
                <w:lang w:eastAsia="zh-CN"/>
              </w:rPr>
            </w:pPr>
            <w:r>
              <w:rPr>
                <w:spacing w:val="19"/>
                <w:lang w:eastAsia="zh-CN"/>
              </w:rPr>
              <w:t>《储水式电热水器能效限定值及</w:t>
            </w:r>
            <w:r>
              <w:rPr>
                <w:spacing w:val="2"/>
                <w:lang w:eastAsia="zh-CN"/>
              </w:rPr>
              <w:t xml:space="preserve"> </w:t>
            </w:r>
            <w:r>
              <w:rPr>
                <w:spacing w:val="6"/>
                <w:lang w:eastAsia="zh-CN"/>
              </w:rPr>
              <w:t>能效等级》（</w:t>
            </w:r>
            <w:r>
              <w:rPr>
                <w:lang w:eastAsia="zh-CN"/>
              </w:rPr>
              <w:t>GB</w:t>
            </w:r>
            <w:r>
              <w:rPr>
                <w:spacing w:val="6"/>
                <w:lang w:eastAsia="zh-CN"/>
              </w:rPr>
              <w:t xml:space="preserve">  21519）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vMerge w:val="continue"/>
            <w:tcBorders>
              <w:top w:val="nil"/>
              <w:bottom w:val="nil"/>
            </w:tcBorders>
          </w:tcPr>
          <w:p>
            <w:pPr>
              <w:rPr>
                <w:rFonts w:ascii="Arial"/>
              </w:rPr>
            </w:pPr>
          </w:p>
        </w:tc>
        <w:tc>
          <w:tcPr>
            <w:tcW w:w="2093" w:type="dxa"/>
          </w:tcPr>
          <w:p>
            <w:pPr>
              <w:spacing w:line="315" w:lineRule="auto"/>
              <w:rPr>
                <w:rFonts w:ascii="Arial"/>
              </w:rPr>
            </w:pPr>
          </w:p>
          <w:p>
            <w:pPr>
              <w:pStyle w:val="234"/>
              <w:spacing w:before="61" w:line="229" w:lineRule="auto"/>
              <w:ind w:left="15"/>
              <w:rPr>
                <w:rFonts w:hint="eastAsia"/>
              </w:rPr>
            </w:pPr>
            <w:r>
              <w:rPr>
                <w:spacing w:val="8"/>
              </w:rPr>
              <w:t>燃气热水器</w:t>
            </w:r>
          </w:p>
        </w:tc>
        <w:tc>
          <w:tcPr>
            <w:tcW w:w="3247" w:type="dxa"/>
          </w:tcPr>
          <w:p>
            <w:pPr>
              <w:pStyle w:val="234"/>
              <w:spacing w:before="68" w:line="283" w:lineRule="auto"/>
              <w:ind w:left="25" w:hanging="2"/>
              <w:rPr>
                <w:rFonts w:hint="eastAsia"/>
                <w:lang w:eastAsia="zh-CN"/>
              </w:rPr>
            </w:pPr>
            <w:r>
              <w:rPr>
                <w:spacing w:val="17"/>
                <w:lang w:eastAsia="zh-CN"/>
              </w:rPr>
              <w:t>《家用燃气快速热水器和燃气采</w:t>
            </w:r>
            <w:r>
              <w:rPr>
                <w:lang w:eastAsia="zh-CN"/>
              </w:rPr>
              <w:t xml:space="preserve"> </w:t>
            </w:r>
            <w:r>
              <w:rPr>
                <w:spacing w:val="5"/>
                <w:lang w:eastAsia="zh-CN"/>
              </w:rPr>
              <w:t>暖热水炉能效限定值及能效等级》</w:t>
            </w:r>
            <w:r>
              <w:rPr>
                <w:spacing w:val="12"/>
                <w:lang w:eastAsia="zh-CN"/>
              </w:rPr>
              <w:t xml:space="preserve"> </w:t>
            </w:r>
            <w:r>
              <w:rPr>
                <w:spacing w:val="1"/>
                <w:lang w:eastAsia="zh-CN"/>
              </w:rPr>
              <w:t>（</w:t>
            </w:r>
            <w:r>
              <w:rPr>
                <w:lang w:eastAsia="zh-CN"/>
              </w:rPr>
              <w:t>GB</w:t>
            </w:r>
            <w:r>
              <w:rPr>
                <w:spacing w:val="18"/>
                <w:lang w:eastAsia="zh-CN"/>
              </w:rPr>
              <w:t xml:space="preserve"> </w:t>
            </w:r>
            <w:r>
              <w:rPr>
                <w:spacing w:val="1"/>
                <w:lang w:eastAsia="zh-CN"/>
              </w:rPr>
              <w:t>20665）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18"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vMerge w:val="continue"/>
            <w:tcBorders>
              <w:top w:val="nil"/>
              <w:bottom w:val="nil"/>
            </w:tcBorders>
          </w:tcPr>
          <w:p>
            <w:pPr>
              <w:rPr>
                <w:rFonts w:ascii="Arial"/>
              </w:rPr>
            </w:pPr>
          </w:p>
        </w:tc>
        <w:tc>
          <w:tcPr>
            <w:tcW w:w="2093" w:type="dxa"/>
          </w:tcPr>
          <w:p>
            <w:pPr>
              <w:spacing w:line="248" w:lineRule="auto"/>
              <w:rPr>
                <w:rFonts w:ascii="Arial"/>
              </w:rPr>
            </w:pPr>
          </w:p>
          <w:p>
            <w:pPr>
              <w:pStyle w:val="234"/>
              <w:spacing w:before="62" w:line="229" w:lineRule="auto"/>
              <w:ind w:left="20"/>
              <w:rPr>
                <w:rFonts w:hint="eastAsia"/>
              </w:rPr>
            </w:pPr>
            <w:r>
              <w:rPr>
                <w:spacing w:val="7"/>
              </w:rPr>
              <w:t>热泵热水器</w:t>
            </w:r>
          </w:p>
        </w:tc>
        <w:tc>
          <w:tcPr>
            <w:tcW w:w="3247" w:type="dxa"/>
          </w:tcPr>
          <w:p>
            <w:pPr>
              <w:pStyle w:val="234"/>
              <w:spacing w:before="156" w:line="288" w:lineRule="auto"/>
              <w:ind w:left="25" w:right="13" w:hanging="2"/>
              <w:rPr>
                <w:rFonts w:hint="eastAsia"/>
                <w:lang w:eastAsia="zh-CN"/>
              </w:rPr>
            </w:pPr>
            <w:r>
              <w:rPr>
                <w:spacing w:val="5"/>
                <w:lang w:eastAsia="zh-CN"/>
              </w:rPr>
              <w:t>《热泵热水机（器）能效限定值及</w:t>
            </w:r>
            <w:r>
              <w:rPr>
                <w:spacing w:val="1"/>
                <w:lang w:eastAsia="zh-CN"/>
              </w:rPr>
              <w:t xml:space="preserve"> </w:t>
            </w:r>
            <w:r>
              <w:rPr>
                <w:spacing w:val="6"/>
                <w:lang w:eastAsia="zh-CN"/>
              </w:rPr>
              <w:t>能效等级》（</w:t>
            </w:r>
            <w:r>
              <w:rPr>
                <w:lang w:eastAsia="zh-CN"/>
              </w:rPr>
              <w:t>GB</w:t>
            </w:r>
            <w:r>
              <w:rPr>
                <w:spacing w:val="6"/>
                <w:lang w:eastAsia="zh-CN"/>
              </w:rPr>
              <w:t xml:space="preserve"> 29541）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632" w:type="dxa"/>
            <w:vMerge w:val="continue"/>
            <w:tcBorders>
              <w:top w:val="nil"/>
            </w:tcBorders>
          </w:tcPr>
          <w:p>
            <w:pPr>
              <w:rPr>
                <w:rFonts w:ascii="Arial"/>
              </w:rPr>
            </w:pPr>
          </w:p>
        </w:tc>
        <w:tc>
          <w:tcPr>
            <w:tcW w:w="1275" w:type="dxa"/>
            <w:vMerge w:val="continue"/>
            <w:tcBorders>
              <w:top w:val="nil"/>
            </w:tcBorders>
          </w:tcPr>
          <w:p>
            <w:pPr>
              <w:rPr>
                <w:rFonts w:ascii="Arial"/>
              </w:rPr>
            </w:pPr>
          </w:p>
        </w:tc>
        <w:tc>
          <w:tcPr>
            <w:tcW w:w="1967" w:type="dxa"/>
            <w:vMerge w:val="continue"/>
            <w:tcBorders>
              <w:top w:val="nil"/>
            </w:tcBorders>
          </w:tcPr>
          <w:p>
            <w:pPr>
              <w:rPr>
                <w:rFonts w:ascii="Arial"/>
              </w:rPr>
            </w:pPr>
          </w:p>
        </w:tc>
        <w:tc>
          <w:tcPr>
            <w:tcW w:w="2093" w:type="dxa"/>
          </w:tcPr>
          <w:p>
            <w:pPr>
              <w:pStyle w:val="234"/>
              <w:spacing w:before="271" w:line="229" w:lineRule="auto"/>
              <w:ind w:left="16"/>
              <w:rPr>
                <w:rFonts w:hint="eastAsia"/>
              </w:rPr>
            </w:pPr>
            <w:r>
              <w:rPr>
                <w:spacing w:val="8"/>
              </w:rPr>
              <w:t>太阳能热水系统</w:t>
            </w:r>
          </w:p>
        </w:tc>
        <w:tc>
          <w:tcPr>
            <w:tcW w:w="3247" w:type="dxa"/>
          </w:tcPr>
          <w:p>
            <w:pPr>
              <w:pStyle w:val="234"/>
              <w:spacing w:before="116" w:line="288" w:lineRule="auto"/>
              <w:ind w:left="17" w:right="11" w:firstLine="5"/>
              <w:rPr>
                <w:rFonts w:hint="eastAsia"/>
                <w:lang w:eastAsia="zh-CN"/>
              </w:rPr>
            </w:pPr>
            <w:r>
              <w:rPr>
                <w:spacing w:val="19"/>
                <w:lang w:eastAsia="zh-CN"/>
              </w:rPr>
              <w:t>《家用太阳能热水系统能效限定</w:t>
            </w:r>
            <w:r>
              <w:rPr>
                <w:spacing w:val="2"/>
                <w:lang w:eastAsia="zh-CN"/>
              </w:rPr>
              <w:t xml:space="preserve"> </w:t>
            </w:r>
            <w:r>
              <w:rPr>
                <w:spacing w:val="7"/>
                <w:lang w:eastAsia="zh-CN"/>
              </w:rPr>
              <w:t>值及能效等级》（</w:t>
            </w:r>
            <w:r>
              <w:rPr>
                <w:lang w:eastAsia="zh-CN"/>
              </w:rPr>
              <w:t>GB</w:t>
            </w:r>
            <w:r>
              <w:rPr>
                <w:spacing w:val="7"/>
                <w:lang w:eastAsia="zh-CN"/>
              </w:rPr>
              <w:t xml:space="preserve"> 26969）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97" w:hRule="atLeast"/>
          <w:jc w:val="center"/>
        </w:trPr>
        <w:tc>
          <w:tcPr>
            <w:tcW w:w="632" w:type="dxa"/>
            <w:vMerge w:val="restart"/>
            <w:tcBorders>
              <w:bottom w:val="nil"/>
            </w:tcBorders>
          </w:tcPr>
          <w:p>
            <w:pPr>
              <w:spacing w:line="274" w:lineRule="auto"/>
              <w:rPr>
                <w:rFonts w:ascii="Arial"/>
              </w:rPr>
            </w:pPr>
          </w:p>
          <w:p>
            <w:pPr>
              <w:spacing w:line="274" w:lineRule="auto"/>
              <w:rPr>
                <w:rFonts w:ascii="Arial"/>
              </w:rPr>
            </w:pPr>
          </w:p>
          <w:p>
            <w:pPr>
              <w:spacing w:line="274" w:lineRule="auto"/>
              <w:rPr>
                <w:rFonts w:ascii="Arial"/>
              </w:rPr>
            </w:pPr>
          </w:p>
          <w:p>
            <w:pPr>
              <w:spacing w:line="274" w:lineRule="auto"/>
              <w:rPr>
                <w:rFonts w:ascii="Arial"/>
              </w:rPr>
            </w:pPr>
          </w:p>
          <w:p>
            <w:pPr>
              <w:spacing w:line="274" w:lineRule="auto"/>
              <w:rPr>
                <w:rFonts w:ascii="Arial"/>
              </w:rPr>
            </w:pPr>
          </w:p>
          <w:p>
            <w:pPr>
              <w:spacing w:line="274" w:lineRule="auto"/>
              <w:rPr>
                <w:rFonts w:ascii="Arial"/>
              </w:rPr>
            </w:pPr>
          </w:p>
          <w:p>
            <w:pPr>
              <w:pStyle w:val="234"/>
              <w:spacing w:before="62" w:line="190" w:lineRule="auto"/>
              <w:ind w:left="209"/>
              <w:rPr>
                <w:rFonts w:hint="eastAsia"/>
              </w:rPr>
            </w:pPr>
            <w:r>
              <w:rPr>
                <w:spacing w:val="-7"/>
              </w:rPr>
              <w:t>11</w:t>
            </w:r>
          </w:p>
        </w:tc>
        <w:tc>
          <w:tcPr>
            <w:tcW w:w="1275" w:type="dxa"/>
            <w:vMerge w:val="restart"/>
            <w:tcBorders>
              <w:bottom w:val="nil"/>
            </w:tcBorders>
          </w:tcPr>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pStyle w:val="234"/>
              <w:spacing w:before="62" w:line="289" w:lineRule="auto"/>
              <w:ind w:left="18" w:right="8" w:hanging="9"/>
              <w:rPr>
                <w:rFonts w:hint="eastAsia"/>
              </w:rPr>
            </w:pPr>
            <w:r>
              <w:rPr>
                <w:spacing w:val="5"/>
              </w:rPr>
              <w:t>A020619</w:t>
            </w:r>
            <w:r>
              <w:rPr>
                <w:spacing w:val="-43"/>
              </w:rPr>
              <w:t xml:space="preserve"> </w:t>
            </w:r>
            <w:r>
              <w:rPr>
                <w:spacing w:val="5"/>
              </w:rPr>
              <w:t>照明</w:t>
            </w:r>
            <w:r>
              <w:t xml:space="preserve"> </w:t>
            </w:r>
            <w:r>
              <w:rPr>
                <w:spacing w:val="3"/>
              </w:rPr>
              <w:t>设备</w:t>
            </w:r>
          </w:p>
        </w:tc>
        <w:tc>
          <w:tcPr>
            <w:tcW w:w="1967" w:type="dxa"/>
          </w:tcPr>
          <w:p>
            <w:pPr>
              <w:pStyle w:val="234"/>
              <w:spacing w:before="198" w:line="288" w:lineRule="auto"/>
              <w:ind w:left="20" w:right="12" w:hanging="2"/>
              <w:rPr>
                <w:rFonts w:hint="eastAsia"/>
                <w:lang w:eastAsia="zh-CN"/>
              </w:rPr>
            </w:pPr>
            <w:r>
              <w:rPr>
                <w:spacing w:val="19"/>
                <w:lang w:eastAsia="zh-CN"/>
              </w:rPr>
              <w:t>★</w:t>
            </w:r>
            <w:r>
              <w:rPr>
                <w:spacing w:val="-59"/>
                <w:lang w:eastAsia="zh-CN"/>
              </w:rPr>
              <w:t xml:space="preserve"> </w:t>
            </w:r>
            <w:r>
              <w:rPr>
                <w:spacing w:val="19"/>
                <w:lang w:eastAsia="zh-CN"/>
              </w:rPr>
              <w:t>普通照</w:t>
            </w:r>
            <w:r>
              <w:rPr>
                <w:spacing w:val="-42"/>
                <w:lang w:eastAsia="zh-CN"/>
              </w:rPr>
              <w:t xml:space="preserve"> </w:t>
            </w:r>
            <w:r>
              <w:rPr>
                <w:spacing w:val="19"/>
                <w:lang w:eastAsia="zh-CN"/>
              </w:rPr>
              <w:t>明用双端</w:t>
            </w:r>
            <w:r>
              <w:rPr>
                <w:lang w:eastAsia="zh-CN"/>
              </w:rPr>
              <w:t xml:space="preserve"> </w:t>
            </w:r>
            <w:r>
              <w:rPr>
                <w:spacing w:val="4"/>
                <w:lang w:eastAsia="zh-CN"/>
              </w:rPr>
              <w:t>荧光灯</w:t>
            </w:r>
          </w:p>
        </w:tc>
        <w:tc>
          <w:tcPr>
            <w:tcW w:w="2093" w:type="dxa"/>
          </w:tcPr>
          <w:p>
            <w:pPr>
              <w:rPr>
                <w:rFonts w:ascii="Arial"/>
              </w:rPr>
            </w:pPr>
          </w:p>
        </w:tc>
        <w:tc>
          <w:tcPr>
            <w:tcW w:w="3247" w:type="dxa"/>
          </w:tcPr>
          <w:p>
            <w:pPr>
              <w:pStyle w:val="234"/>
              <w:spacing w:before="198" w:line="288" w:lineRule="auto"/>
              <w:ind w:left="22" w:right="11"/>
              <w:rPr>
                <w:rFonts w:hint="eastAsia"/>
                <w:lang w:eastAsia="zh-CN"/>
              </w:rPr>
            </w:pPr>
            <w:r>
              <w:rPr>
                <w:spacing w:val="19"/>
                <w:lang w:eastAsia="zh-CN"/>
              </w:rPr>
              <w:t>《普通照明用双端荧光灯能效限</w:t>
            </w:r>
            <w:r>
              <w:rPr>
                <w:spacing w:val="2"/>
                <w:lang w:eastAsia="zh-CN"/>
              </w:rPr>
              <w:t xml:space="preserve"> </w:t>
            </w:r>
            <w:r>
              <w:rPr>
                <w:spacing w:val="5"/>
                <w:lang w:eastAsia="zh-CN"/>
              </w:rPr>
              <w:t>定值及能效等级》（</w:t>
            </w:r>
            <w:r>
              <w:rPr>
                <w:lang w:eastAsia="zh-CN"/>
              </w:rPr>
              <w:t>GB</w:t>
            </w:r>
            <w:r>
              <w:rPr>
                <w:spacing w:val="42"/>
                <w:lang w:eastAsia="zh-CN"/>
              </w:rPr>
              <w:t xml:space="preserve"> </w:t>
            </w:r>
            <w:r>
              <w:rPr>
                <w:spacing w:val="5"/>
                <w:lang w:eastAsia="zh-CN"/>
              </w:rPr>
              <w:t>19043）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tcPr>
          <w:p>
            <w:pPr>
              <w:pStyle w:val="234"/>
              <w:spacing w:before="158" w:line="288" w:lineRule="auto"/>
              <w:ind w:left="14" w:right="7" w:hanging="1"/>
              <w:rPr>
                <w:rFonts w:hint="eastAsia"/>
              </w:rPr>
            </w:pPr>
            <w:r>
              <w:t>LED</w:t>
            </w:r>
            <w:r>
              <w:rPr>
                <w:spacing w:val="23"/>
              </w:rPr>
              <w:t xml:space="preserve"> </w:t>
            </w:r>
            <w:r>
              <w:rPr>
                <w:spacing w:val="19"/>
              </w:rPr>
              <w:t>道路/隧道照明</w:t>
            </w:r>
            <w:r>
              <w:t xml:space="preserve"> </w:t>
            </w:r>
            <w:r>
              <w:rPr>
                <w:spacing w:val="5"/>
              </w:rPr>
              <w:t>产品</w:t>
            </w:r>
          </w:p>
        </w:tc>
        <w:tc>
          <w:tcPr>
            <w:tcW w:w="2093" w:type="dxa"/>
          </w:tcPr>
          <w:p>
            <w:pPr>
              <w:rPr>
                <w:rFonts w:ascii="Arial"/>
              </w:rPr>
            </w:pPr>
          </w:p>
        </w:tc>
        <w:tc>
          <w:tcPr>
            <w:tcW w:w="3247" w:type="dxa"/>
          </w:tcPr>
          <w:p>
            <w:pPr>
              <w:pStyle w:val="234"/>
              <w:spacing w:before="158" w:line="288" w:lineRule="auto"/>
              <w:ind w:left="22"/>
              <w:rPr>
                <w:rFonts w:hint="eastAsia"/>
              </w:rPr>
            </w:pPr>
            <w:r>
              <w:rPr>
                <w:spacing w:val="7"/>
              </w:rPr>
              <w:t xml:space="preserve">《道路和隧道照明用 </w:t>
            </w:r>
            <w:r>
              <w:t>LED</w:t>
            </w:r>
            <w:r>
              <w:rPr>
                <w:spacing w:val="7"/>
              </w:rPr>
              <w:t xml:space="preserve"> 灯具能</w:t>
            </w:r>
            <w:r>
              <w:t xml:space="preserve">  </w:t>
            </w:r>
            <w:r>
              <w:rPr>
                <w:spacing w:val="-4"/>
              </w:rPr>
              <w:t>效限定值及能效等级》（GB</w:t>
            </w:r>
            <w:r>
              <w:rPr>
                <w:spacing w:val="-24"/>
              </w:rPr>
              <w:t xml:space="preserve"> </w:t>
            </w:r>
            <w:r>
              <w:rPr>
                <w:spacing w:val="-4"/>
              </w:rPr>
              <w:t>37478）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99"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tcPr>
          <w:p>
            <w:pPr>
              <w:rPr>
                <w:rFonts w:ascii="Arial"/>
              </w:rPr>
            </w:pPr>
          </w:p>
          <w:p>
            <w:pPr>
              <w:pStyle w:val="234"/>
              <w:spacing w:before="62" w:line="229" w:lineRule="auto"/>
              <w:ind w:left="13"/>
              <w:rPr>
                <w:rFonts w:hint="eastAsia"/>
              </w:rPr>
            </w:pPr>
            <w:r>
              <w:t>LED</w:t>
            </w:r>
            <w:r>
              <w:rPr>
                <w:spacing w:val="-32"/>
              </w:rPr>
              <w:t xml:space="preserve"> </w:t>
            </w:r>
            <w:r>
              <w:rPr>
                <w:spacing w:val="8"/>
              </w:rPr>
              <w:t>筒灯</w:t>
            </w:r>
          </w:p>
        </w:tc>
        <w:tc>
          <w:tcPr>
            <w:tcW w:w="2093" w:type="dxa"/>
          </w:tcPr>
          <w:p>
            <w:pPr>
              <w:rPr>
                <w:rFonts w:ascii="Arial"/>
              </w:rPr>
            </w:pPr>
          </w:p>
        </w:tc>
        <w:tc>
          <w:tcPr>
            <w:tcW w:w="3247" w:type="dxa"/>
          </w:tcPr>
          <w:p>
            <w:pPr>
              <w:pStyle w:val="234"/>
              <w:spacing w:before="148" w:line="288" w:lineRule="auto"/>
              <w:ind w:left="17" w:right="13" w:firstLine="5"/>
              <w:rPr>
                <w:rFonts w:hint="eastAsia"/>
              </w:rPr>
            </w:pPr>
            <w:r>
              <w:rPr>
                <w:spacing w:val="12"/>
              </w:rPr>
              <w:t xml:space="preserve">《室内照明用 </w:t>
            </w:r>
            <w:r>
              <w:t>LED</w:t>
            </w:r>
            <w:r>
              <w:rPr>
                <w:spacing w:val="12"/>
              </w:rPr>
              <w:t xml:space="preserve"> 产品能效限定</w:t>
            </w:r>
            <w:r>
              <w:rPr>
                <w:spacing w:val="2"/>
              </w:rPr>
              <w:t xml:space="preserve"> </w:t>
            </w:r>
            <w:r>
              <w:rPr>
                <w:spacing w:val="7"/>
              </w:rPr>
              <w:t>值及能效等级》（</w:t>
            </w:r>
            <w:r>
              <w:t>GB</w:t>
            </w:r>
            <w:r>
              <w:rPr>
                <w:spacing w:val="7"/>
              </w:rPr>
              <w:t xml:space="preserve"> 30255）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jc w:val="center"/>
        </w:trPr>
        <w:tc>
          <w:tcPr>
            <w:tcW w:w="632" w:type="dxa"/>
            <w:vMerge w:val="continue"/>
            <w:tcBorders>
              <w:top w:val="nil"/>
            </w:tcBorders>
          </w:tcPr>
          <w:p>
            <w:pPr>
              <w:rPr>
                <w:rFonts w:ascii="Arial"/>
              </w:rPr>
            </w:pPr>
          </w:p>
        </w:tc>
        <w:tc>
          <w:tcPr>
            <w:tcW w:w="1275" w:type="dxa"/>
            <w:vMerge w:val="continue"/>
            <w:tcBorders>
              <w:top w:val="nil"/>
            </w:tcBorders>
          </w:tcPr>
          <w:p>
            <w:pPr>
              <w:rPr>
                <w:rFonts w:ascii="Arial"/>
              </w:rPr>
            </w:pPr>
          </w:p>
        </w:tc>
        <w:tc>
          <w:tcPr>
            <w:tcW w:w="1967" w:type="dxa"/>
          </w:tcPr>
          <w:p>
            <w:pPr>
              <w:pStyle w:val="234"/>
              <w:spacing w:before="265" w:line="288" w:lineRule="auto"/>
              <w:ind w:left="47" w:right="12" w:hanging="33"/>
              <w:rPr>
                <w:rFonts w:hint="eastAsia"/>
              </w:rPr>
            </w:pPr>
            <w:r>
              <w:rPr>
                <w:spacing w:val="30"/>
              </w:rPr>
              <w:t>普通照明用非定向</w:t>
            </w:r>
            <w:r>
              <w:rPr>
                <w:spacing w:val="5"/>
              </w:rPr>
              <w:t xml:space="preserve"> </w:t>
            </w:r>
            <w:r>
              <w:rPr>
                <w:spacing w:val="-1"/>
              </w:rPr>
              <w:t>自镇流</w:t>
            </w:r>
            <w:r>
              <w:rPr>
                <w:spacing w:val="-33"/>
              </w:rPr>
              <w:t xml:space="preserve"> </w:t>
            </w:r>
            <w:r>
              <w:rPr>
                <w:spacing w:val="-1"/>
              </w:rPr>
              <w:t>LED</w:t>
            </w:r>
            <w:r>
              <w:rPr>
                <w:spacing w:val="-37"/>
              </w:rPr>
              <w:t xml:space="preserve"> </w:t>
            </w:r>
            <w:r>
              <w:rPr>
                <w:spacing w:val="-1"/>
              </w:rPr>
              <w:t>灯</w:t>
            </w:r>
          </w:p>
        </w:tc>
        <w:tc>
          <w:tcPr>
            <w:tcW w:w="2093" w:type="dxa"/>
          </w:tcPr>
          <w:p>
            <w:pPr>
              <w:rPr>
                <w:rFonts w:ascii="Arial"/>
              </w:rPr>
            </w:pPr>
          </w:p>
        </w:tc>
        <w:tc>
          <w:tcPr>
            <w:tcW w:w="3247" w:type="dxa"/>
          </w:tcPr>
          <w:p>
            <w:pPr>
              <w:pStyle w:val="234"/>
              <w:spacing w:before="265" w:line="288" w:lineRule="auto"/>
              <w:ind w:left="17" w:right="13" w:firstLine="5"/>
              <w:rPr>
                <w:rFonts w:hint="eastAsia"/>
              </w:rPr>
            </w:pPr>
            <w:r>
              <w:rPr>
                <w:spacing w:val="12"/>
              </w:rPr>
              <w:t xml:space="preserve">《室内照明用 </w:t>
            </w:r>
            <w:r>
              <w:t>LED</w:t>
            </w:r>
            <w:r>
              <w:rPr>
                <w:spacing w:val="12"/>
              </w:rPr>
              <w:t xml:space="preserve"> 产品能效限定</w:t>
            </w:r>
            <w:r>
              <w:rPr>
                <w:spacing w:val="2"/>
              </w:rPr>
              <w:t xml:space="preserve"> </w:t>
            </w:r>
            <w:r>
              <w:rPr>
                <w:spacing w:val="7"/>
              </w:rPr>
              <w:t>值及能效等级》（</w:t>
            </w:r>
            <w:r>
              <w:t>GB</w:t>
            </w:r>
            <w:r>
              <w:rPr>
                <w:spacing w:val="7"/>
              </w:rPr>
              <w:t xml:space="preserve"> 30255）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632" w:type="dxa"/>
          </w:tcPr>
          <w:p>
            <w:pPr>
              <w:spacing w:line="268" w:lineRule="auto"/>
              <w:rPr>
                <w:rFonts w:ascii="Arial"/>
              </w:rPr>
            </w:pPr>
          </w:p>
          <w:p>
            <w:pPr>
              <w:pStyle w:val="234"/>
              <w:spacing w:before="62" w:line="190" w:lineRule="auto"/>
              <w:ind w:left="209"/>
              <w:rPr>
                <w:rFonts w:hint="eastAsia"/>
              </w:rPr>
            </w:pPr>
            <w:r>
              <w:rPr>
                <w:spacing w:val="-7"/>
              </w:rPr>
              <w:t>12</w:t>
            </w:r>
          </w:p>
        </w:tc>
        <w:tc>
          <w:tcPr>
            <w:tcW w:w="1275" w:type="dxa"/>
          </w:tcPr>
          <w:p>
            <w:pPr>
              <w:pStyle w:val="234"/>
              <w:spacing w:before="144" w:line="289" w:lineRule="auto"/>
              <w:ind w:left="14" w:right="8" w:firstLine="3"/>
              <w:rPr>
                <w:rFonts w:hint="eastAsia"/>
              </w:rPr>
            </w:pPr>
            <w:r>
              <w:rPr>
                <w:spacing w:val="1"/>
              </w:rPr>
              <w:t>★A020910</w:t>
            </w:r>
            <w:r>
              <w:rPr>
                <w:spacing w:val="-17"/>
              </w:rPr>
              <w:t xml:space="preserve"> </w:t>
            </w:r>
            <w:r>
              <w:rPr>
                <w:spacing w:val="1"/>
              </w:rPr>
              <w:t>电</w:t>
            </w:r>
            <w:r>
              <w:t xml:space="preserve"> </w:t>
            </w:r>
            <w:r>
              <w:rPr>
                <w:spacing w:val="6"/>
              </w:rPr>
              <w:t>视设备</w:t>
            </w:r>
          </w:p>
        </w:tc>
        <w:tc>
          <w:tcPr>
            <w:tcW w:w="1967" w:type="dxa"/>
          </w:tcPr>
          <w:p>
            <w:pPr>
              <w:pStyle w:val="234"/>
              <w:spacing w:before="145" w:line="288" w:lineRule="auto"/>
              <w:ind w:left="18" w:right="10" w:hanging="9"/>
              <w:rPr>
                <w:rFonts w:hint="eastAsia"/>
                <w:lang w:eastAsia="zh-CN"/>
              </w:rPr>
            </w:pPr>
            <w:r>
              <w:rPr>
                <w:spacing w:val="4"/>
                <w:lang w:eastAsia="zh-CN"/>
              </w:rPr>
              <w:t>A02091001 普通电视</w:t>
            </w:r>
            <w:r>
              <w:rPr>
                <w:spacing w:val="7"/>
                <w:lang w:eastAsia="zh-CN"/>
              </w:rPr>
              <w:t xml:space="preserve"> </w:t>
            </w:r>
            <w:r>
              <w:rPr>
                <w:spacing w:val="6"/>
                <w:lang w:eastAsia="zh-CN"/>
              </w:rPr>
              <w:t>设备（电视机）</w:t>
            </w:r>
          </w:p>
        </w:tc>
        <w:tc>
          <w:tcPr>
            <w:tcW w:w="2093" w:type="dxa"/>
          </w:tcPr>
          <w:p>
            <w:pPr>
              <w:rPr>
                <w:rFonts w:ascii="Arial"/>
              </w:rPr>
            </w:pPr>
          </w:p>
        </w:tc>
        <w:tc>
          <w:tcPr>
            <w:tcW w:w="3247" w:type="dxa"/>
          </w:tcPr>
          <w:p>
            <w:pPr>
              <w:pStyle w:val="234"/>
              <w:spacing w:before="146" w:line="289" w:lineRule="auto"/>
              <w:ind w:left="21" w:right="11" w:firstLine="2"/>
              <w:rPr>
                <w:rFonts w:hint="eastAsia"/>
                <w:lang w:eastAsia="zh-CN"/>
              </w:rPr>
            </w:pPr>
            <w:r>
              <w:rPr>
                <w:spacing w:val="19"/>
                <w:lang w:eastAsia="zh-CN"/>
              </w:rPr>
              <w:t>《平板电视能效限定值及能效等</w:t>
            </w:r>
            <w:r>
              <w:rPr>
                <w:spacing w:val="2"/>
                <w:lang w:eastAsia="zh-CN"/>
              </w:rPr>
              <w:t xml:space="preserve"> </w:t>
            </w:r>
            <w:r>
              <w:rPr>
                <w:spacing w:val="4"/>
                <w:lang w:eastAsia="zh-CN"/>
              </w:rPr>
              <w:t>级》（</w:t>
            </w:r>
            <w:r>
              <w:rPr>
                <w:lang w:eastAsia="zh-CN"/>
              </w:rPr>
              <w:t>GB</w:t>
            </w:r>
            <w:r>
              <w:rPr>
                <w:spacing w:val="23"/>
                <w:lang w:eastAsia="zh-CN"/>
              </w:rPr>
              <w:t xml:space="preserve"> </w:t>
            </w:r>
            <w:r>
              <w:rPr>
                <w:spacing w:val="4"/>
                <w:lang w:eastAsia="zh-CN"/>
              </w:rPr>
              <w:t>24850）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6" w:hRule="atLeast"/>
          <w:jc w:val="center"/>
        </w:trPr>
        <w:tc>
          <w:tcPr>
            <w:tcW w:w="632" w:type="dxa"/>
          </w:tcPr>
          <w:p>
            <w:pPr>
              <w:spacing w:line="279" w:lineRule="auto"/>
              <w:rPr>
                <w:rFonts w:ascii="Arial"/>
              </w:rPr>
            </w:pPr>
          </w:p>
          <w:p>
            <w:pPr>
              <w:spacing w:line="279" w:lineRule="auto"/>
              <w:rPr>
                <w:rFonts w:ascii="Arial"/>
              </w:rPr>
            </w:pPr>
          </w:p>
          <w:p>
            <w:pPr>
              <w:spacing w:line="279" w:lineRule="auto"/>
              <w:rPr>
                <w:rFonts w:ascii="Arial"/>
              </w:rPr>
            </w:pPr>
          </w:p>
          <w:p>
            <w:pPr>
              <w:pStyle w:val="234"/>
              <w:spacing w:before="61" w:line="190" w:lineRule="auto"/>
              <w:ind w:left="209"/>
              <w:rPr>
                <w:rFonts w:hint="eastAsia"/>
              </w:rPr>
            </w:pPr>
            <w:r>
              <w:rPr>
                <w:spacing w:val="-7"/>
              </w:rPr>
              <w:t>13</w:t>
            </w:r>
          </w:p>
        </w:tc>
        <w:tc>
          <w:tcPr>
            <w:tcW w:w="1275" w:type="dxa"/>
          </w:tcPr>
          <w:p>
            <w:pPr>
              <w:spacing w:line="325" w:lineRule="auto"/>
              <w:rPr>
                <w:rFonts w:ascii="Arial"/>
              </w:rPr>
            </w:pPr>
          </w:p>
          <w:p>
            <w:pPr>
              <w:spacing w:line="326" w:lineRule="auto"/>
              <w:rPr>
                <w:rFonts w:ascii="Arial"/>
              </w:rPr>
            </w:pPr>
          </w:p>
          <w:p>
            <w:pPr>
              <w:pStyle w:val="234"/>
              <w:spacing w:before="62" w:line="289" w:lineRule="auto"/>
              <w:ind w:left="16" w:right="8" w:firstLine="2"/>
              <w:rPr>
                <w:rFonts w:hint="eastAsia"/>
              </w:rPr>
            </w:pPr>
            <w:r>
              <w:rPr>
                <w:spacing w:val="4"/>
              </w:rPr>
              <w:t>★A020911</w:t>
            </w:r>
            <w:r>
              <w:rPr>
                <w:spacing w:val="-44"/>
              </w:rPr>
              <w:t xml:space="preserve"> </w:t>
            </w:r>
            <w:r>
              <w:rPr>
                <w:spacing w:val="4"/>
              </w:rPr>
              <w:t>视</w:t>
            </w:r>
            <w:r>
              <w:t xml:space="preserve"> </w:t>
            </w:r>
            <w:r>
              <w:rPr>
                <w:spacing w:val="6"/>
              </w:rPr>
              <w:t>频设备</w:t>
            </w:r>
          </w:p>
        </w:tc>
        <w:tc>
          <w:tcPr>
            <w:tcW w:w="1967" w:type="dxa"/>
          </w:tcPr>
          <w:p>
            <w:pPr>
              <w:spacing w:line="325" w:lineRule="auto"/>
              <w:rPr>
                <w:rFonts w:ascii="Arial"/>
              </w:rPr>
            </w:pPr>
          </w:p>
          <w:p>
            <w:pPr>
              <w:spacing w:line="326" w:lineRule="auto"/>
              <w:rPr>
                <w:rFonts w:ascii="Arial"/>
              </w:rPr>
            </w:pPr>
          </w:p>
          <w:p>
            <w:pPr>
              <w:pStyle w:val="234"/>
              <w:spacing w:before="62" w:line="289" w:lineRule="auto"/>
              <w:ind w:left="18" w:right="10" w:hanging="9"/>
              <w:rPr>
                <w:rFonts w:hint="eastAsia"/>
              </w:rPr>
            </w:pPr>
            <w:r>
              <w:rPr>
                <w:spacing w:val="4"/>
              </w:rPr>
              <w:t>A02091107 视频监控</w:t>
            </w:r>
            <w:r>
              <w:rPr>
                <w:spacing w:val="7"/>
              </w:rPr>
              <w:t xml:space="preserve"> </w:t>
            </w:r>
            <w:r>
              <w:rPr>
                <w:spacing w:val="3"/>
              </w:rPr>
              <w:t>设备</w:t>
            </w:r>
          </w:p>
        </w:tc>
        <w:tc>
          <w:tcPr>
            <w:tcW w:w="2093" w:type="dxa"/>
          </w:tcPr>
          <w:p>
            <w:pPr>
              <w:spacing w:line="268" w:lineRule="auto"/>
              <w:rPr>
                <w:rFonts w:ascii="Arial"/>
              </w:rPr>
            </w:pPr>
          </w:p>
          <w:p>
            <w:pPr>
              <w:spacing w:line="269" w:lineRule="auto"/>
              <w:rPr>
                <w:rFonts w:ascii="Arial"/>
              </w:rPr>
            </w:pPr>
          </w:p>
          <w:p>
            <w:pPr>
              <w:spacing w:line="269" w:lineRule="auto"/>
              <w:rPr>
                <w:rFonts w:ascii="Arial"/>
              </w:rPr>
            </w:pPr>
          </w:p>
          <w:p>
            <w:pPr>
              <w:pStyle w:val="234"/>
              <w:spacing w:before="62" w:line="230" w:lineRule="auto"/>
              <w:ind w:left="17"/>
              <w:rPr>
                <w:rFonts w:hint="eastAsia"/>
              </w:rPr>
            </w:pPr>
            <w:r>
              <w:rPr>
                <w:spacing w:val="6"/>
              </w:rPr>
              <w:t>监视器</w:t>
            </w:r>
          </w:p>
        </w:tc>
        <w:tc>
          <w:tcPr>
            <w:tcW w:w="3247" w:type="dxa"/>
          </w:tcPr>
          <w:p>
            <w:pPr>
              <w:pStyle w:val="234"/>
              <w:spacing w:before="94" w:line="293" w:lineRule="auto"/>
              <w:ind w:left="17" w:right="11" w:firstLine="23"/>
              <w:rPr>
                <w:rFonts w:hint="eastAsia"/>
                <w:lang w:eastAsia="zh-CN"/>
              </w:rPr>
            </w:pPr>
            <w:r>
              <w:rPr>
                <w:spacing w:val="18"/>
                <w:lang w:eastAsia="zh-CN"/>
              </w:rPr>
              <w:t>以射频信号为主要信号输入的监</w:t>
            </w:r>
            <w:r>
              <w:rPr>
                <w:lang w:eastAsia="zh-CN"/>
              </w:rPr>
              <w:t xml:space="preserve"> </w:t>
            </w:r>
            <w:r>
              <w:rPr>
                <w:spacing w:val="5"/>
                <w:lang w:eastAsia="zh-CN"/>
              </w:rPr>
              <w:t>视器应符合《平板电视能效限定值</w:t>
            </w:r>
            <w:r>
              <w:rPr>
                <w:spacing w:val="7"/>
                <w:lang w:eastAsia="zh-CN"/>
              </w:rPr>
              <w:t xml:space="preserve"> </w:t>
            </w:r>
            <w:r>
              <w:rPr>
                <w:spacing w:val="8"/>
                <w:lang w:eastAsia="zh-CN"/>
              </w:rPr>
              <w:t>及能效等级》（</w:t>
            </w:r>
            <w:r>
              <w:rPr>
                <w:lang w:eastAsia="zh-CN"/>
              </w:rPr>
              <w:t>GB</w:t>
            </w:r>
            <w:r>
              <w:rPr>
                <w:spacing w:val="8"/>
                <w:lang w:eastAsia="zh-CN"/>
              </w:rPr>
              <w:t xml:space="preserve"> 24850</w:t>
            </w:r>
            <w:r>
              <w:rPr>
                <w:lang w:eastAsia="zh-CN"/>
              </w:rPr>
              <w:t>），</w:t>
            </w:r>
          </w:p>
          <w:p>
            <w:pPr>
              <w:pStyle w:val="234"/>
              <w:spacing w:before="31" w:line="290" w:lineRule="auto"/>
              <w:ind w:left="17" w:right="11" w:firstLine="23"/>
              <w:rPr>
                <w:rFonts w:hint="eastAsia"/>
                <w:lang w:eastAsia="zh-CN"/>
              </w:rPr>
            </w:pPr>
            <w:r>
              <w:rPr>
                <w:spacing w:val="18"/>
                <w:lang w:eastAsia="zh-CN"/>
              </w:rPr>
              <w:t>以数字信号为主要信号输入的监</w:t>
            </w:r>
            <w:r>
              <w:rPr>
                <w:lang w:eastAsia="zh-CN"/>
              </w:rPr>
              <w:t xml:space="preserve"> </w:t>
            </w:r>
            <w:r>
              <w:rPr>
                <w:spacing w:val="5"/>
                <w:lang w:eastAsia="zh-CN"/>
              </w:rPr>
              <w:t>视器应符合《计算机显示器能效限</w:t>
            </w:r>
            <w:r>
              <w:rPr>
                <w:spacing w:val="7"/>
                <w:lang w:eastAsia="zh-CN"/>
              </w:rPr>
              <w:t xml:space="preserve"> 定值及能效等级》（</w:t>
            </w:r>
            <w:r>
              <w:rPr>
                <w:lang w:eastAsia="zh-CN"/>
              </w:rPr>
              <w:t>GB</w:t>
            </w:r>
            <w:r>
              <w:rPr>
                <w:spacing w:val="7"/>
                <w:lang w:eastAsia="zh-CN"/>
              </w:rPr>
              <w:t xml:space="preserve"> 21520）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82" w:hRule="atLeast"/>
          <w:jc w:val="center"/>
        </w:trPr>
        <w:tc>
          <w:tcPr>
            <w:tcW w:w="632" w:type="dxa"/>
          </w:tcPr>
          <w:p>
            <w:pPr>
              <w:spacing w:line="265" w:lineRule="auto"/>
              <w:rPr>
                <w:rFonts w:ascii="Arial"/>
              </w:rPr>
            </w:pPr>
          </w:p>
          <w:p>
            <w:pPr>
              <w:pStyle w:val="234"/>
              <w:spacing w:before="62" w:line="190" w:lineRule="auto"/>
              <w:ind w:left="209"/>
              <w:rPr>
                <w:rFonts w:hint="eastAsia"/>
              </w:rPr>
            </w:pPr>
            <w:r>
              <w:rPr>
                <w:spacing w:val="-7"/>
              </w:rPr>
              <w:t>14</w:t>
            </w:r>
          </w:p>
        </w:tc>
        <w:tc>
          <w:tcPr>
            <w:tcW w:w="1275" w:type="dxa"/>
          </w:tcPr>
          <w:p>
            <w:pPr>
              <w:pStyle w:val="234"/>
              <w:spacing w:before="141" w:line="288" w:lineRule="auto"/>
              <w:ind w:left="15" w:right="8" w:hanging="6"/>
              <w:rPr>
                <w:rFonts w:hint="eastAsia"/>
              </w:rPr>
            </w:pPr>
            <w:r>
              <w:rPr>
                <w:spacing w:val="5"/>
              </w:rPr>
              <w:t>A031210</w:t>
            </w:r>
            <w:r>
              <w:rPr>
                <w:spacing w:val="-43"/>
              </w:rPr>
              <w:t xml:space="preserve"> </w:t>
            </w:r>
            <w:r>
              <w:rPr>
                <w:spacing w:val="5"/>
              </w:rPr>
              <w:t>饮食</w:t>
            </w:r>
            <w:r>
              <w:t xml:space="preserve"> </w:t>
            </w:r>
            <w:r>
              <w:rPr>
                <w:spacing w:val="7"/>
              </w:rPr>
              <w:t>炊事机械</w:t>
            </w:r>
          </w:p>
        </w:tc>
        <w:tc>
          <w:tcPr>
            <w:tcW w:w="1967" w:type="dxa"/>
          </w:tcPr>
          <w:p>
            <w:pPr>
              <w:pStyle w:val="234"/>
              <w:spacing w:before="297" w:line="230" w:lineRule="auto"/>
              <w:ind w:left="19"/>
              <w:rPr>
                <w:rFonts w:hint="eastAsia"/>
              </w:rPr>
            </w:pPr>
            <w:r>
              <w:rPr>
                <w:spacing w:val="7"/>
              </w:rPr>
              <w:t>商用燃气灶具</w:t>
            </w:r>
          </w:p>
        </w:tc>
        <w:tc>
          <w:tcPr>
            <w:tcW w:w="2093" w:type="dxa"/>
          </w:tcPr>
          <w:p>
            <w:pPr>
              <w:rPr>
                <w:rFonts w:ascii="Arial"/>
              </w:rPr>
            </w:pPr>
          </w:p>
        </w:tc>
        <w:tc>
          <w:tcPr>
            <w:tcW w:w="3247" w:type="dxa"/>
          </w:tcPr>
          <w:p>
            <w:pPr>
              <w:pStyle w:val="234"/>
              <w:spacing w:before="142" w:line="288" w:lineRule="auto"/>
              <w:ind w:left="22" w:right="11"/>
              <w:rPr>
                <w:rFonts w:hint="eastAsia"/>
                <w:lang w:eastAsia="zh-CN"/>
              </w:rPr>
            </w:pPr>
            <w:r>
              <w:rPr>
                <w:spacing w:val="19"/>
                <w:lang w:eastAsia="zh-CN"/>
              </w:rPr>
              <w:t>《商用燃气灶具能效限定值及能</w:t>
            </w:r>
            <w:r>
              <w:rPr>
                <w:spacing w:val="2"/>
                <w:lang w:eastAsia="zh-CN"/>
              </w:rPr>
              <w:t xml:space="preserve"> </w:t>
            </w:r>
            <w:r>
              <w:rPr>
                <w:spacing w:val="6"/>
                <w:lang w:eastAsia="zh-CN"/>
              </w:rPr>
              <w:t>效等级》（</w:t>
            </w:r>
            <w:r>
              <w:rPr>
                <w:lang w:eastAsia="zh-CN"/>
              </w:rPr>
              <w:t>GB</w:t>
            </w:r>
            <w:r>
              <w:rPr>
                <w:spacing w:val="6"/>
                <w:lang w:eastAsia="zh-CN"/>
              </w:rPr>
              <w:t xml:space="preserve"> 30531）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jc w:val="center"/>
        </w:trPr>
        <w:tc>
          <w:tcPr>
            <w:tcW w:w="632" w:type="dxa"/>
            <w:vMerge w:val="restart"/>
            <w:tcBorders>
              <w:bottom w:val="nil"/>
            </w:tcBorders>
          </w:tcPr>
          <w:p>
            <w:pPr>
              <w:spacing w:line="298" w:lineRule="auto"/>
              <w:rPr>
                <w:rFonts w:ascii="Arial"/>
              </w:rPr>
            </w:pPr>
          </w:p>
          <w:p>
            <w:pPr>
              <w:spacing w:line="298" w:lineRule="auto"/>
              <w:rPr>
                <w:rFonts w:ascii="Arial"/>
              </w:rPr>
            </w:pPr>
          </w:p>
          <w:p>
            <w:pPr>
              <w:spacing w:line="298" w:lineRule="auto"/>
              <w:rPr>
                <w:rFonts w:ascii="Arial"/>
              </w:rPr>
            </w:pPr>
          </w:p>
          <w:p>
            <w:pPr>
              <w:spacing w:line="299" w:lineRule="auto"/>
              <w:rPr>
                <w:rFonts w:ascii="Arial"/>
              </w:rPr>
            </w:pPr>
          </w:p>
          <w:p>
            <w:pPr>
              <w:pStyle w:val="234"/>
              <w:spacing w:before="62" w:line="190" w:lineRule="auto"/>
              <w:ind w:left="209"/>
              <w:rPr>
                <w:rFonts w:hint="eastAsia"/>
              </w:rPr>
            </w:pPr>
            <w:r>
              <w:rPr>
                <w:spacing w:val="-7"/>
              </w:rPr>
              <w:t>15</w:t>
            </w:r>
          </w:p>
        </w:tc>
        <w:tc>
          <w:tcPr>
            <w:tcW w:w="1275" w:type="dxa"/>
            <w:vMerge w:val="restart"/>
            <w:tcBorders>
              <w:bottom w:val="nil"/>
            </w:tcBorders>
          </w:tcPr>
          <w:p>
            <w:pPr>
              <w:spacing w:line="251" w:lineRule="auto"/>
              <w:rPr>
                <w:rFonts w:ascii="Arial"/>
              </w:rPr>
            </w:pPr>
          </w:p>
          <w:p>
            <w:pPr>
              <w:spacing w:line="251" w:lineRule="auto"/>
              <w:rPr>
                <w:rFonts w:ascii="Arial"/>
              </w:rPr>
            </w:pPr>
          </w:p>
          <w:p>
            <w:pPr>
              <w:spacing w:line="251" w:lineRule="auto"/>
              <w:rPr>
                <w:rFonts w:ascii="Arial"/>
              </w:rPr>
            </w:pPr>
          </w:p>
          <w:p>
            <w:pPr>
              <w:pStyle w:val="234"/>
              <w:spacing w:before="62" w:line="291" w:lineRule="auto"/>
              <w:ind w:left="15" w:right="8" w:firstLine="3"/>
              <w:rPr>
                <w:rFonts w:hint="eastAsia"/>
              </w:rPr>
            </w:pPr>
            <w:r>
              <w:rPr>
                <w:spacing w:val="3"/>
              </w:rPr>
              <w:t>★A060805</w:t>
            </w:r>
            <w:r>
              <w:rPr>
                <w:spacing w:val="-35"/>
              </w:rPr>
              <w:t xml:space="preserve"> </w:t>
            </w:r>
            <w:r>
              <w:rPr>
                <w:spacing w:val="3"/>
              </w:rPr>
              <w:t>便</w:t>
            </w:r>
            <w:r>
              <w:t xml:space="preserve"> </w:t>
            </w:r>
            <w:r>
              <w:rPr>
                <w:spacing w:val="1"/>
              </w:rPr>
              <w:t>器</w:t>
            </w:r>
          </w:p>
        </w:tc>
        <w:tc>
          <w:tcPr>
            <w:tcW w:w="1967" w:type="dxa"/>
          </w:tcPr>
          <w:p>
            <w:pPr>
              <w:spacing w:line="282" w:lineRule="auto"/>
              <w:rPr>
                <w:rFonts w:ascii="Arial"/>
              </w:rPr>
            </w:pPr>
          </w:p>
          <w:p>
            <w:pPr>
              <w:pStyle w:val="234"/>
              <w:spacing w:before="62" w:line="229" w:lineRule="auto"/>
              <w:ind w:left="16"/>
              <w:rPr>
                <w:rFonts w:hint="eastAsia"/>
              </w:rPr>
            </w:pPr>
            <w:r>
              <w:rPr>
                <w:spacing w:val="6"/>
              </w:rPr>
              <w:t>坐便器</w:t>
            </w:r>
          </w:p>
        </w:tc>
        <w:tc>
          <w:tcPr>
            <w:tcW w:w="2093" w:type="dxa"/>
          </w:tcPr>
          <w:p>
            <w:pPr>
              <w:rPr>
                <w:rFonts w:ascii="Arial"/>
              </w:rPr>
            </w:pPr>
          </w:p>
        </w:tc>
        <w:tc>
          <w:tcPr>
            <w:tcW w:w="3247" w:type="dxa"/>
          </w:tcPr>
          <w:p>
            <w:pPr>
              <w:pStyle w:val="234"/>
              <w:spacing w:before="189" w:line="295" w:lineRule="auto"/>
              <w:ind w:left="27" w:hanging="4"/>
              <w:rPr>
                <w:rFonts w:hint="eastAsia"/>
                <w:lang w:eastAsia="zh-CN"/>
              </w:rPr>
            </w:pPr>
            <w:r>
              <w:rPr>
                <w:spacing w:val="6"/>
                <w:lang w:eastAsia="zh-CN"/>
              </w:rPr>
              <w:t>《坐便器水效限定值及水效等级》</w:t>
            </w:r>
            <w:r>
              <w:rPr>
                <w:lang w:eastAsia="zh-CN"/>
              </w:rPr>
              <w:t xml:space="preserve"> </w:t>
            </w:r>
            <w:r>
              <w:rPr>
                <w:spacing w:val="1"/>
                <w:lang w:eastAsia="zh-CN"/>
              </w:rPr>
              <w:t>（</w:t>
            </w:r>
            <w:r>
              <w:rPr>
                <w:lang w:eastAsia="zh-CN"/>
              </w:rPr>
              <w:t>GB</w:t>
            </w:r>
            <w:r>
              <w:rPr>
                <w:spacing w:val="15"/>
                <w:lang w:eastAsia="zh-CN"/>
              </w:rPr>
              <w:t xml:space="preserve"> </w:t>
            </w:r>
            <w:r>
              <w:rPr>
                <w:spacing w:val="1"/>
                <w:lang w:eastAsia="zh-CN"/>
              </w:rPr>
              <w:t>25502）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80" w:hRule="atLeast"/>
          <w:jc w:val="center"/>
        </w:trPr>
        <w:tc>
          <w:tcPr>
            <w:tcW w:w="632" w:type="dxa"/>
            <w:vMerge w:val="continue"/>
            <w:tcBorders>
              <w:top w:val="nil"/>
              <w:bottom w:val="nil"/>
            </w:tcBorders>
          </w:tcPr>
          <w:p>
            <w:pPr>
              <w:rPr>
                <w:rFonts w:ascii="Arial"/>
              </w:rPr>
            </w:pPr>
          </w:p>
        </w:tc>
        <w:tc>
          <w:tcPr>
            <w:tcW w:w="1275" w:type="dxa"/>
            <w:vMerge w:val="continue"/>
            <w:tcBorders>
              <w:top w:val="nil"/>
              <w:bottom w:val="nil"/>
            </w:tcBorders>
          </w:tcPr>
          <w:p>
            <w:pPr>
              <w:rPr>
                <w:rFonts w:ascii="Arial"/>
              </w:rPr>
            </w:pPr>
          </w:p>
        </w:tc>
        <w:tc>
          <w:tcPr>
            <w:tcW w:w="1967" w:type="dxa"/>
          </w:tcPr>
          <w:p>
            <w:pPr>
              <w:spacing w:line="283" w:lineRule="auto"/>
              <w:rPr>
                <w:rFonts w:ascii="Arial"/>
              </w:rPr>
            </w:pPr>
          </w:p>
          <w:p>
            <w:pPr>
              <w:pStyle w:val="234"/>
              <w:spacing w:before="62" w:line="229" w:lineRule="auto"/>
              <w:ind w:left="14"/>
              <w:rPr>
                <w:rFonts w:hint="eastAsia"/>
              </w:rPr>
            </w:pPr>
            <w:r>
              <w:rPr>
                <w:spacing w:val="6"/>
              </w:rPr>
              <w:t>蹲便器</w:t>
            </w:r>
          </w:p>
        </w:tc>
        <w:tc>
          <w:tcPr>
            <w:tcW w:w="2093" w:type="dxa"/>
          </w:tcPr>
          <w:p>
            <w:pPr>
              <w:rPr>
                <w:rFonts w:ascii="Arial"/>
              </w:rPr>
            </w:pPr>
          </w:p>
        </w:tc>
        <w:tc>
          <w:tcPr>
            <w:tcW w:w="3247" w:type="dxa"/>
          </w:tcPr>
          <w:p>
            <w:pPr>
              <w:pStyle w:val="234"/>
              <w:spacing w:before="191" w:line="288" w:lineRule="auto"/>
              <w:ind w:left="22" w:right="11"/>
              <w:rPr>
                <w:rFonts w:hint="eastAsia"/>
                <w:lang w:eastAsia="zh-CN"/>
              </w:rPr>
            </w:pPr>
            <w:r>
              <w:rPr>
                <w:spacing w:val="19"/>
                <w:lang w:eastAsia="zh-CN"/>
              </w:rPr>
              <w:t>《蹲便器用水效率限定值及用水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30717）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88" w:hRule="atLeast"/>
          <w:jc w:val="center"/>
        </w:trPr>
        <w:tc>
          <w:tcPr>
            <w:tcW w:w="632" w:type="dxa"/>
            <w:vMerge w:val="continue"/>
            <w:tcBorders>
              <w:top w:val="nil"/>
            </w:tcBorders>
          </w:tcPr>
          <w:p>
            <w:pPr>
              <w:rPr>
                <w:rFonts w:ascii="Arial"/>
              </w:rPr>
            </w:pPr>
          </w:p>
        </w:tc>
        <w:tc>
          <w:tcPr>
            <w:tcW w:w="1275" w:type="dxa"/>
            <w:vMerge w:val="continue"/>
            <w:tcBorders>
              <w:top w:val="nil"/>
            </w:tcBorders>
          </w:tcPr>
          <w:p>
            <w:pPr>
              <w:rPr>
                <w:rFonts w:ascii="Arial"/>
              </w:rPr>
            </w:pPr>
          </w:p>
        </w:tc>
        <w:tc>
          <w:tcPr>
            <w:tcW w:w="1967" w:type="dxa"/>
          </w:tcPr>
          <w:p>
            <w:pPr>
              <w:spacing w:line="284" w:lineRule="auto"/>
              <w:rPr>
                <w:rFonts w:ascii="Arial"/>
              </w:rPr>
            </w:pPr>
          </w:p>
          <w:p>
            <w:pPr>
              <w:pStyle w:val="234"/>
              <w:spacing w:before="61" w:line="229" w:lineRule="auto"/>
              <w:ind w:left="20"/>
              <w:rPr>
                <w:rFonts w:hint="eastAsia"/>
              </w:rPr>
            </w:pPr>
            <w:r>
              <w:rPr>
                <w:spacing w:val="4"/>
              </w:rPr>
              <w:t>小便器</w:t>
            </w:r>
          </w:p>
        </w:tc>
        <w:tc>
          <w:tcPr>
            <w:tcW w:w="2093" w:type="dxa"/>
          </w:tcPr>
          <w:p>
            <w:pPr>
              <w:rPr>
                <w:rFonts w:ascii="Arial"/>
              </w:rPr>
            </w:pPr>
          </w:p>
        </w:tc>
        <w:tc>
          <w:tcPr>
            <w:tcW w:w="3247" w:type="dxa"/>
          </w:tcPr>
          <w:p>
            <w:pPr>
              <w:pStyle w:val="234"/>
              <w:spacing w:before="191" w:line="288" w:lineRule="auto"/>
              <w:ind w:left="22" w:right="11"/>
              <w:rPr>
                <w:rFonts w:hint="eastAsia"/>
                <w:lang w:eastAsia="zh-CN"/>
              </w:rPr>
            </w:pPr>
            <w:r>
              <w:rPr>
                <w:spacing w:val="19"/>
                <w:lang w:eastAsia="zh-CN"/>
              </w:rPr>
              <w:t>《小便器用水效率限定值及用水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28377）</w:t>
            </w:r>
          </w:p>
        </w:tc>
      </w:tr>
    </w:tbl>
    <w:p>
      <w:pPr>
        <w:rPr>
          <w:rFonts w:ascii="Arial"/>
        </w:rPr>
      </w:pPr>
    </w:p>
    <w:p>
      <w:pPr>
        <w:rPr>
          <w:rFonts w:ascii="Arial" w:hAnsi="Arial" w:eastAsia="Arial" w:cs="Arial"/>
          <w:szCs w:val="21"/>
        </w:rPr>
        <w:sectPr>
          <w:pgSz w:w="11906" w:h="16838"/>
          <w:pgMar w:top="1431" w:right="1691" w:bottom="0" w:left="1783" w:header="0" w:footer="0" w:gutter="0"/>
          <w:cols w:space="720" w:num="1"/>
        </w:sectPr>
      </w:pPr>
    </w:p>
    <w:p>
      <w:pPr>
        <w:spacing w:line="91" w:lineRule="auto"/>
        <w:rPr>
          <w:rFonts w:ascii="Arial"/>
          <w:sz w:val="2"/>
        </w:rPr>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1" w:hRule="atLeast"/>
          <w:jc w:val="center"/>
        </w:trPr>
        <w:tc>
          <w:tcPr>
            <w:tcW w:w="632" w:type="dxa"/>
          </w:tcPr>
          <w:p>
            <w:pPr>
              <w:spacing w:line="342" w:lineRule="auto"/>
              <w:rPr>
                <w:rFonts w:ascii="Arial"/>
              </w:rPr>
            </w:pPr>
          </w:p>
          <w:p>
            <w:pPr>
              <w:pStyle w:val="234"/>
              <w:spacing w:before="62" w:line="190" w:lineRule="auto"/>
              <w:ind w:left="209"/>
              <w:rPr>
                <w:rFonts w:hint="eastAsia"/>
              </w:rPr>
            </w:pPr>
            <w:r>
              <w:rPr>
                <w:spacing w:val="-7"/>
              </w:rPr>
              <w:t>16</w:t>
            </w:r>
          </w:p>
        </w:tc>
        <w:tc>
          <w:tcPr>
            <w:tcW w:w="1275" w:type="dxa"/>
          </w:tcPr>
          <w:p>
            <w:pPr>
              <w:pStyle w:val="234"/>
              <w:spacing w:before="220" w:line="288" w:lineRule="auto"/>
              <w:ind w:left="22" w:right="8" w:hanging="4"/>
              <w:rPr>
                <w:rFonts w:hint="eastAsia"/>
              </w:rPr>
            </w:pPr>
            <w:r>
              <w:rPr>
                <w:spacing w:val="3"/>
              </w:rPr>
              <w:t>★A060806</w:t>
            </w:r>
            <w:r>
              <w:rPr>
                <w:spacing w:val="-35"/>
              </w:rPr>
              <w:t xml:space="preserve"> </w:t>
            </w:r>
            <w:r>
              <w:rPr>
                <w:spacing w:val="3"/>
              </w:rPr>
              <w:t>水</w:t>
            </w:r>
            <w:r>
              <w:t xml:space="preserve"> 嘴</w:t>
            </w:r>
          </w:p>
        </w:tc>
        <w:tc>
          <w:tcPr>
            <w:tcW w:w="1967" w:type="dxa"/>
          </w:tcPr>
          <w:p>
            <w:pPr>
              <w:rPr>
                <w:rFonts w:ascii="Arial"/>
              </w:rPr>
            </w:pPr>
          </w:p>
        </w:tc>
        <w:tc>
          <w:tcPr>
            <w:tcW w:w="2093" w:type="dxa"/>
          </w:tcPr>
          <w:p>
            <w:pPr>
              <w:rPr>
                <w:rFonts w:ascii="Arial"/>
              </w:rPr>
            </w:pPr>
          </w:p>
        </w:tc>
        <w:tc>
          <w:tcPr>
            <w:tcW w:w="3247" w:type="dxa"/>
          </w:tcPr>
          <w:p>
            <w:pPr>
              <w:pStyle w:val="234"/>
              <w:spacing w:before="220" w:line="288" w:lineRule="auto"/>
              <w:ind w:left="19" w:right="11" w:firstLine="3"/>
              <w:rPr>
                <w:rFonts w:hint="eastAsia"/>
                <w:lang w:eastAsia="zh-CN"/>
              </w:rPr>
            </w:pPr>
            <w:r>
              <w:rPr>
                <w:spacing w:val="19"/>
                <w:lang w:eastAsia="zh-CN"/>
              </w:rPr>
              <w:t>《水嘴用水效率限定值及用水效</w:t>
            </w:r>
            <w:r>
              <w:rPr>
                <w:spacing w:val="2"/>
                <w:lang w:eastAsia="zh-CN"/>
              </w:rPr>
              <w:t xml:space="preserve"> </w:t>
            </w:r>
            <w:r>
              <w:rPr>
                <w:spacing w:val="6"/>
                <w:lang w:eastAsia="zh-CN"/>
              </w:rPr>
              <w:t>率等级》（</w:t>
            </w:r>
            <w:r>
              <w:rPr>
                <w:lang w:eastAsia="zh-CN"/>
              </w:rPr>
              <w:t>GB</w:t>
            </w:r>
            <w:r>
              <w:rPr>
                <w:spacing w:val="6"/>
                <w:lang w:eastAsia="zh-CN"/>
              </w:rPr>
              <w:t xml:space="preserve"> 25501）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jc w:val="center"/>
        </w:trPr>
        <w:tc>
          <w:tcPr>
            <w:tcW w:w="632" w:type="dxa"/>
          </w:tcPr>
          <w:p>
            <w:pPr>
              <w:spacing w:line="299" w:lineRule="auto"/>
              <w:rPr>
                <w:rFonts w:ascii="Arial"/>
              </w:rPr>
            </w:pPr>
          </w:p>
          <w:p>
            <w:pPr>
              <w:pStyle w:val="234"/>
              <w:spacing w:before="62" w:line="190" w:lineRule="auto"/>
              <w:ind w:left="209"/>
              <w:rPr>
                <w:rFonts w:hint="eastAsia"/>
              </w:rPr>
            </w:pPr>
            <w:r>
              <w:rPr>
                <w:spacing w:val="-7"/>
              </w:rPr>
              <w:t>17</w:t>
            </w:r>
          </w:p>
        </w:tc>
        <w:tc>
          <w:tcPr>
            <w:tcW w:w="1275" w:type="dxa"/>
          </w:tcPr>
          <w:p>
            <w:pPr>
              <w:pStyle w:val="234"/>
              <w:spacing w:before="176" w:line="289" w:lineRule="auto"/>
              <w:ind w:left="15" w:right="8" w:hanging="6"/>
              <w:rPr>
                <w:rFonts w:hint="eastAsia"/>
              </w:rPr>
            </w:pPr>
            <w:r>
              <w:rPr>
                <w:spacing w:val="5"/>
              </w:rPr>
              <w:t>A060807</w:t>
            </w:r>
            <w:r>
              <w:rPr>
                <w:spacing w:val="-43"/>
              </w:rPr>
              <w:t xml:space="preserve"> </w:t>
            </w:r>
            <w:r>
              <w:rPr>
                <w:spacing w:val="5"/>
              </w:rPr>
              <w:t>便器</w:t>
            </w:r>
            <w:r>
              <w:t xml:space="preserve"> </w:t>
            </w:r>
            <w:r>
              <w:rPr>
                <w:spacing w:val="6"/>
              </w:rPr>
              <w:t>冲洗阀</w:t>
            </w:r>
          </w:p>
        </w:tc>
        <w:tc>
          <w:tcPr>
            <w:tcW w:w="1967" w:type="dxa"/>
          </w:tcPr>
          <w:p>
            <w:pPr>
              <w:rPr>
                <w:rFonts w:ascii="Arial"/>
              </w:rPr>
            </w:pPr>
          </w:p>
        </w:tc>
        <w:tc>
          <w:tcPr>
            <w:tcW w:w="2093" w:type="dxa"/>
          </w:tcPr>
          <w:p>
            <w:pPr>
              <w:rPr>
                <w:rFonts w:ascii="Arial"/>
              </w:rPr>
            </w:pPr>
          </w:p>
        </w:tc>
        <w:tc>
          <w:tcPr>
            <w:tcW w:w="3247" w:type="dxa"/>
          </w:tcPr>
          <w:p>
            <w:pPr>
              <w:pStyle w:val="234"/>
              <w:spacing w:before="176" w:line="288" w:lineRule="auto"/>
              <w:ind w:left="19" w:right="11" w:firstLine="3"/>
              <w:rPr>
                <w:rFonts w:hint="eastAsia"/>
                <w:lang w:eastAsia="zh-CN"/>
              </w:rPr>
            </w:pPr>
            <w:r>
              <w:rPr>
                <w:spacing w:val="19"/>
                <w:lang w:eastAsia="zh-CN"/>
              </w:rPr>
              <w:t>《便器冲洗阀用水效率限定值及</w:t>
            </w:r>
            <w:r>
              <w:rPr>
                <w:spacing w:val="2"/>
                <w:lang w:eastAsia="zh-CN"/>
              </w:rPr>
              <w:t xml:space="preserve"> </w:t>
            </w:r>
            <w:r>
              <w:rPr>
                <w:spacing w:val="7"/>
                <w:lang w:eastAsia="zh-CN"/>
              </w:rPr>
              <w:t>用水效率等级》（</w:t>
            </w:r>
            <w:r>
              <w:rPr>
                <w:lang w:eastAsia="zh-CN"/>
              </w:rPr>
              <w:t>GB</w:t>
            </w:r>
            <w:r>
              <w:rPr>
                <w:spacing w:val="7"/>
                <w:lang w:eastAsia="zh-CN"/>
              </w:rPr>
              <w:t xml:space="preserve"> 28379）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jc w:val="center"/>
        </w:trPr>
        <w:tc>
          <w:tcPr>
            <w:tcW w:w="632" w:type="dxa"/>
          </w:tcPr>
          <w:p>
            <w:pPr>
              <w:spacing w:line="320" w:lineRule="auto"/>
              <w:rPr>
                <w:rFonts w:ascii="Arial"/>
              </w:rPr>
            </w:pPr>
          </w:p>
          <w:p>
            <w:pPr>
              <w:pStyle w:val="234"/>
              <w:spacing w:before="61" w:line="190" w:lineRule="auto"/>
              <w:ind w:left="209"/>
              <w:rPr>
                <w:rFonts w:hint="eastAsia"/>
              </w:rPr>
            </w:pPr>
            <w:r>
              <w:rPr>
                <w:spacing w:val="-7"/>
              </w:rPr>
              <w:t>18</w:t>
            </w:r>
          </w:p>
        </w:tc>
        <w:tc>
          <w:tcPr>
            <w:tcW w:w="1275" w:type="dxa"/>
          </w:tcPr>
          <w:p>
            <w:pPr>
              <w:pStyle w:val="234"/>
              <w:spacing w:before="196" w:line="291" w:lineRule="auto"/>
              <w:ind w:left="15" w:right="8" w:hanging="6"/>
              <w:rPr>
                <w:rFonts w:hint="eastAsia"/>
              </w:rPr>
            </w:pPr>
            <w:r>
              <w:rPr>
                <w:spacing w:val="4"/>
              </w:rPr>
              <w:t>A060810</w:t>
            </w:r>
            <w:r>
              <w:rPr>
                <w:spacing w:val="-34"/>
              </w:rPr>
              <w:t xml:space="preserve"> </w:t>
            </w:r>
            <w:r>
              <w:rPr>
                <w:spacing w:val="4"/>
              </w:rPr>
              <w:t>淋浴</w:t>
            </w:r>
            <w:r>
              <w:t xml:space="preserve"> </w:t>
            </w:r>
            <w:r>
              <w:rPr>
                <w:spacing w:val="1"/>
              </w:rPr>
              <w:t>器</w:t>
            </w:r>
          </w:p>
        </w:tc>
        <w:tc>
          <w:tcPr>
            <w:tcW w:w="1967" w:type="dxa"/>
          </w:tcPr>
          <w:p>
            <w:pPr>
              <w:rPr>
                <w:rFonts w:ascii="Arial"/>
              </w:rPr>
            </w:pPr>
          </w:p>
        </w:tc>
        <w:tc>
          <w:tcPr>
            <w:tcW w:w="2093" w:type="dxa"/>
          </w:tcPr>
          <w:p>
            <w:pPr>
              <w:rPr>
                <w:rFonts w:ascii="Arial"/>
              </w:rPr>
            </w:pPr>
          </w:p>
        </w:tc>
        <w:tc>
          <w:tcPr>
            <w:tcW w:w="3247" w:type="dxa"/>
          </w:tcPr>
          <w:p>
            <w:pPr>
              <w:pStyle w:val="234"/>
              <w:spacing w:before="197" w:line="288" w:lineRule="auto"/>
              <w:ind w:left="22" w:right="11"/>
              <w:rPr>
                <w:rFonts w:hint="eastAsia"/>
                <w:lang w:eastAsia="zh-CN"/>
              </w:rPr>
            </w:pPr>
            <w:r>
              <w:rPr>
                <w:spacing w:val="19"/>
                <w:lang w:eastAsia="zh-CN"/>
              </w:rPr>
              <w:t>《淋浴器用水效率限定值及用水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28378）</w:t>
            </w:r>
          </w:p>
        </w:tc>
      </w:tr>
    </w:tbl>
    <w:p>
      <w:pPr>
        <w:pStyle w:val="2"/>
        <w:spacing w:before="56" w:line="249" w:lineRule="auto"/>
        <w:ind w:left="27" w:hanging="2"/>
        <w:rPr>
          <w:rFonts w:hint="eastAsia" w:ascii="仿宋_GB2312" w:hAnsi="仿宋_GB2312" w:eastAsia="仿宋_GB2312" w:cs="仿宋_GB2312"/>
        </w:rPr>
      </w:pPr>
      <w:r>
        <w:rPr>
          <w:rFonts w:hint="eastAsia" w:ascii="仿宋_GB2312" w:hAnsi="仿宋_GB2312" w:eastAsia="仿宋_GB2312" w:cs="仿宋_GB2312"/>
          <w:spacing w:val="-2"/>
        </w:rPr>
        <w:t>注：1.节能产品认证应依据相关国家标准的最新版</w:t>
      </w:r>
      <w:r>
        <w:rPr>
          <w:rFonts w:hint="eastAsia" w:ascii="仿宋_GB2312" w:hAnsi="仿宋_GB2312" w:eastAsia="仿宋_GB2312" w:cs="仿宋_GB2312"/>
          <w:spacing w:val="-3"/>
        </w:rPr>
        <w:t>本，依据国家标准中二级能效（水效）</w:t>
      </w:r>
      <w:r>
        <w:rPr>
          <w:rFonts w:hint="eastAsia" w:ascii="仿宋_GB2312" w:hAnsi="仿宋_GB2312" w:eastAsia="仿宋_GB2312" w:cs="仿宋_GB2312"/>
        </w:rPr>
        <w:t xml:space="preserve"> </w:t>
      </w:r>
      <w:r>
        <w:rPr>
          <w:rFonts w:hint="eastAsia" w:ascii="仿宋_GB2312" w:hAnsi="仿宋_GB2312" w:eastAsia="仿宋_GB2312" w:cs="仿宋_GB2312"/>
          <w:spacing w:val="-4"/>
        </w:rPr>
        <w:t>指标。</w:t>
      </w:r>
    </w:p>
    <w:p>
      <w:pPr>
        <w:pStyle w:val="2"/>
        <w:spacing w:before="31" w:line="248" w:lineRule="auto"/>
        <w:ind w:left="25" w:right="97" w:firstLine="444"/>
        <w:rPr>
          <w:rFonts w:hint="eastAsia" w:ascii="仿宋_GB2312" w:hAnsi="仿宋_GB2312" w:eastAsia="仿宋_GB2312" w:cs="仿宋_GB2312"/>
        </w:rPr>
      </w:pPr>
      <w:r>
        <w:rPr>
          <w:rFonts w:hint="eastAsia" w:ascii="仿宋_GB2312" w:hAnsi="仿宋_GB2312" w:eastAsia="仿宋_GB2312" w:cs="仿宋_GB2312"/>
          <w:spacing w:val="1"/>
        </w:rPr>
        <w:t>2.上述产品中认证标准发生变更的，依据原认</w:t>
      </w:r>
      <w:r>
        <w:rPr>
          <w:rFonts w:hint="eastAsia" w:ascii="仿宋_GB2312" w:hAnsi="仿宋_GB2312" w:eastAsia="仿宋_GB2312" w:cs="仿宋_GB2312"/>
        </w:rPr>
        <w:t xml:space="preserve">证标准获得的、仍在有效期内的认证 </w:t>
      </w:r>
      <w:r>
        <w:rPr>
          <w:rFonts w:hint="eastAsia" w:ascii="仿宋_GB2312" w:hAnsi="仿宋_GB2312" w:eastAsia="仿宋_GB2312" w:cs="仿宋_GB2312"/>
          <w:spacing w:val="-8"/>
        </w:rPr>
        <w:t>证书可使用至</w:t>
      </w:r>
      <w:r>
        <w:rPr>
          <w:rFonts w:hint="eastAsia" w:ascii="仿宋_GB2312" w:hAnsi="仿宋_GB2312" w:eastAsia="仿宋_GB2312" w:cs="仿宋_GB2312"/>
          <w:spacing w:val="-37"/>
        </w:rPr>
        <w:t xml:space="preserve"> </w:t>
      </w:r>
      <w:r>
        <w:rPr>
          <w:rFonts w:hint="eastAsia" w:ascii="仿宋_GB2312" w:hAnsi="仿宋_GB2312" w:eastAsia="仿宋_GB2312" w:cs="仿宋_GB2312"/>
          <w:spacing w:val="-8"/>
        </w:rPr>
        <w:t>2019</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年</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6</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月</w:t>
      </w:r>
      <w:r>
        <w:rPr>
          <w:rFonts w:hint="eastAsia" w:ascii="仿宋_GB2312" w:hAnsi="仿宋_GB2312" w:eastAsia="仿宋_GB2312" w:cs="仿宋_GB2312"/>
          <w:spacing w:val="-29"/>
        </w:rPr>
        <w:t xml:space="preserve"> </w:t>
      </w:r>
      <w:r>
        <w:rPr>
          <w:rFonts w:hint="eastAsia" w:ascii="仿宋_GB2312" w:hAnsi="仿宋_GB2312" w:eastAsia="仿宋_GB2312" w:cs="仿宋_GB2312"/>
          <w:spacing w:val="-8"/>
        </w:rPr>
        <w:t>1 日。</w:t>
      </w:r>
    </w:p>
    <w:p>
      <w:pPr>
        <w:pStyle w:val="2"/>
        <w:spacing w:before="33" w:line="220" w:lineRule="auto"/>
        <w:ind w:left="471"/>
        <w:rPr>
          <w:rFonts w:hint="eastAsia" w:ascii="仿宋_GB2312" w:hAnsi="仿宋_GB2312" w:eastAsia="仿宋_GB2312" w:cs="仿宋_GB2312"/>
        </w:rPr>
      </w:pPr>
      <w:r>
        <w:rPr>
          <w:rFonts w:hint="eastAsia" w:ascii="仿宋_GB2312" w:hAnsi="仿宋_GB2312" w:eastAsia="仿宋_GB2312" w:cs="仿宋_GB2312"/>
          <w:spacing w:val="-3"/>
        </w:rPr>
        <w:t>3.以“★</w:t>
      </w:r>
      <w:r>
        <w:rPr>
          <w:rFonts w:hint="eastAsia" w:ascii="仿宋_GB2312" w:hAnsi="仿宋_GB2312" w:eastAsia="仿宋_GB2312" w:cs="仿宋_GB2312"/>
          <w:spacing w:val="-68"/>
        </w:rPr>
        <w:t xml:space="preserve"> </w:t>
      </w:r>
      <w:r>
        <w:rPr>
          <w:rFonts w:hint="eastAsia" w:ascii="仿宋_GB2312" w:hAnsi="仿宋_GB2312" w:eastAsia="仿宋_GB2312" w:cs="仿宋_GB2312"/>
          <w:spacing w:val="-3"/>
        </w:rPr>
        <w:t>”标注的为政府强制采购产品。</w:t>
      </w:r>
    </w:p>
    <w:p>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    4.若表格有变动，按最新政策执行。</w:t>
      </w:r>
    </w:p>
    <w:p>
      <w:pPr>
        <w:widowControl/>
        <w:ind w:firstLine="0" w:firstLineChars="0"/>
        <w:jc w:val="left"/>
        <w:rPr>
          <w:rFonts w:hint="eastAsia" w:ascii="仿宋_GB2312" w:hAnsi="仿宋_GB2312" w:eastAsia="仿宋_GB2312" w:cs="仿宋_GB2312"/>
          <w:sz w:val="28"/>
          <w:szCs w:val="28"/>
        </w:rPr>
      </w:pPr>
    </w:p>
    <w:p>
      <w:pPr>
        <w:widowControl/>
        <w:ind w:firstLine="0" w:firstLineChars="0"/>
        <w:jc w:val="left"/>
        <w:rPr>
          <w:rFonts w:hint="eastAsia" w:ascii="仿宋_GB2312" w:hAnsi="仿宋_GB2312" w:eastAsia="仿宋_GB2312" w:cs="仿宋_GB2312"/>
          <w:sz w:val="28"/>
          <w:szCs w:val="28"/>
        </w:rPr>
      </w:pPr>
    </w:p>
    <w:p>
      <w:pPr>
        <w:widowControl/>
        <w:ind w:firstLine="0"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附件二</w:t>
      </w:r>
    </w:p>
    <w:p>
      <w:pPr>
        <w:spacing w:before="342" w:line="175" w:lineRule="auto"/>
        <w:jc w:val="center"/>
        <w:rPr>
          <w:rFonts w:hint="eastAsia" w:ascii="微软雅黑" w:hAnsi="微软雅黑" w:eastAsia="微软雅黑" w:cs="微软雅黑"/>
          <w:spacing w:val="-2"/>
          <w:sz w:val="40"/>
          <w:szCs w:val="40"/>
        </w:rPr>
      </w:pPr>
      <w:bookmarkStart w:id="89" w:name="_Toc9572"/>
      <w:r>
        <w:rPr>
          <w:rFonts w:ascii="微软雅黑" w:hAnsi="微软雅黑" w:eastAsia="微软雅黑" w:cs="微软雅黑"/>
          <w:spacing w:val="-2"/>
          <w:sz w:val="40"/>
          <w:szCs w:val="40"/>
        </w:rPr>
        <w:t>环境标志产品政府采购品目清单</w:t>
      </w:r>
      <w:bookmarkEnd w:id="89"/>
    </w:p>
    <w:p>
      <w:pPr>
        <w:spacing w:before="41"/>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0"/>
        <w:gridCol w:w="1343"/>
        <w:gridCol w:w="2324"/>
        <w:gridCol w:w="1956"/>
        <w:gridCol w:w="30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tcPr>
          <w:p>
            <w:pPr>
              <w:pStyle w:val="234"/>
              <w:spacing w:before="71" w:line="283" w:lineRule="auto"/>
              <w:ind w:left="114" w:right="107" w:firstLine="15"/>
              <w:rPr>
                <w:rFonts w:hint="eastAsia"/>
              </w:rPr>
            </w:pPr>
            <w:r>
              <w:rPr>
                <w:b/>
                <w:bCs/>
                <w:spacing w:val="-12"/>
              </w:rPr>
              <w:t>品目</w:t>
            </w:r>
            <w:r>
              <w:t xml:space="preserve"> </w:t>
            </w:r>
            <w:r>
              <w:rPr>
                <w:b/>
                <w:bCs/>
                <w:spacing w:val="-4"/>
              </w:rPr>
              <w:t>序号</w:t>
            </w:r>
          </w:p>
        </w:tc>
        <w:tc>
          <w:tcPr>
            <w:tcW w:w="5623" w:type="dxa"/>
            <w:gridSpan w:val="3"/>
          </w:tcPr>
          <w:p>
            <w:pPr>
              <w:pStyle w:val="234"/>
              <w:spacing w:before="224" w:line="222" w:lineRule="auto"/>
              <w:ind w:left="3054"/>
              <w:rPr>
                <w:rFonts w:hint="eastAsia"/>
              </w:rPr>
            </w:pPr>
            <w:r>
              <w:rPr>
                <w:b/>
                <w:bCs/>
                <w:spacing w:val="-6"/>
              </w:rPr>
              <w:t>名称</w:t>
            </w:r>
          </w:p>
        </w:tc>
        <w:tc>
          <w:tcPr>
            <w:tcW w:w="3081" w:type="dxa"/>
          </w:tcPr>
          <w:p>
            <w:pPr>
              <w:pStyle w:val="234"/>
              <w:spacing w:before="224" w:line="219" w:lineRule="auto"/>
              <w:ind w:left="1325"/>
              <w:rPr>
                <w:rFonts w:hint="eastAsia"/>
              </w:rPr>
            </w:pPr>
            <w:r>
              <w:rPr>
                <w:b/>
                <w:bCs/>
                <w:spacing w:val="-4"/>
              </w:rPr>
              <w:t>依据的标准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10" w:type="dxa"/>
            <w:vMerge w:val="restart"/>
            <w:tcBorders>
              <w:bottom w:val="nil"/>
            </w:tcBorders>
          </w:tcPr>
          <w:p>
            <w:pPr>
              <w:pStyle w:val="234"/>
              <w:spacing w:before="93" w:line="184" w:lineRule="auto"/>
              <w:ind w:left="128"/>
              <w:rPr>
                <w:rFonts w:hint="eastAsia"/>
              </w:rPr>
            </w:pPr>
            <w:r>
              <w:t>1</w:t>
            </w:r>
          </w:p>
        </w:tc>
        <w:tc>
          <w:tcPr>
            <w:tcW w:w="1343" w:type="dxa"/>
            <w:vMerge w:val="restart"/>
            <w:tcBorders>
              <w:bottom w:val="nil"/>
            </w:tcBorders>
          </w:tcPr>
          <w:p>
            <w:pPr>
              <w:pStyle w:val="234"/>
              <w:spacing w:before="66" w:line="307" w:lineRule="auto"/>
              <w:ind w:left="110" w:right="108" w:hanging="8"/>
              <w:rPr>
                <w:rFonts w:hint="eastAsia"/>
              </w:rPr>
            </w:pPr>
            <w:r>
              <w:rPr>
                <w:spacing w:val="3"/>
              </w:rPr>
              <w:t>A020101</w:t>
            </w:r>
            <w:r>
              <w:rPr>
                <w:spacing w:val="34"/>
              </w:rPr>
              <w:t xml:space="preserve"> </w:t>
            </w:r>
            <w:r>
              <w:rPr>
                <w:spacing w:val="3"/>
              </w:rPr>
              <w:t>计算机</w:t>
            </w:r>
            <w:r>
              <w:t xml:space="preserve"> </w:t>
            </w:r>
            <w:r>
              <w:rPr>
                <w:spacing w:val="-3"/>
              </w:rPr>
              <w:t>设备</w:t>
            </w:r>
          </w:p>
        </w:tc>
        <w:tc>
          <w:tcPr>
            <w:tcW w:w="2324" w:type="dxa"/>
          </w:tcPr>
          <w:p>
            <w:pPr>
              <w:pStyle w:val="234"/>
              <w:spacing w:before="66" w:line="220" w:lineRule="auto"/>
              <w:ind w:left="103"/>
              <w:rPr>
                <w:rFonts w:hint="eastAsia"/>
              </w:rPr>
            </w:pPr>
            <w:r>
              <w:rPr>
                <w:spacing w:val="-1"/>
              </w:rPr>
              <w:t>A02010103</w:t>
            </w:r>
            <w:r>
              <w:rPr>
                <w:spacing w:val="-32"/>
              </w:rPr>
              <w:t xml:space="preserve"> </w:t>
            </w:r>
            <w:r>
              <w:rPr>
                <w:spacing w:val="-1"/>
              </w:rPr>
              <w:t>服务器</w:t>
            </w:r>
          </w:p>
        </w:tc>
        <w:tc>
          <w:tcPr>
            <w:tcW w:w="1956" w:type="dxa"/>
          </w:tcPr>
          <w:p>
            <w:pPr>
              <w:rPr>
                <w:rFonts w:ascii="Arial"/>
              </w:rPr>
            </w:pPr>
          </w:p>
        </w:tc>
        <w:tc>
          <w:tcPr>
            <w:tcW w:w="3081" w:type="dxa"/>
          </w:tcPr>
          <w:p>
            <w:pPr>
              <w:pStyle w:val="234"/>
              <w:spacing w:before="66" w:line="219" w:lineRule="auto"/>
              <w:ind w:left="109"/>
              <w:rPr>
                <w:rFonts w:hint="eastAsia"/>
              </w:rPr>
            </w:pPr>
            <w:r>
              <w:rPr>
                <w:spacing w:val="-2"/>
              </w:rPr>
              <w:t>HJ2507</w:t>
            </w:r>
            <w:r>
              <w:rPr>
                <w:spacing w:val="-20"/>
              </w:rPr>
              <w:t xml:space="preserve"> </w:t>
            </w:r>
            <w:r>
              <w:rPr>
                <w:spacing w:val="-2"/>
              </w:rPr>
              <w:t>网络服务器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5" w:line="219" w:lineRule="auto"/>
              <w:ind w:left="103"/>
              <w:rPr>
                <w:rFonts w:hint="eastAsia"/>
              </w:rPr>
            </w:pPr>
            <w:r>
              <w:rPr>
                <w:spacing w:val="-2"/>
              </w:rPr>
              <w:t>A02010104</w:t>
            </w:r>
            <w:r>
              <w:rPr>
                <w:spacing w:val="-14"/>
              </w:rPr>
              <w:t xml:space="preserve"> </w:t>
            </w:r>
            <w:r>
              <w:rPr>
                <w:spacing w:val="-2"/>
              </w:rPr>
              <w:t>台式计算机</w:t>
            </w:r>
          </w:p>
        </w:tc>
        <w:tc>
          <w:tcPr>
            <w:tcW w:w="1956" w:type="dxa"/>
          </w:tcPr>
          <w:p>
            <w:pPr>
              <w:rPr>
                <w:rFonts w:ascii="Arial"/>
              </w:rPr>
            </w:pPr>
          </w:p>
        </w:tc>
        <w:tc>
          <w:tcPr>
            <w:tcW w:w="3081" w:type="dxa"/>
          </w:tcPr>
          <w:p>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4" w:line="219" w:lineRule="auto"/>
              <w:ind w:left="103"/>
              <w:rPr>
                <w:rFonts w:hint="eastAsia"/>
              </w:rPr>
            </w:pPr>
            <w:r>
              <w:rPr>
                <w:spacing w:val="-1"/>
              </w:rPr>
              <w:t>A02010105</w:t>
            </w:r>
            <w:r>
              <w:rPr>
                <w:spacing w:val="-30"/>
              </w:rPr>
              <w:t xml:space="preserve"> </w:t>
            </w:r>
            <w:r>
              <w:rPr>
                <w:spacing w:val="-1"/>
              </w:rPr>
              <w:t>便携式计算机</w:t>
            </w:r>
          </w:p>
        </w:tc>
        <w:tc>
          <w:tcPr>
            <w:tcW w:w="1956" w:type="dxa"/>
          </w:tcPr>
          <w:p>
            <w:pPr>
              <w:rPr>
                <w:rFonts w:ascii="Arial"/>
              </w:rPr>
            </w:pPr>
          </w:p>
        </w:tc>
        <w:tc>
          <w:tcPr>
            <w:tcW w:w="3081" w:type="dxa"/>
          </w:tcPr>
          <w:p>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4" w:line="219" w:lineRule="auto"/>
              <w:ind w:left="103"/>
              <w:rPr>
                <w:rFonts w:hint="eastAsia"/>
              </w:rPr>
            </w:pPr>
            <w:r>
              <w:rPr>
                <w:spacing w:val="-1"/>
              </w:rPr>
              <w:t>A02010107</w:t>
            </w:r>
            <w:r>
              <w:rPr>
                <w:spacing w:val="-28"/>
              </w:rPr>
              <w:t xml:space="preserve"> </w:t>
            </w:r>
            <w:r>
              <w:rPr>
                <w:spacing w:val="-1"/>
              </w:rPr>
              <w:t>平板式微型计算机</w:t>
            </w:r>
          </w:p>
        </w:tc>
        <w:tc>
          <w:tcPr>
            <w:tcW w:w="1956" w:type="dxa"/>
          </w:tcPr>
          <w:p>
            <w:pPr>
              <w:rPr>
                <w:rFonts w:ascii="Arial"/>
              </w:rPr>
            </w:pPr>
          </w:p>
        </w:tc>
        <w:tc>
          <w:tcPr>
            <w:tcW w:w="3081" w:type="dxa"/>
          </w:tcPr>
          <w:p>
            <w:pPr>
              <w:pStyle w:val="234"/>
              <w:spacing w:before="63"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5" w:line="219" w:lineRule="auto"/>
              <w:ind w:left="103"/>
              <w:rPr>
                <w:rFonts w:hint="eastAsia"/>
              </w:rPr>
            </w:pPr>
            <w:r>
              <w:rPr>
                <w:spacing w:val="-2"/>
              </w:rPr>
              <w:t>A02010108</w:t>
            </w:r>
            <w:r>
              <w:rPr>
                <w:spacing w:val="32"/>
              </w:rPr>
              <w:t xml:space="preserve"> </w:t>
            </w:r>
            <w:r>
              <w:rPr>
                <w:spacing w:val="-2"/>
              </w:rPr>
              <w:t>网络计算机</w:t>
            </w:r>
          </w:p>
        </w:tc>
        <w:tc>
          <w:tcPr>
            <w:tcW w:w="1956" w:type="dxa"/>
          </w:tcPr>
          <w:p>
            <w:pPr>
              <w:rPr>
                <w:rFonts w:ascii="Arial"/>
              </w:rPr>
            </w:pPr>
          </w:p>
        </w:tc>
        <w:tc>
          <w:tcPr>
            <w:tcW w:w="3081" w:type="dxa"/>
          </w:tcPr>
          <w:p>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4" w:line="219" w:lineRule="auto"/>
              <w:ind w:left="103"/>
              <w:rPr>
                <w:rFonts w:hint="eastAsia"/>
              </w:rPr>
            </w:pPr>
            <w:r>
              <w:t>A02010109 计算机工作站</w:t>
            </w:r>
          </w:p>
        </w:tc>
        <w:tc>
          <w:tcPr>
            <w:tcW w:w="1956" w:type="dxa"/>
          </w:tcPr>
          <w:p>
            <w:pPr>
              <w:rPr>
                <w:rFonts w:ascii="Arial"/>
              </w:rPr>
            </w:pPr>
          </w:p>
        </w:tc>
        <w:tc>
          <w:tcPr>
            <w:tcW w:w="3081" w:type="dxa"/>
          </w:tcPr>
          <w:p>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4" w:line="219" w:lineRule="auto"/>
              <w:ind w:left="103"/>
              <w:rPr>
                <w:rFonts w:hint="eastAsia"/>
              </w:rPr>
            </w:pPr>
            <w:r>
              <w:rPr>
                <w:spacing w:val="-1"/>
              </w:rPr>
              <w:t>A02010199</w:t>
            </w:r>
            <w:r>
              <w:rPr>
                <w:spacing w:val="-29"/>
              </w:rPr>
              <w:t xml:space="preserve"> </w:t>
            </w:r>
            <w:r>
              <w:rPr>
                <w:spacing w:val="-1"/>
              </w:rPr>
              <w:t>其他计算机设备</w:t>
            </w:r>
          </w:p>
        </w:tc>
        <w:tc>
          <w:tcPr>
            <w:tcW w:w="1956" w:type="dxa"/>
          </w:tcPr>
          <w:p>
            <w:pPr>
              <w:rPr>
                <w:rFonts w:ascii="Arial"/>
              </w:rPr>
            </w:pPr>
          </w:p>
        </w:tc>
        <w:tc>
          <w:tcPr>
            <w:tcW w:w="3081" w:type="dxa"/>
          </w:tcPr>
          <w:p>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8" w:hRule="atLeast"/>
          <w:jc w:val="center"/>
        </w:trPr>
        <w:tc>
          <w:tcPr>
            <w:tcW w:w="510" w:type="dxa"/>
            <w:vMerge w:val="restart"/>
            <w:tcBorders>
              <w:bottom w:val="nil"/>
            </w:tcBorders>
          </w:tcPr>
          <w:p>
            <w:pPr>
              <w:pStyle w:val="234"/>
              <w:spacing w:before="93" w:line="183" w:lineRule="auto"/>
              <w:ind w:left="116"/>
              <w:rPr>
                <w:rFonts w:hint="eastAsia"/>
              </w:rPr>
            </w:pPr>
            <w:r>
              <w:t>2</w:t>
            </w:r>
          </w:p>
        </w:tc>
        <w:tc>
          <w:tcPr>
            <w:tcW w:w="1343" w:type="dxa"/>
            <w:vMerge w:val="restart"/>
            <w:tcBorders>
              <w:bottom w:val="nil"/>
            </w:tcBorders>
          </w:tcPr>
          <w:p>
            <w:pPr>
              <w:pStyle w:val="234"/>
              <w:spacing w:before="65" w:line="307" w:lineRule="auto"/>
              <w:ind w:left="123" w:right="108" w:hanging="21"/>
              <w:rPr>
                <w:rFonts w:hint="eastAsia"/>
              </w:rPr>
            </w:pPr>
            <w:r>
              <w:rPr>
                <w:spacing w:val="3"/>
              </w:rPr>
              <w:t>A020106</w:t>
            </w:r>
            <w:r>
              <w:rPr>
                <w:spacing w:val="34"/>
              </w:rPr>
              <w:t xml:space="preserve"> </w:t>
            </w:r>
            <w:r>
              <w:rPr>
                <w:spacing w:val="3"/>
              </w:rPr>
              <w:t>输入输</w:t>
            </w:r>
            <w:r>
              <w:rPr>
                <w:spacing w:val="-5"/>
              </w:rPr>
              <w:t>出设备</w:t>
            </w:r>
          </w:p>
        </w:tc>
        <w:tc>
          <w:tcPr>
            <w:tcW w:w="2324" w:type="dxa"/>
            <w:vMerge w:val="restart"/>
            <w:tcBorders>
              <w:bottom w:val="nil"/>
            </w:tcBorders>
          </w:tcPr>
          <w:p>
            <w:pPr>
              <w:pStyle w:val="234"/>
              <w:spacing w:before="64" w:line="220" w:lineRule="auto"/>
              <w:ind w:left="103"/>
              <w:rPr>
                <w:rFonts w:hint="eastAsia"/>
              </w:rPr>
            </w:pPr>
            <w:r>
              <w:rPr>
                <w:spacing w:val="-1"/>
              </w:rPr>
              <w:t>A02010601</w:t>
            </w:r>
            <w:r>
              <w:rPr>
                <w:spacing w:val="-31"/>
              </w:rPr>
              <w:t xml:space="preserve"> </w:t>
            </w:r>
            <w:r>
              <w:rPr>
                <w:spacing w:val="-1"/>
              </w:rPr>
              <w:t>打印设备</w:t>
            </w:r>
          </w:p>
        </w:tc>
        <w:tc>
          <w:tcPr>
            <w:tcW w:w="1956" w:type="dxa"/>
          </w:tcPr>
          <w:p>
            <w:pPr>
              <w:pStyle w:val="234"/>
              <w:spacing w:before="65" w:line="219" w:lineRule="auto"/>
              <w:ind w:left="105"/>
              <w:rPr>
                <w:rFonts w:hint="eastAsia"/>
              </w:rPr>
            </w:pPr>
            <w:r>
              <w:t>A0201060101 喷墨打印机</w:t>
            </w:r>
          </w:p>
        </w:tc>
        <w:tc>
          <w:tcPr>
            <w:tcW w:w="3081" w:type="dxa"/>
          </w:tcPr>
          <w:p>
            <w:pPr>
              <w:pStyle w:val="234"/>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vMerge w:val="continue"/>
            <w:tcBorders>
              <w:top w:val="nil"/>
              <w:bottom w:val="nil"/>
            </w:tcBorders>
          </w:tcPr>
          <w:p>
            <w:pPr>
              <w:rPr>
                <w:rFonts w:ascii="Arial"/>
              </w:rPr>
            </w:pPr>
          </w:p>
        </w:tc>
        <w:tc>
          <w:tcPr>
            <w:tcW w:w="1956" w:type="dxa"/>
          </w:tcPr>
          <w:p>
            <w:pPr>
              <w:pStyle w:val="234"/>
              <w:spacing w:before="64" w:line="219" w:lineRule="auto"/>
              <w:ind w:left="105"/>
              <w:rPr>
                <w:rFonts w:hint="eastAsia"/>
              </w:rPr>
            </w:pPr>
            <w:r>
              <w:t>A0201060102 激光打印机</w:t>
            </w:r>
          </w:p>
        </w:tc>
        <w:tc>
          <w:tcPr>
            <w:tcW w:w="3081" w:type="dxa"/>
          </w:tcPr>
          <w:p>
            <w:pPr>
              <w:pStyle w:val="234"/>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vMerge w:val="continue"/>
            <w:tcBorders>
              <w:top w:val="nil"/>
              <w:bottom w:val="nil"/>
            </w:tcBorders>
          </w:tcPr>
          <w:p>
            <w:pPr>
              <w:rPr>
                <w:rFonts w:ascii="Arial"/>
              </w:rPr>
            </w:pPr>
          </w:p>
        </w:tc>
        <w:tc>
          <w:tcPr>
            <w:tcW w:w="1956" w:type="dxa"/>
          </w:tcPr>
          <w:p>
            <w:pPr>
              <w:pStyle w:val="234"/>
              <w:spacing w:before="64" w:line="219" w:lineRule="auto"/>
              <w:ind w:left="105"/>
              <w:rPr>
                <w:rFonts w:hint="eastAsia"/>
              </w:rPr>
            </w:pPr>
            <w:r>
              <w:t>A0201060103 热式打印机</w:t>
            </w:r>
          </w:p>
        </w:tc>
        <w:tc>
          <w:tcPr>
            <w:tcW w:w="3081" w:type="dxa"/>
          </w:tcPr>
          <w:p>
            <w:pPr>
              <w:pStyle w:val="234"/>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vMerge w:val="continue"/>
            <w:tcBorders>
              <w:top w:val="nil"/>
            </w:tcBorders>
          </w:tcPr>
          <w:p>
            <w:pPr>
              <w:rPr>
                <w:rFonts w:ascii="Arial"/>
              </w:rPr>
            </w:pPr>
          </w:p>
        </w:tc>
        <w:tc>
          <w:tcPr>
            <w:tcW w:w="1956" w:type="dxa"/>
          </w:tcPr>
          <w:p>
            <w:pPr>
              <w:pStyle w:val="234"/>
              <w:spacing w:before="65" w:line="219" w:lineRule="auto"/>
              <w:ind w:left="105"/>
              <w:rPr>
                <w:rFonts w:hint="eastAsia"/>
              </w:rPr>
            </w:pPr>
            <w:r>
              <w:t>A0201060104 针式打印机</w:t>
            </w:r>
          </w:p>
        </w:tc>
        <w:tc>
          <w:tcPr>
            <w:tcW w:w="3081" w:type="dxa"/>
          </w:tcPr>
          <w:p>
            <w:pPr>
              <w:pStyle w:val="234"/>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vMerge w:val="restart"/>
            <w:tcBorders>
              <w:bottom w:val="nil"/>
            </w:tcBorders>
          </w:tcPr>
          <w:p>
            <w:pPr>
              <w:pStyle w:val="234"/>
              <w:spacing w:before="64" w:line="222" w:lineRule="auto"/>
              <w:ind w:left="103"/>
              <w:rPr>
                <w:rFonts w:hint="eastAsia"/>
              </w:rPr>
            </w:pPr>
            <w:r>
              <w:t>A02010604 显示设备</w:t>
            </w:r>
          </w:p>
        </w:tc>
        <w:tc>
          <w:tcPr>
            <w:tcW w:w="1956" w:type="dxa"/>
          </w:tcPr>
          <w:p>
            <w:pPr>
              <w:pStyle w:val="234"/>
              <w:spacing w:before="64" w:line="221" w:lineRule="auto"/>
              <w:ind w:left="105"/>
              <w:rPr>
                <w:rFonts w:hint="eastAsia"/>
              </w:rPr>
            </w:pPr>
            <w:r>
              <w:t>A0201060401 液晶显示器</w:t>
            </w:r>
          </w:p>
        </w:tc>
        <w:tc>
          <w:tcPr>
            <w:tcW w:w="3081" w:type="dxa"/>
          </w:tcPr>
          <w:p>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vMerge w:val="continue"/>
            <w:tcBorders>
              <w:top w:val="nil"/>
            </w:tcBorders>
          </w:tcPr>
          <w:p>
            <w:pPr>
              <w:rPr>
                <w:rFonts w:ascii="Arial"/>
              </w:rPr>
            </w:pPr>
          </w:p>
        </w:tc>
        <w:tc>
          <w:tcPr>
            <w:tcW w:w="1956" w:type="dxa"/>
          </w:tcPr>
          <w:p>
            <w:pPr>
              <w:pStyle w:val="234"/>
              <w:spacing w:before="64" w:line="221" w:lineRule="auto"/>
              <w:ind w:left="105"/>
              <w:rPr>
                <w:rFonts w:hint="eastAsia"/>
              </w:rPr>
            </w:pPr>
            <w:r>
              <w:t>A0201060499 其他显示器</w:t>
            </w:r>
          </w:p>
        </w:tc>
        <w:tc>
          <w:tcPr>
            <w:tcW w:w="3081" w:type="dxa"/>
          </w:tcPr>
          <w:p>
            <w:pPr>
              <w:pStyle w:val="234"/>
              <w:spacing w:before="63"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8"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4" w:line="220" w:lineRule="auto"/>
              <w:ind w:left="103"/>
              <w:rPr>
                <w:rFonts w:hint="eastAsia"/>
              </w:rPr>
            </w:pPr>
            <w:r>
              <w:rPr>
                <w:spacing w:val="-2"/>
              </w:rPr>
              <w:t>A02010609</w:t>
            </w:r>
            <w:r>
              <w:rPr>
                <w:spacing w:val="-9"/>
              </w:rPr>
              <w:t xml:space="preserve"> </w:t>
            </w:r>
            <w:r>
              <w:rPr>
                <w:spacing w:val="-2"/>
              </w:rPr>
              <w:t>图形图像输入设备</w:t>
            </w:r>
          </w:p>
        </w:tc>
        <w:tc>
          <w:tcPr>
            <w:tcW w:w="1956" w:type="dxa"/>
          </w:tcPr>
          <w:p>
            <w:pPr>
              <w:pStyle w:val="234"/>
              <w:spacing w:before="64" w:line="220" w:lineRule="auto"/>
              <w:ind w:left="105"/>
              <w:rPr>
                <w:rFonts w:hint="eastAsia"/>
              </w:rPr>
            </w:pPr>
            <w:r>
              <w:t>A0201060901 扫描仪</w:t>
            </w:r>
          </w:p>
        </w:tc>
        <w:tc>
          <w:tcPr>
            <w:tcW w:w="3081" w:type="dxa"/>
          </w:tcPr>
          <w:p>
            <w:pPr>
              <w:pStyle w:val="234"/>
              <w:spacing w:before="64" w:line="219" w:lineRule="auto"/>
              <w:ind w:left="109"/>
              <w:rPr>
                <w:rFonts w:hint="eastAsia"/>
              </w:rPr>
            </w:pPr>
            <w:r>
              <w:rPr>
                <w:spacing w:val="-1"/>
              </w:rPr>
              <w:t>HJ2517</w:t>
            </w:r>
            <w:r>
              <w:rPr>
                <w:spacing w:val="-34"/>
              </w:rPr>
              <w:t xml:space="preserve"> </w:t>
            </w:r>
            <w:r>
              <w:rPr>
                <w:spacing w:val="-1"/>
              </w:rPr>
              <w:t>扫描仪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tcPr>
          <w:p>
            <w:pPr>
              <w:pStyle w:val="234"/>
              <w:spacing w:before="93" w:line="183" w:lineRule="auto"/>
              <w:ind w:left="118"/>
              <w:rPr>
                <w:rFonts w:hint="eastAsia"/>
              </w:rPr>
            </w:pPr>
            <w:r>
              <w:t>3</w:t>
            </w:r>
          </w:p>
        </w:tc>
        <w:tc>
          <w:tcPr>
            <w:tcW w:w="1343" w:type="dxa"/>
          </w:tcPr>
          <w:p>
            <w:pPr>
              <w:pStyle w:val="234"/>
              <w:spacing w:before="64" w:line="220" w:lineRule="auto"/>
              <w:ind w:left="102"/>
              <w:rPr>
                <w:rFonts w:hint="eastAsia"/>
              </w:rPr>
            </w:pPr>
            <w:r>
              <w:rPr>
                <w:spacing w:val="-1"/>
              </w:rPr>
              <w:t>A020202</w:t>
            </w:r>
            <w:r>
              <w:rPr>
                <w:spacing w:val="-33"/>
              </w:rPr>
              <w:t xml:space="preserve"> </w:t>
            </w:r>
            <w:r>
              <w:rPr>
                <w:spacing w:val="-1"/>
              </w:rPr>
              <w:t>投影仪</w:t>
            </w:r>
          </w:p>
        </w:tc>
        <w:tc>
          <w:tcPr>
            <w:tcW w:w="2324" w:type="dxa"/>
          </w:tcPr>
          <w:p>
            <w:pPr>
              <w:rPr>
                <w:rFonts w:ascii="Arial"/>
              </w:rPr>
            </w:pPr>
          </w:p>
        </w:tc>
        <w:tc>
          <w:tcPr>
            <w:tcW w:w="1956" w:type="dxa"/>
          </w:tcPr>
          <w:p>
            <w:pPr>
              <w:rPr>
                <w:rFonts w:ascii="Arial"/>
              </w:rPr>
            </w:pPr>
          </w:p>
        </w:tc>
        <w:tc>
          <w:tcPr>
            <w:tcW w:w="3081" w:type="dxa"/>
          </w:tcPr>
          <w:p>
            <w:pPr>
              <w:pStyle w:val="234"/>
              <w:spacing w:before="64" w:line="219" w:lineRule="auto"/>
              <w:ind w:left="109"/>
              <w:rPr>
                <w:rFonts w:hint="eastAsia"/>
              </w:rPr>
            </w:pPr>
            <w:r>
              <w:rPr>
                <w:spacing w:val="-1"/>
              </w:rPr>
              <w:t>HJ2516</w:t>
            </w:r>
            <w:r>
              <w:rPr>
                <w:spacing w:val="-34"/>
              </w:rPr>
              <w:t xml:space="preserve"> </w:t>
            </w:r>
            <w:r>
              <w:rPr>
                <w:spacing w:val="-1"/>
              </w:rPr>
              <w:t>投影仪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10" w:type="dxa"/>
          </w:tcPr>
          <w:p>
            <w:pPr>
              <w:pStyle w:val="234"/>
              <w:spacing w:before="92" w:line="183" w:lineRule="auto"/>
              <w:ind w:left="114"/>
              <w:rPr>
                <w:rFonts w:hint="eastAsia"/>
              </w:rPr>
            </w:pPr>
            <w:r>
              <w:t>4</w:t>
            </w:r>
          </w:p>
        </w:tc>
        <w:tc>
          <w:tcPr>
            <w:tcW w:w="1343" w:type="dxa"/>
          </w:tcPr>
          <w:p>
            <w:pPr>
              <w:pStyle w:val="234"/>
              <w:spacing w:before="64" w:line="219" w:lineRule="auto"/>
              <w:ind w:left="102"/>
              <w:rPr>
                <w:rFonts w:hint="eastAsia"/>
              </w:rPr>
            </w:pPr>
            <w:r>
              <w:rPr>
                <w:spacing w:val="-1"/>
              </w:rPr>
              <w:t>A020201</w:t>
            </w:r>
            <w:r>
              <w:rPr>
                <w:spacing w:val="-32"/>
              </w:rPr>
              <w:t xml:space="preserve"> </w:t>
            </w:r>
            <w:r>
              <w:rPr>
                <w:spacing w:val="-1"/>
              </w:rPr>
              <w:t>复印机</w:t>
            </w:r>
          </w:p>
        </w:tc>
        <w:tc>
          <w:tcPr>
            <w:tcW w:w="2324" w:type="dxa"/>
          </w:tcPr>
          <w:p>
            <w:pPr>
              <w:rPr>
                <w:rFonts w:ascii="Arial"/>
              </w:rPr>
            </w:pPr>
          </w:p>
        </w:tc>
        <w:tc>
          <w:tcPr>
            <w:tcW w:w="1956" w:type="dxa"/>
          </w:tcPr>
          <w:p>
            <w:pPr>
              <w:rPr>
                <w:rFonts w:ascii="Arial"/>
              </w:rPr>
            </w:pPr>
          </w:p>
        </w:tc>
        <w:tc>
          <w:tcPr>
            <w:tcW w:w="3081" w:type="dxa"/>
          </w:tcPr>
          <w:p>
            <w:pPr>
              <w:pStyle w:val="234"/>
              <w:spacing w:before="64" w:line="219" w:lineRule="auto"/>
              <w:ind w:left="109"/>
              <w:rPr>
                <w:rFonts w:hint="eastAsia"/>
                <w:lang w:eastAsia="zh-CN"/>
              </w:rPr>
            </w:pPr>
            <w:r>
              <w:rPr>
                <w:lang w:eastAsia="zh-CN"/>
              </w:rPr>
              <w:t>HJ424 数字式复印（包括多功能）设备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pPr>
              <w:pStyle w:val="234"/>
              <w:spacing w:before="94" w:line="182" w:lineRule="auto"/>
              <w:ind w:left="118"/>
              <w:rPr>
                <w:rFonts w:hint="eastAsia"/>
              </w:rPr>
            </w:pPr>
            <w:r>
              <w:t>5</w:t>
            </w:r>
          </w:p>
        </w:tc>
        <w:tc>
          <w:tcPr>
            <w:tcW w:w="1343" w:type="dxa"/>
          </w:tcPr>
          <w:p>
            <w:pPr>
              <w:pStyle w:val="234"/>
              <w:spacing w:before="64" w:line="284" w:lineRule="auto"/>
              <w:ind w:left="110" w:right="108" w:hanging="8"/>
              <w:rPr>
                <w:rFonts w:hint="eastAsia"/>
              </w:rPr>
            </w:pPr>
            <w:r>
              <w:rPr>
                <w:spacing w:val="2"/>
              </w:rPr>
              <w:t>A020204</w:t>
            </w:r>
            <w:r>
              <w:rPr>
                <w:spacing w:val="44"/>
              </w:rPr>
              <w:t xml:space="preserve"> </w:t>
            </w:r>
            <w:r>
              <w:rPr>
                <w:spacing w:val="2"/>
              </w:rPr>
              <w:t>多功能</w:t>
            </w:r>
            <w:r>
              <w:rPr>
                <w:spacing w:val="-4"/>
              </w:rPr>
              <w:t>一体机</w:t>
            </w:r>
          </w:p>
        </w:tc>
        <w:tc>
          <w:tcPr>
            <w:tcW w:w="2324" w:type="dxa"/>
          </w:tcPr>
          <w:p>
            <w:pPr>
              <w:rPr>
                <w:rFonts w:ascii="Arial"/>
              </w:rPr>
            </w:pPr>
          </w:p>
        </w:tc>
        <w:tc>
          <w:tcPr>
            <w:tcW w:w="1956" w:type="dxa"/>
          </w:tcPr>
          <w:p>
            <w:pPr>
              <w:rPr>
                <w:rFonts w:ascii="Arial"/>
              </w:rPr>
            </w:pPr>
          </w:p>
        </w:tc>
        <w:tc>
          <w:tcPr>
            <w:tcW w:w="3081" w:type="dxa"/>
          </w:tcPr>
          <w:p>
            <w:pPr>
              <w:pStyle w:val="234"/>
              <w:spacing w:before="64" w:line="219" w:lineRule="auto"/>
              <w:ind w:left="109"/>
              <w:rPr>
                <w:rFonts w:hint="eastAsia"/>
                <w:lang w:eastAsia="zh-CN"/>
              </w:rPr>
            </w:pPr>
            <w:r>
              <w:rPr>
                <w:lang w:eastAsia="zh-CN"/>
              </w:rPr>
              <w:t>HJ424 数字式复印（包括多功能）设备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pPr>
              <w:pStyle w:val="234"/>
              <w:spacing w:before="94" w:line="183" w:lineRule="auto"/>
              <w:ind w:left="116"/>
              <w:rPr>
                <w:rFonts w:hint="eastAsia"/>
              </w:rPr>
            </w:pPr>
            <w:r>
              <w:t>6</w:t>
            </w:r>
          </w:p>
        </w:tc>
        <w:tc>
          <w:tcPr>
            <w:tcW w:w="1343" w:type="dxa"/>
          </w:tcPr>
          <w:p>
            <w:pPr>
              <w:pStyle w:val="234"/>
              <w:spacing w:before="66" w:line="283" w:lineRule="auto"/>
              <w:ind w:left="109" w:right="108" w:hanging="7"/>
              <w:rPr>
                <w:rFonts w:hint="eastAsia"/>
              </w:rPr>
            </w:pPr>
            <w:r>
              <w:rPr>
                <w:spacing w:val="-1"/>
              </w:rPr>
              <w:t>A020210</w:t>
            </w:r>
            <w:r>
              <w:rPr>
                <w:spacing w:val="32"/>
              </w:rPr>
              <w:t xml:space="preserve"> </w:t>
            </w:r>
            <w:r>
              <w:rPr>
                <w:spacing w:val="-1"/>
              </w:rPr>
              <w:t>文</w:t>
            </w:r>
            <w:r>
              <w:rPr>
                <w:spacing w:val="-48"/>
              </w:rPr>
              <w:t xml:space="preserve"> </w:t>
            </w:r>
            <w:r>
              <w:rPr>
                <w:spacing w:val="-1"/>
              </w:rPr>
              <w:t>印设</w:t>
            </w:r>
            <w:r>
              <w:t xml:space="preserve"> 备</w:t>
            </w:r>
          </w:p>
        </w:tc>
        <w:tc>
          <w:tcPr>
            <w:tcW w:w="2324" w:type="dxa"/>
          </w:tcPr>
          <w:p>
            <w:pPr>
              <w:pStyle w:val="234"/>
              <w:spacing w:before="65" w:line="219" w:lineRule="auto"/>
              <w:ind w:left="103"/>
              <w:rPr>
                <w:rFonts w:hint="eastAsia"/>
              </w:rPr>
            </w:pPr>
            <w:r>
              <w:t>A02021001 速印机</w:t>
            </w:r>
          </w:p>
        </w:tc>
        <w:tc>
          <w:tcPr>
            <w:tcW w:w="1956" w:type="dxa"/>
          </w:tcPr>
          <w:p>
            <w:pPr>
              <w:rPr>
                <w:rFonts w:ascii="Arial"/>
              </w:rPr>
            </w:pPr>
          </w:p>
        </w:tc>
        <w:tc>
          <w:tcPr>
            <w:tcW w:w="3081" w:type="dxa"/>
          </w:tcPr>
          <w:p>
            <w:pPr>
              <w:pStyle w:val="234"/>
              <w:spacing w:before="65" w:line="219" w:lineRule="auto"/>
              <w:ind w:left="109"/>
              <w:rPr>
                <w:rFonts w:hint="eastAsia"/>
                <w:lang w:eastAsia="zh-CN"/>
              </w:rPr>
            </w:pPr>
            <w:r>
              <w:rPr>
                <w:spacing w:val="-1"/>
                <w:lang w:eastAsia="zh-CN"/>
              </w:rPr>
              <w:t>HJ472 数字式一体化速印机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510" w:type="dxa"/>
          </w:tcPr>
          <w:p>
            <w:pPr>
              <w:pStyle w:val="234"/>
              <w:spacing w:before="95" w:line="182" w:lineRule="auto"/>
              <w:ind w:left="119"/>
              <w:rPr>
                <w:rFonts w:hint="eastAsia"/>
              </w:rPr>
            </w:pPr>
            <w:r>
              <w:t>7</w:t>
            </w:r>
          </w:p>
        </w:tc>
        <w:tc>
          <w:tcPr>
            <w:tcW w:w="1343" w:type="dxa"/>
          </w:tcPr>
          <w:p>
            <w:pPr>
              <w:pStyle w:val="234"/>
              <w:spacing w:before="67" w:line="301" w:lineRule="auto"/>
              <w:ind w:left="109" w:right="32" w:hanging="7"/>
              <w:rPr>
                <w:rFonts w:hint="eastAsia"/>
                <w:lang w:eastAsia="zh-CN"/>
              </w:rPr>
            </w:pPr>
            <w:r>
              <w:rPr>
                <w:spacing w:val="3"/>
                <w:lang w:eastAsia="zh-CN"/>
              </w:rPr>
              <w:t>A020301</w:t>
            </w:r>
            <w:r>
              <w:rPr>
                <w:spacing w:val="34"/>
                <w:lang w:eastAsia="zh-CN"/>
              </w:rPr>
              <w:t xml:space="preserve"> </w:t>
            </w:r>
            <w:r>
              <w:rPr>
                <w:spacing w:val="3"/>
                <w:lang w:eastAsia="zh-CN"/>
              </w:rPr>
              <w:t>载货汽</w:t>
            </w:r>
            <w:r>
              <w:rPr>
                <w:lang w:eastAsia="zh-CN"/>
              </w:rPr>
              <w:t xml:space="preserve">  </w:t>
            </w:r>
            <w:r>
              <w:rPr>
                <w:spacing w:val="-6"/>
                <w:lang w:eastAsia="zh-CN"/>
              </w:rPr>
              <w:t>车（含自卸汽车）</w:t>
            </w:r>
          </w:p>
        </w:tc>
        <w:tc>
          <w:tcPr>
            <w:tcW w:w="2324" w:type="dxa"/>
          </w:tcPr>
          <w:p>
            <w:pPr>
              <w:rPr>
                <w:rFonts w:ascii="Arial"/>
              </w:rPr>
            </w:pPr>
          </w:p>
        </w:tc>
        <w:tc>
          <w:tcPr>
            <w:tcW w:w="1956" w:type="dxa"/>
          </w:tcPr>
          <w:p>
            <w:pPr>
              <w:rPr>
                <w:rFonts w:ascii="Arial"/>
              </w:rPr>
            </w:pPr>
          </w:p>
        </w:tc>
        <w:tc>
          <w:tcPr>
            <w:tcW w:w="3081" w:type="dxa"/>
          </w:tcPr>
          <w:p>
            <w:pPr>
              <w:pStyle w:val="234"/>
              <w:spacing w:before="65" w:line="219" w:lineRule="auto"/>
              <w:ind w:left="109"/>
              <w:rPr>
                <w:rFonts w:hint="eastAsia"/>
              </w:rPr>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jc w:val="center"/>
        </w:trPr>
        <w:tc>
          <w:tcPr>
            <w:tcW w:w="510" w:type="dxa"/>
            <w:vMerge w:val="restart"/>
            <w:tcBorders>
              <w:bottom w:val="nil"/>
            </w:tcBorders>
          </w:tcPr>
          <w:p>
            <w:pPr>
              <w:pStyle w:val="234"/>
              <w:spacing w:before="95" w:line="183" w:lineRule="auto"/>
              <w:ind w:left="115"/>
              <w:rPr>
                <w:rFonts w:hint="eastAsia"/>
              </w:rPr>
            </w:pPr>
            <w:r>
              <w:t>8</w:t>
            </w:r>
          </w:p>
        </w:tc>
        <w:tc>
          <w:tcPr>
            <w:tcW w:w="1343" w:type="dxa"/>
            <w:vMerge w:val="restart"/>
            <w:tcBorders>
              <w:bottom w:val="nil"/>
            </w:tcBorders>
          </w:tcPr>
          <w:p>
            <w:pPr>
              <w:pStyle w:val="234"/>
              <w:spacing w:before="65" w:line="307" w:lineRule="auto"/>
              <w:ind w:left="112" w:right="108" w:hanging="10"/>
              <w:rPr>
                <w:rFonts w:hint="eastAsia"/>
              </w:rPr>
            </w:pPr>
            <w:r>
              <w:rPr>
                <w:spacing w:val="3"/>
              </w:rPr>
              <w:t>A020305</w:t>
            </w:r>
            <w:r>
              <w:rPr>
                <w:spacing w:val="34"/>
              </w:rPr>
              <w:t xml:space="preserve"> </w:t>
            </w:r>
            <w:r>
              <w:rPr>
                <w:spacing w:val="3"/>
              </w:rPr>
              <w:t>乘用车</w:t>
            </w:r>
            <w:r>
              <w:rPr>
                <w:spacing w:val="-3"/>
              </w:rPr>
              <w:t>（轿车）</w:t>
            </w:r>
          </w:p>
        </w:tc>
        <w:tc>
          <w:tcPr>
            <w:tcW w:w="2324" w:type="dxa"/>
          </w:tcPr>
          <w:p>
            <w:pPr>
              <w:pStyle w:val="234"/>
              <w:spacing w:before="66" w:line="220" w:lineRule="auto"/>
              <w:ind w:left="103"/>
              <w:rPr>
                <w:rFonts w:hint="eastAsia"/>
              </w:rPr>
            </w:pPr>
            <w:r>
              <w:t>A02030501 轿车</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6" w:line="220" w:lineRule="auto"/>
              <w:ind w:left="103"/>
              <w:rPr>
                <w:rFonts w:hint="eastAsia"/>
              </w:rPr>
            </w:pPr>
            <w:r>
              <w:rPr>
                <w:spacing w:val="-1"/>
              </w:rPr>
              <w:t>A02030599</w:t>
            </w:r>
            <w:r>
              <w:rPr>
                <w:spacing w:val="-28"/>
              </w:rPr>
              <w:t xml:space="preserve"> </w:t>
            </w:r>
            <w:r>
              <w:rPr>
                <w:spacing w:val="-1"/>
              </w:rPr>
              <w:t>其他乘用车（轿车）</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tcPr>
          <w:p>
            <w:pPr>
              <w:pStyle w:val="234"/>
              <w:spacing w:before="94" w:line="183" w:lineRule="auto"/>
              <w:ind w:left="115"/>
              <w:rPr>
                <w:rFonts w:hint="eastAsia"/>
              </w:rPr>
            </w:pPr>
            <w:r>
              <w:t>9</w:t>
            </w:r>
          </w:p>
        </w:tc>
        <w:tc>
          <w:tcPr>
            <w:tcW w:w="1343" w:type="dxa"/>
          </w:tcPr>
          <w:p>
            <w:pPr>
              <w:pStyle w:val="234"/>
              <w:spacing w:before="66" w:line="220" w:lineRule="auto"/>
              <w:ind w:left="102"/>
              <w:rPr>
                <w:rFonts w:hint="eastAsia"/>
              </w:rPr>
            </w:pPr>
            <w:r>
              <w:rPr>
                <w:spacing w:val="-1"/>
              </w:rPr>
              <w:t>A020306</w:t>
            </w:r>
            <w:r>
              <w:rPr>
                <w:spacing w:val="-33"/>
              </w:rPr>
              <w:t xml:space="preserve"> </w:t>
            </w:r>
            <w:r>
              <w:rPr>
                <w:spacing w:val="-1"/>
              </w:rPr>
              <w:t>客车</w:t>
            </w:r>
          </w:p>
        </w:tc>
        <w:tc>
          <w:tcPr>
            <w:tcW w:w="2324" w:type="dxa"/>
          </w:tcPr>
          <w:p>
            <w:pPr>
              <w:pStyle w:val="234"/>
              <w:spacing w:before="66" w:line="220" w:lineRule="auto"/>
              <w:ind w:left="103"/>
              <w:rPr>
                <w:rFonts w:hint="eastAsia"/>
              </w:rPr>
            </w:pPr>
            <w:r>
              <w:rPr>
                <w:spacing w:val="-1"/>
              </w:rPr>
              <w:t>A02030601</w:t>
            </w:r>
            <w:r>
              <w:rPr>
                <w:spacing w:val="-30"/>
              </w:rPr>
              <w:t xml:space="preserve"> </w:t>
            </w:r>
            <w:r>
              <w:rPr>
                <w:spacing w:val="-1"/>
              </w:rPr>
              <w:t>小型客车</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pPr>
              <w:pStyle w:val="234"/>
              <w:spacing w:before="94" w:line="184" w:lineRule="auto"/>
              <w:ind w:left="128"/>
              <w:rPr>
                <w:rFonts w:hint="eastAsia"/>
              </w:rPr>
            </w:pPr>
            <w:r>
              <w:rPr>
                <w:spacing w:val="-10"/>
              </w:rPr>
              <w:t>10</w:t>
            </w:r>
          </w:p>
        </w:tc>
        <w:tc>
          <w:tcPr>
            <w:tcW w:w="1343" w:type="dxa"/>
          </w:tcPr>
          <w:p>
            <w:pPr>
              <w:pStyle w:val="234"/>
              <w:spacing w:before="66" w:line="283" w:lineRule="auto"/>
              <w:ind w:left="106" w:right="108" w:hanging="4"/>
              <w:rPr>
                <w:rFonts w:hint="eastAsia"/>
              </w:rPr>
            </w:pPr>
            <w:r>
              <w:rPr>
                <w:spacing w:val="3"/>
              </w:rPr>
              <w:t>A020307</w:t>
            </w:r>
            <w:r>
              <w:rPr>
                <w:spacing w:val="34"/>
              </w:rPr>
              <w:t xml:space="preserve"> </w:t>
            </w:r>
            <w:r>
              <w:rPr>
                <w:spacing w:val="3"/>
              </w:rPr>
              <w:t>专用车</w:t>
            </w:r>
            <w:r>
              <w:t xml:space="preserve"> 辆</w:t>
            </w:r>
          </w:p>
        </w:tc>
        <w:tc>
          <w:tcPr>
            <w:tcW w:w="2324" w:type="dxa"/>
          </w:tcPr>
          <w:p>
            <w:pPr>
              <w:pStyle w:val="234"/>
              <w:spacing w:before="66" w:line="220" w:lineRule="auto"/>
              <w:ind w:left="103"/>
              <w:rPr>
                <w:rFonts w:hint="eastAsia"/>
              </w:rPr>
            </w:pPr>
            <w:r>
              <w:rPr>
                <w:spacing w:val="-1"/>
              </w:rPr>
              <w:t>A02030799</w:t>
            </w:r>
            <w:r>
              <w:rPr>
                <w:spacing w:val="-30"/>
              </w:rPr>
              <w:t xml:space="preserve"> </w:t>
            </w:r>
            <w:r>
              <w:rPr>
                <w:spacing w:val="-1"/>
              </w:rPr>
              <w:t>其他专用汽车</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jc w:val="center"/>
        </w:trPr>
        <w:tc>
          <w:tcPr>
            <w:tcW w:w="510" w:type="dxa"/>
            <w:vMerge w:val="restart"/>
            <w:tcBorders>
              <w:bottom w:val="nil"/>
            </w:tcBorders>
          </w:tcPr>
          <w:p>
            <w:pPr>
              <w:pStyle w:val="234"/>
              <w:spacing w:before="97" w:line="184" w:lineRule="auto"/>
              <w:ind w:left="128"/>
              <w:rPr>
                <w:rFonts w:hint="eastAsia"/>
              </w:rPr>
            </w:pPr>
            <w:r>
              <w:rPr>
                <w:spacing w:val="-10"/>
              </w:rPr>
              <w:t>11</w:t>
            </w:r>
          </w:p>
        </w:tc>
        <w:tc>
          <w:tcPr>
            <w:tcW w:w="1343" w:type="dxa"/>
            <w:vMerge w:val="restart"/>
            <w:tcBorders>
              <w:bottom w:val="nil"/>
            </w:tcBorders>
          </w:tcPr>
          <w:p>
            <w:pPr>
              <w:pStyle w:val="234"/>
              <w:spacing w:before="70" w:line="307" w:lineRule="auto"/>
              <w:ind w:left="109" w:right="108" w:hanging="7"/>
              <w:rPr>
                <w:rFonts w:hint="eastAsia"/>
              </w:rPr>
            </w:pPr>
            <w:r>
              <w:rPr>
                <w:spacing w:val="3"/>
              </w:rPr>
              <w:t>A020523</w:t>
            </w:r>
            <w:r>
              <w:rPr>
                <w:spacing w:val="34"/>
              </w:rPr>
              <w:t xml:space="preserve"> </w:t>
            </w:r>
            <w:r>
              <w:rPr>
                <w:spacing w:val="3"/>
              </w:rPr>
              <w:t>制冷空</w:t>
            </w:r>
            <w:r>
              <w:rPr>
                <w:spacing w:val="-2"/>
              </w:rPr>
              <w:t>调设备</w:t>
            </w:r>
          </w:p>
        </w:tc>
        <w:tc>
          <w:tcPr>
            <w:tcW w:w="2324" w:type="dxa"/>
          </w:tcPr>
          <w:p>
            <w:pPr>
              <w:pStyle w:val="234"/>
              <w:spacing w:before="70" w:line="219" w:lineRule="auto"/>
              <w:ind w:left="103"/>
              <w:rPr>
                <w:rFonts w:hint="eastAsia"/>
              </w:rPr>
            </w:pPr>
            <w:r>
              <w:t>A02052301 制冷压缩机</w:t>
            </w:r>
          </w:p>
        </w:tc>
        <w:tc>
          <w:tcPr>
            <w:tcW w:w="1956" w:type="dxa"/>
          </w:tcPr>
          <w:p>
            <w:pPr>
              <w:rPr>
                <w:rFonts w:ascii="Arial"/>
              </w:rPr>
            </w:pPr>
          </w:p>
        </w:tc>
        <w:tc>
          <w:tcPr>
            <w:tcW w:w="3081" w:type="dxa"/>
          </w:tcPr>
          <w:p>
            <w:pPr>
              <w:pStyle w:val="234"/>
              <w:spacing w:before="69" w:line="219" w:lineRule="auto"/>
              <w:ind w:left="109"/>
              <w:rPr>
                <w:rFonts w:hint="eastAsia"/>
              </w:rPr>
            </w:pPr>
            <w:r>
              <w:rPr>
                <w:spacing w:val="-1"/>
              </w:rPr>
              <w:t>HJ2531</w:t>
            </w:r>
            <w:r>
              <w:rPr>
                <w:spacing w:val="-32"/>
              </w:rPr>
              <w:t xml:space="preserve"> </w:t>
            </w:r>
            <w:r>
              <w:rPr>
                <w:spacing w:val="-1"/>
              </w:rPr>
              <w:t>工商用制冷设备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7" w:line="219" w:lineRule="auto"/>
              <w:ind w:left="103"/>
              <w:rPr>
                <w:rFonts w:hint="eastAsia"/>
              </w:rPr>
            </w:pPr>
            <w:r>
              <w:t>A02052305 空调机组</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HJ2531</w:t>
            </w:r>
            <w:r>
              <w:rPr>
                <w:spacing w:val="-32"/>
              </w:rPr>
              <w:t xml:space="preserve"> </w:t>
            </w:r>
            <w:r>
              <w:rPr>
                <w:spacing w:val="-1"/>
              </w:rPr>
              <w:t>工商用制冷设备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7" w:line="221" w:lineRule="auto"/>
              <w:ind w:left="103"/>
              <w:rPr>
                <w:rFonts w:hint="eastAsia"/>
                <w:lang w:eastAsia="zh-CN"/>
              </w:rPr>
            </w:pPr>
            <w:r>
              <w:rPr>
                <w:spacing w:val="-2"/>
                <w:lang w:eastAsia="zh-CN"/>
              </w:rPr>
              <w:t>A02052309</w:t>
            </w:r>
            <w:r>
              <w:rPr>
                <w:spacing w:val="-27"/>
                <w:lang w:eastAsia="zh-CN"/>
              </w:rPr>
              <w:t xml:space="preserve"> </w:t>
            </w:r>
            <w:r>
              <w:rPr>
                <w:spacing w:val="-2"/>
                <w:lang w:eastAsia="zh-CN"/>
              </w:rPr>
              <w:t>专用制冷、空调设备</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HJ2531</w:t>
            </w:r>
            <w:r>
              <w:rPr>
                <w:spacing w:val="-32"/>
              </w:rPr>
              <w:t xml:space="preserve"> </w:t>
            </w:r>
            <w:r>
              <w:rPr>
                <w:spacing w:val="-1"/>
              </w:rPr>
              <w:t>工商用制冷设备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6" w:line="184" w:lineRule="auto"/>
              <w:ind w:left="128"/>
              <w:rPr>
                <w:rFonts w:hint="eastAsia"/>
              </w:rPr>
            </w:pPr>
            <w:r>
              <w:rPr>
                <w:spacing w:val="-10"/>
              </w:rPr>
              <w:t>12</w:t>
            </w:r>
          </w:p>
        </w:tc>
        <w:tc>
          <w:tcPr>
            <w:tcW w:w="1343" w:type="dxa"/>
            <w:vMerge w:val="restart"/>
            <w:tcBorders>
              <w:bottom w:val="nil"/>
            </w:tcBorders>
          </w:tcPr>
          <w:p>
            <w:pPr>
              <w:pStyle w:val="234"/>
              <w:spacing w:before="68" w:line="309" w:lineRule="auto"/>
              <w:ind w:left="128" w:right="108" w:hanging="26"/>
              <w:rPr>
                <w:rFonts w:hint="eastAsia"/>
              </w:rPr>
            </w:pPr>
            <w:r>
              <w:rPr>
                <w:spacing w:val="3"/>
              </w:rPr>
              <w:t>A020618</w:t>
            </w:r>
            <w:r>
              <w:rPr>
                <w:spacing w:val="34"/>
              </w:rPr>
              <w:t xml:space="preserve"> </w:t>
            </w:r>
            <w:r>
              <w:rPr>
                <w:spacing w:val="3"/>
              </w:rPr>
              <w:t>生活用</w:t>
            </w:r>
            <w:r>
              <w:rPr>
                <w:spacing w:val="-8"/>
              </w:rPr>
              <w:t>电器</w:t>
            </w:r>
          </w:p>
        </w:tc>
        <w:tc>
          <w:tcPr>
            <w:tcW w:w="2324" w:type="dxa"/>
          </w:tcPr>
          <w:p>
            <w:pPr>
              <w:pStyle w:val="234"/>
              <w:spacing w:before="68" w:line="221" w:lineRule="auto"/>
              <w:ind w:left="103"/>
              <w:rPr>
                <w:rFonts w:hint="eastAsia"/>
              </w:rPr>
            </w:pPr>
            <w:r>
              <w:rPr>
                <w:spacing w:val="-1"/>
              </w:rPr>
              <w:t>A02061802</w:t>
            </w:r>
            <w:r>
              <w:rPr>
                <w:spacing w:val="-29"/>
              </w:rPr>
              <w:t xml:space="preserve"> </w:t>
            </w:r>
            <w:r>
              <w:rPr>
                <w:spacing w:val="-1"/>
              </w:rPr>
              <w:t>空气调节电器</w:t>
            </w:r>
          </w:p>
        </w:tc>
        <w:tc>
          <w:tcPr>
            <w:tcW w:w="1956" w:type="dxa"/>
          </w:tcPr>
          <w:p>
            <w:pPr>
              <w:pStyle w:val="234"/>
              <w:spacing w:before="68" w:line="219" w:lineRule="auto"/>
              <w:ind w:left="105"/>
              <w:rPr>
                <w:rFonts w:hint="eastAsia"/>
              </w:rPr>
            </w:pPr>
            <w:r>
              <w:rPr>
                <w:spacing w:val="-1"/>
              </w:rPr>
              <w:t>A0206180203</w:t>
            </w:r>
            <w:r>
              <w:rPr>
                <w:spacing w:val="-28"/>
              </w:rPr>
              <w:t xml:space="preserve"> </w:t>
            </w:r>
            <w:r>
              <w:rPr>
                <w:spacing w:val="-1"/>
              </w:rPr>
              <w:t>空调机</w:t>
            </w:r>
          </w:p>
        </w:tc>
        <w:tc>
          <w:tcPr>
            <w:tcW w:w="3081" w:type="dxa"/>
          </w:tcPr>
          <w:p>
            <w:pPr>
              <w:pStyle w:val="234"/>
              <w:spacing w:before="68" w:line="219" w:lineRule="auto"/>
              <w:ind w:left="109"/>
              <w:rPr>
                <w:rFonts w:hint="eastAsia"/>
              </w:rPr>
            </w:pPr>
            <w:r>
              <w:rPr>
                <w:spacing w:val="-1"/>
              </w:rPr>
              <w:t>HJ2535</w:t>
            </w:r>
            <w:r>
              <w:rPr>
                <w:spacing w:val="-32"/>
              </w:rPr>
              <w:t xml:space="preserve"> </w:t>
            </w:r>
            <w:r>
              <w:rPr>
                <w:spacing w:val="-1"/>
              </w:rPr>
              <w:t>房间空气调节器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8" w:line="220" w:lineRule="auto"/>
              <w:ind w:left="103"/>
              <w:rPr>
                <w:rFonts w:hint="eastAsia"/>
              </w:rPr>
            </w:pPr>
            <w:r>
              <w:rPr>
                <w:spacing w:val="-1"/>
              </w:rPr>
              <w:t>A02061808</w:t>
            </w:r>
            <w:r>
              <w:rPr>
                <w:spacing w:val="-31"/>
              </w:rPr>
              <w:t xml:space="preserve"> </w:t>
            </w:r>
            <w:r>
              <w:rPr>
                <w:spacing w:val="-1"/>
              </w:rPr>
              <w:t>热水器</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HJ/T362</w:t>
            </w:r>
            <w:r>
              <w:rPr>
                <w:spacing w:val="-33"/>
              </w:rPr>
              <w:t xml:space="preserve"> </w:t>
            </w:r>
            <w:r>
              <w:rPr>
                <w:spacing w:val="-1"/>
              </w:rPr>
              <w:t>太阳能集热器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tcPr>
          <w:p>
            <w:pPr>
              <w:pStyle w:val="234"/>
              <w:spacing w:before="95" w:line="184" w:lineRule="auto"/>
              <w:ind w:left="128"/>
              <w:rPr>
                <w:rFonts w:hint="eastAsia"/>
              </w:rPr>
            </w:pPr>
            <w:r>
              <w:rPr>
                <w:spacing w:val="-10"/>
              </w:rPr>
              <w:t>13</w:t>
            </w:r>
          </w:p>
        </w:tc>
        <w:tc>
          <w:tcPr>
            <w:tcW w:w="1343" w:type="dxa"/>
          </w:tcPr>
          <w:p>
            <w:pPr>
              <w:pStyle w:val="234"/>
              <w:spacing w:before="69" w:line="284" w:lineRule="auto"/>
              <w:ind w:left="109" w:right="108" w:hanging="7"/>
              <w:rPr>
                <w:rFonts w:hint="eastAsia"/>
              </w:rPr>
            </w:pPr>
            <w:r>
              <w:rPr>
                <w:spacing w:val="-2"/>
              </w:rPr>
              <w:t>A020619</w:t>
            </w:r>
            <w:r>
              <w:rPr>
                <w:spacing w:val="39"/>
              </w:rPr>
              <w:t xml:space="preserve"> </w:t>
            </w:r>
            <w:r>
              <w:rPr>
                <w:spacing w:val="-2"/>
              </w:rPr>
              <w:t>照</w:t>
            </w:r>
            <w:r>
              <w:rPr>
                <w:spacing w:val="-45"/>
              </w:rPr>
              <w:t xml:space="preserve"> </w:t>
            </w:r>
            <w:r>
              <w:rPr>
                <w:spacing w:val="-2"/>
              </w:rPr>
              <w:t>明设</w:t>
            </w:r>
            <w:r>
              <w:t xml:space="preserve"> 备</w:t>
            </w:r>
          </w:p>
        </w:tc>
        <w:tc>
          <w:tcPr>
            <w:tcW w:w="2324" w:type="dxa"/>
          </w:tcPr>
          <w:p>
            <w:pPr>
              <w:pStyle w:val="234"/>
              <w:spacing w:before="68" w:line="220" w:lineRule="auto"/>
              <w:ind w:left="103"/>
              <w:rPr>
                <w:rFonts w:hint="eastAsia"/>
              </w:rPr>
            </w:pPr>
            <w:r>
              <w:rPr>
                <w:spacing w:val="-1"/>
              </w:rPr>
              <w:t>A02061908</w:t>
            </w:r>
            <w:r>
              <w:rPr>
                <w:spacing w:val="-29"/>
              </w:rPr>
              <w:t xml:space="preserve"> </w:t>
            </w:r>
            <w:r>
              <w:rPr>
                <w:spacing w:val="-1"/>
              </w:rPr>
              <w:t>室内照明灯具</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HJ2518</w:t>
            </w:r>
            <w:r>
              <w:rPr>
                <w:spacing w:val="-35"/>
              </w:rPr>
              <w:t xml:space="preserve"> </w:t>
            </w:r>
            <w:r>
              <w:rPr>
                <w:spacing w:val="-1"/>
              </w:rPr>
              <w:t>照明光源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510" w:type="dxa"/>
          </w:tcPr>
          <w:p>
            <w:pPr>
              <w:pStyle w:val="234"/>
              <w:spacing w:before="91" w:line="184" w:lineRule="auto"/>
              <w:ind w:left="128"/>
              <w:rPr>
                <w:rFonts w:hint="eastAsia"/>
              </w:rPr>
            </w:pPr>
            <w:r>
              <w:rPr>
                <w:spacing w:val="-10"/>
              </w:rPr>
              <w:t>14</w:t>
            </w:r>
          </w:p>
        </w:tc>
        <w:tc>
          <w:tcPr>
            <w:tcW w:w="1343" w:type="dxa"/>
          </w:tcPr>
          <w:p>
            <w:pPr>
              <w:pStyle w:val="234"/>
              <w:spacing w:before="64" w:line="296" w:lineRule="auto"/>
              <w:ind w:left="109" w:right="106" w:hanging="7"/>
              <w:rPr>
                <w:rFonts w:hint="eastAsia"/>
                <w:lang w:eastAsia="zh-CN"/>
              </w:rPr>
            </w:pPr>
            <w:r>
              <w:rPr>
                <w:spacing w:val="3"/>
                <w:lang w:eastAsia="zh-CN"/>
              </w:rPr>
              <w:t>A020810</w:t>
            </w:r>
            <w:r>
              <w:rPr>
                <w:spacing w:val="34"/>
                <w:lang w:eastAsia="zh-CN"/>
              </w:rPr>
              <w:t xml:space="preserve"> </w:t>
            </w:r>
            <w:r>
              <w:rPr>
                <w:spacing w:val="3"/>
                <w:lang w:eastAsia="zh-CN"/>
              </w:rPr>
              <w:t>传真及</w:t>
            </w:r>
            <w:r>
              <w:rPr>
                <w:lang w:eastAsia="zh-CN"/>
              </w:rPr>
              <w:t xml:space="preserve"> </w:t>
            </w:r>
            <w:r>
              <w:rPr>
                <w:spacing w:val="8"/>
                <w:lang w:eastAsia="zh-CN"/>
              </w:rPr>
              <w:t>数据数字通信设</w:t>
            </w:r>
            <w:r>
              <w:rPr>
                <w:spacing w:val="4"/>
                <w:lang w:eastAsia="zh-CN"/>
              </w:rPr>
              <w:t xml:space="preserve"> </w:t>
            </w:r>
            <w:r>
              <w:rPr>
                <w:lang w:eastAsia="zh-CN"/>
              </w:rPr>
              <w:t>备</w:t>
            </w:r>
          </w:p>
        </w:tc>
        <w:tc>
          <w:tcPr>
            <w:tcW w:w="2324" w:type="dxa"/>
          </w:tcPr>
          <w:p>
            <w:pPr>
              <w:pStyle w:val="234"/>
              <w:spacing w:before="64" w:line="219" w:lineRule="auto"/>
              <w:ind w:left="103"/>
              <w:rPr>
                <w:rFonts w:hint="eastAsia"/>
              </w:rPr>
            </w:pPr>
            <w:r>
              <w:rPr>
                <w:spacing w:val="-1"/>
              </w:rPr>
              <w:t>A02081001</w:t>
            </w:r>
            <w:r>
              <w:rPr>
                <w:spacing w:val="-30"/>
              </w:rPr>
              <w:t xml:space="preserve"> </w:t>
            </w:r>
            <w:r>
              <w:rPr>
                <w:spacing w:val="-1"/>
              </w:rPr>
              <w:t>传真通信设备</w:t>
            </w:r>
          </w:p>
        </w:tc>
        <w:tc>
          <w:tcPr>
            <w:tcW w:w="1956" w:type="dxa"/>
          </w:tcPr>
          <w:p>
            <w:pPr>
              <w:rPr>
                <w:rFonts w:ascii="Arial"/>
              </w:rPr>
            </w:pPr>
          </w:p>
        </w:tc>
        <w:tc>
          <w:tcPr>
            <w:tcW w:w="3081" w:type="dxa"/>
          </w:tcPr>
          <w:p>
            <w:pPr>
              <w:pStyle w:val="234"/>
              <w:spacing w:before="63"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vMerge w:val="restart"/>
            <w:tcBorders>
              <w:bottom w:val="nil"/>
            </w:tcBorders>
          </w:tcPr>
          <w:p>
            <w:pPr>
              <w:pStyle w:val="234"/>
              <w:spacing w:before="92" w:line="184" w:lineRule="auto"/>
              <w:ind w:left="128"/>
              <w:rPr>
                <w:rFonts w:hint="eastAsia"/>
              </w:rPr>
            </w:pPr>
            <w:r>
              <w:rPr>
                <w:spacing w:val="-10"/>
              </w:rPr>
              <w:t>15</w:t>
            </w:r>
          </w:p>
        </w:tc>
        <w:tc>
          <w:tcPr>
            <w:tcW w:w="1343" w:type="dxa"/>
            <w:vMerge w:val="restart"/>
            <w:tcBorders>
              <w:bottom w:val="nil"/>
            </w:tcBorders>
          </w:tcPr>
          <w:p>
            <w:pPr>
              <w:pStyle w:val="234"/>
              <w:spacing w:before="65" w:line="307" w:lineRule="auto"/>
              <w:ind w:left="109" w:right="108" w:hanging="7"/>
              <w:rPr>
                <w:rFonts w:hint="eastAsia"/>
              </w:rPr>
            </w:pPr>
            <w:r>
              <w:rPr>
                <w:spacing w:val="1"/>
              </w:rPr>
              <w:t>A020910</w:t>
            </w:r>
            <w:r>
              <w:rPr>
                <w:spacing w:val="54"/>
              </w:rPr>
              <w:t xml:space="preserve"> </w:t>
            </w:r>
            <w:r>
              <w:rPr>
                <w:spacing w:val="1"/>
              </w:rPr>
              <w:t>电视设</w:t>
            </w:r>
            <w:r>
              <w:t xml:space="preserve"> 备</w:t>
            </w:r>
          </w:p>
        </w:tc>
        <w:tc>
          <w:tcPr>
            <w:tcW w:w="2324" w:type="dxa"/>
          </w:tcPr>
          <w:p>
            <w:pPr>
              <w:pStyle w:val="234"/>
              <w:spacing w:before="64" w:line="284" w:lineRule="auto"/>
              <w:ind w:left="107" w:right="107" w:hanging="4"/>
              <w:rPr>
                <w:rFonts w:hint="eastAsia"/>
                <w:lang w:eastAsia="zh-CN"/>
              </w:rPr>
            </w:pPr>
            <w:r>
              <w:rPr>
                <w:spacing w:val="-2"/>
                <w:lang w:eastAsia="zh-CN"/>
              </w:rPr>
              <w:t>A02091001</w:t>
            </w:r>
            <w:r>
              <w:rPr>
                <w:spacing w:val="-29"/>
                <w:lang w:eastAsia="zh-CN"/>
              </w:rPr>
              <w:t xml:space="preserve"> </w:t>
            </w:r>
            <w:r>
              <w:rPr>
                <w:spacing w:val="-2"/>
                <w:lang w:eastAsia="zh-CN"/>
              </w:rPr>
              <w:t>普通电视设备（电视</w:t>
            </w:r>
            <w:r>
              <w:rPr>
                <w:lang w:eastAsia="zh-CN"/>
              </w:rPr>
              <w:t xml:space="preserve"> </w:t>
            </w:r>
            <w:r>
              <w:rPr>
                <w:spacing w:val="-4"/>
                <w:lang w:eastAsia="zh-CN"/>
              </w:rPr>
              <w:t>机）</w:t>
            </w:r>
          </w:p>
        </w:tc>
        <w:tc>
          <w:tcPr>
            <w:tcW w:w="1956" w:type="dxa"/>
          </w:tcPr>
          <w:p>
            <w:pPr>
              <w:rPr>
                <w:rFonts w:ascii="Arial"/>
              </w:rPr>
            </w:pPr>
          </w:p>
        </w:tc>
        <w:tc>
          <w:tcPr>
            <w:tcW w:w="3081" w:type="dxa"/>
          </w:tcPr>
          <w:p>
            <w:pPr>
              <w:pStyle w:val="234"/>
              <w:spacing w:before="64" w:line="219" w:lineRule="auto"/>
              <w:ind w:left="109"/>
              <w:rPr>
                <w:rFonts w:hint="eastAsia"/>
                <w:lang w:eastAsia="zh-CN"/>
              </w:rPr>
            </w:pPr>
            <w:r>
              <w:rPr>
                <w:spacing w:val="-1"/>
                <w:lang w:eastAsia="zh-CN"/>
              </w:rPr>
              <w:t>HJ2506</w:t>
            </w:r>
            <w:r>
              <w:rPr>
                <w:spacing w:val="-31"/>
                <w:lang w:eastAsia="zh-CN"/>
              </w:rPr>
              <w:t xml:space="preserve"> </w:t>
            </w:r>
            <w:r>
              <w:rPr>
                <w:spacing w:val="-1"/>
                <w:lang w:eastAsia="zh-CN"/>
              </w:rPr>
              <w:t>彩色电视广播接收机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1"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7" w:line="284" w:lineRule="auto"/>
              <w:ind w:left="111" w:right="107" w:hanging="8"/>
              <w:rPr>
                <w:rFonts w:hint="eastAsia"/>
                <w:lang w:eastAsia="zh-CN"/>
              </w:rPr>
            </w:pPr>
            <w:r>
              <w:rPr>
                <w:spacing w:val="6"/>
                <w:lang w:eastAsia="zh-CN"/>
              </w:rPr>
              <w:t>A02091003 特殊功能应用电视</w:t>
            </w:r>
            <w:r>
              <w:rPr>
                <w:spacing w:val="7"/>
                <w:lang w:eastAsia="zh-CN"/>
              </w:rPr>
              <w:t xml:space="preserve"> </w:t>
            </w:r>
            <w:r>
              <w:rPr>
                <w:spacing w:val="-3"/>
                <w:lang w:eastAsia="zh-CN"/>
              </w:rPr>
              <w:t>设备</w:t>
            </w:r>
          </w:p>
        </w:tc>
        <w:tc>
          <w:tcPr>
            <w:tcW w:w="1956" w:type="dxa"/>
          </w:tcPr>
          <w:p>
            <w:pPr>
              <w:rPr>
                <w:rFonts w:ascii="Arial"/>
              </w:rPr>
            </w:pPr>
          </w:p>
        </w:tc>
        <w:tc>
          <w:tcPr>
            <w:tcW w:w="3081" w:type="dxa"/>
          </w:tcPr>
          <w:p>
            <w:pPr>
              <w:pStyle w:val="234"/>
              <w:spacing w:before="67" w:line="219" w:lineRule="auto"/>
              <w:ind w:left="109"/>
              <w:rPr>
                <w:rFonts w:hint="eastAsia"/>
                <w:lang w:eastAsia="zh-CN"/>
              </w:rPr>
            </w:pPr>
            <w:r>
              <w:rPr>
                <w:spacing w:val="-1"/>
                <w:lang w:eastAsia="zh-CN"/>
              </w:rPr>
              <w:t>HJ2506</w:t>
            </w:r>
            <w:r>
              <w:rPr>
                <w:spacing w:val="-31"/>
                <w:lang w:eastAsia="zh-CN"/>
              </w:rPr>
              <w:t xml:space="preserve"> </w:t>
            </w:r>
            <w:r>
              <w:rPr>
                <w:spacing w:val="-1"/>
                <w:lang w:eastAsia="zh-CN"/>
              </w:rPr>
              <w:t>彩色电视广播接收机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restart"/>
            <w:tcBorders>
              <w:bottom w:val="nil"/>
            </w:tcBorders>
          </w:tcPr>
          <w:p>
            <w:pPr>
              <w:pStyle w:val="234"/>
              <w:spacing w:before="92" w:line="184" w:lineRule="auto"/>
              <w:ind w:left="128"/>
              <w:rPr>
                <w:rFonts w:hint="eastAsia"/>
              </w:rPr>
            </w:pPr>
            <w:r>
              <w:rPr>
                <w:spacing w:val="-10"/>
              </w:rPr>
              <w:t>16</w:t>
            </w:r>
          </w:p>
        </w:tc>
        <w:tc>
          <w:tcPr>
            <w:tcW w:w="1343" w:type="dxa"/>
            <w:vMerge w:val="restart"/>
            <w:tcBorders>
              <w:bottom w:val="nil"/>
            </w:tcBorders>
          </w:tcPr>
          <w:p>
            <w:pPr>
              <w:pStyle w:val="234"/>
              <w:spacing w:before="65" w:line="220" w:lineRule="auto"/>
              <w:ind w:left="193"/>
              <w:rPr>
                <w:rFonts w:hint="eastAsia"/>
              </w:rPr>
            </w:pPr>
            <w:r>
              <w:rPr>
                <w:spacing w:val="-1"/>
              </w:rPr>
              <w:t>A0601</w:t>
            </w:r>
            <w:r>
              <w:rPr>
                <w:spacing w:val="-36"/>
              </w:rPr>
              <w:t xml:space="preserve"> </w:t>
            </w:r>
            <w:r>
              <w:rPr>
                <w:spacing w:val="-1"/>
              </w:rPr>
              <w:t>床类</w:t>
            </w:r>
          </w:p>
        </w:tc>
        <w:tc>
          <w:tcPr>
            <w:tcW w:w="2324" w:type="dxa"/>
          </w:tcPr>
          <w:p>
            <w:pPr>
              <w:pStyle w:val="234"/>
              <w:spacing w:before="65" w:line="220" w:lineRule="auto"/>
              <w:ind w:left="103"/>
              <w:rPr>
                <w:rFonts w:hint="eastAsia"/>
              </w:rPr>
            </w:pPr>
            <w:r>
              <w:rPr>
                <w:spacing w:val="-1"/>
              </w:rPr>
              <w:t>A060101</w:t>
            </w:r>
            <w:r>
              <w:rPr>
                <w:spacing w:val="-34"/>
              </w:rPr>
              <w:t xml:space="preserve"> </w:t>
            </w:r>
            <w:r>
              <w:rPr>
                <w:spacing w:val="-1"/>
              </w:rPr>
              <w:t>钢木床类</w:t>
            </w:r>
          </w:p>
        </w:tc>
        <w:tc>
          <w:tcPr>
            <w:tcW w:w="1956" w:type="dxa"/>
          </w:tcPr>
          <w:p>
            <w:pPr>
              <w:rPr>
                <w:rFonts w:ascii="Arial"/>
              </w:rPr>
            </w:pPr>
          </w:p>
        </w:tc>
        <w:tc>
          <w:tcPr>
            <w:tcW w:w="3081" w:type="dxa"/>
          </w:tcPr>
          <w:p>
            <w:pPr>
              <w:pStyle w:val="234"/>
              <w:spacing w:before="64"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5" w:line="220" w:lineRule="auto"/>
              <w:ind w:left="103"/>
              <w:rPr>
                <w:rFonts w:hint="eastAsia"/>
              </w:rPr>
            </w:pPr>
            <w:r>
              <w:rPr>
                <w:spacing w:val="-1"/>
              </w:rPr>
              <w:t>A060104</w:t>
            </w:r>
            <w:r>
              <w:rPr>
                <w:spacing w:val="-33"/>
              </w:rPr>
              <w:t xml:space="preserve"> </w:t>
            </w:r>
            <w:r>
              <w:rPr>
                <w:spacing w:val="-1"/>
              </w:rPr>
              <w:t>木制床类</w:t>
            </w:r>
          </w:p>
        </w:tc>
        <w:tc>
          <w:tcPr>
            <w:tcW w:w="1956" w:type="dxa"/>
          </w:tcPr>
          <w:p>
            <w:pPr>
              <w:rPr>
                <w:rFonts w:ascii="Arial"/>
              </w:rPr>
            </w:pPr>
          </w:p>
        </w:tc>
        <w:tc>
          <w:tcPr>
            <w:tcW w:w="3081" w:type="dxa"/>
          </w:tcPr>
          <w:p>
            <w:pPr>
              <w:pStyle w:val="234"/>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5" w:line="220" w:lineRule="auto"/>
              <w:ind w:left="103"/>
              <w:rPr>
                <w:rFonts w:hint="eastAsia"/>
              </w:rPr>
            </w:pPr>
            <w:r>
              <w:rPr>
                <w:spacing w:val="-1"/>
              </w:rPr>
              <w:t>A060199</w:t>
            </w:r>
            <w:r>
              <w:rPr>
                <w:spacing w:val="-33"/>
              </w:rPr>
              <w:t xml:space="preserve"> </w:t>
            </w:r>
            <w:r>
              <w:rPr>
                <w:spacing w:val="-1"/>
              </w:rPr>
              <w:t>其他床类</w:t>
            </w:r>
          </w:p>
        </w:tc>
        <w:tc>
          <w:tcPr>
            <w:tcW w:w="1956" w:type="dxa"/>
          </w:tcPr>
          <w:p>
            <w:pPr>
              <w:rPr>
                <w:rFonts w:ascii="Arial"/>
              </w:rPr>
            </w:pPr>
          </w:p>
        </w:tc>
        <w:tc>
          <w:tcPr>
            <w:tcW w:w="3081" w:type="dxa"/>
          </w:tcPr>
          <w:p>
            <w:pPr>
              <w:pStyle w:val="234"/>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3" w:line="184" w:lineRule="auto"/>
              <w:ind w:left="128"/>
              <w:rPr>
                <w:rFonts w:hint="eastAsia"/>
              </w:rPr>
            </w:pPr>
            <w:r>
              <w:rPr>
                <w:spacing w:val="-10"/>
              </w:rPr>
              <w:t>17</w:t>
            </w:r>
          </w:p>
        </w:tc>
        <w:tc>
          <w:tcPr>
            <w:tcW w:w="1343" w:type="dxa"/>
            <w:vMerge w:val="restart"/>
            <w:tcBorders>
              <w:bottom w:val="nil"/>
            </w:tcBorders>
          </w:tcPr>
          <w:p>
            <w:pPr>
              <w:pStyle w:val="234"/>
              <w:spacing w:before="65" w:line="220" w:lineRule="auto"/>
              <w:ind w:left="102"/>
              <w:rPr>
                <w:rFonts w:hint="eastAsia"/>
              </w:rPr>
            </w:pPr>
            <w:r>
              <w:rPr>
                <w:spacing w:val="-2"/>
              </w:rPr>
              <w:t>A0602</w:t>
            </w:r>
            <w:r>
              <w:rPr>
                <w:spacing w:val="-22"/>
              </w:rPr>
              <w:t xml:space="preserve"> </w:t>
            </w:r>
            <w:r>
              <w:rPr>
                <w:spacing w:val="-2"/>
              </w:rPr>
              <w:t>台、桌类</w:t>
            </w:r>
          </w:p>
        </w:tc>
        <w:tc>
          <w:tcPr>
            <w:tcW w:w="2324" w:type="dxa"/>
          </w:tcPr>
          <w:p>
            <w:pPr>
              <w:pStyle w:val="234"/>
              <w:spacing w:before="65" w:line="220" w:lineRule="auto"/>
              <w:ind w:left="103"/>
              <w:rPr>
                <w:rFonts w:hint="eastAsia"/>
              </w:rPr>
            </w:pPr>
            <w:r>
              <w:rPr>
                <w:spacing w:val="-1"/>
              </w:rPr>
              <w:t>A060201</w:t>
            </w:r>
            <w:r>
              <w:rPr>
                <w:spacing w:val="-29"/>
              </w:rPr>
              <w:t xml:space="preserve"> </w:t>
            </w:r>
            <w:r>
              <w:rPr>
                <w:spacing w:val="-1"/>
              </w:rPr>
              <w:t>钢木台、桌类</w:t>
            </w:r>
          </w:p>
        </w:tc>
        <w:tc>
          <w:tcPr>
            <w:tcW w:w="1956" w:type="dxa"/>
          </w:tcPr>
          <w:p>
            <w:pPr>
              <w:rPr>
                <w:rFonts w:ascii="Arial"/>
              </w:rPr>
            </w:pPr>
          </w:p>
        </w:tc>
        <w:tc>
          <w:tcPr>
            <w:tcW w:w="3081" w:type="dxa"/>
          </w:tcPr>
          <w:p>
            <w:pPr>
              <w:pStyle w:val="234"/>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5" w:line="220" w:lineRule="auto"/>
              <w:ind w:left="103"/>
              <w:rPr>
                <w:rFonts w:hint="eastAsia"/>
              </w:rPr>
            </w:pPr>
            <w:r>
              <w:rPr>
                <w:spacing w:val="-1"/>
              </w:rPr>
              <w:t>A060205</w:t>
            </w:r>
            <w:r>
              <w:rPr>
                <w:spacing w:val="-29"/>
              </w:rPr>
              <w:t xml:space="preserve"> </w:t>
            </w:r>
            <w:r>
              <w:rPr>
                <w:spacing w:val="-1"/>
              </w:rPr>
              <w:t>木制台、桌类</w:t>
            </w:r>
          </w:p>
        </w:tc>
        <w:tc>
          <w:tcPr>
            <w:tcW w:w="1956" w:type="dxa"/>
          </w:tcPr>
          <w:p>
            <w:pPr>
              <w:rPr>
                <w:rFonts w:ascii="Arial"/>
              </w:rPr>
            </w:pPr>
          </w:p>
        </w:tc>
        <w:tc>
          <w:tcPr>
            <w:tcW w:w="3081" w:type="dxa"/>
          </w:tcPr>
          <w:p>
            <w:pPr>
              <w:pStyle w:val="234"/>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6" w:line="220" w:lineRule="auto"/>
              <w:ind w:left="103"/>
              <w:rPr>
                <w:rFonts w:hint="eastAsia"/>
              </w:rPr>
            </w:pPr>
            <w:r>
              <w:rPr>
                <w:spacing w:val="-1"/>
              </w:rPr>
              <w:t>A060299</w:t>
            </w:r>
            <w:r>
              <w:rPr>
                <w:spacing w:val="-29"/>
              </w:rPr>
              <w:t xml:space="preserve"> </w:t>
            </w:r>
            <w:r>
              <w:rPr>
                <w:spacing w:val="-1"/>
              </w:rPr>
              <w:t>其他台、桌类</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8" w:hRule="atLeast"/>
          <w:jc w:val="center"/>
        </w:trPr>
        <w:tc>
          <w:tcPr>
            <w:tcW w:w="510" w:type="dxa"/>
            <w:vMerge w:val="restart"/>
            <w:tcBorders>
              <w:bottom w:val="nil"/>
            </w:tcBorders>
          </w:tcPr>
          <w:p>
            <w:pPr>
              <w:pStyle w:val="234"/>
              <w:spacing w:before="94" w:line="184" w:lineRule="auto"/>
              <w:ind w:left="128"/>
              <w:rPr>
                <w:rFonts w:hint="eastAsia"/>
              </w:rPr>
            </w:pPr>
            <w:r>
              <w:rPr>
                <w:spacing w:val="-10"/>
              </w:rPr>
              <w:t>18</w:t>
            </w:r>
          </w:p>
        </w:tc>
        <w:tc>
          <w:tcPr>
            <w:tcW w:w="1343" w:type="dxa"/>
            <w:vMerge w:val="restart"/>
            <w:tcBorders>
              <w:bottom w:val="nil"/>
            </w:tcBorders>
          </w:tcPr>
          <w:p>
            <w:pPr>
              <w:pStyle w:val="234"/>
              <w:spacing w:before="66" w:line="220" w:lineRule="auto"/>
              <w:ind w:left="102"/>
              <w:rPr>
                <w:rFonts w:hint="eastAsia"/>
              </w:rPr>
            </w:pPr>
            <w:r>
              <w:rPr>
                <w:spacing w:val="-1"/>
              </w:rPr>
              <w:t>A0603</w:t>
            </w:r>
            <w:r>
              <w:rPr>
                <w:spacing w:val="-36"/>
              </w:rPr>
              <w:t xml:space="preserve"> </w:t>
            </w:r>
            <w:r>
              <w:rPr>
                <w:spacing w:val="-1"/>
              </w:rPr>
              <w:t>椅凳类</w:t>
            </w:r>
          </w:p>
        </w:tc>
        <w:tc>
          <w:tcPr>
            <w:tcW w:w="2324" w:type="dxa"/>
          </w:tcPr>
          <w:p>
            <w:pPr>
              <w:pStyle w:val="234"/>
              <w:spacing w:before="66" w:line="220" w:lineRule="auto"/>
              <w:ind w:left="103"/>
              <w:rPr>
                <w:rFonts w:hint="eastAsia"/>
              </w:rPr>
            </w:pPr>
            <w:r>
              <w:rPr>
                <w:spacing w:val="-1"/>
              </w:rPr>
              <w:t>A060301</w:t>
            </w:r>
            <w:r>
              <w:rPr>
                <w:spacing w:val="-46"/>
              </w:rPr>
              <w:t xml:space="preserve"> </w:t>
            </w:r>
            <w:r>
              <w:rPr>
                <w:spacing w:val="-1"/>
              </w:rPr>
              <w:t>金属骨架为主的椅凳类</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6" w:line="220" w:lineRule="auto"/>
              <w:ind w:left="103"/>
              <w:rPr>
                <w:rFonts w:hint="eastAsia"/>
              </w:rPr>
            </w:pPr>
            <w:r>
              <w:rPr>
                <w:spacing w:val="-1"/>
              </w:rPr>
              <w:t>A060302</w:t>
            </w:r>
            <w:r>
              <w:rPr>
                <w:spacing w:val="-29"/>
              </w:rPr>
              <w:t xml:space="preserve"> </w:t>
            </w:r>
            <w:r>
              <w:rPr>
                <w:spacing w:val="-1"/>
              </w:rPr>
              <w:t>木骨架为主的椅凳类</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7" w:line="220" w:lineRule="auto"/>
              <w:ind w:left="103"/>
              <w:rPr>
                <w:rFonts w:hint="eastAsia"/>
              </w:rPr>
            </w:pPr>
            <w:r>
              <w:rPr>
                <w:spacing w:val="-1"/>
              </w:rPr>
              <w:t>A060399</w:t>
            </w:r>
            <w:r>
              <w:rPr>
                <w:spacing w:val="-33"/>
              </w:rPr>
              <w:t xml:space="preserve"> </w:t>
            </w:r>
            <w:r>
              <w:rPr>
                <w:spacing w:val="-1"/>
              </w:rPr>
              <w:t>其他椅凳类</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tcPr>
          <w:p>
            <w:pPr>
              <w:pStyle w:val="234"/>
              <w:spacing w:before="95" w:line="184" w:lineRule="auto"/>
              <w:ind w:left="128"/>
              <w:rPr>
                <w:rFonts w:hint="eastAsia"/>
              </w:rPr>
            </w:pPr>
            <w:r>
              <w:rPr>
                <w:spacing w:val="-10"/>
              </w:rPr>
              <w:t>19</w:t>
            </w:r>
          </w:p>
        </w:tc>
        <w:tc>
          <w:tcPr>
            <w:tcW w:w="1343" w:type="dxa"/>
          </w:tcPr>
          <w:p>
            <w:pPr>
              <w:pStyle w:val="234"/>
              <w:spacing w:before="67" w:line="220" w:lineRule="auto"/>
              <w:ind w:left="102"/>
              <w:rPr>
                <w:rFonts w:hint="eastAsia"/>
              </w:rPr>
            </w:pPr>
            <w:r>
              <w:rPr>
                <w:spacing w:val="-1"/>
              </w:rPr>
              <w:t>A0604</w:t>
            </w:r>
            <w:r>
              <w:rPr>
                <w:spacing w:val="-35"/>
              </w:rPr>
              <w:t xml:space="preserve"> </w:t>
            </w:r>
            <w:r>
              <w:rPr>
                <w:spacing w:val="-1"/>
              </w:rPr>
              <w:t>沙发类</w:t>
            </w:r>
          </w:p>
        </w:tc>
        <w:tc>
          <w:tcPr>
            <w:tcW w:w="2324" w:type="dxa"/>
          </w:tcPr>
          <w:p>
            <w:pPr>
              <w:pStyle w:val="234"/>
              <w:spacing w:before="67" w:line="220" w:lineRule="auto"/>
              <w:ind w:left="103"/>
              <w:rPr>
                <w:rFonts w:hint="eastAsia"/>
              </w:rPr>
            </w:pPr>
            <w:r>
              <w:rPr>
                <w:spacing w:val="-1"/>
              </w:rPr>
              <w:t>A060499</w:t>
            </w:r>
            <w:r>
              <w:rPr>
                <w:spacing w:val="-33"/>
              </w:rPr>
              <w:t xml:space="preserve"> </w:t>
            </w:r>
            <w:r>
              <w:rPr>
                <w:spacing w:val="-1"/>
              </w:rPr>
              <w:t>其他沙发类</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6" w:line="183" w:lineRule="auto"/>
              <w:ind w:left="116"/>
              <w:rPr>
                <w:rFonts w:hint="eastAsia"/>
              </w:rPr>
            </w:pPr>
            <w:r>
              <w:rPr>
                <w:spacing w:val="-4"/>
              </w:rPr>
              <w:t>20</w:t>
            </w:r>
          </w:p>
        </w:tc>
        <w:tc>
          <w:tcPr>
            <w:tcW w:w="1343" w:type="dxa"/>
            <w:vMerge w:val="restart"/>
            <w:tcBorders>
              <w:bottom w:val="nil"/>
            </w:tcBorders>
          </w:tcPr>
          <w:p>
            <w:pPr>
              <w:pStyle w:val="234"/>
              <w:spacing w:before="67" w:line="220" w:lineRule="auto"/>
              <w:ind w:left="193"/>
              <w:rPr>
                <w:rFonts w:hint="eastAsia"/>
              </w:rPr>
            </w:pPr>
            <w:r>
              <w:rPr>
                <w:spacing w:val="-1"/>
              </w:rPr>
              <w:t>A0605</w:t>
            </w:r>
            <w:r>
              <w:rPr>
                <w:spacing w:val="-36"/>
              </w:rPr>
              <w:t xml:space="preserve"> </w:t>
            </w:r>
            <w:r>
              <w:rPr>
                <w:spacing w:val="-1"/>
              </w:rPr>
              <w:t>柜类</w:t>
            </w:r>
          </w:p>
        </w:tc>
        <w:tc>
          <w:tcPr>
            <w:tcW w:w="2324" w:type="dxa"/>
          </w:tcPr>
          <w:p>
            <w:pPr>
              <w:pStyle w:val="234"/>
              <w:spacing w:before="67" w:line="220" w:lineRule="auto"/>
              <w:ind w:left="103"/>
              <w:rPr>
                <w:rFonts w:hint="eastAsia"/>
              </w:rPr>
            </w:pPr>
            <w:r>
              <w:rPr>
                <w:spacing w:val="-1"/>
              </w:rPr>
              <w:t>A060501</w:t>
            </w:r>
            <w:r>
              <w:rPr>
                <w:spacing w:val="-33"/>
              </w:rPr>
              <w:t xml:space="preserve"> </w:t>
            </w:r>
            <w:r>
              <w:rPr>
                <w:spacing w:val="-1"/>
              </w:rPr>
              <w:t>木质柜类</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7" w:line="220" w:lineRule="auto"/>
              <w:ind w:left="103"/>
              <w:rPr>
                <w:rFonts w:hint="eastAsia"/>
              </w:rPr>
            </w:pPr>
            <w:r>
              <w:rPr>
                <w:spacing w:val="-1"/>
              </w:rPr>
              <w:t>A060503</w:t>
            </w:r>
            <w:r>
              <w:rPr>
                <w:spacing w:val="-32"/>
              </w:rPr>
              <w:t xml:space="preserve"> </w:t>
            </w:r>
            <w:r>
              <w:rPr>
                <w:spacing w:val="-1"/>
              </w:rPr>
              <w:t>金属质柜类</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7" w:line="220" w:lineRule="auto"/>
              <w:ind w:left="103"/>
              <w:rPr>
                <w:rFonts w:hint="eastAsia"/>
              </w:rPr>
            </w:pPr>
            <w:r>
              <w:rPr>
                <w:spacing w:val="-1"/>
              </w:rPr>
              <w:t>A060599</w:t>
            </w:r>
            <w:r>
              <w:rPr>
                <w:spacing w:val="-33"/>
              </w:rPr>
              <w:t xml:space="preserve"> </w:t>
            </w:r>
            <w:r>
              <w:rPr>
                <w:spacing w:val="-1"/>
              </w:rPr>
              <w:t>其他柜类</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4" w:line="184" w:lineRule="auto"/>
              <w:ind w:left="116"/>
              <w:rPr>
                <w:rFonts w:hint="eastAsia"/>
              </w:rPr>
            </w:pPr>
            <w:r>
              <w:rPr>
                <w:spacing w:val="-4"/>
              </w:rPr>
              <w:t>21</w:t>
            </w:r>
          </w:p>
        </w:tc>
        <w:tc>
          <w:tcPr>
            <w:tcW w:w="1343" w:type="dxa"/>
            <w:vMerge w:val="restart"/>
            <w:tcBorders>
              <w:bottom w:val="nil"/>
            </w:tcBorders>
          </w:tcPr>
          <w:p>
            <w:pPr>
              <w:pStyle w:val="234"/>
              <w:spacing w:before="67" w:line="220" w:lineRule="auto"/>
              <w:ind w:left="102"/>
              <w:rPr>
                <w:rFonts w:hint="eastAsia"/>
              </w:rPr>
            </w:pPr>
            <w:r>
              <w:rPr>
                <w:spacing w:val="-1"/>
              </w:rPr>
              <w:t>A0606</w:t>
            </w:r>
            <w:r>
              <w:rPr>
                <w:spacing w:val="-35"/>
              </w:rPr>
              <w:t xml:space="preserve"> </w:t>
            </w:r>
            <w:r>
              <w:rPr>
                <w:spacing w:val="-1"/>
              </w:rPr>
              <w:t>架类</w:t>
            </w:r>
          </w:p>
        </w:tc>
        <w:tc>
          <w:tcPr>
            <w:tcW w:w="2324" w:type="dxa"/>
          </w:tcPr>
          <w:p>
            <w:pPr>
              <w:pStyle w:val="234"/>
              <w:spacing w:before="67" w:line="220" w:lineRule="auto"/>
              <w:ind w:left="103"/>
              <w:rPr>
                <w:rFonts w:hint="eastAsia"/>
              </w:rPr>
            </w:pPr>
            <w:r>
              <w:rPr>
                <w:spacing w:val="-1"/>
              </w:rPr>
              <w:t>A060601</w:t>
            </w:r>
            <w:r>
              <w:rPr>
                <w:spacing w:val="-33"/>
              </w:rPr>
              <w:t xml:space="preserve"> </w:t>
            </w:r>
            <w:r>
              <w:rPr>
                <w:spacing w:val="-1"/>
              </w:rPr>
              <w:t>木质架类</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7" w:line="220" w:lineRule="auto"/>
              <w:ind w:left="103"/>
              <w:rPr>
                <w:rFonts w:hint="eastAsia"/>
              </w:rPr>
            </w:pPr>
            <w:r>
              <w:rPr>
                <w:spacing w:val="-1"/>
              </w:rPr>
              <w:t>A060602</w:t>
            </w:r>
            <w:r>
              <w:rPr>
                <w:spacing w:val="-32"/>
              </w:rPr>
              <w:t xml:space="preserve"> </w:t>
            </w:r>
            <w:r>
              <w:rPr>
                <w:spacing w:val="-1"/>
              </w:rPr>
              <w:t>金属质架类</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6" w:line="183" w:lineRule="auto"/>
              <w:ind w:left="116"/>
              <w:rPr>
                <w:rFonts w:hint="eastAsia"/>
              </w:rPr>
            </w:pPr>
            <w:r>
              <w:rPr>
                <w:spacing w:val="-4"/>
              </w:rPr>
              <w:t>22</w:t>
            </w:r>
          </w:p>
        </w:tc>
        <w:tc>
          <w:tcPr>
            <w:tcW w:w="1343" w:type="dxa"/>
            <w:vMerge w:val="restart"/>
            <w:tcBorders>
              <w:bottom w:val="nil"/>
            </w:tcBorders>
          </w:tcPr>
          <w:p>
            <w:pPr>
              <w:pStyle w:val="234"/>
              <w:spacing w:before="67" w:line="220" w:lineRule="auto"/>
              <w:ind w:left="102"/>
              <w:rPr>
                <w:rFonts w:hint="eastAsia"/>
              </w:rPr>
            </w:pPr>
            <w:r>
              <w:rPr>
                <w:spacing w:val="-1"/>
              </w:rPr>
              <w:t>A0607</w:t>
            </w:r>
            <w:r>
              <w:rPr>
                <w:spacing w:val="-35"/>
              </w:rPr>
              <w:t xml:space="preserve"> </w:t>
            </w:r>
            <w:r>
              <w:rPr>
                <w:spacing w:val="-1"/>
              </w:rPr>
              <w:t>屏风类</w:t>
            </w:r>
          </w:p>
        </w:tc>
        <w:tc>
          <w:tcPr>
            <w:tcW w:w="2324" w:type="dxa"/>
          </w:tcPr>
          <w:p>
            <w:pPr>
              <w:pStyle w:val="234"/>
              <w:spacing w:before="67" w:line="220" w:lineRule="auto"/>
              <w:ind w:left="103"/>
              <w:rPr>
                <w:rFonts w:hint="eastAsia"/>
              </w:rPr>
            </w:pPr>
            <w:r>
              <w:rPr>
                <w:spacing w:val="-1"/>
              </w:rPr>
              <w:t>A060701</w:t>
            </w:r>
            <w:r>
              <w:rPr>
                <w:spacing w:val="-33"/>
              </w:rPr>
              <w:t xml:space="preserve"> </w:t>
            </w:r>
            <w:r>
              <w:rPr>
                <w:spacing w:val="-1"/>
              </w:rPr>
              <w:t>木质屏风类</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7" w:line="220" w:lineRule="auto"/>
              <w:ind w:left="103"/>
              <w:rPr>
                <w:rFonts w:hint="eastAsia"/>
              </w:rPr>
            </w:pPr>
            <w:r>
              <w:rPr>
                <w:spacing w:val="-1"/>
              </w:rPr>
              <w:t>A060702</w:t>
            </w:r>
            <w:r>
              <w:rPr>
                <w:spacing w:val="-32"/>
              </w:rPr>
              <w:t xml:space="preserve"> </w:t>
            </w:r>
            <w:r>
              <w:rPr>
                <w:spacing w:val="-1"/>
              </w:rPr>
              <w:t>金属质屏风类</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tcPr>
          <w:p>
            <w:pPr>
              <w:pStyle w:val="234"/>
              <w:spacing w:before="95" w:line="183" w:lineRule="auto"/>
              <w:ind w:left="116"/>
              <w:rPr>
                <w:rFonts w:hint="eastAsia"/>
              </w:rPr>
            </w:pPr>
            <w:r>
              <w:rPr>
                <w:spacing w:val="-4"/>
              </w:rPr>
              <w:t>23</w:t>
            </w:r>
          </w:p>
        </w:tc>
        <w:tc>
          <w:tcPr>
            <w:tcW w:w="1343" w:type="dxa"/>
          </w:tcPr>
          <w:p>
            <w:pPr>
              <w:pStyle w:val="234"/>
              <w:spacing w:before="67" w:line="220" w:lineRule="auto"/>
              <w:ind w:left="102"/>
              <w:rPr>
                <w:rFonts w:hint="eastAsia"/>
              </w:rPr>
            </w:pPr>
            <w:r>
              <w:rPr>
                <w:spacing w:val="-1"/>
              </w:rPr>
              <w:t>A060804</w:t>
            </w:r>
            <w:r>
              <w:rPr>
                <w:spacing w:val="-32"/>
              </w:rPr>
              <w:t xml:space="preserve"> </w:t>
            </w:r>
            <w:r>
              <w:rPr>
                <w:spacing w:val="-1"/>
              </w:rPr>
              <w:t>水池</w:t>
            </w:r>
          </w:p>
        </w:tc>
        <w:tc>
          <w:tcPr>
            <w:tcW w:w="2324" w:type="dxa"/>
          </w:tcPr>
          <w:p>
            <w:pPr>
              <w:rPr>
                <w:rFonts w:ascii="Arial"/>
              </w:rPr>
            </w:pP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HJ/T296</w:t>
            </w:r>
            <w:r>
              <w:rPr>
                <w:spacing w:val="-34"/>
              </w:rPr>
              <w:t xml:space="preserve"> </w:t>
            </w:r>
            <w:r>
              <w:rPr>
                <w:spacing w:val="-1"/>
              </w:rPr>
              <w:t>卫生陶瓷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tcPr>
          <w:p>
            <w:pPr>
              <w:pStyle w:val="234"/>
              <w:spacing w:before="96" w:line="183" w:lineRule="auto"/>
              <w:ind w:left="116"/>
              <w:rPr>
                <w:rFonts w:hint="eastAsia"/>
              </w:rPr>
            </w:pPr>
            <w:r>
              <w:rPr>
                <w:spacing w:val="-4"/>
              </w:rPr>
              <w:t>24</w:t>
            </w:r>
          </w:p>
        </w:tc>
        <w:tc>
          <w:tcPr>
            <w:tcW w:w="1343" w:type="dxa"/>
          </w:tcPr>
          <w:p>
            <w:pPr>
              <w:pStyle w:val="234"/>
              <w:spacing w:before="67" w:line="220" w:lineRule="auto"/>
              <w:ind w:left="102"/>
              <w:rPr>
                <w:rFonts w:hint="eastAsia"/>
              </w:rPr>
            </w:pPr>
            <w:r>
              <w:rPr>
                <w:spacing w:val="-1"/>
              </w:rPr>
              <w:t>A060805</w:t>
            </w:r>
            <w:r>
              <w:rPr>
                <w:spacing w:val="-33"/>
              </w:rPr>
              <w:t xml:space="preserve"> </w:t>
            </w:r>
            <w:r>
              <w:rPr>
                <w:spacing w:val="-1"/>
              </w:rPr>
              <w:t>便器</w:t>
            </w:r>
          </w:p>
        </w:tc>
        <w:tc>
          <w:tcPr>
            <w:tcW w:w="2324" w:type="dxa"/>
          </w:tcPr>
          <w:p>
            <w:pPr>
              <w:rPr>
                <w:rFonts w:ascii="Arial"/>
              </w:rPr>
            </w:pP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HJ/T296</w:t>
            </w:r>
            <w:r>
              <w:rPr>
                <w:spacing w:val="-34"/>
              </w:rPr>
              <w:t xml:space="preserve"> </w:t>
            </w:r>
            <w:r>
              <w:rPr>
                <w:spacing w:val="-1"/>
              </w:rPr>
              <w:t>卫生陶瓷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tcPr>
          <w:p>
            <w:pPr>
              <w:pStyle w:val="234"/>
              <w:spacing w:before="96" w:line="183" w:lineRule="auto"/>
              <w:ind w:left="116"/>
              <w:rPr>
                <w:rFonts w:hint="eastAsia"/>
              </w:rPr>
            </w:pPr>
            <w:r>
              <w:rPr>
                <w:spacing w:val="-4"/>
              </w:rPr>
              <w:t>25</w:t>
            </w:r>
          </w:p>
        </w:tc>
        <w:tc>
          <w:tcPr>
            <w:tcW w:w="1343" w:type="dxa"/>
          </w:tcPr>
          <w:p>
            <w:pPr>
              <w:pStyle w:val="234"/>
              <w:spacing w:before="67" w:line="220" w:lineRule="auto"/>
              <w:ind w:left="102"/>
              <w:rPr>
                <w:rFonts w:hint="eastAsia"/>
              </w:rPr>
            </w:pPr>
            <w:r>
              <w:rPr>
                <w:spacing w:val="-1"/>
              </w:rPr>
              <w:t>A060806</w:t>
            </w:r>
            <w:r>
              <w:rPr>
                <w:spacing w:val="-32"/>
              </w:rPr>
              <w:t xml:space="preserve"> </w:t>
            </w:r>
            <w:r>
              <w:rPr>
                <w:spacing w:val="-1"/>
              </w:rPr>
              <w:t>水嘴</w:t>
            </w:r>
          </w:p>
        </w:tc>
        <w:tc>
          <w:tcPr>
            <w:tcW w:w="2324" w:type="dxa"/>
          </w:tcPr>
          <w:p>
            <w:pPr>
              <w:rPr>
                <w:rFonts w:ascii="Arial"/>
              </w:rPr>
            </w:pP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HJ/T411</w:t>
            </w:r>
            <w:r>
              <w:rPr>
                <w:spacing w:val="-34"/>
              </w:rPr>
              <w:t xml:space="preserve"> </w:t>
            </w:r>
            <w:r>
              <w:rPr>
                <w:spacing w:val="-1"/>
              </w:rPr>
              <w:t>水嘴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tcPr>
          <w:p>
            <w:pPr>
              <w:pStyle w:val="234"/>
              <w:spacing w:before="95" w:line="183" w:lineRule="auto"/>
              <w:ind w:left="116"/>
              <w:rPr>
                <w:rFonts w:hint="eastAsia"/>
              </w:rPr>
            </w:pPr>
            <w:r>
              <w:rPr>
                <w:spacing w:val="-4"/>
              </w:rPr>
              <w:t>26</w:t>
            </w:r>
          </w:p>
        </w:tc>
        <w:tc>
          <w:tcPr>
            <w:tcW w:w="1343" w:type="dxa"/>
          </w:tcPr>
          <w:p>
            <w:pPr>
              <w:pStyle w:val="234"/>
              <w:spacing w:before="67" w:line="221" w:lineRule="auto"/>
              <w:ind w:left="102"/>
              <w:rPr>
                <w:rFonts w:hint="eastAsia"/>
              </w:rPr>
            </w:pPr>
            <w:r>
              <w:rPr>
                <w:spacing w:val="-1"/>
              </w:rPr>
              <w:t>A0609</w:t>
            </w:r>
            <w:r>
              <w:rPr>
                <w:spacing w:val="-34"/>
              </w:rPr>
              <w:t xml:space="preserve"> </w:t>
            </w:r>
            <w:r>
              <w:rPr>
                <w:spacing w:val="-1"/>
              </w:rPr>
              <w:t>组合家具</w:t>
            </w:r>
          </w:p>
        </w:tc>
        <w:tc>
          <w:tcPr>
            <w:tcW w:w="2324" w:type="dxa"/>
          </w:tcPr>
          <w:p>
            <w:pPr>
              <w:rPr>
                <w:rFonts w:ascii="Arial"/>
              </w:rPr>
            </w:pP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pPr>
              <w:pStyle w:val="234"/>
              <w:spacing w:before="96" w:line="183" w:lineRule="auto"/>
              <w:ind w:left="116"/>
              <w:rPr>
                <w:rFonts w:hint="eastAsia"/>
              </w:rPr>
            </w:pPr>
            <w:r>
              <w:rPr>
                <w:spacing w:val="-4"/>
              </w:rPr>
              <w:t>27</w:t>
            </w:r>
          </w:p>
        </w:tc>
        <w:tc>
          <w:tcPr>
            <w:tcW w:w="1343" w:type="dxa"/>
          </w:tcPr>
          <w:p>
            <w:pPr>
              <w:pStyle w:val="234"/>
              <w:spacing w:before="68" w:line="282" w:lineRule="auto"/>
              <w:ind w:left="108" w:right="106" w:hanging="6"/>
              <w:rPr>
                <w:rFonts w:hint="eastAsia"/>
              </w:rPr>
            </w:pPr>
            <w:r>
              <w:rPr>
                <w:spacing w:val="4"/>
              </w:rPr>
              <w:t>A0610</w:t>
            </w:r>
            <w:r>
              <w:rPr>
                <w:spacing w:val="31"/>
              </w:rPr>
              <w:t xml:space="preserve"> </w:t>
            </w:r>
            <w:r>
              <w:rPr>
                <w:spacing w:val="4"/>
              </w:rPr>
              <w:t>家用家具</w:t>
            </w:r>
            <w:r>
              <w:rPr>
                <w:spacing w:val="-2"/>
              </w:rPr>
              <w:t>零配件</w:t>
            </w:r>
          </w:p>
        </w:tc>
        <w:tc>
          <w:tcPr>
            <w:tcW w:w="2324" w:type="dxa"/>
          </w:tcPr>
          <w:p>
            <w:pPr>
              <w:rPr>
                <w:rFonts w:ascii="Arial"/>
              </w:rPr>
            </w:pP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10" w:type="dxa"/>
          </w:tcPr>
          <w:p>
            <w:pPr>
              <w:pStyle w:val="234"/>
              <w:spacing w:before="99" w:line="183" w:lineRule="auto"/>
              <w:ind w:left="116"/>
              <w:rPr>
                <w:rFonts w:hint="eastAsia"/>
              </w:rPr>
            </w:pPr>
            <w:r>
              <w:rPr>
                <w:spacing w:val="-4"/>
              </w:rPr>
              <w:t>28</w:t>
            </w:r>
          </w:p>
        </w:tc>
        <w:tc>
          <w:tcPr>
            <w:tcW w:w="1343" w:type="dxa"/>
          </w:tcPr>
          <w:p>
            <w:pPr>
              <w:pStyle w:val="234"/>
              <w:spacing w:before="71" w:line="282" w:lineRule="auto"/>
              <w:ind w:left="109" w:right="106" w:hanging="7"/>
              <w:rPr>
                <w:rFonts w:hint="eastAsia"/>
              </w:rPr>
            </w:pPr>
            <w:r>
              <w:rPr>
                <w:spacing w:val="4"/>
              </w:rPr>
              <w:t>A0699</w:t>
            </w:r>
            <w:r>
              <w:rPr>
                <w:spacing w:val="31"/>
              </w:rPr>
              <w:t xml:space="preserve"> </w:t>
            </w:r>
            <w:r>
              <w:rPr>
                <w:spacing w:val="4"/>
              </w:rPr>
              <w:t>其他家具</w:t>
            </w:r>
            <w:r>
              <w:rPr>
                <w:spacing w:val="-3"/>
              </w:rPr>
              <w:t>用具</w:t>
            </w:r>
          </w:p>
        </w:tc>
        <w:tc>
          <w:tcPr>
            <w:tcW w:w="2324" w:type="dxa"/>
          </w:tcPr>
          <w:p>
            <w:pPr>
              <w:rPr>
                <w:rFonts w:ascii="Arial"/>
              </w:rPr>
            </w:pPr>
          </w:p>
        </w:tc>
        <w:tc>
          <w:tcPr>
            <w:tcW w:w="1956" w:type="dxa"/>
          </w:tcPr>
          <w:p>
            <w:pPr>
              <w:rPr>
                <w:rFonts w:ascii="Arial"/>
              </w:rPr>
            </w:pPr>
          </w:p>
        </w:tc>
        <w:tc>
          <w:tcPr>
            <w:tcW w:w="3081" w:type="dxa"/>
          </w:tcPr>
          <w:p>
            <w:pPr>
              <w:pStyle w:val="234"/>
              <w:spacing w:before="70"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tcPr>
          <w:p>
            <w:pPr>
              <w:pStyle w:val="234"/>
              <w:spacing w:before="96" w:line="183" w:lineRule="auto"/>
              <w:ind w:left="116"/>
              <w:rPr>
                <w:rFonts w:hint="eastAsia"/>
              </w:rPr>
            </w:pPr>
            <w:r>
              <w:rPr>
                <w:spacing w:val="-4"/>
              </w:rPr>
              <w:t>29</w:t>
            </w:r>
          </w:p>
        </w:tc>
        <w:tc>
          <w:tcPr>
            <w:tcW w:w="1343" w:type="dxa"/>
          </w:tcPr>
          <w:p>
            <w:pPr>
              <w:pStyle w:val="234"/>
              <w:spacing w:before="69" w:line="284" w:lineRule="auto"/>
              <w:ind w:left="111" w:right="106" w:hanging="9"/>
              <w:rPr>
                <w:rFonts w:hint="eastAsia"/>
              </w:rPr>
            </w:pPr>
            <w:r>
              <w:rPr>
                <w:spacing w:val="-7"/>
              </w:rPr>
              <w:t>A070101</w:t>
            </w:r>
            <w:r>
              <w:rPr>
                <w:spacing w:val="-36"/>
              </w:rPr>
              <w:t xml:space="preserve"> </w:t>
            </w:r>
            <w:r>
              <w:rPr>
                <w:spacing w:val="-7"/>
              </w:rPr>
              <w:t>棉、化纤</w:t>
            </w:r>
            <w:r>
              <w:t xml:space="preserve"> </w:t>
            </w:r>
            <w:r>
              <w:rPr>
                <w:spacing w:val="-2"/>
              </w:rPr>
              <w:t>纺织及印染原料</w:t>
            </w:r>
          </w:p>
        </w:tc>
        <w:tc>
          <w:tcPr>
            <w:tcW w:w="2324" w:type="dxa"/>
          </w:tcPr>
          <w:p>
            <w:pPr>
              <w:rPr>
                <w:rFonts w:ascii="Arial"/>
              </w:rPr>
            </w:pP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HJ2546</w:t>
            </w:r>
            <w:r>
              <w:rPr>
                <w:spacing w:val="-34"/>
              </w:rPr>
              <w:t xml:space="preserve"> </w:t>
            </w:r>
            <w:r>
              <w:rPr>
                <w:spacing w:val="-1"/>
              </w:rPr>
              <w:t>纺织产品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jc w:val="center"/>
        </w:trPr>
        <w:tc>
          <w:tcPr>
            <w:tcW w:w="510" w:type="dxa"/>
          </w:tcPr>
          <w:p>
            <w:pPr>
              <w:pStyle w:val="234"/>
              <w:spacing w:before="96" w:line="183" w:lineRule="auto"/>
              <w:ind w:left="118"/>
              <w:rPr>
                <w:rFonts w:hint="eastAsia"/>
              </w:rPr>
            </w:pPr>
            <w:r>
              <w:rPr>
                <w:spacing w:val="-5"/>
              </w:rPr>
              <w:t>30</w:t>
            </w:r>
          </w:p>
        </w:tc>
        <w:tc>
          <w:tcPr>
            <w:tcW w:w="1343" w:type="dxa"/>
          </w:tcPr>
          <w:p>
            <w:pPr>
              <w:pStyle w:val="234"/>
              <w:spacing w:before="69" w:line="296" w:lineRule="auto"/>
              <w:ind w:left="109" w:right="106" w:hanging="7"/>
              <w:rPr>
                <w:rFonts w:hint="eastAsia"/>
              </w:rPr>
            </w:pPr>
            <w:r>
              <w:rPr>
                <w:spacing w:val="-2"/>
              </w:rPr>
              <w:t>A090101</w:t>
            </w:r>
            <w:r>
              <w:rPr>
                <w:spacing w:val="42"/>
              </w:rPr>
              <w:t xml:space="preserve"> </w:t>
            </w:r>
            <w:r>
              <w:rPr>
                <w:spacing w:val="-2"/>
              </w:rPr>
              <w:t>复</w:t>
            </w:r>
            <w:r>
              <w:rPr>
                <w:spacing w:val="-48"/>
              </w:rPr>
              <w:t xml:space="preserve"> </w:t>
            </w:r>
            <w:r>
              <w:rPr>
                <w:spacing w:val="-2"/>
              </w:rPr>
              <w:t>印纸</w:t>
            </w:r>
            <w:r>
              <w:t xml:space="preserve"> </w:t>
            </w:r>
            <w:r>
              <w:rPr>
                <w:spacing w:val="8"/>
              </w:rPr>
              <w:t>（包括再生复印</w:t>
            </w:r>
            <w:r>
              <w:rPr>
                <w:spacing w:val="4"/>
              </w:rPr>
              <w:t xml:space="preserve"> </w:t>
            </w:r>
            <w:r>
              <w:rPr>
                <w:spacing w:val="-5"/>
              </w:rPr>
              <w:t>纸）</w:t>
            </w:r>
          </w:p>
        </w:tc>
        <w:tc>
          <w:tcPr>
            <w:tcW w:w="2324" w:type="dxa"/>
          </w:tcPr>
          <w:p>
            <w:pPr>
              <w:rPr>
                <w:rFonts w:ascii="Arial"/>
              </w:rPr>
            </w:pPr>
          </w:p>
        </w:tc>
        <w:tc>
          <w:tcPr>
            <w:tcW w:w="1956" w:type="dxa"/>
          </w:tcPr>
          <w:p>
            <w:pPr>
              <w:rPr>
                <w:rFonts w:ascii="Arial"/>
              </w:rPr>
            </w:pPr>
          </w:p>
        </w:tc>
        <w:tc>
          <w:tcPr>
            <w:tcW w:w="3081" w:type="dxa"/>
          </w:tcPr>
          <w:p>
            <w:pPr>
              <w:pStyle w:val="234"/>
              <w:spacing w:before="67" w:line="219" w:lineRule="auto"/>
              <w:ind w:left="109"/>
              <w:rPr>
                <w:rFonts w:hint="eastAsia"/>
              </w:rPr>
            </w:pPr>
            <w:r>
              <w:rPr>
                <w:spacing w:val="-2"/>
              </w:rPr>
              <w:t>HJ410</w:t>
            </w:r>
            <w:r>
              <w:rPr>
                <w:spacing w:val="-27"/>
              </w:rPr>
              <w:t xml:space="preserve"> </w:t>
            </w:r>
            <w:r>
              <w:rPr>
                <w:spacing w:val="-2"/>
              </w:rPr>
              <w:t>文化用纸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510" w:type="dxa"/>
          </w:tcPr>
          <w:p>
            <w:pPr>
              <w:pStyle w:val="234"/>
              <w:spacing w:before="91" w:line="184" w:lineRule="auto"/>
              <w:ind w:left="118"/>
              <w:rPr>
                <w:rFonts w:hint="eastAsia"/>
              </w:rPr>
            </w:pPr>
            <w:r>
              <w:rPr>
                <w:spacing w:val="-5"/>
              </w:rPr>
              <w:t>31</w:t>
            </w:r>
          </w:p>
        </w:tc>
        <w:tc>
          <w:tcPr>
            <w:tcW w:w="1343" w:type="dxa"/>
          </w:tcPr>
          <w:p>
            <w:pPr>
              <w:pStyle w:val="234"/>
              <w:spacing w:before="64" w:line="296" w:lineRule="auto"/>
              <w:ind w:left="109" w:right="106" w:hanging="7"/>
              <w:rPr>
                <w:rFonts w:hint="eastAsia"/>
              </w:rPr>
            </w:pPr>
            <w:r>
              <w:rPr>
                <w:spacing w:val="3"/>
              </w:rPr>
              <w:t>A090201</w:t>
            </w:r>
            <w:r>
              <w:rPr>
                <w:spacing w:val="34"/>
              </w:rPr>
              <w:t xml:space="preserve"> </w:t>
            </w:r>
            <w:r>
              <w:rPr>
                <w:spacing w:val="3"/>
              </w:rPr>
              <w:t>鼓粉盒</w:t>
            </w:r>
            <w:r>
              <w:t xml:space="preserve"> </w:t>
            </w:r>
            <w:r>
              <w:rPr>
                <w:spacing w:val="8"/>
              </w:rPr>
              <w:t>（包括再生鼓粉</w:t>
            </w:r>
            <w:r>
              <w:rPr>
                <w:spacing w:val="4"/>
              </w:rPr>
              <w:t xml:space="preserve"> </w:t>
            </w:r>
            <w:r>
              <w:rPr>
                <w:spacing w:val="-5"/>
              </w:rPr>
              <w:t>盒）</w:t>
            </w:r>
          </w:p>
        </w:tc>
        <w:tc>
          <w:tcPr>
            <w:tcW w:w="2324" w:type="dxa"/>
          </w:tcPr>
          <w:p>
            <w:pPr>
              <w:rPr>
                <w:rFonts w:ascii="Arial"/>
              </w:rPr>
            </w:pPr>
          </w:p>
        </w:tc>
        <w:tc>
          <w:tcPr>
            <w:tcW w:w="1956" w:type="dxa"/>
          </w:tcPr>
          <w:p>
            <w:pPr>
              <w:rPr>
                <w:rFonts w:ascii="Arial"/>
              </w:rPr>
            </w:pPr>
          </w:p>
        </w:tc>
        <w:tc>
          <w:tcPr>
            <w:tcW w:w="3081" w:type="dxa"/>
          </w:tcPr>
          <w:p>
            <w:pPr>
              <w:pStyle w:val="234"/>
              <w:spacing w:before="63" w:line="219" w:lineRule="auto"/>
              <w:ind w:left="109"/>
              <w:rPr>
                <w:rFonts w:hint="eastAsia"/>
              </w:rPr>
            </w:pPr>
            <w:r>
              <w:rPr>
                <w:spacing w:val="-1"/>
              </w:rPr>
              <w:t>HJ/T413</w:t>
            </w:r>
            <w:r>
              <w:rPr>
                <w:spacing w:val="-34"/>
              </w:rPr>
              <w:t xml:space="preserve"> </w:t>
            </w:r>
            <w:r>
              <w:rPr>
                <w:spacing w:val="-1"/>
              </w:rPr>
              <w:t>再生鼓粉盒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510" w:type="dxa"/>
            <w:vMerge w:val="restart"/>
            <w:tcBorders>
              <w:bottom w:val="nil"/>
            </w:tcBorders>
          </w:tcPr>
          <w:p>
            <w:pPr>
              <w:pStyle w:val="234"/>
              <w:spacing w:before="93" w:line="183" w:lineRule="auto"/>
              <w:ind w:left="118"/>
              <w:rPr>
                <w:rFonts w:hint="eastAsia"/>
              </w:rPr>
            </w:pPr>
            <w:r>
              <w:rPr>
                <w:spacing w:val="-5"/>
              </w:rPr>
              <w:t>32</w:t>
            </w:r>
          </w:p>
        </w:tc>
        <w:tc>
          <w:tcPr>
            <w:tcW w:w="1343" w:type="dxa"/>
            <w:vMerge w:val="restart"/>
            <w:tcBorders>
              <w:bottom w:val="nil"/>
            </w:tcBorders>
          </w:tcPr>
          <w:p>
            <w:pPr>
              <w:pStyle w:val="234"/>
              <w:spacing w:before="64" w:line="219" w:lineRule="auto"/>
              <w:ind w:left="102"/>
              <w:rPr>
                <w:rFonts w:hint="eastAsia"/>
              </w:rPr>
            </w:pPr>
            <w:r>
              <w:rPr>
                <w:spacing w:val="-1"/>
              </w:rPr>
              <w:t>A100203</w:t>
            </w:r>
            <w:r>
              <w:rPr>
                <w:spacing w:val="-33"/>
              </w:rPr>
              <w:t xml:space="preserve"> </w:t>
            </w:r>
            <w:r>
              <w:rPr>
                <w:spacing w:val="-1"/>
              </w:rPr>
              <w:t>人造板</w:t>
            </w:r>
          </w:p>
        </w:tc>
        <w:tc>
          <w:tcPr>
            <w:tcW w:w="2324" w:type="dxa"/>
          </w:tcPr>
          <w:p>
            <w:pPr>
              <w:pStyle w:val="234"/>
              <w:spacing w:before="64" w:line="219" w:lineRule="auto"/>
              <w:ind w:left="103"/>
              <w:rPr>
                <w:rFonts w:hint="eastAsia"/>
              </w:rPr>
            </w:pPr>
            <w:r>
              <w:rPr>
                <w:spacing w:val="-1"/>
              </w:rPr>
              <w:t>A10020301</w:t>
            </w:r>
            <w:r>
              <w:rPr>
                <w:spacing w:val="-32"/>
              </w:rPr>
              <w:t xml:space="preserve"> </w:t>
            </w:r>
            <w:r>
              <w:rPr>
                <w:spacing w:val="-1"/>
              </w:rPr>
              <w:t>胶合板</w:t>
            </w:r>
          </w:p>
        </w:tc>
        <w:tc>
          <w:tcPr>
            <w:tcW w:w="1956" w:type="dxa"/>
          </w:tcPr>
          <w:p>
            <w:pPr>
              <w:rPr>
                <w:rFonts w:ascii="Arial"/>
              </w:rPr>
            </w:pPr>
          </w:p>
        </w:tc>
        <w:tc>
          <w:tcPr>
            <w:tcW w:w="3081" w:type="dxa"/>
          </w:tcPr>
          <w:p>
            <w:pPr>
              <w:pStyle w:val="234"/>
              <w:spacing w:before="64" w:line="219" w:lineRule="auto"/>
              <w:ind w:left="109"/>
              <w:rPr>
                <w:rFonts w:hint="eastAsia"/>
              </w:rPr>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5" w:line="219" w:lineRule="auto"/>
              <w:ind w:left="103"/>
              <w:rPr>
                <w:rFonts w:hint="eastAsia"/>
              </w:rPr>
            </w:pPr>
            <w:r>
              <w:rPr>
                <w:spacing w:val="-1"/>
              </w:rPr>
              <w:t>A10020302</w:t>
            </w:r>
            <w:r>
              <w:rPr>
                <w:spacing w:val="-30"/>
              </w:rPr>
              <w:t xml:space="preserve"> </w:t>
            </w:r>
            <w:r>
              <w:rPr>
                <w:spacing w:val="-1"/>
              </w:rPr>
              <w:t>纤维板</w:t>
            </w:r>
          </w:p>
        </w:tc>
        <w:tc>
          <w:tcPr>
            <w:tcW w:w="1956" w:type="dxa"/>
          </w:tcPr>
          <w:p>
            <w:pPr>
              <w:rPr>
                <w:rFonts w:ascii="Arial"/>
              </w:rPr>
            </w:pPr>
          </w:p>
        </w:tc>
        <w:tc>
          <w:tcPr>
            <w:tcW w:w="3081" w:type="dxa"/>
          </w:tcPr>
          <w:p>
            <w:pPr>
              <w:pStyle w:val="234"/>
              <w:spacing w:before="64" w:line="219" w:lineRule="auto"/>
              <w:ind w:left="109"/>
              <w:rPr>
                <w:rFonts w:hint="eastAsia"/>
              </w:rPr>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5" w:line="219" w:lineRule="auto"/>
              <w:ind w:left="103"/>
              <w:rPr>
                <w:rFonts w:hint="eastAsia"/>
              </w:rPr>
            </w:pPr>
            <w:r>
              <w:rPr>
                <w:spacing w:val="-1"/>
              </w:rPr>
              <w:t>A10020303</w:t>
            </w:r>
            <w:r>
              <w:rPr>
                <w:spacing w:val="-32"/>
              </w:rPr>
              <w:t xml:space="preserve"> </w:t>
            </w:r>
            <w:r>
              <w:rPr>
                <w:spacing w:val="-1"/>
              </w:rPr>
              <w:t>刨花板</w:t>
            </w:r>
          </w:p>
        </w:tc>
        <w:tc>
          <w:tcPr>
            <w:tcW w:w="1956" w:type="dxa"/>
          </w:tcPr>
          <w:p>
            <w:pPr>
              <w:rPr>
                <w:rFonts w:ascii="Arial"/>
              </w:rPr>
            </w:pPr>
          </w:p>
        </w:tc>
        <w:tc>
          <w:tcPr>
            <w:tcW w:w="3081" w:type="dxa"/>
          </w:tcPr>
          <w:p>
            <w:pPr>
              <w:pStyle w:val="234"/>
              <w:spacing w:before="64" w:line="219" w:lineRule="auto"/>
              <w:ind w:left="109"/>
              <w:rPr>
                <w:rFonts w:hint="eastAsia"/>
              </w:rPr>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8" w:line="219" w:lineRule="auto"/>
              <w:ind w:left="103"/>
              <w:rPr>
                <w:rFonts w:hint="eastAsia"/>
              </w:rPr>
            </w:pPr>
            <w:r>
              <w:rPr>
                <w:spacing w:val="-1"/>
              </w:rPr>
              <w:t>A10020304</w:t>
            </w:r>
            <w:r>
              <w:rPr>
                <w:spacing w:val="-31"/>
              </w:rPr>
              <w:t xml:space="preserve"> </w:t>
            </w:r>
            <w:r>
              <w:rPr>
                <w:spacing w:val="-1"/>
              </w:rPr>
              <w:t>细木工板</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5" w:line="219" w:lineRule="auto"/>
              <w:ind w:left="103"/>
              <w:rPr>
                <w:rFonts w:hint="eastAsia"/>
              </w:rPr>
            </w:pPr>
            <w:r>
              <w:rPr>
                <w:spacing w:val="-1"/>
              </w:rPr>
              <w:t>A10020399</w:t>
            </w:r>
            <w:r>
              <w:rPr>
                <w:spacing w:val="-31"/>
              </w:rPr>
              <w:t xml:space="preserve"> </w:t>
            </w:r>
            <w:r>
              <w:rPr>
                <w:spacing w:val="-1"/>
              </w:rPr>
              <w:t>其他人造板</w:t>
            </w:r>
          </w:p>
        </w:tc>
        <w:tc>
          <w:tcPr>
            <w:tcW w:w="1956" w:type="dxa"/>
          </w:tcPr>
          <w:p>
            <w:pPr>
              <w:rPr>
                <w:rFonts w:ascii="Arial"/>
              </w:rPr>
            </w:pPr>
          </w:p>
        </w:tc>
        <w:tc>
          <w:tcPr>
            <w:tcW w:w="3081" w:type="dxa"/>
          </w:tcPr>
          <w:p>
            <w:pPr>
              <w:pStyle w:val="234"/>
              <w:spacing w:before="64" w:line="219" w:lineRule="auto"/>
              <w:ind w:left="109"/>
              <w:rPr>
                <w:rFonts w:hint="eastAsia"/>
              </w:rPr>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510" w:type="dxa"/>
            <w:vMerge w:val="restart"/>
            <w:tcBorders>
              <w:bottom w:val="nil"/>
            </w:tcBorders>
          </w:tcPr>
          <w:p>
            <w:pPr>
              <w:pStyle w:val="234"/>
              <w:spacing w:before="93" w:line="183" w:lineRule="auto"/>
              <w:ind w:left="118"/>
              <w:rPr>
                <w:rFonts w:hint="eastAsia"/>
              </w:rPr>
            </w:pPr>
            <w:r>
              <w:rPr>
                <w:spacing w:val="-5"/>
              </w:rPr>
              <w:t>33</w:t>
            </w:r>
          </w:p>
        </w:tc>
        <w:tc>
          <w:tcPr>
            <w:tcW w:w="1343" w:type="dxa"/>
            <w:vMerge w:val="restart"/>
            <w:tcBorders>
              <w:bottom w:val="nil"/>
            </w:tcBorders>
          </w:tcPr>
          <w:p>
            <w:pPr>
              <w:pStyle w:val="234"/>
              <w:spacing w:before="65" w:line="305" w:lineRule="auto"/>
              <w:ind w:left="109" w:right="108" w:hanging="7"/>
              <w:rPr>
                <w:rFonts w:hint="eastAsia"/>
              </w:rPr>
            </w:pPr>
            <w:r>
              <w:rPr>
                <w:spacing w:val="3"/>
              </w:rPr>
              <w:t>A100204</w:t>
            </w:r>
            <w:r>
              <w:rPr>
                <w:spacing w:val="34"/>
              </w:rPr>
              <w:t xml:space="preserve"> </w:t>
            </w:r>
            <w:r>
              <w:rPr>
                <w:spacing w:val="3"/>
              </w:rPr>
              <w:t>二次加</w:t>
            </w:r>
            <w:r>
              <w:rPr>
                <w:spacing w:val="-2"/>
              </w:rPr>
              <w:t>工材,相关板材</w:t>
            </w:r>
          </w:p>
        </w:tc>
        <w:tc>
          <w:tcPr>
            <w:tcW w:w="2324" w:type="dxa"/>
          </w:tcPr>
          <w:p>
            <w:pPr>
              <w:pStyle w:val="234"/>
              <w:spacing w:before="65" w:line="219" w:lineRule="auto"/>
              <w:ind w:left="103"/>
              <w:rPr>
                <w:rFonts w:hint="eastAsia"/>
              </w:rPr>
            </w:pPr>
            <w:r>
              <w:rPr>
                <w:spacing w:val="-1"/>
              </w:rPr>
              <w:t>A10020404</w:t>
            </w:r>
            <w:r>
              <w:rPr>
                <w:spacing w:val="-28"/>
              </w:rPr>
              <w:t xml:space="preserve"> </w:t>
            </w:r>
            <w:r>
              <w:rPr>
                <w:spacing w:val="-1"/>
              </w:rPr>
              <w:t>人造板表面装饰板</w:t>
            </w:r>
          </w:p>
        </w:tc>
        <w:tc>
          <w:tcPr>
            <w:tcW w:w="1956" w:type="dxa"/>
          </w:tcPr>
          <w:p>
            <w:pPr>
              <w:rPr>
                <w:rFonts w:ascii="Arial"/>
              </w:rPr>
            </w:pPr>
          </w:p>
        </w:tc>
        <w:tc>
          <w:tcPr>
            <w:tcW w:w="3081" w:type="dxa"/>
          </w:tcPr>
          <w:p>
            <w:pPr>
              <w:pStyle w:val="234"/>
              <w:spacing w:before="64" w:line="219" w:lineRule="auto"/>
              <w:ind w:left="109"/>
              <w:rPr>
                <w:rFonts w:hint="eastAsia"/>
              </w:rPr>
            </w:pPr>
            <w:r>
              <w:rPr>
                <w:spacing w:val="-1"/>
              </w:rPr>
              <w:t>HJ571</w:t>
            </w:r>
            <w:r>
              <w:rPr>
                <w:spacing w:val="-30"/>
              </w:rPr>
              <w:t xml:space="preserve"> </w:t>
            </w:r>
            <w:r>
              <w:rPr>
                <w:spacing w:val="-1"/>
              </w:rPr>
              <w:t>人造板及其制品/HJ2540</w:t>
            </w:r>
            <w:r>
              <w:rPr>
                <w:spacing w:val="-38"/>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7" w:line="284" w:lineRule="auto"/>
              <w:ind w:left="113" w:right="107" w:hanging="10"/>
              <w:rPr>
                <w:rFonts w:hint="eastAsia"/>
              </w:rPr>
            </w:pPr>
            <w:r>
              <w:rPr>
                <w:spacing w:val="5"/>
              </w:rPr>
              <w:t>A10020404</w:t>
            </w:r>
            <w:r>
              <w:rPr>
                <w:spacing w:val="30"/>
              </w:rPr>
              <w:t xml:space="preserve"> </w:t>
            </w:r>
            <w:r>
              <w:rPr>
                <w:spacing w:val="5"/>
              </w:rPr>
              <w:t>人造板表面装饰板</w:t>
            </w:r>
            <w:r>
              <w:t xml:space="preserve"> </w:t>
            </w:r>
            <w:r>
              <w:rPr>
                <w:spacing w:val="-3"/>
              </w:rPr>
              <w:t>（地板）</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HJ571</w:t>
            </w:r>
            <w:r>
              <w:rPr>
                <w:spacing w:val="-30"/>
              </w:rPr>
              <w:t xml:space="preserve"> </w:t>
            </w:r>
            <w:r>
              <w:rPr>
                <w:spacing w:val="-1"/>
              </w:rPr>
              <w:t>人造板及其制品/HJ2540</w:t>
            </w:r>
            <w:r>
              <w:rPr>
                <w:spacing w:val="-38"/>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pPr>
              <w:pStyle w:val="234"/>
              <w:spacing w:before="93" w:line="183" w:lineRule="auto"/>
              <w:ind w:left="118"/>
              <w:rPr>
                <w:rFonts w:hint="eastAsia"/>
              </w:rPr>
            </w:pPr>
            <w:r>
              <w:rPr>
                <w:spacing w:val="-5"/>
              </w:rPr>
              <w:t>34</w:t>
            </w:r>
          </w:p>
        </w:tc>
        <w:tc>
          <w:tcPr>
            <w:tcW w:w="1343" w:type="dxa"/>
          </w:tcPr>
          <w:p>
            <w:pPr>
              <w:pStyle w:val="234"/>
              <w:spacing w:before="66" w:line="283" w:lineRule="auto"/>
              <w:ind w:left="107" w:right="108" w:hanging="5"/>
              <w:rPr>
                <w:rFonts w:hint="eastAsia"/>
              </w:rPr>
            </w:pPr>
            <w:r>
              <w:rPr>
                <w:spacing w:val="3"/>
              </w:rPr>
              <w:t>A100301</w:t>
            </w:r>
            <w:r>
              <w:rPr>
                <w:spacing w:val="34"/>
              </w:rPr>
              <w:t xml:space="preserve"> </w:t>
            </w:r>
            <w:r>
              <w:rPr>
                <w:spacing w:val="3"/>
              </w:rPr>
              <w:t>水泥熟</w:t>
            </w:r>
            <w:r>
              <w:rPr>
                <w:spacing w:val="-2"/>
              </w:rPr>
              <w:t>料及水泥</w:t>
            </w:r>
          </w:p>
        </w:tc>
        <w:tc>
          <w:tcPr>
            <w:tcW w:w="2324" w:type="dxa"/>
          </w:tcPr>
          <w:p>
            <w:pPr>
              <w:pStyle w:val="234"/>
              <w:spacing w:before="65" w:line="220" w:lineRule="auto"/>
              <w:ind w:left="103"/>
              <w:rPr>
                <w:rFonts w:hint="eastAsia"/>
              </w:rPr>
            </w:pPr>
            <w:r>
              <w:rPr>
                <w:spacing w:val="-1"/>
              </w:rPr>
              <w:t>A10030102</w:t>
            </w:r>
            <w:r>
              <w:rPr>
                <w:spacing w:val="-31"/>
              </w:rPr>
              <w:t xml:space="preserve"> </w:t>
            </w:r>
            <w:r>
              <w:rPr>
                <w:spacing w:val="-1"/>
              </w:rPr>
              <w:t>水泥</w:t>
            </w:r>
          </w:p>
        </w:tc>
        <w:tc>
          <w:tcPr>
            <w:tcW w:w="1956" w:type="dxa"/>
          </w:tcPr>
          <w:p>
            <w:pPr>
              <w:rPr>
                <w:rFonts w:ascii="Arial"/>
              </w:rPr>
            </w:pPr>
          </w:p>
        </w:tc>
        <w:tc>
          <w:tcPr>
            <w:tcW w:w="3081" w:type="dxa"/>
          </w:tcPr>
          <w:p>
            <w:pPr>
              <w:pStyle w:val="234"/>
              <w:spacing w:before="64" w:line="219" w:lineRule="auto"/>
              <w:ind w:left="109"/>
              <w:rPr>
                <w:rFonts w:hint="eastAsia"/>
              </w:rPr>
            </w:pPr>
            <w:r>
              <w:rPr>
                <w:spacing w:val="-1"/>
              </w:rPr>
              <w:t>HJ2519</w:t>
            </w:r>
            <w:r>
              <w:rPr>
                <w:spacing w:val="-34"/>
              </w:rPr>
              <w:t xml:space="preserve"> </w:t>
            </w:r>
            <w:r>
              <w:rPr>
                <w:spacing w:val="-1"/>
              </w:rPr>
              <w:t>水泥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pPr>
              <w:pStyle w:val="234"/>
              <w:spacing w:before="94" w:line="183" w:lineRule="auto"/>
              <w:ind w:left="118"/>
              <w:rPr>
                <w:rFonts w:hint="eastAsia"/>
              </w:rPr>
            </w:pPr>
            <w:r>
              <w:rPr>
                <w:spacing w:val="-5"/>
              </w:rPr>
              <w:t>35</w:t>
            </w:r>
          </w:p>
        </w:tc>
        <w:tc>
          <w:tcPr>
            <w:tcW w:w="1343" w:type="dxa"/>
          </w:tcPr>
          <w:p>
            <w:pPr>
              <w:pStyle w:val="234"/>
              <w:spacing w:before="66" w:line="283" w:lineRule="auto"/>
              <w:ind w:left="106" w:right="108" w:hanging="4"/>
              <w:rPr>
                <w:rFonts w:hint="eastAsia"/>
              </w:rPr>
            </w:pPr>
            <w:r>
              <w:rPr>
                <w:spacing w:val="3"/>
              </w:rPr>
              <w:t>A100303</w:t>
            </w:r>
            <w:r>
              <w:rPr>
                <w:spacing w:val="34"/>
              </w:rPr>
              <w:t xml:space="preserve"> </w:t>
            </w:r>
            <w:r>
              <w:rPr>
                <w:spacing w:val="3"/>
              </w:rPr>
              <w:t>水泥混</w:t>
            </w:r>
            <w:r>
              <w:rPr>
                <w:spacing w:val="-2"/>
              </w:rPr>
              <w:t>凝土制品</w:t>
            </w:r>
          </w:p>
        </w:tc>
        <w:tc>
          <w:tcPr>
            <w:tcW w:w="2324" w:type="dxa"/>
          </w:tcPr>
          <w:p>
            <w:pPr>
              <w:pStyle w:val="234"/>
              <w:spacing w:before="65" w:line="221" w:lineRule="auto"/>
              <w:ind w:left="103"/>
              <w:rPr>
                <w:rFonts w:hint="eastAsia"/>
              </w:rPr>
            </w:pPr>
            <w:r>
              <w:rPr>
                <w:spacing w:val="-1"/>
              </w:rPr>
              <w:t>A10030301</w:t>
            </w:r>
            <w:r>
              <w:rPr>
                <w:spacing w:val="-30"/>
              </w:rPr>
              <w:t xml:space="preserve"> </w:t>
            </w:r>
            <w:r>
              <w:rPr>
                <w:spacing w:val="-1"/>
              </w:rPr>
              <w:t>商品混凝土</w:t>
            </w:r>
          </w:p>
        </w:tc>
        <w:tc>
          <w:tcPr>
            <w:tcW w:w="1956" w:type="dxa"/>
          </w:tcPr>
          <w:p>
            <w:pPr>
              <w:rPr>
                <w:rFonts w:ascii="Arial"/>
              </w:rPr>
            </w:pPr>
          </w:p>
        </w:tc>
        <w:tc>
          <w:tcPr>
            <w:tcW w:w="3081" w:type="dxa"/>
          </w:tcPr>
          <w:p>
            <w:pPr>
              <w:pStyle w:val="234"/>
              <w:spacing w:before="65" w:line="219" w:lineRule="auto"/>
              <w:ind w:left="109"/>
              <w:rPr>
                <w:rFonts w:hint="eastAsia"/>
              </w:rPr>
            </w:pPr>
            <w:r>
              <w:rPr>
                <w:spacing w:val="-1"/>
              </w:rPr>
              <w:t>HJ/T412</w:t>
            </w:r>
            <w:r>
              <w:rPr>
                <w:spacing w:val="-34"/>
              </w:rPr>
              <w:t xml:space="preserve"> </w:t>
            </w:r>
            <w:r>
              <w:rPr>
                <w:spacing w:val="-1"/>
              </w:rPr>
              <w:t>预拌混凝土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4" w:line="183" w:lineRule="auto"/>
              <w:ind w:left="118"/>
              <w:rPr>
                <w:rFonts w:hint="eastAsia"/>
              </w:rPr>
            </w:pPr>
            <w:r>
              <w:rPr>
                <w:spacing w:val="-5"/>
              </w:rPr>
              <w:t>36</w:t>
            </w:r>
          </w:p>
        </w:tc>
        <w:tc>
          <w:tcPr>
            <w:tcW w:w="1343" w:type="dxa"/>
            <w:vMerge w:val="restart"/>
            <w:tcBorders>
              <w:bottom w:val="nil"/>
            </w:tcBorders>
          </w:tcPr>
          <w:p>
            <w:pPr>
              <w:pStyle w:val="234"/>
              <w:spacing w:before="65" w:line="307" w:lineRule="auto"/>
              <w:ind w:left="111" w:right="108" w:hanging="9"/>
              <w:rPr>
                <w:rFonts w:hint="eastAsia"/>
              </w:rPr>
            </w:pPr>
            <w:r>
              <w:rPr>
                <w:spacing w:val="3"/>
              </w:rPr>
              <w:t>A100304</w:t>
            </w:r>
            <w:r>
              <w:rPr>
                <w:spacing w:val="35"/>
              </w:rPr>
              <w:t xml:space="preserve"> </w:t>
            </w:r>
            <w:r>
              <w:rPr>
                <w:spacing w:val="3"/>
              </w:rPr>
              <w:t>纤维增</w:t>
            </w:r>
            <w:r>
              <w:rPr>
                <w:spacing w:val="-2"/>
              </w:rPr>
              <w:t>强水泥制品</w:t>
            </w:r>
          </w:p>
        </w:tc>
        <w:tc>
          <w:tcPr>
            <w:tcW w:w="2324" w:type="dxa"/>
          </w:tcPr>
          <w:p>
            <w:pPr>
              <w:pStyle w:val="234"/>
              <w:spacing w:before="66" w:line="219" w:lineRule="auto"/>
              <w:ind w:left="103"/>
              <w:rPr>
                <w:rFonts w:hint="eastAsia"/>
              </w:rPr>
            </w:pPr>
            <w:r>
              <w:rPr>
                <w:spacing w:val="-1"/>
              </w:rPr>
              <w:t>A10030402</w:t>
            </w:r>
            <w:r>
              <w:rPr>
                <w:spacing w:val="-28"/>
              </w:rPr>
              <w:t xml:space="preserve"> </w:t>
            </w:r>
            <w:r>
              <w:rPr>
                <w:spacing w:val="-1"/>
              </w:rPr>
              <w:t>纤维增强硅酸钙板</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6" w:line="220" w:lineRule="auto"/>
              <w:ind w:left="103"/>
              <w:rPr>
                <w:rFonts w:hint="eastAsia"/>
              </w:rPr>
            </w:pPr>
            <w:r>
              <w:rPr>
                <w:spacing w:val="-1"/>
              </w:rPr>
              <w:t>A10030403</w:t>
            </w:r>
            <w:r>
              <w:rPr>
                <w:spacing w:val="-45"/>
              </w:rPr>
              <w:t xml:space="preserve"> </w:t>
            </w:r>
            <w:r>
              <w:rPr>
                <w:spacing w:val="-1"/>
              </w:rPr>
              <w:t>无石棉纤维水泥制品</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5" w:line="183" w:lineRule="auto"/>
              <w:ind w:left="118"/>
              <w:rPr>
                <w:rFonts w:hint="eastAsia"/>
              </w:rPr>
            </w:pPr>
            <w:r>
              <w:rPr>
                <w:spacing w:val="-5"/>
              </w:rPr>
              <w:t>37</w:t>
            </w:r>
          </w:p>
        </w:tc>
        <w:tc>
          <w:tcPr>
            <w:tcW w:w="1343" w:type="dxa"/>
            <w:vMerge w:val="restart"/>
            <w:tcBorders>
              <w:bottom w:val="nil"/>
            </w:tcBorders>
          </w:tcPr>
          <w:p>
            <w:pPr>
              <w:pStyle w:val="234"/>
              <w:spacing w:before="67" w:line="306" w:lineRule="auto"/>
              <w:ind w:left="109" w:right="108" w:hanging="7"/>
              <w:rPr>
                <w:rFonts w:hint="eastAsia"/>
              </w:rPr>
            </w:pPr>
            <w:r>
              <w:rPr>
                <w:spacing w:val="3"/>
              </w:rPr>
              <w:t>A100305</w:t>
            </w:r>
            <w:r>
              <w:rPr>
                <w:spacing w:val="34"/>
              </w:rPr>
              <w:t xml:space="preserve"> </w:t>
            </w:r>
            <w:r>
              <w:rPr>
                <w:spacing w:val="3"/>
              </w:rPr>
              <w:t>轻质建</w:t>
            </w:r>
            <w:r>
              <w:rPr>
                <w:spacing w:val="-2"/>
              </w:rPr>
              <w:t>筑材料及制品</w:t>
            </w:r>
          </w:p>
        </w:tc>
        <w:tc>
          <w:tcPr>
            <w:tcW w:w="2324" w:type="dxa"/>
          </w:tcPr>
          <w:p>
            <w:pPr>
              <w:pStyle w:val="234"/>
              <w:spacing w:before="67" w:line="219" w:lineRule="auto"/>
              <w:ind w:left="103"/>
              <w:rPr>
                <w:rFonts w:hint="eastAsia"/>
              </w:rPr>
            </w:pPr>
            <w:r>
              <w:rPr>
                <w:spacing w:val="-1"/>
              </w:rPr>
              <w:t>A10030501</w:t>
            </w:r>
            <w:r>
              <w:rPr>
                <w:spacing w:val="-32"/>
              </w:rPr>
              <w:t xml:space="preserve"> </w:t>
            </w:r>
            <w:r>
              <w:rPr>
                <w:spacing w:val="-1"/>
              </w:rPr>
              <w:t>石膏板</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6" w:line="219" w:lineRule="auto"/>
              <w:ind w:left="103"/>
              <w:rPr>
                <w:rFonts w:hint="eastAsia"/>
              </w:rPr>
            </w:pPr>
            <w:r>
              <w:rPr>
                <w:spacing w:val="-1"/>
              </w:rPr>
              <w:t>A10030503</w:t>
            </w:r>
            <w:r>
              <w:rPr>
                <w:spacing w:val="-30"/>
              </w:rPr>
              <w:t xml:space="preserve"> </w:t>
            </w:r>
            <w:r>
              <w:rPr>
                <w:spacing w:val="-1"/>
              </w:rPr>
              <w:t>轻质隔墙条板</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5" w:line="183" w:lineRule="auto"/>
              <w:ind w:left="118"/>
              <w:rPr>
                <w:rFonts w:hint="eastAsia"/>
              </w:rPr>
            </w:pPr>
            <w:r>
              <w:rPr>
                <w:spacing w:val="-5"/>
              </w:rPr>
              <w:t>38</w:t>
            </w:r>
          </w:p>
        </w:tc>
        <w:tc>
          <w:tcPr>
            <w:tcW w:w="1343" w:type="dxa"/>
            <w:vMerge w:val="restart"/>
            <w:tcBorders>
              <w:bottom w:val="nil"/>
            </w:tcBorders>
          </w:tcPr>
          <w:p>
            <w:pPr>
              <w:pStyle w:val="234"/>
              <w:spacing w:before="66" w:line="307" w:lineRule="auto"/>
              <w:ind w:left="111" w:right="108" w:hanging="9"/>
              <w:rPr>
                <w:rFonts w:hint="eastAsia"/>
              </w:rPr>
            </w:pPr>
            <w:r>
              <w:rPr>
                <w:spacing w:val="-1"/>
              </w:rPr>
              <w:t>A100307</w:t>
            </w:r>
            <w:r>
              <w:rPr>
                <w:spacing w:val="36"/>
              </w:rPr>
              <w:t xml:space="preserve"> </w:t>
            </w:r>
            <w:r>
              <w:rPr>
                <w:spacing w:val="-1"/>
              </w:rPr>
              <w:t>建筑</w:t>
            </w:r>
            <w:r>
              <w:rPr>
                <w:spacing w:val="-52"/>
              </w:rPr>
              <w:t xml:space="preserve"> </w:t>
            </w:r>
            <w:r>
              <w:rPr>
                <w:spacing w:val="-1"/>
              </w:rPr>
              <w:t>陶</w:t>
            </w:r>
            <w:r>
              <w:t xml:space="preserve"> </w:t>
            </w:r>
            <w:r>
              <w:rPr>
                <w:spacing w:val="-3"/>
              </w:rPr>
              <w:t>瓷制品</w:t>
            </w:r>
          </w:p>
        </w:tc>
        <w:tc>
          <w:tcPr>
            <w:tcW w:w="2324" w:type="dxa"/>
          </w:tcPr>
          <w:p>
            <w:pPr>
              <w:pStyle w:val="234"/>
              <w:spacing w:before="66" w:line="221" w:lineRule="auto"/>
              <w:ind w:left="103"/>
              <w:rPr>
                <w:rFonts w:hint="eastAsia"/>
              </w:rPr>
            </w:pPr>
            <w:r>
              <w:rPr>
                <w:spacing w:val="-1"/>
              </w:rPr>
              <w:t>A10030701</w:t>
            </w:r>
            <w:r>
              <w:rPr>
                <w:spacing w:val="-30"/>
              </w:rPr>
              <w:t xml:space="preserve"> </w:t>
            </w:r>
            <w:r>
              <w:rPr>
                <w:spacing w:val="-1"/>
              </w:rPr>
              <w:t>瓷质砖</w:t>
            </w:r>
          </w:p>
        </w:tc>
        <w:tc>
          <w:tcPr>
            <w:tcW w:w="1956" w:type="dxa"/>
          </w:tcPr>
          <w:p>
            <w:pPr>
              <w:rPr>
                <w:rFonts w:ascii="Arial"/>
              </w:rPr>
            </w:pPr>
          </w:p>
        </w:tc>
        <w:tc>
          <w:tcPr>
            <w:tcW w:w="3081" w:type="dxa"/>
          </w:tcPr>
          <w:p>
            <w:pPr>
              <w:pStyle w:val="234"/>
              <w:spacing w:before="66" w:line="219" w:lineRule="auto"/>
              <w:ind w:left="109"/>
              <w:rPr>
                <w:rFonts w:hint="eastAsia"/>
              </w:rPr>
            </w:pPr>
            <w:r>
              <w:rPr>
                <w:spacing w:val="-2"/>
              </w:rPr>
              <w:t>HJ/T297</w:t>
            </w:r>
            <w:r>
              <w:rPr>
                <w:spacing w:val="-22"/>
              </w:rPr>
              <w:t xml:space="preserve"> </w:t>
            </w:r>
            <w:r>
              <w:rPr>
                <w:spacing w:val="-2"/>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6" w:line="221" w:lineRule="auto"/>
              <w:ind w:left="103"/>
              <w:rPr>
                <w:rFonts w:hint="eastAsia"/>
              </w:rPr>
            </w:pPr>
            <w:r>
              <w:t>A10030704 炻质砖</w:t>
            </w:r>
          </w:p>
        </w:tc>
        <w:tc>
          <w:tcPr>
            <w:tcW w:w="1956" w:type="dxa"/>
          </w:tcPr>
          <w:p>
            <w:pPr>
              <w:rPr>
                <w:rFonts w:ascii="Arial"/>
              </w:rPr>
            </w:pPr>
          </w:p>
        </w:tc>
        <w:tc>
          <w:tcPr>
            <w:tcW w:w="3081" w:type="dxa"/>
          </w:tcPr>
          <w:p>
            <w:pPr>
              <w:pStyle w:val="234"/>
              <w:spacing w:before="66" w:line="219" w:lineRule="auto"/>
              <w:ind w:left="109"/>
              <w:rPr>
                <w:rFonts w:hint="eastAsia"/>
              </w:rPr>
            </w:pPr>
            <w:r>
              <w:rPr>
                <w:spacing w:val="-2"/>
              </w:rPr>
              <w:t>HJ/T297</w:t>
            </w:r>
            <w:r>
              <w:rPr>
                <w:spacing w:val="-22"/>
              </w:rPr>
              <w:t xml:space="preserve"> </w:t>
            </w:r>
            <w:r>
              <w:rPr>
                <w:spacing w:val="-2"/>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6" w:line="221" w:lineRule="auto"/>
              <w:ind w:left="103"/>
              <w:rPr>
                <w:rFonts w:hint="eastAsia"/>
              </w:rPr>
            </w:pPr>
            <w:r>
              <w:rPr>
                <w:spacing w:val="-2"/>
              </w:rPr>
              <w:t>A10030705</w:t>
            </w:r>
            <w:r>
              <w:rPr>
                <w:spacing w:val="-17"/>
              </w:rPr>
              <w:t xml:space="preserve"> </w:t>
            </w:r>
            <w:r>
              <w:rPr>
                <w:spacing w:val="-2"/>
              </w:rPr>
              <w:t>陶质砖</w:t>
            </w:r>
          </w:p>
        </w:tc>
        <w:tc>
          <w:tcPr>
            <w:tcW w:w="1956" w:type="dxa"/>
          </w:tcPr>
          <w:p>
            <w:pPr>
              <w:rPr>
                <w:rFonts w:ascii="Arial"/>
              </w:rPr>
            </w:pPr>
          </w:p>
        </w:tc>
        <w:tc>
          <w:tcPr>
            <w:tcW w:w="3081" w:type="dxa"/>
          </w:tcPr>
          <w:p>
            <w:pPr>
              <w:pStyle w:val="234"/>
              <w:spacing w:before="66" w:line="219" w:lineRule="auto"/>
              <w:ind w:left="109"/>
              <w:rPr>
                <w:rFonts w:hint="eastAsia"/>
              </w:rPr>
            </w:pPr>
            <w:r>
              <w:rPr>
                <w:spacing w:val="-2"/>
              </w:rPr>
              <w:t>HJ/T297</w:t>
            </w:r>
            <w:r>
              <w:rPr>
                <w:spacing w:val="-22"/>
              </w:rPr>
              <w:t xml:space="preserve"> </w:t>
            </w:r>
            <w:r>
              <w:rPr>
                <w:spacing w:val="-2"/>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6" w:line="221" w:lineRule="auto"/>
              <w:ind w:left="103"/>
              <w:rPr>
                <w:rFonts w:hint="eastAsia"/>
              </w:rPr>
            </w:pPr>
            <w:r>
              <w:t>A10030799 其他建筑陶瓷制品</w:t>
            </w:r>
          </w:p>
        </w:tc>
        <w:tc>
          <w:tcPr>
            <w:tcW w:w="1956" w:type="dxa"/>
          </w:tcPr>
          <w:p>
            <w:pPr>
              <w:rPr>
                <w:rFonts w:ascii="Arial"/>
              </w:rPr>
            </w:pPr>
          </w:p>
        </w:tc>
        <w:tc>
          <w:tcPr>
            <w:tcW w:w="3081" w:type="dxa"/>
          </w:tcPr>
          <w:p>
            <w:pPr>
              <w:pStyle w:val="234"/>
              <w:spacing w:before="66" w:line="219" w:lineRule="auto"/>
              <w:ind w:left="109"/>
              <w:rPr>
                <w:rFonts w:hint="eastAsia"/>
              </w:rPr>
            </w:pPr>
            <w:r>
              <w:rPr>
                <w:spacing w:val="-2"/>
              </w:rPr>
              <w:t>HJ/T297</w:t>
            </w:r>
            <w:r>
              <w:rPr>
                <w:spacing w:val="-22"/>
              </w:rPr>
              <w:t xml:space="preserve"> </w:t>
            </w:r>
            <w:r>
              <w:rPr>
                <w:spacing w:val="-2"/>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vMerge w:val="restart"/>
            <w:tcBorders>
              <w:bottom w:val="nil"/>
            </w:tcBorders>
          </w:tcPr>
          <w:p>
            <w:pPr>
              <w:pStyle w:val="234"/>
              <w:spacing w:before="95" w:line="183" w:lineRule="auto"/>
              <w:ind w:left="118"/>
              <w:rPr>
                <w:rFonts w:hint="eastAsia"/>
              </w:rPr>
            </w:pPr>
            <w:r>
              <w:rPr>
                <w:spacing w:val="-5"/>
              </w:rPr>
              <w:t>39</w:t>
            </w:r>
          </w:p>
        </w:tc>
        <w:tc>
          <w:tcPr>
            <w:tcW w:w="1343" w:type="dxa"/>
            <w:vMerge w:val="restart"/>
            <w:tcBorders>
              <w:bottom w:val="nil"/>
            </w:tcBorders>
          </w:tcPr>
          <w:p>
            <w:pPr>
              <w:pStyle w:val="234"/>
              <w:spacing w:before="66" w:line="306" w:lineRule="auto"/>
              <w:ind w:left="109" w:right="108" w:hanging="7"/>
              <w:rPr>
                <w:rFonts w:hint="eastAsia"/>
              </w:rPr>
            </w:pPr>
            <w:r>
              <w:rPr>
                <w:spacing w:val="-1"/>
              </w:rPr>
              <w:t>A100309</w:t>
            </w:r>
            <w:r>
              <w:rPr>
                <w:spacing w:val="34"/>
                <w:w w:val="101"/>
              </w:rPr>
              <w:t xml:space="preserve"> </w:t>
            </w:r>
            <w:r>
              <w:rPr>
                <w:spacing w:val="-1"/>
              </w:rPr>
              <w:t>建筑</w:t>
            </w:r>
            <w:r>
              <w:rPr>
                <w:spacing w:val="-51"/>
              </w:rPr>
              <w:t xml:space="preserve"> </w:t>
            </w:r>
            <w:r>
              <w:rPr>
                <w:spacing w:val="-1"/>
              </w:rPr>
              <w:t>防</w:t>
            </w:r>
            <w:r>
              <w:t xml:space="preserve"> </w:t>
            </w:r>
            <w:r>
              <w:rPr>
                <w:spacing w:val="-2"/>
              </w:rPr>
              <w:t>水卷材及制品</w:t>
            </w:r>
          </w:p>
        </w:tc>
        <w:tc>
          <w:tcPr>
            <w:tcW w:w="2324" w:type="dxa"/>
          </w:tcPr>
          <w:p>
            <w:pPr>
              <w:pStyle w:val="234"/>
              <w:spacing w:before="66" w:line="283" w:lineRule="auto"/>
              <w:ind w:left="110" w:right="107" w:hanging="7"/>
              <w:rPr>
                <w:rFonts w:hint="eastAsia"/>
              </w:rPr>
            </w:pPr>
            <w:r>
              <w:rPr>
                <w:spacing w:val="-1"/>
              </w:rPr>
              <w:t>A10030901</w:t>
            </w:r>
            <w:r>
              <w:rPr>
                <w:spacing w:val="-47"/>
              </w:rPr>
              <w:t xml:space="preserve"> </w:t>
            </w:r>
            <w:r>
              <w:rPr>
                <w:spacing w:val="-1"/>
              </w:rPr>
              <w:t>沥青和改性沥青防水</w:t>
            </w:r>
            <w:r>
              <w:t xml:space="preserve"> </w:t>
            </w:r>
            <w:r>
              <w:rPr>
                <w:spacing w:val="-3"/>
              </w:rPr>
              <w:t>卷材</w:t>
            </w:r>
          </w:p>
        </w:tc>
        <w:tc>
          <w:tcPr>
            <w:tcW w:w="1956" w:type="dxa"/>
          </w:tcPr>
          <w:p>
            <w:pPr>
              <w:rPr>
                <w:rFonts w:ascii="Arial"/>
              </w:rPr>
            </w:pPr>
          </w:p>
        </w:tc>
        <w:tc>
          <w:tcPr>
            <w:tcW w:w="3081" w:type="dxa"/>
          </w:tcPr>
          <w:p>
            <w:pPr>
              <w:pStyle w:val="234"/>
              <w:spacing w:before="66" w:line="219" w:lineRule="auto"/>
              <w:ind w:left="109"/>
              <w:rPr>
                <w:rFonts w:hint="eastAsia"/>
              </w:rPr>
            </w:pPr>
            <w:r>
              <w:rPr>
                <w:spacing w:val="-2"/>
              </w:rPr>
              <w:t>HJ455</w:t>
            </w:r>
            <w:r>
              <w:rPr>
                <w:spacing w:val="-25"/>
              </w:rPr>
              <w:t xml:space="preserve"> </w:t>
            </w:r>
            <w:r>
              <w:rPr>
                <w:spacing w:val="-2"/>
              </w:rPr>
              <w:t>防水卷材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7" w:line="219" w:lineRule="auto"/>
              <w:ind w:left="103"/>
              <w:rPr>
                <w:rFonts w:hint="eastAsia"/>
              </w:rPr>
            </w:pPr>
            <w:r>
              <w:rPr>
                <w:spacing w:val="-2"/>
              </w:rPr>
              <w:t>A10030903</w:t>
            </w:r>
            <w:r>
              <w:rPr>
                <w:spacing w:val="36"/>
              </w:rPr>
              <w:t xml:space="preserve"> </w:t>
            </w:r>
            <w:r>
              <w:rPr>
                <w:spacing w:val="-2"/>
              </w:rPr>
              <w:t>自粘防水卷材</w:t>
            </w:r>
          </w:p>
        </w:tc>
        <w:tc>
          <w:tcPr>
            <w:tcW w:w="1956" w:type="dxa"/>
          </w:tcPr>
          <w:p>
            <w:pPr>
              <w:rPr>
                <w:rFonts w:ascii="Arial"/>
              </w:rPr>
            </w:pPr>
          </w:p>
        </w:tc>
        <w:tc>
          <w:tcPr>
            <w:tcW w:w="3081" w:type="dxa"/>
          </w:tcPr>
          <w:p>
            <w:pPr>
              <w:pStyle w:val="234"/>
              <w:spacing w:before="66" w:line="219" w:lineRule="auto"/>
              <w:ind w:left="109"/>
              <w:rPr>
                <w:rFonts w:hint="eastAsia"/>
              </w:rPr>
            </w:pPr>
            <w:r>
              <w:rPr>
                <w:spacing w:val="-2"/>
              </w:rPr>
              <w:t>HJ455</w:t>
            </w:r>
            <w:r>
              <w:rPr>
                <w:spacing w:val="-25"/>
              </w:rPr>
              <w:t xml:space="preserve"> </w:t>
            </w:r>
            <w:r>
              <w:rPr>
                <w:spacing w:val="-2"/>
              </w:rPr>
              <w:t>防水卷材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6" w:line="283" w:lineRule="auto"/>
              <w:ind w:left="108" w:right="102" w:hanging="5"/>
              <w:rPr>
                <w:rFonts w:hint="eastAsia"/>
              </w:rPr>
            </w:pPr>
            <w:r>
              <w:rPr>
                <w:spacing w:val="-2"/>
              </w:rPr>
              <w:t>A10030906</w:t>
            </w:r>
            <w:r>
              <w:rPr>
                <w:spacing w:val="-24"/>
              </w:rPr>
              <w:t xml:space="preserve"> </w:t>
            </w:r>
            <w:r>
              <w:rPr>
                <w:spacing w:val="-2"/>
              </w:rPr>
              <w:t>高分子防水卷（片）</w:t>
            </w:r>
            <w:r>
              <w:t xml:space="preserve"> 材</w:t>
            </w:r>
          </w:p>
        </w:tc>
        <w:tc>
          <w:tcPr>
            <w:tcW w:w="1956" w:type="dxa"/>
          </w:tcPr>
          <w:p>
            <w:pPr>
              <w:rPr>
                <w:rFonts w:ascii="Arial"/>
              </w:rPr>
            </w:pPr>
          </w:p>
        </w:tc>
        <w:tc>
          <w:tcPr>
            <w:tcW w:w="3081" w:type="dxa"/>
          </w:tcPr>
          <w:p>
            <w:pPr>
              <w:pStyle w:val="234"/>
              <w:spacing w:before="66" w:line="219" w:lineRule="auto"/>
              <w:ind w:left="109"/>
              <w:rPr>
                <w:rFonts w:hint="eastAsia"/>
              </w:rPr>
            </w:pPr>
            <w:r>
              <w:rPr>
                <w:spacing w:val="-2"/>
              </w:rPr>
              <w:t>HJ455</w:t>
            </w:r>
            <w:r>
              <w:rPr>
                <w:spacing w:val="-25"/>
              </w:rPr>
              <w:t xml:space="preserve"> </w:t>
            </w:r>
            <w:r>
              <w:rPr>
                <w:spacing w:val="-2"/>
              </w:rPr>
              <w:t>防水卷材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vMerge w:val="restart"/>
            <w:tcBorders>
              <w:bottom w:val="nil"/>
            </w:tcBorders>
          </w:tcPr>
          <w:p>
            <w:pPr>
              <w:pStyle w:val="234"/>
              <w:spacing w:before="95" w:line="183" w:lineRule="auto"/>
              <w:ind w:left="114"/>
              <w:rPr>
                <w:rFonts w:hint="eastAsia"/>
              </w:rPr>
            </w:pPr>
            <w:r>
              <w:rPr>
                <w:spacing w:val="-3"/>
              </w:rPr>
              <w:t>40</w:t>
            </w:r>
          </w:p>
        </w:tc>
        <w:tc>
          <w:tcPr>
            <w:tcW w:w="1343" w:type="dxa"/>
            <w:vMerge w:val="restart"/>
            <w:tcBorders>
              <w:bottom w:val="nil"/>
            </w:tcBorders>
          </w:tcPr>
          <w:p>
            <w:pPr>
              <w:pStyle w:val="234"/>
              <w:spacing w:before="68" w:line="311" w:lineRule="auto"/>
              <w:ind w:left="106" w:right="106" w:hanging="4"/>
              <w:rPr>
                <w:rFonts w:hint="eastAsia"/>
              </w:rPr>
            </w:pPr>
            <w:r>
              <w:rPr>
                <w:spacing w:val="-8"/>
              </w:rPr>
              <w:t>A100310</w:t>
            </w:r>
            <w:r>
              <w:rPr>
                <w:spacing w:val="-25"/>
              </w:rPr>
              <w:t xml:space="preserve"> </w:t>
            </w:r>
            <w:r>
              <w:rPr>
                <w:spacing w:val="-8"/>
              </w:rPr>
              <w:t>隔热、隔</w:t>
            </w:r>
            <w:r>
              <w:t xml:space="preserve"> </w:t>
            </w:r>
            <w:r>
              <w:rPr>
                <w:spacing w:val="9"/>
              </w:rPr>
              <w:t>音人造矿物材料</w:t>
            </w:r>
            <w:r>
              <w:rPr>
                <w:spacing w:val="-2"/>
              </w:rPr>
              <w:t>及其制品</w:t>
            </w:r>
          </w:p>
        </w:tc>
        <w:tc>
          <w:tcPr>
            <w:tcW w:w="2324" w:type="dxa"/>
          </w:tcPr>
          <w:p>
            <w:pPr>
              <w:pStyle w:val="234"/>
              <w:spacing w:before="68" w:line="282" w:lineRule="auto"/>
              <w:ind w:left="108" w:right="107" w:hanging="5"/>
              <w:rPr>
                <w:rFonts w:hint="eastAsia"/>
                <w:lang w:eastAsia="zh-CN"/>
              </w:rPr>
            </w:pPr>
            <w:r>
              <w:rPr>
                <w:spacing w:val="6"/>
                <w:lang w:eastAsia="zh-CN"/>
              </w:rPr>
              <w:t>A10031001 矿物绝热和吸声材</w:t>
            </w:r>
            <w:r>
              <w:rPr>
                <w:spacing w:val="7"/>
                <w:lang w:eastAsia="zh-CN"/>
              </w:rPr>
              <w:t xml:space="preserve"> </w:t>
            </w:r>
            <w:r>
              <w:rPr>
                <w:lang w:eastAsia="zh-CN"/>
              </w:rPr>
              <w:t>料</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8"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8" w:line="219" w:lineRule="auto"/>
              <w:ind w:left="103"/>
              <w:rPr>
                <w:rFonts w:hint="eastAsia"/>
              </w:rPr>
            </w:pPr>
            <w:r>
              <w:rPr>
                <w:spacing w:val="-1"/>
              </w:rPr>
              <w:t>A10031002</w:t>
            </w:r>
            <w:r>
              <w:rPr>
                <w:spacing w:val="-30"/>
              </w:rPr>
              <w:t xml:space="preserve"> </w:t>
            </w:r>
            <w:r>
              <w:rPr>
                <w:spacing w:val="-1"/>
              </w:rPr>
              <w:t>矿物材料制品</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pPr>
              <w:pStyle w:val="234"/>
              <w:spacing w:before="95" w:line="184" w:lineRule="auto"/>
              <w:ind w:left="114"/>
              <w:rPr>
                <w:rFonts w:hint="eastAsia"/>
              </w:rPr>
            </w:pPr>
            <w:r>
              <w:rPr>
                <w:spacing w:val="-3"/>
              </w:rPr>
              <w:t>41</w:t>
            </w:r>
          </w:p>
        </w:tc>
        <w:tc>
          <w:tcPr>
            <w:tcW w:w="1343" w:type="dxa"/>
          </w:tcPr>
          <w:p>
            <w:pPr>
              <w:pStyle w:val="234"/>
              <w:spacing w:before="68" w:line="282" w:lineRule="auto"/>
              <w:ind w:left="109" w:right="108" w:hanging="7"/>
              <w:rPr>
                <w:rFonts w:hint="eastAsia"/>
              </w:rPr>
            </w:pPr>
            <w:r>
              <w:rPr>
                <w:spacing w:val="3"/>
              </w:rPr>
              <w:t>A100601</w:t>
            </w:r>
            <w:r>
              <w:rPr>
                <w:spacing w:val="34"/>
              </w:rPr>
              <w:t xml:space="preserve"> </w:t>
            </w:r>
            <w:r>
              <w:rPr>
                <w:spacing w:val="3"/>
              </w:rPr>
              <w:t>功能性</w:t>
            </w:r>
            <w:r>
              <w:t xml:space="preserve"> </w:t>
            </w:r>
            <w:r>
              <w:rPr>
                <w:spacing w:val="-2"/>
              </w:rPr>
              <w:t>建筑涂料</w:t>
            </w:r>
          </w:p>
        </w:tc>
        <w:tc>
          <w:tcPr>
            <w:tcW w:w="2324" w:type="dxa"/>
          </w:tcPr>
          <w:p>
            <w:pPr>
              <w:rPr>
                <w:rFonts w:ascii="Arial"/>
              </w:rPr>
            </w:pP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tcPr>
          <w:p>
            <w:pPr>
              <w:pStyle w:val="234"/>
              <w:spacing w:before="97" w:line="183" w:lineRule="auto"/>
              <w:ind w:left="114"/>
              <w:rPr>
                <w:rFonts w:hint="eastAsia"/>
              </w:rPr>
            </w:pPr>
            <w:r>
              <w:rPr>
                <w:spacing w:val="-3"/>
              </w:rPr>
              <w:t>42</w:t>
            </w:r>
          </w:p>
        </w:tc>
        <w:tc>
          <w:tcPr>
            <w:tcW w:w="1343" w:type="dxa"/>
          </w:tcPr>
          <w:p>
            <w:pPr>
              <w:pStyle w:val="234"/>
              <w:spacing w:before="69" w:line="284" w:lineRule="auto"/>
              <w:ind w:left="109" w:right="106" w:firstLine="84"/>
              <w:rPr>
                <w:rFonts w:hint="eastAsia"/>
              </w:rPr>
            </w:pPr>
            <w:r>
              <w:rPr>
                <w:spacing w:val="-1"/>
              </w:rPr>
              <w:t>A100399</w:t>
            </w:r>
            <w:r>
              <w:rPr>
                <w:spacing w:val="-15"/>
              </w:rPr>
              <w:t xml:space="preserve"> </w:t>
            </w:r>
            <w:r>
              <w:rPr>
                <w:spacing w:val="-1"/>
              </w:rPr>
              <w:t>其他非</w:t>
            </w:r>
            <w:r>
              <w:t xml:space="preserve"> </w:t>
            </w:r>
            <w:r>
              <w:rPr>
                <w:spacing w:val="-2"/>
              </w:rPr>
              <w:t>金属矿物制品</w:t>
            </w:r>
          </w:p>
        </w:tc>
        <w:tc>
          <w:tcPr>
            <w:tcW w:w="2324" w:type="dxa"/>
          </w:tcPr>
          <w:p>
            <w:pPr>
              <w:pStyle w:val="234"/>
              <w:spacing w:before="68" w:line="219" w:lineRule="auto"/>
              <w:ind w:left="103"/>
              <w:rPr>
                <w:rFonts w:hint="eastAsia"/>
              </w:rPr>
            </w:pPr>
            <w:r>
              <w:rPr>
                <w:spacing w:val="-1"/>
              </w:rPr>
              <w:t>A10039901</w:t>
            </w:r>
            <w:r>
              <w:rPr>
                <w:spacing w:val="-45"/>
              </w:rPr>
              <w:t xml:space="preserve"> </w:t>
            </w:r>
            <w:r>
              <w:rPr>
                <w:spacing w:val="-1"/>
              </w:rPr>
              <w:t>其他非金属建筑材料</w:t>
            </w:r>
          </w:p>
        </w:tc>
        <w:tc>
          <w:tcPr>
            <w:tcW w:w="1956" w:type="dxa"/>
          </w:tcPr>
          <w:p>
            <w:pPr>
              <w:rPr>
                <w:rFonts w:ascii="Arial"/>
              </w:rPr>
            </w:pPr>
          </w:p>
        </w:tc>
        <w:tc>
          <w:tcPr>
            <w:tcW w:w="3081" w:type="dxa"/>
          </w:tcPr>
          <w:p>
            <w:pPr>
              <w:pStyle w:val="234"/>
              <w:spacing w:before="68" w:line="219" w:lineRule="auto"/>
              <w:ind w:left="109"/>
              <w:rPr>
                <w:rFonts w:hint="eastAsia"/>
              </w:rPr>
            </w:pPr>
            <w:r>
              <w:rPr>
                <w:spacing w:val="-2"/>
              </w:rPr>
              <w:t>HJ456</w:t>
            </w:r>
            <w:r>
              <w:rPr>
                <w:spacing w:val="-23"/>
              </w:rPr>
              <w:t xml:space="preserve"> </w:t>
            </w:r>
            <w:r>
              <w:rPr>
                <w:spacing w:val="-2"/>
              </w:rPr>
              <w:t>刚性防水材料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vMerge w:val="restart"/>
            <w:tcBorders>
              <w:bottom w:val="nil"/>
            </w:tcBorders>
          </w:tcPr>
          <w:p>
            <w:pPr>
              <w:pStyle w:val="234"/>
              <w:spacing w:before="96" w:line="183" w:lineRule="auto"/>
              <w:ind w:left="114"/>
              <w:rPr>
                <w:rFonts w:hint="eastAsia"/>
              </w:rPr>
            </w:pPr>
            <w:r>
              <w:rPr>
                <w:spacing w:val="-3"/>
              </w:rPr>
              <w:t>43</w:t>
            </w:r>
          </w:p>
        </w:tc>
        <w:tc>
          <w:tcPr>
            <w:tcW w:w="1343" w:type="dxa"/>
            <w:vMerge w:val="restart"/>
            <w:tcBorders>
              <w:bottom w:val="nil"/>
            </w:tcBorders>
          </w:tcPr>
          <w:p>
            <w:pPr>
              <w:pStyle w:val="234"/>
              <w:spacing w:before="68" w:line="307" w:lineRule="auto"/>
              <w:ind w:left="107" w:right="108" w:hanging="5"/>
              <w:rPr>
                <w:rFonts w:hint="eastAsia"/>
              </w:rPr>
            </w:pPr>
            <w:r>
              <w:rPr>
                <w:spacing w:val="3"/>
              </w:rPr>
              <w:t>A100602</w:t>
            </w:r>
            <w:r>
              <w:rPr>
                <w:spacing w:val="34"/>
              </w:rPr>
              <w:t xml:space="preserve"> </w:t>
            </w:r>
            <w:r>
              <w:rPr>
                <w:spacing w:val="3"/>
              </w:rPr>
              <w:t>墙面涂</w:t>
            </w:r>
            <w:r>
              <w:t xml:space="preserve"> 料</w:t>
            </w:r>
          </w:p>
        </w:tc>
        <w:tc>
          <w:tcPr>
            <w:tcW w:w="2324" w:type="dxa"/>
          </w:tcPr>
          <w:p>
            <w:pPr>
              <w:pStyle w:val="234"/>
              <w:spacing w:before="69" w:line="284" w:lineRule="auto"/>
              <w:ind w:left="108" w:right="107" w:hanging="5"/>
              <w:rPr>
                <w:rFonts w:hint="eastAsia"/>
              </w:rPr>
            </w:pPr>
            <w:r>
              <w:rPr>
                <w:spacing w:val="-1"/>
              </w:rPr>
              <w:t>A10060202</w:t>
            </w:r>
            <w:r>
              <w:rPr>
                <w:spacing w:val="-47"/>
              </w:rPr>
              <w:t xml:space="preserve"> </w:t>
            </w:r>
            <w:r>
              <w:rPr>
                <w:spacing w:val="-1"/>
              </w:rPr>
              <w:t>合成树脂乳液内墙涂</w:t>
            </w:r>
            <w:r>
              <w:t xml:space="preserve"> 料</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4" w:line="284" w:lineRule="auto"/>
              <w:ind w:left="108" w:right="107" w:hanging="5"/>
              <w:rPr>
                <w:rFonts w:hint="eastAsia"/>
              </w:rPr>
            </w:pPr>
            <w:r>
              <w:rPr>
                <w:spacing w:val="-1"/>
              </w:rPr>
              <w:t>A10060203</w:t>
            </w:r>
            <w:r>
              <w:rPr>
                <w:spacing w:val="-47"/>
              </w:rPr>
              <w:t xml:space="preserve"> </w:t>
            </w:r>
            <w:r>
              <w:rPr>
                <w:spacing w:val="-1"/>
              </w:rPr>
              <w:t>合成树脂乳液外墙涂</w:t>
            </w:r>
            <w:r>
              <w:t xml:space="preserve"> 料</w:t>
            </w:r>
          </w:p>
        </w:tc>
        <w:tc>
          <w:tcPr>
            <w:tcW w:w="1956" w:type="dxa"/>
          </w:tcPr>
          <w:p>
            <w:pPr>
              <w:rPr>
                <w:rFonts w:ascii="Arial"/>
              </w:rPr>
            </w:pPr>
          </w:p>
        </w:tc>
        <w:tc>
          <w:tcPr>
            <w:tcW w:w="3081" w:type="dxa"/>
          </w:tcPr>
          <w:p>
            <w:pPr>
              <w:pStyle w:val="234"/>
              <w:spacing w:before="63"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4" w:line="221" w:lineRule="auto"/>
              <w:ind w:left="103"/>
              <w:rPr>
                <w:rFonts w:hint="eastAsia"/>
              </w:rPr>
            </w:pPr>
            <w:r>
              <w:rPr>
                <w:spacing w:val="-1"/>
              </w:rPr>
              <w:t>A10060299</w:t>
            </w:r>
            <w:r>
              <w:rPr>
                <w:spacing w:val="-30"/>
              </w:rPr>
              <w:t xml:space="preserve"> </w:t>
            </w:r>
            <w:r>
              <w:rPr>
                <w:spacing w:val="-1"/>
              </w:rPr>
              <w:t>其他墙面涂料</w:t>
            </w:r>
          </w:p>
        </w:tc>
        <w:tc>
          <w:tcPr>
            <w:tcW w:w="1956" w:type="dxa"/>
          </w:tcPr>
          <w:p>
            <w:pPr>
              <w:rPr>
                <w:rFonts w:ascii="Arial"/>
              </w:rPr>
            </w:pPr>
          </w:p>
        </w:tc>
        <w:tc>
          <w:tcPr>
            <w:tcW w:w="3081" w:type="dxa"/>
          </w:tcPr>
          <w:p>
            <w:pPr>
              <w:pStyle w:val="234"/>
              <w:spacing w:before="64"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pPr>
              <w:pStyle w:val="234"/>
              <w:spacing w:before="93" w:line="183" w:lineRule="auto"/>
              <w:ind w:left="114"/>
              <w:rPr>
                <w:rFonts w:hint="eastAsia"/>
              </w:rPr>
            </w:pPr>
            <w:r>
              <w:rPr>
                <w:spacing w:val="-3"/>
              </w:rPr>
              <w:t>44</w:t>
            </w:r>
          </w:p>
        </w:tc>
        <w:tc>
          <w:tcPr>
            <w:tcW w:w="1343" w:type="dxa"/>
          </w:tcPr>
          <w:p>
            <w:pPr>
              <w:pStyle w:val="234"/>
              <w:spacing w:before="66" w:line="283" w:lineRule="auto"/>
              <w:ind w:left="107" w:right="108" w:hanging="5"/>
              <w:rPr>
                <w:rFonts w:hint="eastAsia"/>
              </w:rPr>
            </w:pPr>
            <w:r>
              <w:rPr>
                <w:spacing w:val="2"/>
              </w:rPr>
              <w:t>A100604</w:t>
            </w:r>
            <w:r>
              <w:rPr>
                <w:spacing w:val="44"/>
              </w:rPr>
              <w:t xml:space="preserve"> </w:t>
            </w:r>
            <w:r>
              <w:rPr>
                <w:spacing w:val="2"/>
              </w:rPr>
              <w:t>防水涂</w:t>
            </w:r>
            <w:r>
              <w:t xml:space="preserve"> 料</w:t>
            </w:r>
          </w:p>
        </w:tc>
        <w:tc>
          <w:tcPr>
            <w:tcW w:w="2324" w:type="dxa"/>
          </w:tcPr>
          <w:p>
            <w:pPr>
              <w:pStyle w:val="234"/>
              <w:spacing w:before="65" w:line="220" w:lineRule="auto"/>
              <w:ind w:left="103"/>
              <w:rPr>
                <w:rFonts w:hint="eastAsia"/>
              </w:rPr>
            </w:pPr>
            <w:r>
              <w:rPr>
                <w:spacing w:val="-1"/>
              </w:rPr>
              <w:t>A10060499</w:t>
            </w:r>
            <w:r>
              <w:rPr>
                <w:spacing w:val="-30"/>
              </w:rPr>
              <w:t xml:space="preserve"> </w:t>
            </w:r>
            <w:r>
              <w:rPr>
                <w:spacing w:val="-1"/>
              </w:rPr>
              <w:t>其他防水涂料</w:t>
            </w:r>
          </w:p>
        </w:tc>
        <w:tc>
          <w:tcPr>
            <w:tcW w:w="1956" w:type="dxa"/>
          </w:tcPr>
          <w:p>
            <w:pPr>
              <w:rPr>
                <w:rFonts w:ascii="Arial"/>
              </w:rPr>
            </w:pPr>
          </w:p>
        </w:tc>
        <w:tc>
          <w:tcPr>
            <w:tcW w:w="3081" w:type="dxa"/>
          </w:tcPr>
          <w:p>
            <w:pPr>
              <w:pStyle w:val="234"/>
              <w:spacing w:before="65"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pPr>
              <w:pStyle w:val="234"/>
              <w:spacing w:before="94" w:line="183" w:lineRule="auto"/>
              <w:ind w:left="114"/>
              <w:rPr>
                <w:rFonts w:hint="eastAsia"/>
              </w:rPr>
            </w:pPr>
            <w:r>
              <w:rPr>
                <w:spacing w:val="-3"/>
              </w:rPr>
              <w:t>45</w:t>
            </w:r>
          </w:p>
        </w:tc>
        <w:tc>
          <w:tcPr>
            <w:tcW w:w="1343" w:type="dxa"/>
          </w:tcPr>
          <w:p>
            <w:pPr>
              <w:pStyle w:val="234"/>
              <w:spacing w:before="66" w:line="283" w:lineRule="auto"/>
              <w:ind w:left="109" w:right="108" w:hanging="7"/>
              <w:rPr>
                <w:rFonts w:hint="eastAsia"/>
              </w:rPr>
            </w:pPr>
            <w:r>
              <w:rPr>
                <w:spacing w:val="3"/>
              </w:rPr>
              <w:t>A100699</w:t>
            </w:r>
            <w:r>
              <w:rPr>
                <w:spacing w:val="34"/>
              </w:rPr>
              <w:t xml:space="preserve"> </w:t>
            </w:r>
            <w:r>
              <w:rPr>
                <w:spacing w:val="3"/>
              </w:rPr>
              <w:t>其他建</w:t>
            </w:r>
            <w:r>
              <w:rPr>
                <w:spacing w:val="-2"/>
              </w:rPr>
              <w:t>筑涂料</w:t>
            </w:r>
          </w:p>
        </w:tc>
        <w:tc>
          <w:tcPr>
            <w:tcW w:w="2324" w:type="dxa"/>
          </w:tcPr>
          <w:p>
            <w:pPr>
              <w:rPr>
                <w:rFonts w:ascii="Arial"/>
              </w:rPr>
            </w:pPr>
          </w:p>
        </w:tc>
        <w:tc>
          <w:tcPr>
            <w:tcW w:w="1956" w:type="dxa"/>
          </w:tcPr>
          <w:p>
            <w:pPr>
              <w:rPr>
                <w:rFonts w:ascii="Arial"/>
              </w:rPr>
            </w:pPr>
          </w:p>
        </w:tc>
        <w:tc>
          <w:tcPr>
            <w:tcW w:w="3081" w:type="dxa"/>
          </w:tcPr>
          <w:p>
            <w:pPr>
              <w:pStyle w:val="234"/>
              <w:spacing w:before="65"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510" w:type="dxa"/>
          </w:tcPr>
          <w:p>
            <w:pPr>
              <w:pStyle w:val="234"/>
              <w:spacing w:before="95" w:line="183" w:lineRule="auto"/>
              <w:ind w:left="114"/>
              <w:rPr>
                <w:rFonts w:hint="eastAsia"/>
              </w:rPr>
            </w:pPr>
            <w:r>
              <w:rPr>
                <w:spacing w:val="-3"/>
              </w:rPr>
              <w:t>46</w:t>
            </w:r>
          </w:p>
        </w:tc>
        <w:tc>
          <w:tcPr>
            <w:tcW w:w="1343" w:type="dxa"/>
          </w:tcPr>
          <w:p>
            <w:pPr>
              <w:pStyle w:val="234"/>
              <w:spacing w:before="66" w:line="222" w:lineRule="auto"/>
              <w:ind w:left="102"/>
              <w:rPr>
                <w:rFonts w:hint="eastAsia"/>
              </w:rPr>
            </w:pPr>
            <w:r>
              <w:rPr>
                <w:spacing w:val="-8"/>
              </w:rPr>
              <w:t>A100701</w:t>
            </w:r>
            <w:r>
              <w:rPr>
                <w:spacing w:val="-12"/>
              </w:rPr>
              <w:t xml:space="preserve"> </w:t>
            </w:r>
            <w:r>
              <w:rPr>
                <w:spacing w:val="-8"/>
              </w:rPr>
              <w:t>门、门槛</w:t>
            </w:r>
          </w:p>
        </w:tc>
        <w:tc>
          <w:tcPr>
            <w:tcW w:w="2324" w:type="dxa"/>
          </w:tcPr>
          <w:p>
            <w:pPr>
              <w:rPr>
                <w:rFonts w:ascii="Arial"/>
              </w:rPr>
            </w:pPr>
          </w:p>
        </w:tc>
        <w:tc>
          <w:tcPr>
            <w:tcW w:w="1956" w:type="dxa"/>
          </w:tcPr>
          <w:p>
            <w:pPr>
              <w:rPr>
                <w:rFonts w:ascii="Arial"/>
              </w:rPr>
            </w:pPr>
          </w:p>
        </w:tc>
        <w:tc>
          <w:tcPr>
            <w:tcW w:w="3081" w:type="dxa"/>
          </w:tcPr>
          <w:p>
            <w:pPr>
              <w:pStyle w:val="234"/>
              <w:spacing w:before="66" w:line="219" w:lineRule="auto"/>
              <w:ind w:left="109"/>
              <w:rPr>
                <w:rFonts w:hint="eastAsia"/>
                <w:lang w:eastAsia="zh-CN"/>
              </w:rPr>
            </w:pPr>
            <w:r>
              <w:rPr>
                <w:spacing w:val="-1"/>
                <w:lang w:eastAsia="zh-CN"/>
              </w:rPr>
              <w:t>HJ/T 237</w:t>
            </w:r>
            <w:r>
              <w:rPr>
                <w:spacing w:val="-32"/>
                <w:lang w:eastAsia="zh-CN"/>
              </w:rPr>
              <w:t xml:space="preserve"> </w:t>
            </w:r>
            <w:r>
              <w:rPr>
                <w:spacing w:val="-1"/>
                <w:lang w:eastAsia="zh-CN"/>
              </w:rPr>
              <w:t>塑料门窗/HJ459</w:t>
            </w:r>
            <w:r>
              <w:rPr>
                <w:spacing w:val="-37"/>
                <w:lang w:eastAsia="zh-CN"/>
              </w:rPr>
              <w:t xml:space="preserve"> </w:t>
            </w:r>
            <w:r>
              <w:rPr>
                <w:spacing w:val="-1"/>
                <w:lang w:eastAsia="zh-CN"/>
              </w:rPr>
              <w:t>木</w:t>
            </w:r>
            <w:r>
              <w:rPr>
                <w:spacing w:val="-2"/>
                <w:lang w:eastAsia="zh-CN"/>
              </w:rPr>
              <w:t>质门和钢质门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tcPr>
          <w:p>
            <w:pPr>
              <w:pStyle w:val="234"/>
              <w:spacing w:before="95" w:line="183" w:lineRule="auto"/>
              <w:ind w:left="114"/>
              <w:rPr>
                <w:rFonts w:hint="eastAsia"/>
              </w:rPr>
            </w:pPr>
            <w:r>
              <w:rPr>
                <w:spacing w:val="-3"/>
              </w:rPr>
              <w:t>47</w:t>
            </w:r>
          </w:p>
        </w:tc>
        <w:tc>
          <w:tcPr>
            <w:tcW w:w="1343" w:type="dxa"/>
          </w:tcPr>
          <w:p>
            <w:pPr>
              <w:pStyle w:val="234"/>
              <w:spacing w:before="66" w:line="221" w:lineRule="auto"/>
              <w:ind w:left="102"/>
              <w:rPr>
                <w:rFonts w:hint="eastAsia"/>
              </w:rPr>
            </w:pPr>
            <w:r>
              <w:rPr>
                <w:spacing w:val="-1"/>
              </w:rPr>
              <w:t>A100702</w:t>
            </w:r>
            <w:r>
              <w:rPr>
                <w:spacing w:val="-24"/>
              </w:rPr>
              <w:t xml:space="preserve"> </w:t>
            </w:r>
            <w:r>
              <w:rPr>
                <w:spacing w:val="-1"/>
              </w:rPr>
              <w:t>窗</w:t>
            </w:r>
          </w:p>
        </w:tc>
        <w:tc>
          <w:tcPr>
            <w:tcW w:w="2324" w:type="dxa"/>
          </w:tcPr>
          <w:p>
            <w:pPr>
              <w:rPr>
                <w:rFonts w:ascii="Arial"/>
              </w:rPr>
            </w:pP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HJ/T237</w:t>
            </w:r>
            <w:r>
              <w:rPr>
                <w:spacing w:val="-33"/>
              </w:rPr>
              <w:t xml:space="preserve"> </w:t>
            </w:r>
            <w:r>
              <w:rPr>
                <w:spacing w:val="-1"/>
              </w:rPr>
              <w:t>塑料门窗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jc w:val="center"/>
        </w:trPr>
        <w:tc>
          <w:tcPr>
            <w:tcW w:w="510" w:type="dxa"/>
          </w:tcPr>
          <w:p>
            <w:pPr>
              <w:pStyle w:val="234"/>
              <w:spacing w:before="98" w:line="183" w:lineRule="auto"/>
              <w:ind w:left="114"/>
              <w:rPr>
                <w:rFonts w:hint="eastAsia"/>
              </w:rPr>
            </w:pPr>
            <w:r>
              <w:rPr>
                <w:spacing w:val="-3"/>
              </w:rPr>
              <w:t>48</w:t>
            </w:r>
          </w:p>
        </w:tc>
        <w:tc>
          <w:tcPr>
            <w:tcW w:w="1343" w:type="dxa"/>
          </w:tcPr>
          <w:p>
            <w:pPr>
              <w:pStyle w:val="234"/>
              <w:spacing w:before="70" w:line="282" w:lineRule="auto"/>
              <w:ind w:left="109" w:right="106" w:hanging="7"/>
              <w:rPr>
                <w:rFonts w:hint="eastAsia"/>
              </w:rPr>
            </w:pPr>
            <w:r>
              <w:rPr>
                <w:spacing w:val="-8"/>
              </w:rPr>
              <w:t>A170108</w:t>
            </w:r>
            <w:r>
              <w:rPr>
                <w:spacing w:val="-25"/>
              </w:rPr>
              <w:t xml:space="preserve"> </w:t>
            </w:r>
            <w:r>
              <w:rPr>
                <w:spacing w:val="-8"/>
              </w:rPr>
              <w:t>涂料（建</w:t>
            </w:r>
            <w:r>
              <w:t xml:space="preserve"> </w:t>
            </w:r>
            <w:r>
              <w:rPr>
                <w:spacing w:val="-2"/>
              </w:rPr>
              <w:t>筑涂料除外）</w:t>
            </w:r>
          </w:p>
        </w:tc>
        <w:tc>
          <w:tcPr>
            <w:tcW w:w="2324" w:type="dxa"/>
          </w:tcPr>
          <w:p>
            <w:pPr>
              <w:rPr>
                <w:rFonts w:ascii="Arial"/>
              </w:rPr>
            </w:pPr>
          </w:p>
        </w:tc>
        <w:tc>
          <w:tcPr>
            <w:tcW w:w="1956" w:type="dxa"/>
          </w:tcPr>
          <w:p>
            <w:pPr>
              <w:rPr>
                <w:rFonts w:ascii="Arial"/>
              </w:rPr>
            </w:pPr>
          </w:p>
        </w:tc>
        <w:tc>
          <w:tcPr>
            <w:tcW w:w="3081" w:type="dxa"/>
          </w:tcPr>
          <w:p>
            <w:pPr>
              <w:pStyle w:val="234"/>
              <w:spacing w:before="69"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pPr>
              <w:pStyle w:val="234"/>
              <w:spacing w:before="96" w:line="183" w:lineRule="auto"/>
              <w:ind w:left="114"/>
              <w:rPr>
                <w:rFonts w:hint="eastAsia"/>
              </w:rPr>
            </w:pPr>
            <w:r>
              <w:rPr>
                <w:spacing w:val="-3"/>
              </w:rPr>
              <w:t>49</w:t>
            </w:r>
          </w:p>
        </w:tc>
        <w:tc>
          <w:tcPr>
            <w:tcW w:w="1343" w:type="dxa"/>
          </w:tcPr>
          <w:p>
            <w:pPr>
              <w:pStyle w:val="234"/>
              <w:spacing w:before="68" w:line="282" w:lineRule="auto"/>
              <w:ind w:left="109" w:right="108" w:hanging="7"/>
              <w:rPr>
                <w:rFonts w:hint="eastAsia"/>
              </w:rPr>
            </w:pPr>
            <w:r>
              <w:rPr>
                <w:spacing w:val="3"/>
              </w:rPr>
              <w:t>A170112</w:t>
            </w:r>
            <w:r>
              <w:rPr>
                <w:spacing w:val="34"/>
              </w:rPr>
              <w:t xml:space="preserve"> </w:t>
            </w:r>
            <w:r>
              <w:rPr>
                <w:spacing w:val="3"/>
              </w:rPr>
              <w:t>密封用</w:t>
            </w:r>
            <w:r>
              <w:t xml:space="preserve"> </w:t>
            </w:r>
            <w:r>
              <w:rPr>
                <w:spacing w:val="-2"/>
              </w:rPr>
              <w:t>填料及类似品</w:t>
            </w:r>
          </w:p>
        </w:tc>
        <w:tc>
          <w:tcPr>
            <w:tcW w:w="2324" w:type="dxa"/>
          </w:tcPr>
          <w:p>
            <w:pPr>
              <w:rPr>
                <w:rFonts w:ascii="Arial"/>
              </w:rPr>
            </w:pP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HJ2541</w:t>
            </w:r>
            <w:r>
              <w:rPr>
                <w:spacing w:val="-35"/>
              </w:rPr>
              <w:t xml:space="preserve"> </w:t>
            </w:r>
            <w:r>
              <w:rPr>
                <w:spacing w:val="-1"/>
              </w:rPr>
              <w:t>胶粘剂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tcPr>
          <w:p>
            <w:pPr>
              <w:pStyle w:val="234"/>
              <w:spacing w:before="97" w:line="183" w:lineRule="auto"/>
              <w:ind w:left="118"/>
              <w:rPr>
                <w:rFonts w:hint="eastAsia"/>
              </w:rPr>
            </w:pPr>
            <w:r>
              <w:rPr>
                <w:spacing w:val="-5"/>
              </w:rPr>
              <w:t>50</w:t>
            </w:r>
          </w:p>
        </w:tc>
        <w:tc>
          <w:tcPr>
            <w:tcW w:w="1343" w:type="dxa"/>
          </w:tcPr>
          <w:p>
            <w:pPr>
              <w:pStyle w:val="234"/>
              <w:spacing w:before="69" w:line="284" w:lineRule="auto"/>
              <w:ind w:left="122" w:right="108" w:hanging="20"/>
              <w:rPr>
                <w:rFonts w:hint="eastAsia"/>
              </w:rPr>
            </w:pPr>
            <w:r>
              <w:rPr>
                <w:spacing w:val="3"/>
              </w:rPr>
              <w:t>A180201</w:t>
            </w:r>
            <w:r>
              <w:rPr>
                <w:spacing w:val="34"/>
              </w:rPr>
              <w:t xml:space="preserve"> </w:t>
            </w:r>
            <w:r>
              <w:rPr>
                <w:spacing w:val="3"/>
              </w:rPr>
              <w:t>塑料制</w:t>
            </w:r>
            <w:r>
              <w:t xml:space="preserve"> 品</w:t>
            </w:r>
          </w:p>
        </w:tc>
        <w:tc>
          <w:tcPr>
            <w:tcW w:w="2324" w:type="dxa"/>
          </w:tcPr>
          <w:p>
            <w:pPr>
              <w:rPr>
                <w:rFonts w:ascii="Arial"/>
              </w:rPr>
            </w:pPr>
          </w:p>
        </w:tc>
        <w:tc>
          <w:tcPr>
            <w:tcW w:w="1956" w:type="dxa"/>
          </w:tcPr>
          <w:p>
            <w:pPr>
              <w:rPr>
                <w:rFonts w:ascii="Arial"/>
              </w:rPr>
            </w:pPr>
          </w:p>
        </w:tc>
        <w:tc>
          <w:tcPr>
            <w:tcW w:w="3081" w:type="dxa"/>
          </w:tcPr>
          <w:p>
            <w:pPr>
              <w:pStyle w:val="234"/>
              <w:spacing w:before="69" w:line="284" w:lineRule="auto"/>
              <w:ind w:left="113" w:right="104" w:hanging="4"/>
              <w:rPr>
                <w:rFonts w:hint="eastAsia"/>
              </w:rPr>
            </w:pPr>
            <w:r>
              <w:t>HJ/T226 建筑用塑料管材/HJ/</w:t>
            </w:r>
            <w:r>
              <w:rPr>
                <w:spacing w:val="-1"/>
              </w:rPr>
              <w:t>T231 再生塑</w:t>
            </w:r>
            <w:r>
              <w:t xml:space="preserve"> </w:t>
            </w:r>
            <w:r>
              <w:rPr>
                <w:spacing w:val="-2"/>
              </w:rPr>
              <w:t>料制品</w:t>
            </w:r>
          </w:p>
        </w:tc>
      </w:tr>
    </w:tbl>
    <w:p>
      <w:pPr>
        <w:spacing w:line="91" w:lineRule="auto"/>
        <w:rPr>
          <w:rFonts w:ascii="Arial"/>
          <w:sz w:val="2"/>
        </w:rPr>
      </w:pPr>
    </w:p>
    <w:p>
      <w:pPr>
        <w:rPr>
          <w:rFonts w:hint="eastAsia" w:ascii="仿宋" w:hAnsi="仿宋" w:eastAsia="仿宋" w:cs="仿宋"/>
          <w:spacing w:val="-1"/>
          <w:sz w:val="24"/>
        </w:rPr>
      </w:pPr>
      <w:r>
        <w:rPr>
          <w:rFonts w:ascii="仿宋" w:hAnsi="仿宋" w:eastAsia="仿宋" w:cs="仿宋"/>
          <w:spacing w:val="-1"/>
          <w:sz w:val="24"/>
        </w:rPr>
        <w:t>注：环境标志产品认证应依据相关标准的最新版本</w:t>
      </w:r>
      <w:r>
        <w:rPr>
          <w:rFonts w:hint="eastAsia" w:ascii="仿宋" w:hAnsi="仿宋" w:eastAsia="仿宋" w:cs="仿宋"/>
          <w:spacing w:val="-1"/>
          <w:sz w:val="24"/>
        </w:rPr>
        <w:t>。</w:t>
      </w:r>
    </w:p>
    <w:p>
      <w:pPr>
        <w:adjustRightInd w:val="0"/>
        <w:spacing w:line="400" w:lineRule="exact"/>
        <w:ind w:firstLine="422" w:firstLineChars="200"/>
        <w:jc w:val="left"/>
        <w:textAlignment w:val="baseline"/>
        <w:rPr>
          <w:rFonts w:hint="eastAsia" w:hAnsi="宋体"/>
          <w:b/>
          <w:bCs/>
        </w:rPr>
      </w:pPr>
    </w:p>
    <w:p>
      <w:pPr>
        <w:adjustRightInd w:val="0"/>
        <w:spacing w:line="400" w:lineRule="exact"/>
        <w:ind w:firstLine="422" w:firstLineChars="200"/>
        <w:jc w:val="left"/>
        <w:textAlignment w:val="baseline"/>
        <w:rPr>
          <w:rFonts w:hint="eastAsia" w:hAnsi="宋体"/>
          <w:b/>
          <w:bCs/>
        </w:rPr>
        <w:sectPr>
          <w:pgSz w:w="11906" w:h="16838"/>
          <w:pgMar w:top="1440" w:right="566" w:bottom="1440" w:left="851" w:header="851" w:footer="992" w:gutter="0"/>
          <w:cols w:space="720" w:num="1"/>
          <w:docGrid w:linePitch="312" w:charSpace="0"/>
        </w:sect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pStyle w:val="4"/>
        <w:jc w:val="center"/>
        <w:rPr>
          <w:rFonts w:ascii="仿宋_GB2312" w:eastAsia="仿宋_GB2312"/>
          <w:b w:val="0"/>
          <w:bCs w:val="0"/>
          <w:sz w:val="32"/>
          <w:szCs w:val="32"/>
        </w:rPr>
      </w:pPr>
      <w:bookmarkStart w:id="90" w:name="_Toc21458"/>
      <w:bookmarkStart w:id="91" w:name="_Toc497578453"/>
      <w:r>
        <w:rPr>
          <w:rFonts w:hint="eastAsia"/>
          <w:sz w:val="30"/>
          <w:szCs w:val="30"/>
        </w:rPr>
        <w:t>第五章 合同主要条款格式及广西壮族自治区政府采购项目合同验收书格式</w:t>
      </w:r>
      <w:bookmarkEnd w:id="90"/>
      <w:bookmarkEnd w:id="91"/>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jc w:val="left"/>
        <w:rPr>
          <w:rFonts w:ascii="仿宋_GB2312" w:eastAsia="仿宋_GB2312"/>
          <w:b/>
          <w:color w:val="FF0000"/>
          <w:sz w:val="24"/>
        </w:rPr>
      </w:pPr>
      <w:r>
        <w:rPr>
          <w:rFonts w:hint="eastAsia" w:ascii="仿宋_GB2312" w:eastAsia="仿宋_GB2312"/>
          <w:b/>
          <w:sz w:val="24"/>
        </w:rPr>
        <w:br w:type="page"/>
      </w:r>
      <w:bookmarkStart w:id="92" w:name="_Hlk93681333"/>
      <w:bookmarkStart w:id="93" w:name="_Hlk93681122"/>
    </w:p>
    <w:p>
      <w:pPr>
        <w:snapToGrid w:val="0"/>
        <w:ind w:firstLine="482" w:firstLineChars="200"/>
        <w:jc w:val="left"/>
        <w:rPr>
          <w:rFonts w:ascii="仿宋_GB2312" w:eastAsia="仿宋_GB2312"/>
          <w:b/>
          <w:sz w:val="24"/>
        </w:rPr>
      </w:pPr>
      <w:r>
        <w:rPr>
          <w:rFonts w:hint="eastAsia" w:ascii="仿宋_GB2312" w:eastAsia="仿宋_GB2312"/>
          <w:b/>
          <w:sz w:val="24"/>
        </w:rPr>
        <w:t>合同使用说明：本合同</w:t>
      </w:r>
      <w:bookmarkStart w:id="94" w:name="_Hlk102729543"/>
      <w:r>
        <w:rPr>
          <w:rFonts w:ascii="仿宋_GB2312" w:eastAsia="仿宋_GB2312"/>
          <w:b/>
          <w:sz w:val="24"/>
        </w:rPr>
        <w:t>非中小企业</w:t>
      </w:r>
      <w:bookmarkEnd w:id="94"/>
      <w:r>
        <w:rPr>
          <w:rFonts w:hint="eastAsia" w:ascii="仿宋_GB2312" w:eastAsia="仿宋_GB2312"/>
          <w:b/>
          <w:sz w:val="24"/>
        </w:rPr>
        <w:t>预留合同。</w:t>
      </w:r>
    </w:p>
    <w:p>
      <w:pPr>
        <w:pStyle w:val="26"/>
        <w:spacing w:line="400" w:lineRule="exact"/>
        <w:jc w:val="left"/>
        <w:rPr>
          <w:b/>
          <w:sz w:val="32"/>
        </w:rPr>
      </w:pPr>
    </w:p>
    <w:p>
      <w:pPr>
        <w:snapToGrid w:val="0"/>
        <w:jc w:val="center"/>
        <w:rPr>
          <w:rFonts w:hint="eastAsia" w:ascii="仿宋_GB2312" w:hAnsi="宋体" w:eastAsia="仿宋_GB2312"/>
          <w:b/>
          <w:bCs/>
          <w:sz w:val="44"/>
          <w:szCs w:val="44"/>
        </w:rPr>
      </w:pPr>
      <w:r>
        <w:rPr>
          <w:rFonts w:hint="eastAsia" w:ascii="仿宋_GB2312" w:hAnsi="宋体" w:eastAsia="仿宋_GB2312"/>
          <w:b/>
          <w:bCs/>
          <w:sz w:val="44"/>
          <w:szCs w:val="44"/>
        </w:rPr>
        <w:t>政府采购合同</w:t>
      </w:r>
    </w:p>
    <w:p>
      <w:pPr>
        <w:snapToGrid w:val="0"/>
        <w:jc w:val="center"/>
        <w:rPr>
          <w:rFonts w:hint="eastAsia" w:ascii="仿宋_GB2312" w:hAnsi="宋体" w:eastAsia="仿宋_GB2312"/>
          <w:b/>
          <w:bCs/>
          <w:sz w:val="36"/>
          <w:szCs w:val="36"/>
        </w:rPr>
      </w:pPr>
      <w:r>
        <w:rPr>
          <w:rFonts w:hint="eastAsia" w:ascii="仿宋_GB2312" w:hAnsi="宋体" w:eastAsia="仿宋_GB2312"/>
          <w:b/>
          <w:bCs/>
          <w:sz w:val="36"/>
          <w:szCs w:val="36"/>
        </w:rPr>
        <w:t>（一般货物类）</w:t>
      </w:r>
    </w:p>
    <w:p>
      <w:pPr>
        <w:wordWrap w:val="0"/>
        <w:snapToGrid w:val="0"/>
        <w:jc w:val="right"/>
        <w:rPr>
          <w:rFonts w:hint="eastAsia" w:ascii="仿宋_GB2312" w:hAnsi="宋体" w:eastAsia="仿宋_GB2312"/>
          <w:bCs/>
          <w:sz w:val="24"/>
          <w:u w:val="single"/>
        </w:rPr>
      </w:pPr>
      <w:r>
        <w:rPr>
          <w:rFonts w:hint="eastAsia" w:ascii="仿宋_GB2312" w:hAnsi="宋体" w:eastAsia="仿宋_GB2312"/>
          <w:bCs/>
          <w:sz w:val="24"/>
        </w:rPr>
        <w:t xml:space="preserve">合同编号：            </w:t>
      </w:r>
    </w:p>
    <w:p>
      <w:pPr>
        <w:snapToGrid w:val="0"/>
        <w:rPr>
          <w:rFonts w:hint="eastAsia" w:ascii="仿宋_GB2312" w:hAnsi="宋体" w:eastAsia="仿宋_GB2312"/>
          <w:sz w:val="24"/>
        </w:rPr>
      </w:pPr>
    </w:p>
    <w:p>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采购计划表编号：</w:t>
      </w:r>
      <w:r>
        <w:rPr>
          <w:rFonts w:hint="eastAsia" w:ascii="仿宋_GB2312" w:hAnsi="宋体" w:eastAsia="仿宋_GB2312"/>
          <w:sz w:val="24"/>
          <w:u w:val="single"/>
        </w:rPr>
        <w:t xml:space="preserve">  </w:t>
      </w:r>
      <w:r>
        <w:rPr>
          <w:rFonts w:ascii="仿宋_GB2312" w:hAnsi="宋体" w:eastAsia="仿宋_GB2312"/>
          <w:sz w:val="24"/>
          <w:u w:val="single"/>
        </w:rPr>
        <w:t xml:space="preserve">             </w:t>
      </w:r>
    </w:p>
    <w:p>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项目名称及编号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 xml:space="preserve">     </w:t>
      </w:r>
    </w:p>
    <w:p>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签  订  地  点 ：</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pacing w:val="38"/>
          <w:sz w:val="24"/>
        </w:rPr>
        <w:t>签订时间：</w:t>
      </w:r>
      <w:r>
        <w:rPr>
          <w:rFonts w:hint="eastAsia" w:ascii="仿宋_GB2312" w:hAnsi="宋体" w:eastAsia="仿宋_GB2312"/>
          <w:sz w:val="24"/>
          <w:u w:val="single"/>
        </w:rPr>
        <w:t xml:space="preserve">     年   月   日   </w:t>
      </w:r>
    </w:p>
    <w:p>
      <w:pPr>
        <w:snapToGrid w:val="0"/>
        <w:spacing w:line="320" w:lineRule="exact"/>
        <w:ind w:right="-470" w:rightChars="-224" w:firstLine="480" w:firstLineChars="200"/>
        <w:rPr>
          <w:rFonts w:hint="eastAsia" w:ascii="仿宋_GB2312" w:hAnsi="宋体" w:eastAsia="仿宋_GB2312"/>
          <w:color w:val="000000"/>
          <w:sz w:val="24"/>
        </w:rPr>
      </w:pPr>
      <w:r>
        <w:rPr>
          <w:rFonts w:hint="eastAsia" w:ascii="仿宋_GB2312" w:hAnsi="宋体" w:eastAsia="仿宋_GB2312"/>
          <w:color w:val="000000"/>
          <w:sz w:val="24"/>
        </w:rPr>
        <w:t>根据《中华人民共和国政府采购法》、《</w:t>
      </w:r>
      <w:r>
        <w:rPr>
          <w:rFonts w:hint="eastAsia" w:ascii="仿宋_GB2312" w:eastAsia="仿宋_GB2312"/>
          <w:color w:val="000000"/>
          <w:sz w:val="24"/>
        </w:rPr>
        <w:t>中华人民共和国民法典</w:t>
      </w:r>
      <w:r>
        <w:rPr>
          <w:rFonts w:hint="eastAsia" w:ascii="仿宋_GB2312" w:hAnsi="宋体" w:eastAsia="仿宋_GB2312"/>
          <w:color w:val="000000"/>
          <w:sz w:val="24"/>
        </w:rPr>
        <w:t>》等法律、法规规定，按照招投标文件（采购文件）规定条款和中标（成交）供应商承诺，甲乙双方签订本合同。</w:t>
      </w:r>
    </w:p>
    <w:p>
      <w:pPr>
        <w:snapToGrid w:val="0"/>
        <w:spacing w:line="320" w:lineRule="exact"/>
        <w:ind w:right="-470" w:rightChars="-224" w:firstLine="482" w:firstLineChars="200"/>
        <w:rPr>
          <w:rFonts w:hint="eastAsia" w:ascii="仿宋_GB2312" w:hAnsi="宋体" w:eastAsia="仿宋_GB2312"/>
          <w:b/>
          <w:color w:val="000000"/>
          <w:sz w:val="24"/>
        </w:rPr>
      </w:pPr>
      <w:r>
        <w:rPr>
          <w:rFonts w:hint="eastAsia" w:ascii="仿宋_GB2312" w:eastAsia="仿宋_GB2312"/>
          <w:b/>
          <w:color w:val="000000"/>
          <w:sz w:val="24"/>
        </w:rPr>
        <w:t xml:space="preserve"> </w:t>
      </w:r>
      <w:r>
        <w:rPr>
          <w:rFonts w:hint="eastAsia" w:ascii="仿宋_GB2312" w:hAnsi="宋体" w:eastAsia="仿宋_GB2312"/>
          <w:b/>
          <w:color w:val="000000"/>
          <w:sz w:val="24"/>
        </w:rPr>
        <w:t>第一条　合同标的</w:t>
      </w:r>
    </w:p>
    <w:p>
      <w:pPr>
        <w:snapToGrid w:val="0"/>
        <w:spacing w:line="320" w:lineRule="exact"/>
        <w:ind w:right="-470" w:rightChars="-224" w:firstLine="480" w:firstLineChars="200"/>
        <w:rPr>
          <w:rFonts w:hint="eastAsia" w:ascii="仿宋_GB2312" w:hAnsi="宋体" w:eastAsia="仿宋_GB2312"/>
          <w:color w:val="000000"/>
          <w:sz w:val="24"/>
        </w:rPr>
      </w:pPr>
      <w:r>
        <w:rPr>
          <w:rFonts w:hint="eastAsia" w:ascii="仿宋_GB2312" w:hAnsi="宋体" w:eastAsia="仿宋_GB2312"/>
          <w:color w:val="000000"/>
          <w:sz w:val="24"/>
        </w:rPr>
        <w:t>1.供货一览表</w:t>
      </w:r>
    </w:p>
    <w:tbl>
      <w:tblPr>
        <w:tblStyle w:val="48"/>
        <w:tblW w:w="98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207"/>
        <w:gridCol w:w="1134"/>
        <w:gridCol w:w="1037"/>
        <w:gridCol w:w="1161"/>
        <w:gridCol w:w="903"/>
        <w:gridCol w:w="892"/>
        <w:gridCol w:w="142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36"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序号</w:t>
            </w:r>
          </w:p>
        </w:tc>
        <w:tc>
          <w:tcPr>
            <w:tcW w:w="1207"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产品名称</w:t>
            </w:r>
          </w:p>
        </w:tc>
        <w:tc>
          <w:tcPr>
            <w:tcW w:w="1134"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商标品牌</w:t>
            </w:r>
          </w:p>
        </w:tc>
        <w:tc>
          <w:tcPr>
            <w:tcW w:w="1037"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规格型号</w:t>
            </w:r>
          </w:p>
        </w:tc>
        <w:tc>
          <w:tcPr>
            <w:tcW w:w="1161"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生产厂家</w:t>
            </w:r>
          </w:p>
        </w:tc>
        <w:tc>
          <w:tcPr>
            <w:tcW w:w="903"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数量</w:t>
            </w:r>
          </w:p>
        </w:tc>
        <w:tc>
          <w:tcPr>
            <w:tcW w:w="892"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单位</w:t>
            </w:r>
          </w:p>
        </w:tc>
        <w:tc>
          <w:tcPr>
            <w:tcW w:w="1422"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单价（元）</w:t>
            </w:r>
          </w:p>
        </w:tc>
        <w:tc>
          <w:tcPr>
            <w:tcW w:w="1418"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1</w:t>
            </w:r>
          </w:p>
        </w:tc>
        <w:tc>
          <w:tcPr>
            <w:tcW w:w="1207" w:type="dxa"/>
            <w:vAlign w:val="center"/>
          </w:tcPr>
          <w:p>
            <w:pPr>
              <w:snapToGrid w:val="0"/>
              <w:spacing w:line="320" w:lineRule="exact"/>
              <w:jc w:val="center"/>
              <w:rPr>
                <w:rFonts w:hint="eastAsia" w:ascii="仿宋_GB2312" w:hAnsi="宋体" w:eastAsia="仿宋_GB2312"/>
                <w:sz w:val="24"/>
              </w:rPr>
            </w:pPr>
          </w:p>
        </w:tc>
        <w:tc>
          <w:tcPr>
            <w:tcW w:w="1134" w:type="dxa"/>
            <w:vAlign w:val="center"/>
          </w:tcPr>
          <w:p>
            <w:pPr>
              <w:snapToGrid w:val="0"/>
              <w:spacing w:line="320" w:lineRule="exact"/>
              <w:jc w:val="center"/>
              <w:rPr>
                <w:rFonts w:hint="eastAsia" w:ascii="仿宋_GB2312" w:hAnsi="宋体" w:eastAsia="仿宋_GB2312"/>
                <w:sz w:val="24"/>
              </w:rPr>
            </w:pPr>
          </w:p>
        </w:tc>
        <w:tc>
          <w:tcPr>
            <w:tcW w:w="1037" w:type="dxa"/>
            <w:vAlign w:val="center"/>
          </w:tcPr>
          <w:p>
            <w:pPr>
              <w:snapToGrid w:val="0"/>
              <w:spacing w:line="320" w:lineRule="exact"/>
              <w:jc w:val="center"/>
              <w:rPr>
                <w:rFonts w:hint="eastAsia" w:ascii="仿宋_GB2312" w:hAnsi="宋体" w:eastAsia="仿宋_GB2312"/>
                <w:sz w:val="24"/>
              </w:rPr>
            </w:pPr>
          </w:p>
        </w:tc>
        <w:tc>
          <w:tcPr>
            <w:tcW w:w="1161" w:type="dxa"/>
            <w:vAlign w:val="center"/>
          </w:tcPr>
          <w:p>
            <w:pPr>
              <w:snapToGrid w:val="0"/>
              <w:spacing w:line="320" w:lineRule="exact"/>
              <w:jc w:val="center"/>
              <w:rPr>
                <w:rFonts w:hint="eastAsia" w:ascii="仿宋_GB2312" w:hAnsi="宋体" w:eastAsia="仿宋_GB2312"/>
                <w:sz w:val="24"/>
              </w:rPr>
            </w:pPr>
          </w:p>
        </w:tc>
        <w:tc>
          <w:tcPr>
            <w:tcW w:w="903" w:type="dxa"/>
            <w:vAlign w:val="center"/>
          </w:tcPr>
          <w:p>
            <w:pPr>
              <w:snapToGrid w:val="0"/>
              <w:spacing w:line="320" w:lineRule="exact"/>
              <w:jc w:val="center"/>
              <w:rPr>
                <w:rFonts w:hint="eastAsia" w:ascii="仿宋_GB2312" w:hAnsi="宋体" w:eastAsia="仿宋_GB2312"/>
                <w:sz w:val="24"/>
              </w:rPr>
            </w:pPr>
          </w:p>
        </w:tc>
        <w:tc>
          <w:tcPr>
            <w:tcW w:w="892" w:type="dxa"/>
            <w:vAlign w:val="center"/>
          </w:tcPr>
          <w:p>
            <w:pPr>
              <w:snapToGrid w:val="0"/>
              <w:spacing w:line="320" w:lineRule="exact"/>
              <w:jc w:val="center"/>
              <w:rPr>
                <w:rFonts w:hint="eastAsia" w:ascii="仿宋_GB2312" w:hAnsi="宋体" w:eastAsia="仿宋_GB2312"/>
                <w:sz w:val="24"/>
              </w:rPr>
            </w:pPr>
          </w:p>
        </w:tc>
        <w:tc>
          <w:tcPr>
            <w:tcW w:w="1422" w:type="dxa"/>
            <w:vAlign w:val="center"/>
          </w:tcPr>
          <w:p>
            <w:pPr>
              <w:snapToGrid w:val="0"/>
              <w:spacing w:line="320" w:lineRule="exact"/>
              <w:jc w:val="center"/>
              <w:rPr>
                <w:rFonts w:hint="eastAsia" w:ascii="仿宋_GB2312" w:hAnsi="宋体" w:eastAsia="仿宋_GB2312"/>
                <w:sz w:val="24"/>
              </w:rPr>
            </w:pPr>
          </w:p>
        </w:tc>
        <w:tc>
          <w:tcPr>
            <w:tcW w:w="1418" w:type="dxa"/>
            <w:vAlign w:val="center"/>
          </w:tcPr>
          <w:p>
            <w:pPr>
              <w:snapToGrid w:val="0"/>
              <w:spacing w:line="3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2</w:t>
            </w:r>
          </w:p>
        </w:tc>
        <w:tc>
          <w:tcPr>
            <w:tcW w:w="1207" w:type="dxa"/>
            <w:vAlign w:val="center"/>
          </w:tcPr>
          <w:p>
            <w:pPr>
              <w:snapToGrid w:val="0"/>
              <w:spacing w:line="320" w:lineRule="exact"/>
              <w:jc w:val="center"/>
              <w:rPr>
                <w:rFonts w:hint="eastAsia" w:ascii="仿宋_GB2312" w:hAnsi="宋体" w:eastAsia="仿宋_GB2312"/>
                <w:sz w:val="24"/>
              </w:rPr>
            </w:pPr>
          </w:p>
        </w:tc>
        <w:tc>
          <w:tcPr>
            <w:tcW w:w="1134" w:type="dxa"/>
            <w:vAlign w:val="center"/>
          </w:tcPr>
          <w:p>
            <w:pPr>
              <w:snapToGrid w:val="0"/>
              <w:spacing w:line="320" w:lineRule="exact"/>
              <w:jc w:val="center"/>
              <w:rPr>
                <w:rFonts w:hint="eastAsia" w:ascii="仿宋_GB2312" w:hAnsi="宋体" w:eastAsia="仿宋_GB2312"/>
                <w:sz w:val="24"/>
              </w:rPr>
            </w:pPr>
          </w:p>
        </w:tc>
        <w:tc>
          <w:tcPr>
            <w:tcW w:w="1037" w:type="dxa"/>
            <w:vAlign w:val="center"/>
          </w:tcPr>
          <w:p>
            <w:pPr>
              <w:snapToGrid w:val="0"/>
              <w:spacing w:line="320" w:lineRule="exact"/>
              <w:jc w:val="center"/>
              <w:rPr>
                <w:rFonts w:hint="eastAsia" w:ascii="仿宋_GB2312" w:hAnsi="宋体" w:eastAsia="仿宋_GB2312"/>
                <w:sz w:val="24"/>
              </w:rPr>
            </w:pPr>
          </w:p>
        </w:tc>
        <w:tc>
          <w:tcPr>
            <w:tcW w:w="1161" w:type="dxa"/>
            <w:vAlign w:val="center"/>
          </w:tcPr>
          <w:p>
            <w:pPr>
              <w:snapToGrid w:val="0"/>
              <w:spacing w:line="320" w:lineRule="exact"/>
              <w:jc w:val="center"/>
              <w:rPr>
                <w:rFonts w:hint="eastAsia" w:ascii="仿宋_GB2312" w:hAnsi="宋体" w:eastAsia="仿宋_GB2312"/>
                <w:sz w:val="24"/>
              </w:rPr>
            </w:pPr>
          </w:p>
        </w:tc>
        <w:tc>
          <w:tcPr>
            <w:tcW w:w="903" w:type="dxa"/>
            <w:vAlign w:val="center"/>
          </w:tcPr>
          <w:p>
            <w:pPr>
              <w:snapToGrid w:val="0"/>
              <w:spacing w:line="320" w:lineRule="exact"/>
              <w:jc w:val="center"/>
              <w:rPr>
                <w:rFonts w:hint="eastAsia" w:ascii="仿宋_GB2312" w:hAnsi="宋体" w:eastAsia="仿宋_GB2312"/>
                <w:sz w:val="24"/>
              </w:rPr>
            </w:pPr>
          </w:p>
        </w:tc>
        <w:tc>
          <w:tcPr>
            <w:tcW w:w="892" w:type="dxa"/>
            <w:vAlign w:val="center"/>
          </w:tcPr>
          <w:p>
            <w:pPr>
              <w:snapToGrid w:val="0"/>
              <w:spacing w:line="320" w:lineRule="exact"/>
              <w:jc w:val="center"/>
              <w:rPr>
                <w:rFonts w:hint="eastAsia" w:ascii="仿宋_GB2312" w:hAnsi="宋体" w:eastAsia="仿宋_GB2312"/>
                <w:sz w:val="24"/>
              </w:rPr>
            </w:pPr>
          </w:p>
        </w:tc>
        <w:tc>
          <w:tcPr>
            <w:tcW w:w="1422" w:type="dxa"/>
            <w:vAlign w:val="center"/>
          </w:tcPr>
          <w:p>
            <w:pPr>
              <w:snapToGrid w:val="0"/>
              <w:spacing w:line="320" w:lineRule="exact"/>
              <w:jc w:val="center"/>
              <w:rPr>
                <w:rFonts w:hint="eastAsia" w:ascii="仿宋_GB2312" w:hAnsi="宋体" w:eastAsia="仿宋_GB2312"/>
                <w:sz w:val="24"/>
              </w:rPr>
            </w:pPr>
          </w:p>
        </w:tc>
        <w:tc>
          <w:tcPr>
            <w:tcW w:w="1418" w:type="dxa"/>
            <w:vAlign w:val="center"/>
          </w:tcPr>
          <w:p>
            <w:pPr>
              <w:snapToGrid w:val="0"/>
              <w:spacing w:line="3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w:t>
            </w:r>
          </w:p>
        </w:tc>
        <w:tc>
          <w:tcPr>
            <w:tcW w:w="1207" w:type="dxa"/>
            <w:vAlign w:val="center"/>
          </w:tcPr>
          <w:p>
            <w:pPr>
              <w:snapToGrid w:val="0"/>
              <w:spacing w:line="320" w:lineRule="exact"/>
              <w:jc w:val="center"/>
              <w:rPr>
                <w:rFonts w:hint="eastAsia" w:ascii="仿宋_GB2312" w:hAnsi="宋体" w:eastAsia="仿宋_GB2312"/>
                <w:sz w:val="24"/>
              </w:rPr>
            </w:pPr>
          </w:p>
        </w:tc>
        <w:tc>
          <w:tcPr>
            <w:tcW w:w="1134" w:type="dxa"/>
            <w:vAlign w:val="center"/>
          </w:tcPr>
          <w:p>
            <w:pPr>
              <w:snapToGrid w:val="0"/>
              <w:spacing w:line="320" w:lineRule="exact"/>
              <w:jc w:val="center"/>
              <w:rPr>
                <w:rFonts w:hint="eastAsia" w:ascii="仿宋_GB2312" w:hAnsi="宋体" w:eastAsia="仿宋_GB2312"/>
                <w:sz w:val="24"/>
              </w:rPr>
            </w:pPr>
          </w:p>
        </w:tc>
        <w:tc>
          <w:tcPr>
            <w:tcW w:w="1037" w:type="dxa"/>
            <w:vAlign w:val="center"/>
          </w:tcPr>
          <w:p>
            <w:pPr>
              <w:snapToGrid w:val="0"/>
              <w:spacing w:line="320" w:lineRule="exact"/>
              <w:jc w:val="center"/>
              <w:rPr>
                <w:rFonts w:hint="eastAsia" w:ascii="仿宋_GB2312" w:hAnsi="宋体" w:eastAsia="仿宋_GB2312"/>
                <w:sz w:val="24"/>
              </w:rPr>
            </w:pPr>
          </w:p>
        </w:tc>
        <w:tc>
          <w:tcPr>
            <w:tcW w:w="1161" w:type="dxa"/>
            <w:vAlign w:val="center"/>
          </w:tcPr>
          <w:p>
            <w:pPr>
              <w:snapToGrid w:val="0"/>
              <w:spacing w:line="320" w:lineRule="exact"/>
              <w:jc w:val="center"/>
              <w:rPr>
                <w:rFonts w:hint="eastAsia" w:ascii="仿宋_GB2312" w:hAnsi="宋体" w:eastAsia="仿宋_GB2312"/>
                <w:sz w:val="24"/>
              </w:rPr>
            </w:pPr>
          </w:p>
        </w:tc>
        <w:tc>
          <w:tcPr>
            <w:tcW w:w="903" w:type="dxa"/>
            <w:vAlign w:val="center"/>
          </w:tcPr>
          <w:p>
            <w:pPr>
              <w:snapToGrid w:val="0"/>
              <w:spacing w:line="320" w:lineRule="exact"/>
              <w:jc w:val="center"/>
              <w:rPr>
                <w:rFonts w:hint="eastAsia" w:ascii="仿宋_GB2312" w:hAnsi="宋体" w:eastAsia="仿宋_GB2312"/>
                <w:sz w:val="24"/>
              </w:rPr>
            </w:pPr>
          </w:p>
        </w:tc>
        <w:tc>
          <w:tcPr>
            <w:tcW w:w="892" w:type="dxa"/>
            <w:vAlign w:val="center"/>
          </w:tcPr>
          <w:p>
            <w:pPr>
              <w:snapToGrid w:val="0"/>
              <w:spacing w:line="320" w:lineRule="exact"/>
              <w:jc w:val="center"/>
              <w:rPr>
                <w:rFonts w:hint="eastAsia" w:ascii="仿宋_GB2312" w:hAnsi="宋体" w:eastAsia="仿宋_GB2312"/>
                <w:sz w:val="24"/>
              </w:rPr>
            </w:pPr>
          </w:p>
        </w:tc>
        <w:tc>
          <w:tcPr>
            <w:tcW w:w="1422" w:type="dxa"/>
            <w:vAlign w:val="center"/>
          </w:tcPr>
          <w:p>
            <w:pPr>
              <w:snapToGrid w:val="0"/>
              <w:spacing w:line="320" w:lineRule="exact"/>
              <w:jc w:val="center"/>
              <w:rPr>
                <w:rFonts w:hint="eastAsia" w:ascii="仿宋_GB2312" w:hAnsi="宋体" w:eastAsia="仿宋_GB2312"/>
                <w:sz w:val="24"/>
              </w:rPr>
            </w:pPr>
          </w:p>
        </w:tc>
        <w:tc>
          <w:tcPr>
            <w:tcW w:w="1418" w:type="dxa"/>
            <w:vAlign w:val="center"/>
          </w:tcPr>
          <w:p>
            <w:pPr>
              <w:snapToGrid w:val="0"/>
              <w:spacing w:line="3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N</w:t>
            </w:r>
          </w:p>
        </w:tc>
        <w:tc>
          <w:tcPr>
            <w:tcW w:w="1207" w:type="dxa"/>
            <w:vAlign w:val="center"/>
          </w:tcPr>
          <w:p>
            <w:pPr>
              <w:snapToGrid w:val="0"/>
              <w:spacing w:line="320" w:lineRule="exact"/>
              <w:jc w:val="center"/>
              <w:rPr>
                <w:rFonts w:hint="eastAsia" w:ascii="仿宋_GB2312" w:hAnsi="宋体" w:eastAsia="仿宋_GB2312"/>
                <w:sz w:val="24"/>
              </w:rPr>
            </w:pPr>
          </w:p>
        </w:tc>
        <w:tc>
          <w:tcPr>
            <w:tcW w:w="1134" w:type="dxa"/>
            <w:vAlign w:val="center"/>
          </w:tcPr>
          <w:p>
            <w:pPr>
              <w:snapToGrid w:val="0"/>
              <w:spacing w:line="320" w:lineRule="exact"/>
              <w:jc w:val="center"/>
              <w:rPr>
                <w:rFonts w:hint="eastAsia" w:ascii="仿宋_GB2312" w:hAnsi="宋体" w:eastAsia="仿宋_GB2312"/>
                <w:sz w:val="24"/>
              </w:rPr>
            </w:pPr>
          </w:p>
        </w:tc>
        <w:tc>
          <w:tcPr>
            <w:tcW w:w="1037" w:type="dxa"/>
            <w:vAlign w:val="center"/>
          </w:tcPr>
          <w:p>
            <w:pPr>
              <w:snapToGrid w:val="0"/>
              <w:spacing w:line="320" w:lineRule="exact"/>
              <w:jc w:val="center"/>
              <w:rPr>
                <w:rFonts w:hint="eastAsia" w:ascii="仿宋_GB2312" w:hAnsi="宋体" w:eastAsia="仿宋_GB2312"/>
                <w:sz w:val="24"/>
              </w:rPr>
            </w:pPr>
          </w:p>
        </w:tc>
        <w:tc>
          <w:tcPr>
            <w:tcW w:w="1161" w:type="dxa"/>
            <w:vAlign w:val="center"/>
          </w:tcPr>
          <w:p>
            <w:pPr>
              <w:snapToGrid w:val="0"/>
              <w:spacing w:line="320" w:lineRule="exact"/>
              <w:jc w:val="center"/>
              <w:rPr>
                <w:rFonts w:hint="eastAsia" w:ascii="仿宋_GB2312" w:hAnsi="宋体" w:eastAsia="仿宋_GB2312"/>
                <w:sz w:val="24"/>
              </w:rPr>
            </w:pPr>
          </w:p>
        </w:tc>
        <w:tc>
          <w:tcPr>
            <w:tcW w:w="903" w:type="dxa"/>
            <w:vAlign w:val="center"/>
          </w:tcPr>
          <w:p>
            <w:pPr>
              <w:snapToGrid w:val="0"/>
              <w:spacing w:line="320" w:lineRule="exact"/>
              <w:jc w:val="center"/>
              <w:rPr>
                <w:rFonts w:hint="eastAsia" w:ascii="仿宋_GB2312" w:hAnsi="宋体" w:eastAsia="仿宋_GB2312"/>
                <w:sz w:val="24"/>
              </w:rPr>
            </w:pPr>
          </w:p>
        </w:tc>
        <w:tc>
          <w:tcPr>
            <w:tcW w:w="892" w:type="dxa"/>
            <w:vAlign w:val="center"/>
          </w:tcPr>
          <w:p>
            <w:pPr>
              <w:snapToGrid w:val="0"/>
              <w:spacing w:line="320" w:lineRule="exact"/>
              <w:jc w:val="center"/>
              <w:rPr>
                <w:rFonts w:hint="eastAsia" w:ascii="仿宋_GB2312" w:hAnsi="宋体" w:eastAsia="仿宋_GB2312"/>
                <w:sz w:val="24"/>
              </w:rPr>
            </w:pPr>
          </w:p>
        </w:tc>
        <w:tc>
          <w:tcPr>
            <w:tcW w:w="1422" w:type="dxa"/>
            <w:vAlign w:val="center"/>
          </w:tcPr>
          <w:p>
            <w:pPr>
              <w:snapToGrid w:val="0"/>
              <w:spacing w:line="320" w:lineRule="exact"/>
              <w:jc w:val="center"/>
              <w:rPr>
                <w:rFonts w:hint="eastAsia" w:ascii="仿宋_GB2312" w:hAnsi="宋体" w:eastAsia="仿宋_GB2312"/>
                <w:sz w:val="24"/>
              </w:rPr>
            </w:pPr>
          </w:p>
        </w:tc>
        <w:tc>
          <w:tcPr>
            <w:tcW w:w="1418" w:type="dxa"/>
            <w:vAlign w:val="center"/>
          </w:tcPr>
          <w:p>
            <w:pPr>
              <w:snapToGrid w:val="0"/>
              <w:spacing w:line="3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810" w:type="dxa"/>
            <w:gridSpan w:val="9"/>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人民币合计金额（大写） ：                         （小写）：¥</w:t>
            </w:r>
            <w:r>
              <w:rPr>
                <w:rFonts w:hint="eastAsia" w:ascii="仿宋_GB2312" w:hAnsi="宋体" w:eastAsia="仿宋_GB2312"/>
                <w:sz w:val="24"/>
                <w:u w:val="single"/>
              </w:rPr>
              <w:t xml:space="preserve">               </w:t>
            </w:r>
          </w:p>
        </w:tc>
      </w:tr>
    </w:tbl>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合同合计金额包括货物价款，标准附件、备品备件、专用工具、包装、运输、装卸、保险、税金、办理免税手续相关费用、货到就位以及安装、调试、培训、保修等一切税金和费用。如招投标文件对其另有规定的，从其规定。</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第二条　质量保证</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1.乙方所提供的货物型号、技术规格、技术参数等质量必须与招投标文件和承诺相一致。乙方提供的节能和环保产品必须是列入政府采购清单的产品。</w:t>
      </w:r>
    </w:p>
    <w:p>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2.乙方所提供的货物必须是全新、未使用的原装产品，且在正常安装、使用和保养条件下，其使用寿命期内各项指标均达到质量要求。</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第三条　权利保证</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1.乙方应保证所提供货物在使用时不会侵犯任何第三方的专利权、商标权、工业设计权或其他权利。</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2.乙方应按招标文件规定的时间向甲方提供使用货物的有关技术资料。</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4.乙方保证所交付的货物的所有权完全属于乙方且无任何抵押、查封等产权瑕疵。</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第四条　包装和运输</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1.乙方提供的货物均应按招投标文件要求的包装材料、包装标准、包装方式进行包装，每一包装单元内应附详细的装箱单和质量合格证。</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2.货物的运输方式：</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3.乙方负责货物运输，货物运输合理损耗及计算方法：</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第五条　交付和验收</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1.交货时间：</w:t>
      </w:r>
      <w:r>
        <w:rPr>
          <w:rFonts w:hint="eastAsia" w:ascii="仿宋_GB2312" w:hAnsi="宋体" w:eastAsia="仿宋_GB2312"/>
          <w:sz w:val="24"/>
          <w:u w:val="single"/>
        </w:rPr>
        <w:t xml:space="preserve">                                  </w:t>
      </w:r>
      <w:r>
        <w:rPr>
          <w:rFonts w:hint="eastAsia" w:ascii="仿宋_GB2312" w:hAnsi="宋体" w:eastAsia="仿宋_GB2312"/>
          <w:sz w:val="24"/>
        </w:rPr>
        <w:t>、地点：</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2.乙方提供不符合招投标文件和本合同规定的货物，甲方有权拒绝接受。</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3.乙方应将所提供货物的装箱清单、用户手册、原厂保修卡、随机资料、工具和备品、备件等交付给甲方，如有缺失应及时补齐，否则视为逾期交货。</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4.甲方应当在到货（安装、调试完）后七个工作日内进行验收，逾期不验收的，乙方可视同验收合格。验收合格后由甲乙双方签署货物验收单并加盖采购单位公章，甲乙双方各执一份。</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5.</w:t>
      </w:r>
      <w:r>
        <w:rPr>
          <w:rFonts w:hint="eastAsia" w:ascii="仿宋_GB2312" w:hAnsi="宋体" w:eastAsia="仿宋_GB2312"/>
          <w:sz w:val="24"/>
          <w:lang w:val="en-US" w:eastAsia="zh-CN"/>
        </w:rPr>
        <w:t>甲方</w:t>
      </w:r>
      <w:r>
        <w:rPr>
          <w:rFonts w:hint="eastAsia" w:ascii="仿宋_GB2312" w:hAnsi="宋体" w:eastAsia="仿宋_GB2312"/>
          <w:sz w:val="24"/>
        </w:rPr>
        <w:t>委托政府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6.甲方对验收有异议的，在验收后五个工作日内以书面形式向乙方提出，乙方应自收到甲方书面异议后</w:t>
      </w:r>
      <w:r>
        <w:rPr>
          <w:rFonts w:hint="eastAsia" w:ascii="仿宋_GB2312" w:hAnsi="仿宋" w:eastAsia="仿宋_GB2312"/>
          <w:sz w:val="24"/>
          <w:u w:val="single"/>
        </w:rPr>
        <w:t>五</w:t>
      </w:r>
      <w:r>
        <w:rPr>
          <w:rFonts w:hint="eastAsia" w:ascii="仿宋_GB2312" w:hAnsi="宋体" w:eastAsia="仿宋_GB2312"/>
          <w:sz w:val="24"/>
        </w:rPr>
        <w:t>日内及时予以解决。</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第六条　安装和培训</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1.甲方应提供必要安装条件（如场地、电源、水源等）。</w:t>
      </w:r>
    </w:p>
    <w:p>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2.乙方负责甲方有关人员的培训。培训时间、地点：</w:t>
      </w:r>
      <w:r>
        <w:rPr>
          <w:rFonts w:hint="eastAsia" w:ascii="仿宋_GB2312" w:hAnsi="宋体" w:eastAsia="仿宋_GB2312"/>
          <w:sz w:val="24"/>
          <w:u w:val="single"/>
        </w:rPr>
        <w:t>与甲方商议</w:t>
      </w:r>
      <w:r>
        <w:rPr>
          <w:rFonts w:hint="eastAsia" w:ascii="仿宋_GB2312" w:hAnsi="宋体" w:eastAsia="仿宋_GB2312"/>
          <w:sz w:val="24"/>
        </w:rPr>
        <w:t>。</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第七条  售后服务</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1.乙方应按照国家有关法律法规和“三包”规定以及招投标文件和本合同所附的《服务承诺》，为甲方提供售后服务。</w:t>
      </w:r>
    </w:p>
    <w:p>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2.货物保修期：</w:t>
      </w:r>
      <w:r>
        <w:rPr>
          <w:rFonts w:hint="eastAsia" w:ascii="仿宋_GB2312" w:hAnsi="宋体" w:eastAsia="仿宋_GB2312"/>
          <w:sz w:val="24"/>
          <w:u w:val="single"/>
        </w:rPr>
        <w:t>详见投标文件及合同附件。</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3.乙方提供的服务承诺和售后服务及保修期责任等其它具体约定事项。（见合同附件）</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4.售后服务、保修时间从项目整体验收合格之日起计算。</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第八条　付款方式</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1.当采购数量与实际使用数量不一致时，乙方应根据实际使用量供货，合同的最终结算金额按实际使用量乘以成交单价进行计算。</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2.资金性质：财政性资金。</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3.付款方式：财政性资金按财政国库集中支付规定程序办理。</w:t>
      </w:r>
      <w:r>
        <w:rPr>
          <w:rFonts w:hint="eastAsia" w:ascii="仿宋_GB2312" w:hAnsi="仿宋_GB2312" w:eastAsia="仿宋_GB2312" w:cs="仿宋_GB2312"/>
          <w:bCs/>
          <w:color w:val="auto"/>
          <w:sz w:val="24"/>
        </w:rPr>
        <w:t>签订合同之日起15日内支付合同总金额的50%作为预付款给</w:t>
      </w:r>
      <w:r>
        <w:rPr>
          <w:rFonts w:hint="eastAsia" w:ascii="仿宋_GB2312" w:hAnsi="仿宋_GB2312" w:eastAsia="仿宋_GB2312" w:cs="仿宋_GB2312"/>
          <w:bCs/>
          <w:color w:val="auto"/>
          <w:sz w:val="24"/>
          <w:lang w:val="en-US" w:eastAsia="zh-CN"/>
        </w:rPr>
        <w:t>乙方</w:t>
      </w:r>
      <w:r>
        <w:rPr>
          <w:rFonts w:hint="eastAsia" w:ascii="仿宋_GB2312" w:hAnsi="仿宋_GB2312" w:eastAsia="仿宋_GB2312" w:cs="仿宋_GB2312"/>
          <w:bCs/>
          <w:color w:val="auto"/>
          <w:sz w:val="24"/>
        </w:rPr>
        <w:t>；全部货物到货并完成到货验收后30个工作日支付合同总金额的30%</w:t>
      </w:r>
      <w:r>
        <w:rPr>
          <w:rFonts w:hint="eastAsia" w:ascii="仿宋_GB2312" w:hAnsi="仿宋_GB2312" w:eastAsia="仿宋_GB2312" w:cs="仿宋_GB2312"/>
          <w:bCs/>
          <w:color w:val="auto"/>
          <w:sz w:val="24"/>
          <w:lang w:eastAsia="zh-CN"/>
        </w:rPr>
        <w:t>；</w:t>
      </w:r>
      <w:r>
        <w:rPr>
          <w:rFonts w:hint="eastAsia" w:ascii="仿宋_GB2312" w:hAnsi="仿宋_GB2312" w:eastAsia="仿宋_GB2312" w:cs="仿宋_GB2312"/>
          <w:bCs/>
          <w:color w:val="auto"/>
          <w:sz w:val="24"/>
        </w:rPr>
        <w:t>双方按上述约定履约完毕，余下的</w:t>
      </w:r>
      <w:r>
        <w:rPr>
          <w:rFonts w:hint="eastAsia" w:ascii="仿宋_GB2312" w:hAnsi="仿宋_GB2312" w:eastAsia="仿宋_GB2312" w:cs="仿宋_GB2312"/>
          <w:bCs/>
          <w:color w:val="auto"/>
          <w:sz w:val="24"/>
          <w:lang w:val="en-US" w:eastAsia="zh-CN"/>
        </w:rPr>
        <w:t>2</w:t>
      </w:r>
      <w:r>
        <w:rPr>
          <w:rFonts w:hint="eastAsia" w:ascii="仿宋_GB2312" w:hAnsi="仿宋_GB2312" w:eastAsia="仿宋_GB2312" w:cs="仿宋_GB2312"/>
          <w:bCs/>
          <w:color w:val="auto"/>
          <w:sz w:val="24"/>
        </w:rPr>
        <w:t>0%在最终验收合格过后10个工作日内一次性付清</w:t>
      </w:r>
      <w:r>
        <w:rPr>
          <w:rFonts w:hint="eastAsia" w:ascii="仿宋_GB2312" w:hAnsi="宋体" w:eastAsia="仿宋_GB2312"/>
          <w:sz w:val="24"/>
        </w:rPr>
        <w:t>。</w:t>
      </w:r>
    </w:p>
    <w:p>
      <w:pPr>
        <w:snapToGrid w:val="0"/>
        <w:spacing w:line="276" w:lineRule="auto"/>
        <w:ind w:firstLine="482" w:firstLineChars="200"/>
        <w:rPr>
          <w:rFonts w:hint="eastAsia" w:ascii="仿宋_GB2312" w:hAnsi="宋体" w:eastAsia="仿宋_GB2312"/>
          <w:b/>
          <w:sz w:val="24"/>
        </w:rPr>
      </w:pPr>
      <w:r>
        <w:rPr>
          <w:rFonts w:hint="eastAsia" w:ascii="仿宋_GB2312" w:hAnsi="宋体" w:eastAsia="仿宋_GB2312"/>
          <w:b/>
          <w:sz w:val="24"/>
        </w:rPr>
        <w:t>第九条  税费</w:t>
      </w:r>
    </w:p>
    <w:p>
      <w:pPr>
        <w:snapToGrid w:val="0"/>
        <w:spacing w:line="276" w:lineRule="auto"/>
        <w:ind w:firstLine="480" w:firstLineChars="200"/>
        <w:rPr>
          <w:rFonts w:hint="eastAsia" w:ascii="仿宋_GB2312" w:hAnsi="宋体" w:eastAsia="仿宋_GB2312"/>
          <w:sz w:val="24"/>
        </w:rPr>
      </w:pPr>
      <w:r>
        <w:rPr>
          <w:rFonts w:hint="eastAsia" w:ascii="仿宋_GB2312" w:hAnsi="宋体" w:eastAsia="仿宋_GB2312"/>
          <w:sz w:val="24"/>
        </w:rPr>
        <w:t>本合同执行中相关的一切税费均由乙方负担。</w:t>
      </w:r>
    </w:p>
    <w:p>
      <w:pPr>
        <w:snapToGrid w:val="0"/>
        <w:spacing w:line="276" w:lineRule="auto"/>
        <w:ind w:firstLine="482" w:firstLineChars="200"/>
        <w:rPr>
          <w:rFonts w:hint="eastAsia" w:ascii="仿宋_GB2312" w:hAnsi="宋体" w:eastAsia="仿宋_GB2312"/>
          <w:b/>
          <w:sz w:val="24"/>
        </w:rPr>
      </w:pPr>
      <w:r>
        <w:rPr>
          <w:rFonts w:hint="eastAsia" w:ascii="仿宋_GB2312" w:hAnsi="宋体" w:eastAsia="仿宋_GB2312"/>
          <w:b/>
          <w:sz w:val="24"/>
        </w:rPr>
        <w:t>第十条  质量保证及售后服务</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1.乙方应按招标文件规定的货物性能、技术要求、质量标准向甲方提供未经使用的全新产品。不符合要求的，根据实际情况，经双方协商，可按以下办法处理：</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⑴更换：由乙方承担所发生的全部费用。</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⑵贬值处理：由甲乙双方合议定价。</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⑶退货处理：乙方应退还甲方支付的合同款，同时应承担该货物的直接费用（运输、保险、检验、货款利息及银行手续费等）。</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2.如在使用过程中发生质量问题，乙方在接到甲方通知后在</w:t>
      </w:r>
      <w:r>
        <w:rPr>
          <w:rFonts w:hint="eastAsia" w:ascii="仿宋_GB2312" w:hAnsi="宋体" w:eastAsia="仿宋_GB2312" w:cs="Courier New"/>
          <w:sz w:val="24"/>
          <w:u w:val="single"/>
        </w:rPr>
        <w:t xml:space="preserve">    </w:t>
      </w:r>
      <w:r>
        <w:rPr>
          <w:rFonts w:hint="eastAsia" w:ascii="仿宋_GB2312" w:hAnsi="宋体" w:eastAsia="仿宋_GB2312" w:cs="Courier New"/>
          <w:sz w:val="24"/>
        </w:rPr>
        <w:t>小时内到达甲方现场。</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3.在质保期内，乙方应对货物出现的质量及安全问题负责处理解决并承担一切费用。</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4.上述的货物免费保修期为</w:t>
      </w:r>
      <w:r>
        <w:rPr>
          <w:rFonts w:hint="eastAsia" w:ascii="仿宋_GB2312" w:hAnsi="宋体" w:eastAsia="仿宋_GB2312" w:cs="Courier New"/>
          <w:sz w:val="24"/>
          <w:u w:val="single"/>
        </w:rPr>
        <w:t xml:space="preserve">     </w:t>
      </w:r>
      <w:r>
        <w:rPr>
          <w:rFonts w:hint="eastAsia" w:ascii="仿宋_GB2312" w:hAnsi="宋体" w:eastAsia="仿宋_GB2312" w:cs="Courier New"/>
          <w:sz w:val="24"/>
        </w:rPr>
        <w:t>年，因人为因素出现的故障不在免费保修范围内。超过保修期的机器设备，终生维修，维修时只收部件成本费。</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第十一条  调试和验收</w:t>
      </w:r>
    </w:p>
    <w:p>
      <w:pPr>
        <w:snapToGrid w:val="0"/>
        <w:spacing w:line="360" w:lineRule="exact"/>
        <w:ind w:right="-611" w:rightChars="-291" w:firstLine="480" w:firstLineChars="200"/>
        <w:jc w:val="left"/>
        <w:rPr>
          <w:rFonts w:hint="eastAsia" w:ascii="仿宋_GB2312" w:hAnsi="宋体" w:eastAsia="仿宋_GB2312"/>
          <w:sz w:val="24"/>
        </w:rPr>
      </w:pPr>
      <w:r>
        <w:rPr>
          <w:rFonts w:hint="eastAsia" w:ascii="仿宋_GB2312" w:hAnsi="宋体" w:eastAsia="仿宋_GB2312"/>
          <w:sz w:val="24"/>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2.乙方交货前应对产品作出全面检查和对验收文件进行整理，并列出清单，作为甲方收货验收和使用的技术条件依据，检验的结果应随货物交甲方。</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3.甲方对乙方提供的货物在使用前进行调试时，乙方需负责安装并培训甲方的使用操作人员，并协助甲方一起调试，直到符合技术要求，甲方才做最终验收。</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4.对技术复杂的货物，甲方应请国家认可的专业检测机构参与初步验收及最终验收，并由其出具质量检测报告。</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5.验收时乙方必须在现场，验收完毕后作出验收结果报告；验收费用由乙方负责。</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第十二条  货物包装、发运及运输</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1.乙方应在货物发运前对其进行满足运输距离、防潮、防震、防锈和防破损装卸等要求包装，以保证货物安全运达甲方指定地点。</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2.使用说明书、质量检验证明书、随配附件和工具以及清单一并附于货物内。</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3.乙方在货物发运手续办理完毕后二十四小时内或货到甲方四十八小时前通知甲方，以准备接货。</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4.货物在交付甲方前发生的风险均由乙方负责。</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5.货物在规定的交付期限内由乙方送达甲方指定的地点视为交付，乙方同时需通知甲方货物已送达。</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第十三条 违约责任</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2.乙方提供的货物如侵犯了第三方合法权益而引发的任何纠纷或诉讼，均由乙方负责交涉并承担全部责任。</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3.因包装、运输引起的货物损坏，按质量不合格处理。</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4.甲方无故延期接收货物、乙方逾期交货的，每天向对方偿付违约货款额3‰违约金，但违约金累计不得超过违约货款额</w:t>
      </w:r>
      <w:r>
        <w:rPr>
          <w:rFonts w:hint="eastAsia" w:ascii="仿宋_GB2312" w:hAnsi="宋体" w:eastAsia="仿宋_GB2312"/>
          <w:sz w:val="24"/>
          <w:u w:val="single"/>
        </w:rPr>
        <w:t>5%</w:t>
      </w:r>
      <w:r>
        <w:rPr>
          <w:rFonts w:hint="eastAsia" w:ascii="仿宋_GB2312" w:hAnsi="宋体" w:eastAsia="仿宋_GB2312"/>
          <w:sz w:val="24"/>
        </w:rPr>
        <w:t xml:space="preserve">，超过 </w:t>
      </w:r>
      <w:r>
        <w:rPr>
          <w:rFonts w:hint="eastAsia" w:ascii="仿宋_GB2312" w:hAnsi="宋体" w:eastAsia="仿宋_GB2312"/>
          <w:sz w:val="24"/>
          <w:u w:val="single"/>
        </w:rPr>
        <w:t xml:space="preserve">   </w:t>
      </w:r>
      <w:r>
        <w:rPr>
          <w:rFonts w:hint="eastAsia" w:ascii="仿宋_GB2312" w:hAnsi="宋体" w:eastAsia="仿宋_GB2312"/>
          <w:sz w:val="24"/>
        </w:rPr>
        <w:t>天对方有权解除合同，违约方承担因此给对方造成的经济损失；甲方延期付货款的，每天向乙方偿付延期货款额3‰滞纳金，但滞纳金累计不得超过延期货款额</w:t>
      </w:r>
      <w:r>
        <w:rPr>
          <w:rFonts w:hint="eastAsia" w:ascii="仿宋_GB2312" w:hAnsi="宋体" w:eastAsia="仿宋_GB2312"/>
          <w:sz w:val="24"/>
          <w:u w:val="single"/>
        </w:rPr>
        <w:t>5%</w:t>
      </w:r>
      <w:r>
        <w:rPr>
          <w:rFonts w:hint="eastAsia" w:ascii="仿宋_GB2312" w:hAnsi="宋体" w:eastAsia="仿宋_GB2312"/>
          <w:sz w:val="24"/>
        </w:rPr>
        <w:t>。</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5.乙方未按本合同和投标文件中规定的服务承诺提供售后服务的，乙方应按本合同合计金额5%向甲方支付违约金。</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6.乙方提供的货物在质量保证期内，因设计、工艺或材料的缺陷和其它质量原因造成的问题，由乙方负责，费用从未付款项中扣除，不足另补。</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7.其它违约行为按违约货款额5%收取违约金并赔偿经济损失。</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第十四条 不可抗力事件处理</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1.在合同有效期内，任何一方因不可抗力事件导致不能履行合同，则合同履行期可延长，其延长期与不可抗力影响期相同。</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2.不可抗力事件发生后，应立即通知对方，并寄送有关权威机构出具的证明。</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3.不可抗力事件延续一百二十天以上，双方应通过友好协商，确定是否继续履行合同。</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第十五条  合同争议解决</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1.因货物质量问题发生争议的，应邀请国家认可的质量检测机构对货物质量进行鉴定。货物符合标准的，鉴定费由甲方承担；货物不符合标准的，鉴定费由乙方承担。</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2.因履行本合同引起的或与本合同有关的争议，甲乙双方应首先通过友好协商解决，如果协商不能解决，可向甲方所在地的人民法院提起诉讼。</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3.诉讼期间，本合同继续履行。</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第十六条  合同生效及其它</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1.合同经双方法定代表人或授权代表签字并加盖单位公章后生效。</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2.合同执行中涉及采购资金和采购内容修改或补充的，须经财政部门审批，并签书面补充协议报财政部门备案，方可作为主合同不可分割的一部分。</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第十七条　合同的变更、终止与转让</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1.除《中华人民共和国政府采购法》第五十条规定的情形外，本合同一经签订，甲乙双方不得擅自变更、中止或终止。</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2.乙方不得擅自转让（无进口资格的供应商委托进口货物除外）其应履行的合同义务。</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第十八条　签订本合同依据</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1.政府采购招标文件；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2.乙方提供的采购投标（或应答）文件；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3.投标承诺书；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4.中标或成交通知书。</w:t>
      </w:r>
    </w:p>
    <w:p>
      <w:pPr>
        <w:snapToGrid w:val="0"/>
        <w:spacing w:line="360" w:lineRule="exact"/>
        <w:ind w:right="-754" w:rightChars="-359" w:firstLine="482" w:firstLineChars="200"/>
        <w:rPr>
          <w:rFonts w:hint="eastAsia" w:ascii="仿宋_GB2312" w:hAnsi="宋体" w:eastAsia="仿宋_GB2312"/>
          <w:sz w:val="24"/>
        </w:rPr>
      </w:pPr>
      <w:r>
        <w:rPr>
          <w:rFonts w:hint="eastAsia" w:ascii="仿宋_GB2312" w:hAnsi="宋体" w:eastAsia="仿宋_GB2312"/>
          <w:b/>
          <w:sz w:val="24"/>
        </w:rPr>
        <w:t>第十九条</w:t>
      </w:r>
      <w:r>
        <w:rPr>
          <w:rFonts w:hint="eastAsia" w:ascii="楷体_GB2312" w:hAnsi="宋体" w:eastAsia="楷体_GB2312"/>
          <w:b/>
          <w:szCs w:val="21"/>
        </w:rPr>
        <w:t>　</w:t>
      </w:r>
      <w:r>
        <w:rPr>
          <w:rFonts w:hint="eastAsia" w:ascii="仿宋_GB2312" w:hAnsi="宋体" w:eastAsia="仿宋_GB2312"/>
          <w:sz w:val="24"/>
        </w:rPr>
        <w:t>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hAnsi="宋体" w:eastAsia="仿宋_GB2312"/>
          <w:sz w:val="24"/>
          <w:u w:val="single"/>
        </w:rPr>
        <w:t xml:space="preserve">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w:t>
      </w:r>
      <w:r>
        <w:rPr>
          <w:rFonts w:hint="eastAsia" w:ascii="仿宋_GB2312" w:hAnsi="宋体" w:eastAsia="仿宋_GB2312"/>
          <w:sz w:val="24"/>
        </w:rPr>
        <w:t>份（可根据需要另增加）。</w:t>
      </w:r>
    </w:p>
    <w:tbl>
      <w:tblPr>
        <w:tblStyle w:val="4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2"/>
        <w:gridCol w:w="4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 xml:space="preserve">甲方（章）           </w:t>
            </w:r>
          </w:p>
          <w:p>
            <w:pPr>
              <w:snapToGrid w:val="0"/>
              <w:spacing w:line="320" w:lineRule="exact"/>
              <w:ind w:firstLine="480" w:firstLineChars="200"/>
              <w:rPr>
                <w:rFonts w:ascii="仿宋_GB2312" w:eastAsia="仿宋_GB2312"/>
                <w:sz w:val="24"/>
              </w:rPr>
            </w:pP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 xml:space="preserve">乙方（章）              </w:t>
            </w:r>
          </w:p>
          <w:p>
            <w:pPr>
              <w:snapToGrid w:val="0"/>
              <w:spacing w:line="320" w:lineRule="exact"/>
              <w:ind w:firstLine="480" w:firstLineChars="200"/>
              <w:rPr>
                <w:rFonts w:ascii="仿宋_GB2312" w:eastAsia="仿宋_GB2312"/>
                <w:sz w:val="24"/>
              </w:rPr>
            </w:pP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单位地址：</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法定代表人：</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委托代理人：</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电    话：</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电子邮箱：</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开户银行：</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账    号：</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邮政编码：</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242" w:type="dxa"/>
            <w:gridSpan w:val="2"/>
          </w:tcPr>
          <w:p>
            <w:pPr>
              <w:snapToGrid w:val="0"/>
              <w:spacing w:line="320" w:lineRule="exact"/>
              <w:rPr>
                <w:rFonts w:ascii="仿宋_GB2312" w:eastAsia="仿宋_GB2312"/>
                <w:sz w:val="24"/>
              </w:rPr>
            </w:pPr>
            <w:r>
              <w:rPr>
                <w:rFonts w:hint="eastAsia" w:ascii="仿宋_GB2312" w:eastAsia="仿宋_GB2312"/>
                <w:sz w:val="24"/>
              </w:rPr>
              <w:t>经办人：</w:t>
            </w: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r>
    </w:tbl>
    <w:p>
      <w:pPr>
        <w:spacing w:line="360" w:lineRule="exact"/>
        <w:ind w:left="420" w:leftChars="200" w:firstLine="360" w:firstLineChars="150"/>
        <w:jc w:val="left"/>
        <w:rPr>
          <w:rFonts w:ascii="仿宋_GB2312" w:eastAsia="仿宋_GB2312"/>
          <w:sz w:val="24"/>
        </w:rPr>
      </w:pPr>
    </w:p>
    <w:p>
      <w:pPr>
        <w:snapToGrid w:val="0"/>
        <w:jc w:val="center"/>
        <w:rPr>
          <w:rFonts w:ascii="仿宋_GB2312" w:eastAsia="仿宋_GB2312"/>
          <w:b/>
          <w:sz w:val="28"/>
          <w:szCs w:val="28"/>
        </w:rPr>
      </w:pPr>
      <w:r>
        <w:rPr>
          <w:rFonts w:hint="eastAsia" w:ascii="仿宋_GB2312" w:eastAsia="仿宋_GB2312"/>
          <w:b/>
          <w:sz w:val="28"/>
          <w:szCs w:val="28"/>
        </w:rPr>
        <w:t>合 同 附 件</w:t>
      </w:r>
    </w:p>
    <w:p>
      <w:pPr>
        <w:snapToGrid w:val="0"/>
        <w:ind w:firstLine="240" w:firstLineChars="100"/>
        <w:rPr>
          <w:rFonts w:ascii="仿宋_GB2312" w:eastAsia="仿宋_GB2312"/>
          <w:b/>
          <w:sz w:val="24"/>
        </w:rPr>
      </w:pPr>
      <w:r>
        <w:rPr>
          <w:rFonts w:hint="eastAsia" w:ascii="仿宋_GB2312" w:eastAsia="仿宋_GB2312"/>
          <w:sz w:val="24"/>
        </w:rPr>
        <w:t>一般货物类</w:t>
      </w:r>
    </w:p>
    <w:tbl>
      <w:tblPr>
        <w:tblStyle w:val="48"/>
        <w:tblW w:w="9072" w:type="dxa"/>
        <w:tblInd w:w="108" w:type="dxa"/>
        <w:tblLayout w:type="fixed"/>
        <w:tblCellMar>
          <w:top w:w="0" w:type="dxa"/>
          <w:left w:w="108" w:type="dxa"/>
          <w:bottom w:w="0" w:type="dxa"/>
          <w:right w:w="108" w:type="dxa"/>
        </w:tblCellMar>
      </w:tblPr>
      <w:tblGrid>
        <w:gridCol w:w="4678"/>
        <w:gridCol w:w="4394"/>
      </w:tblGrid>
      <w:tr>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售后服务具体事项：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1820"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保修期责任：</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4</w:t>
            </w:r>
            <w:r>
              <w:rPr>
                <w:rFonts w:hint="eastAsia" w:ascii="仿宋_GB2312" w:hAnsi="宋体" w:eastAsia="仿宋_GB2312"/>
                <w:sz w:val="24"/>
              </w:rPr>
              <w:t>.</w:t>
            </w:r>
            <w:r>
              <w:rPr>
                <w:rFonts w:hint="eastAsia" w:ascii="仿宋_GB2312" w:eastAsia="仿宋_GB2312"/>
                <w:sz w:val="24"/>
              </w:rPr>
              <w:t>其他具体事项：</w:t>
            </w:r>
          </w:p>
          <w:p>
            <w:pPr>
              <w:snapToGrid w:val="0"/>
              <w:rPr>
                <w:rFonts w:ascii="仿宋_GB2312" w:eastAsia="仿宋_GB2312"/>
                <w:sz w:val="24"/>
              </w:rPr>
            </w:pPr>
          </w:p>
        </w:tc>
      </w:tr>
      <w:tr>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甲方（章）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乙方（章）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pPr>
        <w:snapToGrid w:val="0"/>
        <w:ind w:firstLine="480" w:firstLineChars="200"/>
        <w:rPr>
          <w:rFonts w:ascii="仿宋_GB2312" w:eastAsia="仿宋_GB2312"/>
          <w:sz w:val="24"/>
        </w:rPr>
      </w:pPr>
      <w:r>
        <w:rPr>
          <w:rFonts w:hint="eastAsia" w:ascii="仿宋_GB2312" w:eastAsia="仿宋_GB2312"/>
          <w:sz w:val="24"/>
        </w:rPr>
        <w:t>注：售后服务事项填不下时可另加附页</w:t>
      </w:r>
    </w:p>
    <w:p>
      <w:pPr>
        <w:snapToGrid w:val="0"/>
        <w:ind w:firstLine="480" w:firstLineChars="200"/>
        <w:rPr>
          <w:rFonts w:ascii="仿宋_GB2312" w:eastAsia="仿宋_GB2312"/>
          <w:sz w:val="24"/>
        </w:rPr>
        <w:sectPr>
          <w:pgSz w:w="11906" w:h="16838"/>
          <w:pgMar w:top="1440" w:right="1440" w:bottom="1440" w:left="1440" w:header="851" w:footer="992" w:gutter="0"/>
          <w:cols w:space="720" w:num="1"/>
          <w:docGrid w:linePitch="312" w:charSpace="0"/>
        </w:sectPr>
      </w:pPr>
    </w:p>
    <w:p>
      <w:pPr>
        <w:spacing w:before="120" w:beforeLines="50" w:after="480" w:afterLines="200" w:line="340" w:lineRule="exact"/>
        <w:jc w:val="center"/>
        <w:rPr>
          <w:b/>
          <w:kern w:val="0"/>
          <w:sz w:val="32"/>
          <w:szCs w:val="32"/>
        </w:rPr>
      </w:pPr>
      <w:r>
        <w:rPr>
          <w:rFonts w:hint="eastAsia"/>
          <w:b/>
          <w:bCs/>
          <w:kern w:val="0"/>
          <w:sz w:val="32"/>
          <w:szCs w:val="32"/>
        </w:rPr>
        <w:t>广西壮族自治区政府采购项目</w:t>
      </w:r>
      <w:r>
        <w:rPr>
          <w:rFonts w:hint="eastAsia"/>
          <w:b/>
          <w:kern w:val="0"/>
          <w:sz w:val="32"/>
          <w:szCs w:val="32"/>
        </w:rPr>
        <w:t>合同验收书（格式）</w:t>
      </w:r>
    </w:p>
    <w:p>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政府采购项目中标供应商</w:t>
      </w:r>
      <w:r>
        <w:rPr>
          <w:rFonts w:hint="eastAsia" w:ascii="仿宋_GB2312" w:eastAsia="仿宋_GB2312"/>
          <w:kern w:val="0"/>
          <w:szCs w:val="21"/>
          <w:u w:val="single"/>
        </w:rPr>
        <w:t>（ 公司名称 ）</w:t>
      </w:r>
      <w:r>
        <w:rPr>
          <w:rFonts w:hint="eastAsia" w:ascii="仿宋_GB2312" w:eastAsia="仿宋_GB2312"/>
          <w:kern w:val="0"/>
          <w:szCs w:val="21"/>
        </w:rPr>
        <w:t>提供的货物进行了验收，验收情况如下：</w:t>
      </w:r>
    </w:p>
    <w:tbl>
      <w:tblPr>
        <w:tblStyle w:val="4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984"/>
        <w:gridCol w:w="426"/>
        <w:gridCol w:w="2551"/>
        <w:gridCol w:w="98"/>
        <w:gridCol w:w="1556"/>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2"/>
            <w:tcBorders>
              <w:top w:val="single" w:color="auto" w:sz="4" w:space="0"/>
              <w:left w:val="single" w:color="auto" w:sz="4" w:space="0"/>
              <w:bottom w:val="single" w:color="auto" w:sz="4" w:space="0"/>
              <w:right w:val="single" w:color="auto" w:sz="4" w:space="0"/>
            </w:tcBorders>
          </w:tcPr>
          <w:p>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118" w:type="dxa"/>
            <w:gridSpan w:val="5"/>
            <w:tcBorders>
              <w:top w:val="single" w:color="auto" w:sz="4" w:space="0"/>
              <w:left w:val="single" w:color="auto" w:sz="4" w:space="0"/>
              <w:bottom w:val="single" w:color="auto" w:sz="4" w:space="0"/>
              <w:right w:val="single" w:color="auto" w:sz="4" w:space="0"/>
            </w:tcBorders>
          </w:tcPr>
          <w:p>
            <w:pPr>
              <w:spacing w:line="340" w:lineRule="exact"/>
              <w:jc w:val="center"/>
              <w:rPr>
                <w:rFonts w:ascii="仿宋_GB2312" w:eastAsia="仿宋_GB2312"/>
                <w:b/>
                <w:szCs w:val="21"/>
              </w:rPr>
            </w:pPr>
            <w:r>
              <w:rPr>
                <w:rFonts w:hint="eastAsia" w:ascii="仿宋_GB2312" w:eastAsia="仿宋_GB2312"/>
                <w:kern w:val="0"/>
                <w:szCs w:val="21"/>
              </w:rPr>
              <w:t>□自行验收</w:t>
            </w:r>
            <w:r>
              <w:rPr>
                <w:rFonts w:eastAsia="仿宋_GB2312"/>
                <w:kern w:val="0"/>
                <w:szCs w:val="21"/>
              </w:rPr>
              <w:t>    </w:t>
            </w:r>
            <w:r>
              <w:rPr>
                <w:rFonts w:hint="eastAsia" w:ascii="仿宋_GB2312" w:eastAsia="仿宋_GB2312"/>
                <w:kern w:val="0"/>
                <w:szCs w:val="21"/>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eastAsia="仿宋_GB2312"/>
                <w:kern w:val="0"/>
                <w:szCs w:val="21"/>
              </w:rPr>
              <w:t> </w:t>
            </w:r>
            <w:r>
              <w:rPr>
                <w:rFonts w:hint="eastAsia" w:ascii="仿宋_GB2312" w:eastAsia="仿宋_GB2312"/>
                <w:kern w:val="0"/>
                <w:szCs w:val="21"/>
              </w:rPr>
              <w:t>称</w:t>
            </w: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货物型号规格、标准及配置等</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eastAsia="仿宋_GB2312"/>
                <w:kern w:val="0"/>
                <w:szCs w:val="21"/>
              </w:rPr>
              <w:t> </w:t>
            </w:r>
            <w:r>
              <w:rPr>
                <w:rFonts w:hint="eastAsia" w:ascii="仿宋_GB2312" w:eastAsia="仿宋_GB2312"/>
                <w:kern w:val="0"/>
                <w:szCs w:val="21"/>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5"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eastAsia="仿宋_GB2312"/>
                <w:kern w:val="0"/>
                <w:szCs w:val="21"/>
              </w:rPr>
              <w:t>  </w:t>
            </w:r>
            <w:r>
              <w:rPr>
                <w:rFonts w:hint="eastAsia" w:ascii="仿宋_GB2312" w:eastAsia="仿宋_GB2312"/>
                <w:kern w:val="0"/>
                <w:szCs w:val="21"/>
              </w:rPr>
              <w:t>计</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r>
              <w:rPr>
                <w:rFonts w:eastAsia="仿宋_GB2312"/>
                <w:kern w:val="0"/>
                <w:szCs w:val="21"/>
              </w:rPr>
              <w:t> </w:t>
            </w:r>
            <w:r>
              <w:rPr>
                <w:rFonts w:hint="eastAsia" w:ascii="仿宋_GB2312" w:eastAsia="仿宋_GB2312"/>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实际供货日期</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合同交货验收日期</w:t>
            </w:r>
          </w:p>
        </w:tc>
        <w:tc>
          <w:tcPr>
            <w:tcW w:w="3141"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3141"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102"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hAnsi="宋体" w:eastAsia="仿宋_GB2312" w:cs="宋体"/>
                <w:kern w:val="0"/>
                <w:szCs w:val="21"/>
              </w:rPr>
              <w:t>（应按采购合同、采购文件、投标文件及验收方案等进行验收；并核对中标供应商在安装调试等方面是否违反合同约定或服务规范要求、提供的质量保证证明材料是否齐全、应有的配件及附件是否达到合同约定等。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526"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102"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pPr>
              <w:widowControl/>
              <w:snapToGrid w:val="0"/>
              <w:spacing w:before="100" w:beforeAutospacing="1" w:after="100" w:afterAutospacing="1" w:line="320" w:lineRule="atLeast"/>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kern w:val="0"/>
                <w:szCs w:val="21"/>
              </w:rPr>
            </w:pPr>
          </w:p>
        </w:tc>
        <w:tc>
          <w:tcPr>
            <w:tcW w:w="8102" w:type="dxa"/>
            <w:gridSpan w:val="6"/>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中标供应商负责人签字或者盖章：               </w:t>
            </w:r>
            <w:r>
              <w:rPr>
                <w:rFonts w:eastAsia="仿宋_GB2312"/>
                <w:kern w:val="0"/>
                <w:szCs w:val="21"/>
              </w:rPr>
              <w:t> </w:t>
            </w:r>
            <w:r>
              <w:rPr>
                <w:rFonts w:hint="eastAsia" w:ascii="仿宋_GB2312" w:eastAsia="仿宋_GB2312"/>
                <w:kern w:val="0"/>
                <w:szCs w:val="21"/>
              </w:rPr>
              <w:t>采购人或受托机构的意见（盖章）：</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eastAsia="仿宋_GB2312"/>
                <w:kern w:val="0"/>
                <w:szCs w:val="21"/>
              </w:rPr>
              <w:t>  </w:t>
            </w:r>
            <w:r>
              <w:rPr>
                <w:rFonts w:hint="eastAsia" w:ascii="仿宋_GB2312" w:eastAsia="仿宋_GB2312"/>
                <w:kern w:val="0"/>
                <w:szCs w:val="21"/>
              </w:rPr>
              <w:t xml:space="preserve">  </w:t>
            </w:r>
            <w:r>
              <w:rPr>
                <w:rFonts w:eastAsia="仿宋_GB2312"/>
                <w:kern w:val="0"/>
                <w:szCs w:val="21"/>
              </w:rPr>
              <w:t>  </w:t>
            </w:r>
            <w:r>
              <w:rPr>
                <w:rFonts w:hint="eastAsia" w:ascii="仿宋_GB2312" w:eastAsia="仿宋_GB2312"/>
                <w:kern w:val="0"/>
                <w:szCs w:val="21"/>
              </w:rPr>
              <w:t xml:space="preserve"> 年</w:t>
            </w:r>
            <w:r>
              <w:rPr>
                <w:rFonts w:eastAsia="仿宋_GB2312"/>
                <w:kern w:val="0"/>
                <w:szCs w:val="21"/>
              </w:rPr>
              <w:t>  </w:t>
            </w:r>
            <w:r>
              <w:rPr>
                <w:rFonts w:hint="eastAsia" w:ascii="仿宋_GB2312" w:eastAsia="仿宋_GB2312"/>
                <w:kern w:val="0"/>
                <w:szCs w:val="21"/>
              </w:rPr>
              <w:t xml:space="preserve"> 月</w:t>
            </w:r>
            <w:r>
              <w:rPr>
                <w:rFonts w:eastAsia="仿宋_GB2312"/>
                <w:kern w:val="0"/>
                <w:szCs w:val="21"/>
              </w:rPr>
              <w:t>  </w:t>
            </w:r>
            <w:r>
              <w:rPr>
                <w:rFonts w:hint="eastAsia" w:ascii="仿宋_GB2312" w:eastAsia="仿宋_GB2312"/>
                <w:kern w:val="0"/>
                <w:szCs w:val="21"/>
              </w:rPr>
              <w:t xml:space="preserve"> 日                     联系电话： </w:t>
            </w:r>
            <w:r>
              <w:rPr>
                <w:rFonts w:eastAsia="仿宋_GB2312"/>
                <w:kern w:val="0"/>
                <w:szCs w:val="21"/>
              </w:rPr>
              <w:t>       </w:t>
            </w:r>
            <w:r>
              <w:rPr>
                <w:rFonts w:hint="eastAsia" w:ascii="仿宋_GB2312" w:eastAsia="仿宋_GB2312"/>
                <w:kern w:val="0"/>
                <w:szCs w:val="21"/>
              </w:rPr>
              <w:t xml:space="preserve"> 年</w:t>
            </w:r>
            <w:r>
              <w:rPr>
                <w:rFonts w:eastAsia="仿宋_GB2312"/>
                <w:kern w:val="0"/>
                <w:szCs w:val="21"/>
              </w:rPr>
              <w:t>  </w:t>
            </w:r>
            <w:r>
              <w:rPr>
                <w:rFonts w:hint="eastAsia" w:ascii="仿宋_GB2312" w:eastAsia="仿宋_GB2312"/>
                <w:kern w:val="0"/>
                <w:szCs w:val="21"/>
              </w:rPr>
              <w:t xml:space="preserve"> 月</w:t>
            </w:r>
            <w:r>
              <w:rPr>
                <w:rFonts w:eastAsia="仿宋_GB2312"/>
                <w:kern w:val="0"/>
                <w:szCs w:val="21"/>
              </w:rPr>
              <w:t>  </w:t>
            </w:r>
            <w:r>
              <w:rPr>
                <w:rFonts w:hint="eastAsia" w:ascii="仿宋_GB2312" w:eastAsia="仿宋_GB2312"/>
                <w:kern w:val="0"/>
                <w:szCs w:val="21"/>
              </w:rPr>
              <w:t xml:space="preserve"> 日</w:t>
            </w:r>
          </w:p>
        </w:tc>
      </w:tr>
    </w:tbl>
    <w:p>
      <w:pPr>
        <w:spacing w:line="276" w:lineRule="auto"/>
        <w:jc w:val="left"/>
        <w:rPr>
          <w:rFonts w:hint="eastAsia" w:ascii="仿宋_GB2312" w:hAnsi="华文中宋" w:eastAsia="仿宋_GB2312"/>
          <w:bCs/>
          <w:szCs w:val="21"/>
        </w:rPr>
      </w:pPr>
    </w:p>
    <w:p>
      <w:pPr>
        <w:spacing w:line="276" w:lineRule="auto"/>
        <w:jc w:val="left"/>
        <w:rPr>
          <w:rFonts w:hint="eastAsia" w:ascii="仿宋_GB2312" w:hAnsi="华文中宋" w:eastAsia="仿宋_GB2312"/>
          <w:b/>
          <w:bCs/>
          <w:szCs w:val="21"/>
        </w:rPr>
      </w:pPr>
      <w:r>
        <w:rPr>
          <w:rFonts w:hint="eastAsia" w:ascii="仿宋_GB2312" w:hAnsi="华文中宋" w:eastAsia="仿宋_GB2312"/>
          <w:b/>
          <w:bCs/>
          <w:szCs w:val="21"/>
        </w:rPr>
        <w:t>备注：本验收书一式三份（采购人一份、中标人一份、采购代理机构一份）</w:t>
      </w:r>
      <w:bookmarkEnd w:id="1"/>
      <w:bookmarkEnd w:id="92"/>
      <w:bookmarkEnd w:id="93"/>
    </w:p>
    <w:sectPr>
      <w:footerReference r:id="rId8" w:type="default"/>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2"/>
      </w:rPr>
    </w:pPr>
    <w:r>
      <w:fldChar w:fldCharType="begin"/>
    </w:r>
    <w:r>
      <w:rPr>
        <w:rStyle w:val="52"/>
      </w:rPr>
      <w:instrText xml:space="preserve">PAGE  </w:instrText>
    </w:r>
    <w:r>
      <w:fldChar w:fldCharType="separate"/>
    </w:r>
    <w:r>
      <w:rPr>
        <w:rStyle w:val="52"/>
      </w:rPr>
      <w:t>1</w:t>
    </w:r>
    <w:r>
      <w:fldChar w:fldCharType="end"/>
    </w:r>
  </w:p>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6787"/>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6787"/>
        <w:tab w:val="center" w:pos="6979"/>
      </w:tabs>
      <w:jc w:val="cente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rPr>
        <w:rFonts w:hint="eastAsia"/>
        <w:b/>
      </w:rPr>
      <w:t xml:space="preserve">柳州市政府集中采购中心  </w:t>
    </w:r>
    <w:r>
      <w:rPr>
        <w:rFonts w:hint="eastAsia"/>
        <w:b/>
        <w:i/>
      </w:rPr>
      <w:t xml:space="preserve">                            柳州市政府集中采购综合管理系统开发服务采购</w:t>
    </w:r>
    <w:r>
      <w:rPr>
        <w:rFonts w:hint="eastAsia"/>
        <w:b/>
        <w:color w:val="000000"/>
      </w:rPr>
      <w:t>（LZG18-945）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rPr>
        <w:b/>
        <w:color w:val="000000"/>
      </w:rPr>
    </w:pPr>
    <w:r>
      <w:rPr>
        <w:rFonts w:hint="eastAsia"/>
        <w:b/>
      </w:rPr>
      <w:t>柳州市大数据发展局计算机设备</w:t>
    </w:r>
    <w:r>
      <w:rPr>
        <w:rFonts w:hint="eastAsia"/>
        <w:b/>
        <w:lang w:val="en-US" w:eastAsia="zh-CN"/>
      </w:rPr>
      <w:t>及软件</w:t>
    </w:r>
    <w:r>
      <w:rPr>
        <w:rFonts w:hint="eastAsia"/>
        <w:b/>
      </w:rPr>
      <w:t xml:space="preserve">采购（LZZC2025-G1-990573-LZSZ）   </w:t>
    </w:r>
    <w:r>
      <w:rPr>
        <w:rFonts w:hint="eastAsia"/>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lvlText w:val="%1."/>
      <w:lvlJc w:val="left"/>
      <w:pPr>
        <w:tabs>
          <w:tab w:val="left" w:pos="312"/>
        </w:tabs>
      </w:pPr>
    </w:lvl>
  </w:abstractNum>
  <w:abstractNum w:abstractNumId="1">
    <w:nsid w:val="00000003"/>
    <w:multiLevelType w:val="multilevel"/>
    <w:tmpl w:val="00000003"/>
    <w:lvl w:ilvl="0" w:tentative="0">
      <w:start w:val="1"/>
      <w:numFmt w:val="decimal"/>
      <w:suff w:val="nothing"/>
      <w:lvlText w:val="（%1）"/>
      <w:lvlJc w:val="left"/>
      <w:pPr>
        <w:ind w:left="0" w:firstLine="430"/>
      </w:pPr>
      <w:rPr>
        <w:rFonts w:hint="eastAsia"/>
      </w:rPr>
    </w:lvl>
    <w:lvl w:ilvl="1" w:tentative="0">
      <w:start w:val="1"/>
      <w:numFmt w:val="lowerLetter"/>
      <w:lvlText w:val="%2)"/>
      <w:lvlJc w:val="left"/>
      <w:pPr>
        <w:tabs>
          <w:tab w:val="left" w:pos="1470"/>
        </w:tabs>
        <w:ind w:left="1470" w:hanging="420"/>
      </w:pPr>
      <w:rPr>
        <w:rFonts w:hint="eastAsia"/>
      </w:rPr>
    </w:lvl>
    <w:lvl w:ilvl="2" w:tentative="0">
      <w:start w:val="1"/>
      <w:numFmt w:val="lowerRoman"/>
      <w:lvlText w:val="%3."/>
      <w:lvlJc w:val="right"/>
      <w:pPr>
        <w:tabs>
          <w:tab w:val="left" w:pos="1890"/>
        </w:tabs>
        <w:ind w:left="1890" w:hanging="420"/>
      </w:pPr>
      <w:rPr>
        <w:rFonts w:hint="eastAsia"/>
      </w:rPr>
    </w:lvl>
    <w:lvl w:ilvl="3" w:tentative="0">
      <w:start w:val="1"/>
      <w:numFmt w:val="decimal"/>
      <w:lvlText w:val="%4."/>
      <w:lvlJc w:val="left"/>
      <w:pPr>
        <w:tabs>
          <w:tab w:val="left" w:pos="2310"/>
        </w:tabs>
        <w:ind w:left="2310" w:hanging="420"/>
      </w:pPr>
      <w:rPr>
        <w:rFonts w:hint="eastAsia"/>
      </w:rPr>
    </w:lvl>
    <w:lvl w:ilvl="4" w:tentative="0">
      <w:start w:val="1"/>
      <w:numFmt w:val="lowerLetter"/>
      <w:lvlText w:val="%5)"/>
      <w:lvlJc w:val="left"/>
      <w:pPr>
        <w:tabs>
          <w:tab w:val="left" w:pos="2730"/>
        </w:tabs>
        <w:ind w:left="2730" w:hanging="420"/>
      </w:pPr>
      <w:rPr>
        <w:rFonts w:hint="eastAsia"/>
      </w:rPr>
    </w:lvl>
    <w:lvl w:ilvl="5" w:tentative="0">
      <w:start w:val="1"/>
      <w:numFmt w:val="lowerRoman"/>
      <w:lvlText w:val="%6."/>
      <w:lvlJc w:val="right"/>
      <w:pPr>
        <w:tabs>
          <w:tab w:val="left" w:pos="3150"/>
        </w:tabs>
        <w:ind w:left="3150" w:hanging="420"/>
      </w:pPr>
      <w:rPr>
        <w:rFonts w:hint="eastAsia"/>
      </w:rPr>
    </w:lvl>
    <w:lvl w:ilvl="6" w:tentative="0">
      <w:start w:val="1"/>
      <w:numFmt w:val="decimal"/>
      <w:lvlText w:val="%7."/>
      <w:lvlJc w:val="left"/>
      <w:pPr>
        <w:tabs>
          <w:tab w:val="left" w:pos="3570"/>
        </w:tabs>
        <w:ind w:left="3570" w:hanging="420"/>
      </w:pPr>
      <w:rPr>
        <w:rFonts w:hint="eastAsia"/>
      </w:rPr>
    </w:lvl>
    <w:lvl w:ilvl="7" w:tentative="0">
      <w:start w:val="1"/>
      <w:numFmt w:val="lowerLetter"/>
      <w:lvlText w:val="%8)"/>
      <w:lvlJc w:val="left"/>
      <w:pPr>
        <w:tabs>
          <w:tab w:val="left" w:pos="3990"/>
        </w:tabs>
        <w:ind w:left="3990" w:hanging="420"/>
      </w:pPr>
      <w:rPr>
        <w:rFonts w:hint="eastAsia"/>
      </w:rPr>
    </w:lvl>
    <w:lvl w:ilvl="8" w:tentative="0">
      <w:start w:val="1"/>
      <w:numFmt w:val="lowerRoman"/>
      <w:lvlText w:val="%9."/>
      <w:lvlJc w:val="right"/>
      <w:pPr>
        <w:tabs>
          <w:tab w:val="left" w:pos="4410"/>
        </w:tabs>
        <w:ind w:left="4410" w:hanging="420"/>
      </w:pPr>
      <w:rPr>
        <w:rFonts w:hint="eastAsia"/>
      </w:rPr>
    </w:lvl>
  </w:abstractNum>
  <w:abstractNum w:abstractNumId="2">
    <w:nsid w:val="00000004"/>
    <w:multiLevelType w:val="multilevel"/>
    <w:tmpl w:val="00000004"/>
    <w:lvl w:ilvl="0" w:tentative="0">
      <w:start w:val="1"/>
      <w:numFmt w:val="chineseCountingThousand"/>
      <w:pStyle w:val="290"/>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8"/>
      <w:lvlText w:val="%5)"/>
      <w:lvlJc w:val="left"/>
      <w:pPr>
        <w:ind w:left="2580" w:hanging="420"/>
      </w:pPr>
    </w:lvl>
    <w:lvl w:ilvl="5" w:tentative="0">
      <w:start w:val="1"/>
      <w:numFmt w:val="lowerRoman"/>
      <w:pStyle w:val="11"/>
      <w:lvlText w:val="%6."/>
      <w:lvlJc w:val="right"/>
      <w:pPr>
        <w:ind w:left="3000" w:hanging="420"/>
      </w:pPr>
    </w:lvl>
    <w:lvl w:ilvl="6" w:tentative="0">
      <w:start w:val="1"/>
      <w:numFmt w:val="decimal"/>
      <w:pStyle w:val="12"/>
      <w:lvlText w:val="%7."/>
      <w:lvlJc w:val="left"/>
      <w:pPr>
        <w:ind w:left="3420" w:hanging="420"/>
      </w:pPr>
    </w:lvl>
    <w:lvl w:ilvl="7" w:tentative="0">
      <w:start w:val="1"/>
      <w:numFmt w:val="lowerLetter"/>
      <w:pStyle w:val="13"/>
      <w:lvlText w:val="%8)"/>
      <w:lvlJc w:val="left"/>
      <w:pPr>
        <w:ind w:left="3840" w:hanging="420"/>
      </w:pPr>
    </w:lvl>
    <w:lvl w:ilvl="8" w:tentative="0">
      <w:start w:val="1"/>
      <w:numFmt w:val="lowerRoman"/>
      <w:pStyle w:val="14"/>
      <w:lvlText w:val="%9."/>
      <w:lvlJc w:val="right"/>
      <w:pPr>
        <w:ind w:left="4260" w:hanging="420"/>
      </w:pPr>
    </w:lvl>
  </w:abstractNum>
  <w:abstractNum w:abstractNumId="3">
    <w:nsid w:val="00000006"/>
    <w:multiLevelType w:val="singleLevel"/>
    <w:tmpl w:val="00000006"/>
    <w:lvl w:ilvl="0" w:tentative="0">
      <w:start w:val="1"/>
      <w:numFmt w:val="decimal"/>
      <w:lvlText w:val="%1."/>
      <w:lvlJc w:val="left"/>
      <w:pPr>
        <w:tabs>
          <w:tab w:val="left" w:pos="312"/>
        </w:tabs>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7A4716"/>
    <w:rsid w:val="02867DC4"/>
    <w:rsid w:val="02D20FF6"/>
    <w:rsid w:val="060909E4"/>
    <w:rsid w:val="08160DF1"/>
    <w:rsid w:val="096B7D90"/>
    <w:rsid w:val="0A0637E8"/>
    <w:rsid w:val="0B7A51FF"/>
    <w:rsid w:val="0C1238BA"/>
    <w:rsid w:val="0CF07607"/>
    <w:rsid w:val="0D1B387B"/>
    <w:rsid w:val="0D806ECD"/>
    <w:rsid w:val="0DF97252"/>
    <w:rsid w:val="11B45463"/>
    <w:rsid w:val="12DB7D35"/>
    <w:rsid w:val="13575A95"/>
    <w:rsid w:val="13D536DD"/>
    <w:rsid w:val="15C50828"/>
    <w:rsid w:val="167748C5"/>
    <w:rsid w:val="18624B4E"/>
    <w:rsid w:val="1A1B135F"/>
    <w:rsid w:val="1A2C70C8"/>
    <w:rsid w:val="1B097409"/>
    <w:rsid w:val="1BAD4E3C"/>
    <w:rsid w:val="1C552687"/>
    <w:rsid w:val="1CC47A8B"/>
    <w:rsid w:val="1E4946EC"/>
    <w:rsid w:val="1F7A1770"/>
    <w:rsid w:val="1FFE1506"/>
    <w:rsid w:val="21456629"/>
    <w:rsid w:val="21B04A82"/>
    <w:rsid w:val="229E4AB4"/>
    <w:rsid w:val="22AC349C"/>
    <w:rsid w:val="22B00B82"/>
    <w:rsid w:val="23971A56"/>
    <w:rsid w:val="261A071C"/>
    <w:rsid w:val="283261F1"/>
    <w:rsid w:val="287D16F7"/>
    <w:rsid w:val="2A515FD0"/>
    <w:rsid w:val="2A8C323E"/>
    <w:rsid w:val="2AE80DE9"/>
    <w:rsid w:val="2D024442"/>
    <w:rsid w:val="2D475E7D"/>
    <w:rsid w:val="2DF950BB"/>
    <w:rsid w:val="2E0408A6"/>
    <w:rsid w:val="30E03A94"/>
    <w:rsid w:val="310249D5"/>
    <w:rsid w:val="32327209"/>
    <w:rsid w:val="32B85545"/>
    <w:rsid w:val="331533CF"/>
    <w:rsid w:val="33D47543"/>
    <w:rsid w:val="35B53732"/>
    <w:rsid w:val="37B67B15"/>
    <w:rsid w:val="38367A0B"/>
    <w:rsid w:val="38531763"/>
    <w:rsid w:val="385C1EF4"/>
    <w:rsid w:val="39400042"/>
    <w:rsid w:val="3A6314B3"/>
    <w:rsid w:val="3A8B2C68"/>
    <w:rsid w:val="3BC27DA7"/>
    <w:rsid w:val="3CAF7FE8"/>
    <w:rsid w:val="3D3A5630"/>
    <w:rsid w:val="3EA82911"/>
    <w:rsid w:val="3F9335C1"/>
    <w:rsid w:val="405657C3"/>
    <w:rsid w:val="40703903"/>
    <w:rsid w:val="4331237A"/>
    <w:rsid w:val="436F4C55"/>
    <w:rsid w:val="44315157"/>
    <w:rsid w:val="457C68A6"/>
    <w:rsid w:val="48194880"/>
    <w:rsid w:val="48B16866"/>
    <w:rsid w:val="4A1E617D"/>
    <w:rsid w:val="4A6F4AC8"/>
    <w:rsid w:val="4ADB5A3C"/>
    <w:rsid w:val="4D9D52A1"/>
    <w:rsid w:val="4DC40DEA"/>
    <w:rsid w:val="4FD572DE"/>
    <w:rsid w:val="503E30D6"/>
    <w:rsid w:val="507B60D8"/>
    <w:rsid w:val="51CB6BEB"/>
    <w:rsid w:val="557F0069"/>
    <w:rsid w:val="56DD3670"/>
    <w:rsid w:val="575D6537"/>
    <w:rsid w:val="582C3F49"/>
    <w:rsid w:val="59266DFD"/>
    <w:rsid w:val="5A6F28B2"/>
    <w:rsid w:val="5AB32BD7"/>
    <w:rsid w:val="5C5E5408"/>
    <w:rsid w:val="633B5253"/>
    <w:rsid w:val="63C24F56"/>
    <w:rsid w:val="65650D00"/>
    <w:rsid w:val="67885810"/>
    <w:rsid w:val="67963871"/>
    <w:rsid w:val="6A4D4413"/>
    <w:rsid w:val="6AA11051"/>
    <w:rsid w:val="6CA12D2D"/>
    <w:rsid w:val="6E8302B9"/>
    <w:rsid w:val="6ED4010A"/>
    <w:rsid w:val="71FE6418"/>
    <w:rsid w:val="72A11576"/>
    <w:rsid w:val="73782907"/>
    <w:rsid w:val="75492611"/>
    <w:rsid w:val="78996497"/>
    <w:rsid w:val="7C673AE7"/>
    <w:rsid w:val="7C715092"/>
    <w:rsid w:val="7C8773FE"/>
    <w:rsid w:val="7D7004C3"/>
    <w:rsid w:val="7F4438AE"/>
    <w:rsid w:val="7F4F2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99"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18"/>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819"/>
    <w:qFormat/>
    <w:uiPriority w:val="0"/>
    <w:pPr>
      <w:keepNext/>
      <w:adjustRightInd w:val="0"/>
      <w:spacing w:before="120" w:line="360" w:lineRule="auto"/>
      <w:jc w:val="center"/>
      <w:outlineLvl w:val="1"/>
    </w:pPr>
    <w:rPr>
      <w:rFonts w:eastAsia="隶书"/>
      <w:b/>
      <w:kern w:val="0"/>
      <w:sz w:val="44"/>
      <w:szCs w:val="20"/>
    </w:rPr>
  </w:style>
  <w:style w:type="paragraph" w:styleId="6">
    <w:name w:val="heading 3"/>
    <w:basedOn w:val="1"/>
    <w:next w:val="1"/>
    <w:link w:val="820"/>
    <w:qFormat/>
    <w:uiPriority w:val="0"/>
    <w:pPr>
      <w:keepNext/>
      <w:keepLines/>
      <w:spacing w:before="260" w:after="260" w:line="416" w:lineRule="auto"/>
      <w:outlineLvl w:val="2"/>
    </w:pPr>
    <w:rPr>
      <w:b/>
      <w:bCs/>
      <w:sz w:val="32"/>
      <w:szCs w:val="32"/>
    </w:rPr>
  </w:style>
  <w:style w:type="paragraph" w:styleId="7">
    <w:name w:val="heading 4"/>
    <w:basedOn w:val="1"/>
    <w:next w:val="1"/>
    <w:link w:val="821"/>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822"/>
    <w:qFormat/>
    <w:uiPriority w:val="0"/>
    <w:pPr>
      <w:keepNext/>
      <w:keepLines/>
      <w:numPr>
        <w:ilvl w:val="4"/>
        <w:numId w:val="1"/>
      </w:numPr>
      <w:spacing w:before="280" w:after="290" w:line="376" w:lineRule="auto"/>
      <w:outlineLvl w:val="4"/>
    </w:pPr>
    <w:rPr>
      <w:b/>
      <w:sz w:val="28"/>
    </w:rPr>
  </w:style>
  <w:style w:type="paragraph" w:styleId="11">
    <w:name w:val="heading 6"/>
    <w:basedOn w:val="1"/>
    <w:next w:val="9"/>
    <w:link w:val="823"/>
    <w:qFormat/>
    <w:uiPriority w:val="0"/>
    <w:pPr>
      <w:keepNext/>
      <w:keepLines/>
      <w:numPr>
        <w:ilvl w:val="5"/>
        <w:numId w:val="1"/>
      </w:numPr>
      <w:spacing w:before="240" w:after="64" w:line="320" w:lineRule="auto"/>
      <w:outlineLvl w:val="5"/>
    </w:pPr>
    <w:rPr>
      <w:rFonts w:ascii="Arial" w:hAnsi="Arial" w:eastAsia="黑体"/>
      <w:b/>
      <w:sz w:val="24"/>
    </w:rPr>
  </w:style>
  <w:style w:type="paragraph" w:styleId="12">
    <w:name w:val="heading 7"/>
    <w:basedOn w:val="1"/>
    <w:next w:val="9"/>
    <w:link w:val="87"/>
    <w:qFormat/>
    <w:uiPriority w:val="0"/>
    <w:pPr>
      <w:keepNext/>
      <w:keepLines/>
      <w:numPr>
        <w:ilvl w:val="6"/>
        <w:numId w:val="1"/>
      </w:numPr>
      <w:spacing w:before="240" w:after="64" w:line="320" w:lineRule="auto"/>
      <w:outlineLvl w:val="6"/>
    </w:pPr>
    <w:rPr>
      <w:b/>
      <w:sz w:val="24"/>
    </w:rPr>
  </w:style>
  <w:style w:type="paragraph" w:styleId="13">
    <w:name w:val="heading 8"/>
    <w:basedOn w:val="1"/>
    <w:next w:val="9"/>
    <w:link w:val="134"/>
    <w:qFormat/>
    <w:uiPriority w:val="0"/>
    <w:pPr>
      <w:keepNext/>
      <w:keepLines/>
      <w:numPr>
        <w:ilvl w:val="7"/>
        <w:numId w:val="1"/>
      </w:numPr>
      <w:spacing w:before="240" w:after="64" w:line="320" w:lineRule="auto"/>
      <w:outlineLvl w:val="7"/>
    </w:pPr>
    <w:rPr>
      <w:rFonts w:ascii="Arial" w:hAnsi="Arial" w:eastAsia="黑体"/>
      <w:sz w:val="24"/>
    </w:rPr>
  </w:style>
  <w:style w:type="paragraph" w:styleId="14">
    <w:name w:val="heading 9"/>
    <w:basedOn w:val="1"/>
    <w:next w:val="9"/>
    <w:link w:val="63"/>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qFormat/>
    <w:uiPriority w:val="1"/>
  </w:style>
  <w:style w:type="table" w:default="1" w:styleId="48">
    <w:name w:val="Normal Table"/>
    <w:qFormat/>
    <w:uiPriority w:val="99"/>
    <w:tblPr>
      <w:tblCellMar>
        <w:top w:w="0" w:type="dxa"/>
        <w:left w:w="108" w:type="dxa"/>
        <w:bottom w:w="0" w:type="dxa"/>
        <w:right w:w="108" w:type="dxa"/>
      </w:tblCellMar>
    </w:tblPr>
  </w:style>
  <w:style w:type="paragraph" w:styleId="2">
    <w:name w:val="Body Text"/>
    <w:basedOn w:val="1"/>
    <w:link w:val="120"/>
    <w:qFormat/>
    <w:uiPriority w:val="0"/>
    <w:pPr>
      <w:spacing w:line="420" w:lineRule="exact"/>
    </w:pPr>
    <w:rPr>
      <w:sz w:val="24"/>
    </w:rPr>
  </w:style>
  <w:style w:type="paragraph" w:styleId="3">
    <w:name w:val="macro"/>
    <w:link w:val="92"/>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9">
    <w:name w:val="Normal Indent"/>
    <w:basedOn w:val="1"/>
    <w:next w:val="10"/>
    <w:link w:val="86"/>
    <w:qFormat/>
    <w:uiPriority w:val="0"/>
    <w:pPr>
      <w:spacing w:line="240" w:lineRule="atLeast"/>
      <w:ind w:left="900" w:hanging="900"/>
      <w:jc w:val="left"/>
    </w:pPr>
    <w:rPr>
      <w:rFonts w:ascii="宋体"/>
      <w:snapToGrid w:val="0"/>
      <w:kern w:val="0"/>
      <w:sz w:val="20"/>
      <w:szCs w:val="20"/>
    </w:rPr>
  </w:style>
  <w:style w:type="paragraph" w:styleId="10">
    <w:name w:val="Body Text Indent"/>
    <w:basedOn w:val="1"/>
    <w:next w:val="9"/>
    <w:link w:val="70"/>
    <w:qFormat/>
    <w:uiPriority w:val="0"/>
    <w:pPr>
      <w:spacing w:after="120"/>
      <w:ind w:left="420" w:leftChars="200"/>
    </w:pPr>
  </w:style>
  <w:style w:type="paragraph" w:styleId="15">
    <w:name w:val="toc 7"/>
    <w:basedOn w:val="1"/>
    <w:next w:val="1"/>
    <w:qFormat/>
    <w:uiPriority w:val="39"/>
    <w:pPr>
      <w:ind w:left="1260"/>
      <w:jc w:val="left"/>
    </w:pPr>
    <w:rPr>
      <w:rFonts w:ascii="Calibri" w:hAnsi="Calibri"/>
      <w:sz w:val="18"/>
      <w:szCs w:val="18"/>
    </w:rPr>
  </w:style>
  <w:style w:type="paragraph" w:styleId="16">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7">
    <w:name w:val="caption"/>
    <w:basedOn w:val="1"/>
    <w:next w:val="1"/>
    <w:link w:val="64"/>
    <w:qFormat/>
    <w:uiPriority w:val="0"/>
    <w:pPr>
      <w:spacing w:before="152" w:after="160"/>
    </w:pPr>
    <w:rPr>
      <w:rFonts w:ascii="Arial" w:hAnsi="Arial" w:eastAsia="黑体"/>
      <w:sz w:val="20"/>
      <w:szCs w:val="20"/>
    </w:rPr>
  </w:style>
  <w:style w:type="paragraph" w:styleId="18">
    <w:name w:val="Document Map"/>
    <w:basedOn w:val="1"/>
    <w:link w:val="130"/>
    <w:qFormat/>
    <w:uiPriority w:val="0"/>
    <w:pPr>
      <w:shd w:val="clear" w:color="auto" w:fill="000080"/>
    </w:pPr>
  </w:style>
  <w:style w:type="paragraph" w:styleId="19">
    <w:name w:val="annotation text"/>
    <w:basedOn w:val="1"/>
    <w:link w:val="103"/>
    <w:qFormat/>
    <w:uiPriority w:val="99"/>
    <w:pPr>
      <w:jc w:val="left"/>
    </w:pPr>
  </w:style>
  <w:style w:type="paragraph" w:styleId="20">
    <w:name w:val="Body Text 3"/>
    <w:basedOn w:val="1"/>
    <w:link w:val="84"/>
    <w:qFormat/>
    <w:uiPriority w:val="0"/>
    <w:pPr>
      <w:spacing w:line="500" w:lineRule="exact"/>
    </w:pPr>
    <w:rPr>
      <w:b/>
      <w:bCs/>
      <w:kern w:val="0"/>
      <w:sz w:val="24"/>
    </w:rPr>
  </w:style>
  <w:style w:type="paragraph" w:styleId="21">
    <w:name w:val="List Number 3"/>
    <w:basedOn w:val="1"/>
    <w:qFormat/>
    <w:uiPriority w:val="0"/>
    <w:pPr>
      <w:tabs>
        <w:tab w:val="left" w:pos="1200"/>
      </w:tabs>
      <w:ind w:left="900" w:hanging="42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39"/>
    <w:pPr>
      <w:ind w:left="840"/>
      <w:jc w:val="left"/>
    </w:pPr>
    <w:rPr>
      <w:rFonts w:ascii="Calibri" w:hAnsi="Calibri"/>
      <w:sz w:val="18"/>
      <w:szCs w:val="18"/>
    </w:rPr>
  </w:style>
  <w:style w:type="paragraph" w:styleId="25">
    <w:name w:val="toc 3"/>
    <w:basedOn w:val="1"/>
    <w:next w:val="1"/>
    <w:qFormat/>
    <w:uiPriority w:val="39"/>
    <w:pPr>
      <w:ind w:left="420"/>
      <w:jc w:val="left"/>
    </w:pPr>
    <w:rPr>
      <w:rFonts w:ascii="Calibri" w:hAnsi="Calibri"/>
      <w:i/>
      <w:iCs/>
      <w:sz w:val="20"/>
      <w:szCs w:val="20"/>
    </w:rPr>
  </w:style>
  <w:style w:type="paragraph" w:styleId="26">
    <w:name w:val="Plain Text"/>
    <w:basedOn w:val="1"/>
    <w:next w:val="1"/>
    <w:link w:val="131"/>
    <w:qFormat/>
    <w:uiPriority w:val="0"/>
    <w:rPr>
      <w:rFonts w:ascii="宋体" w:hAnsi="Courier New" w:cs="Courier New"/>
      <w:szCs w:val="21"/>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94"/>
    <w:qFormat/>
    <w:uiPriority w:val="0"/>
    <w:pPr>
      <w:ind w:left="100" w:leftChars="2500"/>
    </w:pPr>
    <w:rPr>
      <w:sz w:val="24"/>
    </w:rPr>
  </w:style>
  <w:style w:type="paragraph" w:styleId="29">
    <w:name w:val="Body Text Indent 2"/>
    <w:basedOn w:val="1"/>
    <w:link w:val="140"/>
    <w:qFormat/>
    <w:uiPriority w:val="0"/>
    <w:pPr>
      <w:spacing w:after="120" w:line="480" w:lineRule="auto"/>
      <w:ind w:left="420" w:leftChars="200"/>
    </w:pPr>
  </w:style>
  <w:style w:type="paragraph" w:styleId="30">
    <w:name w:val="Balloon Text"/>
    <w:basedOn w:val="1"/>
    <w:link w:val="141"/>
    <w:qFormat/>
    <w:uiPriority w:val="0"/>
    <w:rPr>
      <w:sz w:val="18"/>
      <w:szCs w:val="18"/>
    </w:rPr>
  </w:style>
  <w:style w:type="paragraph" w:styleId="31">
    <w:name w:val="footer"/>
    <w:basedOn w:val="1"/>
    <w:next w:val="1"/>
    <w:link w:val="133"/>
    <w:qFormat/>
    <w:uiPriority w:val="99"/>
    <w:pPr>
      <w:tabs>
        <w:tab w:val="center" w:pos="4153"/>
        <w:tab w:val="right" w:pos="8306"/>
      </w:tabs>
      <w:snapToGrid w:val="0"/>
      <w:jc w:val="left"/>
    </w:pPr>
    <w:rPr>
      <w:sz w:val="18"/>
      <w:szCs w:val="18"/>
    </w:rPr>
  </w:style>
  <w:style w:type="paragraph" w:styleId="32">
    <w:name w:val="header"/>
    <w:basedOn w:val="1"/>
    <w:link w:val="127"/>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101"/>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157"/>
    <w:qFormat/>
    <w:uiPriority w:val="0"/>
    <w:pPr>
      <w:spacing w:after="120" w:line="480" w:lineRule="auto"/>
    </w:pPr>
    <w:rPr>
      <w:kern w:val="0"/>
      <w:sz w:val="20"/>
    </w:rPr>
  </w:style>
  <w:style w:type="paragraph" w:styleId="42">
    <w:name w:val="HTML Preformatted"/>
    <w:basedOn w:val="1"/>
    <w:link w:val="112"/>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qFormat/>
    <w:uiPriority w:val="0"/>
    <w:pPr>
      <w:jc w:val="center"/>
    </w:pPr>
    <w:rPr>
      <w:rFonts w:ascii="宋体"/>
      <w:b/>
      <w:snapToGrid w:val="0"/>
      <w:kern w:val="0"/>
      <w:sz w:val="36"/>
      <w:szCs w:val="20"/>
    </w:rPr>
  </w:style>
  <w:style w:type="paragraph" w:styleId="46">
    <w:name w:val="annotation subject"/>
    <w:basedOn w:val="19"/>
    <w:next w:val="19"/>
    <w:link w:val="122"/>
    <w:qFormat/>
    <w:uiPriority w:val="0"/>
    <w:rPr>
      <w:b/>
      <w:bCs/>
    </w:rPr>
  </w:style>
  <w:style w:type="paragraph" w:styleId="47">
    <w:name w:val="Body Text First Indent 2"/>
    <w:basedOn w:val="10"/>
    <w:link w:val="233"/>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qFormat/>
    <w:uiPriority w:val="0"/>
    <w:rPr>
      <w:b/>
      <w:bCs/>
    </w:rPr>
  </w:style>
  <w:style w:type="character" w:styleId="52">
    <w:name w:val="page number"/>
    <w:basedOn w:val="50"/>
    <w:qFormat/>
    <w:uiPriority w:val="0"/>
  </w:style>
  <w:style w:type="character" w:styleId="53">
    <w:name w:val="FollowedHyperlink"/>
    <w:qFormat/>
    <w:uiPriority w:val="99"/>
    <w:rPr>
      <w:color w:val="800080"/>
      <w:u w:val="single"/>
    </w:rPr>
  </w:style>
  <w:style w:type="character" w:styleId="54">
    <w:name w:val="Emphasis"/>
    <w:qFormat/>
    <w:uiPriority w:val="0"/>
    <w:rPr>
      <w:color w:val="CC0000"/>
    </w:rPr>
  </w:style>
  <w:style w:type="character" w:styleId="55">
    <w:name w:val="Hyperlink"/>
    <w:qFormat/>
    <w:uiPriority w:val="99"/>
    <w:rPr>
      <w:color w:val="0000FF"/>
      <w:u w:val="single"/>
    </w:rPr>
  </w:style>
  <w:style w:type="character" w:styleId="56">
    <w:name w:val="annotation reference"/>
    <w:qFormat/>
    <w:uiPriority w:val="0"/>
    <w:rPr>
      <w:sz w:val="21"/>
      <w:szCs w:val="21"/>
    </w:rPr>
  </w:style>
  <w:style w:type="character" w:customStyle="1" w:styleId="57">
    <w:name w:val="font51"/>
    <w:qFormat/>
    <w:uiPriority w:val="0"/>
    <w:rPr>
      <w:rFonts w:hint="eastAsia" w:ascii="宋体" w:hAnsi="宋体" w:eastAsia="宋体" w:cs="宋体"/>
      <w:color w:val="000000"/>
      <w:sz w:val="20"/>
      <w:szCs w:val="20"/>
      <w:u w:val="none"/>
    </w:rPr>
  </w:style>
  <w:style w:type="character" w:customStyle="1" w:styleId="58">
    <w:name w:val="正文文本缩进 2 Char2"/>
    <w:qFormat/>
    <w:uiPriority w:val="99"/>
    <w:rPr>
      <w:kern w:val="2"/>
      <w:sz w:val="21"/>
      <w:szCs w:val="24"/>
    </w:rPr>
  </w:style>
  <w:style w:type="character" w:customStyle="1" w:styleId="59">
    <w:name w:val="宏文本 Char1"/>
    <w:qFormat/>
    <w:uiPriority w:val="99"/>
    <w:rPr>
      <w:rFonts w:ascii="Courier New" w:hAnsi="Courier New" w:cs="Courier New"/>
      <w:kern w:val="2"/>
      <w:sz w:val="24"/>
      <w:szCs w:val="24"/>
    </w:rPr>
  </w:style>
  <w:style w:type="character" w:customStyle="1" w:styleId="60">
    <w:name w:val="正文文本缩进 2 Char1"/>
    <w:qFormat/>
    <w:uiPriority w:val="99"/>
    <w:rPr>
      <w:rFonts w:ascii="Times New Roman" w:hAnsi="Times New Roman" w:eastAsia="宋体" w:cs="Times New Roman"/>
      <w:szCs w:val="24"/>
    </w:rPr>
  </w:style>
  <w:style w:type="character" w:customStyle="1" w:styleId="61">
    <w:name w:val="样式2"/>
    <w:qFormat/>
    <w:uiPriority w:val="0"/>
    <w:rPr>
      <w:rFonts w:ascii="宋体" w:hAnsi="宋体"/>
      <w:b/>
      <w:szCs w:val="21"/>
    </w:rPr>
  </w:style>
  <w:style w:type="character" w:customStyle="1" w:styleId="62">
    <w:name w:val="apple-converted-space"/>
    <w:basedOn w:val="50"/>
    <w:qFormat/>
    <w:uiPriority w:val="0"/>
  </w:style>
  <w:style w:type="character" w:customStyle="1" w:styleId="63">
    <w:name w:val="标题 9 字符"/>
    <w:link w:val="14"/>
    <w:qFormat/>
    <w:uiPriority w:val="0"/>
    <w:rPr>
      <w:rFonts w:ascii="Arial" w:hAnsi="Arial" w:eastAsia="黑体"/>
      <w:kern w:val="2"/>
      <w:sz w:val="21"/>
      <w:szCs w:val="24"/>
    </w:rPr>
  </w:style>
  <w:style w:type="character" w:customStyle="1" w:styleId="64">
    <w:name w:val="题注 字符"/>
    <w:link w:val="17"/>
    <w:qFormat/>
    <w:uiPriority w:val="0"/>
    <w:rPr>
      <w:rFonts w:ascii="Arial" w:hAnsi="Arial" w:eastAsia="黑体" w:cs="Arial"/>
      <w:kern w:val="2"/>
    </w:rPr>
  </w:style>
  <w:style w:type="character" w:customStyle="1" w:styleId="65">
    <w:name w:val="标题 5 字符"/>
    <w:link w:val="8"/>
    <w:qFormat/>
    <w:uiPriority w:val="0"/>
    <w:rPr>
      <w:b/>
      <w:kern w:val="2"/>
      <w:sz w:val="28"/>
      <w:szCs w:val="24"/>
    </w:rPr>
  </w:style>
  <w:style w:type="character" w:customStyle="1" w:styleId="66">
    <w:name w:val="正文文本 3 Char1"/>
    <w:qFormat/>
    <w:uiPriority w:val="99"/>
    <w:rPr>
      <w:kern w:val="2"/>
      <w:sz w:val="16"/>
      <w:szCs w:val="16"/>
    </w:rPr>
  </w:style>
  <w:style w:type="character" w:customStyle="1" w:styleId="67">
    <w:name w:val="标题 3 字符"/>
    <w:link w:val="6"/>
    <w:qFormat/>
    <w:uiPriority w:val="0"/>
    <w:rPr>
      <w:b/>
      <w:bCs/>
      <w:kern w:val="2"/>
      <w:sz w:val="32"/>
      <w:szCs w:val="32"/>
    </w:rPr>
  </w:style>
  <w:style w:type="character" w:customStyle="1" w:styleId="68">
    <w:name w:val="样式1"/>
    <w:qFormat/>
    <w:uiPriority w:val="0"/>
    <w:rPr>
      <w:rFonts w:ascii="宋体" w:hAnsi="宋体"/>
      <w:szCs w:val="21"/>
    </w:rPr>
  </w:style>
  <w:style w:type="character" w:customStyle="1" w:styleId="69">
    <w:name w:val="标题 2 字符"/>
    <w:link w:val="5"/>
    <w:qFormat/>
    <w:uiPriority w:val="0"/>
    <w:rPr>
      <w:rFonts w:eastAsia="隶书"/>
      <w:b/>
      <w:sz w:val="44"/>
    </w:rPr>
  </w:style>
  <w:style w:type="character" w:customStyle="1" w:styleId="70">
    <w:name w:val="正文文本缩进 字符"/>
    <w:link w:val="10"/>
    <w:qFormat/>
    <w:uiPriority w:val="0"/>
    <w:rPr>
      <w:kern w:val="2"/>
      <w:sz w:val="21"/>
      <w:szCs w:val="24"/>
    </w:rPr>
  </w:style>
  <w:style w:type="character" w:customStyle="1" w:styleId="71">
    <w:name w:val="页脚 Char2"/>
    <w:qFormat/>
    <w:uiPriority w:val="99"/>
    <w:rPr>
      <w:kern w:val="2"/>
      <w:sz w:val="18"/>
      <w:szCs w:val="18"/>
    </w:rPr>
  </w:style>
  <w:style w:type="character" w:customStyle="1" w:styleId="72">
    <w:name w:val="列表段落 字符"/>
    <w:link w:val="73"/>
    <w:qFormat/>
    <w:uiPriority w:val="34"/>
    <w:rPr>
      <w:rFonts w:ascii="Calibri" w:hAnsi="Calibri"/>
      <w:kern w:val="2"/>
      <w:sz w:val="21"/>
      <w:szCs w:val="22"/>
    </w:rPr>
  </w:style>
  <w:style w:type="paragraph" w:styleId="73">
    <w:name w:val="List Paragraph"/>
    <w:basedOn w:val="1"/>
    <w:link w:val="72"/>
    <w:qFormat/>
    <w:uiPriority w:val="34"/>
    <w:pPr>
      <w:ind w:firstLine="420" w:firstLineChars="200"/>
    </w:pPr>
    <w:rPr>
      <w:rFonts w:ascii="Calibri" w:hAnsi="Calibri"/>
      <w:szCs w:val="22"/>
    </w:rPr>
  </w:style>
  <w:style w:type="character" w:customStyle="1" w:styleId="74">
    <w:name w:val="gray"/>
    <w:qFormat/>
    <w:uiPriority w:val="0"/>
    <w:rPr>
      <w:rFonts w:ascii="Tahoma" w:hAnsi="Tahoma" w:eastAsia="宋体"/>
      <w:kern w:val="2"/>
      <w:sz w:val="24"/>
      <w:szCs w:val="24"/>
      <w:lang w:val="en-US" w:eastAsia="zh-CN" w:bidi="ar-SA"/>
    </w:rPr>
  </w:style>
  <w:style w:type="character" w:customStyle="1" w:styleId="75">
    <w:name w:val="HTML 预设格式 Char1"/>
    <w:qFormat/>
    <w:uiPriority w:val="99"/>
    <w:rPr>
      <w:rFonts w:ascii="Courier New" w:hAnsi="Courier New" w:cs="Courier New"/>
      <w:kern w:val="2"/>
    </w:rPr>
  </w:style>
  <w:style w:type="character" w:customStyle="1" w:styleId="76">
    <w:name w:val="mark"/>
    <w:basedOn w:val="50"/>
    <w:qFormat/>
    <w:uiPriority w:val="0"/>
  </w:style>
  <w:style w:type="character" w:customStyle="1" w:styleId="77">
    <w:name w:val="A15"/>
    <w:qFormat/>
    <w:uiPriority w:val="0"/>
    <w:rPr>
      <w:rFonts w:ascii="Times New Roman" w:hAnsi="Times New Roman"/>
      <w:color w:val="000000"/>
      <w:sz w:val="14"/>
      <w:szCs w:val="14"/>
    </w:rPr>
  </w:style>
  <w:style w:type="character" w:customStyle="1" w:styleId="78">
    <w:name w:val="日期 Char1"/>
    <w:qFormat/>
    <w:uiPriority w:val="99"/>
    <w:rPr>
      <w:rFonts w:ascii="Times New Roman" w:hAnsi="Times New Roman" w:eastAsia="宋体" w:cs="Times New Roman"/>
      <w:szCs w:val="24"/>
    </w:rPr>
  </w:style>
  <w:style w:type="character" w:customStyle="1" w:styleId="79">
    <w:name w:val="引用 字符"/>
    <w:link w:val="80"/>
    <w:qFormat/>
    <w:uiPriority w:val="29"/>
    <w:rPr>
      <w:i/>
      <w:iCs/>
      <w:color w:val="404040"/>
      <w:kern w:val="2"/>
      <w:sz w:val="21"/>
      <w:szCs w:val="24"/>
    </w:rPr>
  </w:style>
  <w:style w:type="paragraph" w:styleId="80">
    <w:name w:val="Quote"/>
    <w:basedOn w:val="1"/>
    <w:next w:val="1"/>
    <w:link w:val="79"/>
    <w:qFormat/>
    <w:uiPriority w:val="29"/>
    <w:pPr>
      <w:spacing w:before="200" w:after="160"/>
      <w:ind w:left="864" w:right="864"/>
      <w:jc w:val="center"/>
    </w:pPr>
    <w:rPr>
      <w:i/>
      <w:iCs/>
      <w:color w:val="404040"/>
    </w:rPr>
  </w:style>
  <w:style w:type="character" w:customStyle="1" w:styleId="81">
    <w:name w:val="超链接2"/>
    <w:qFormat/>
    <w:uiPriority w:val="0"/>
    <w:rPr>
      <w:rFonts w:hint="eastAsia" w:ascii="宋体" w:hAnsi="宋体" w:eastAsia="宋体"/>
      <w:color w:val="FFFFFF"/>
      <w:sz w:val="18"/>
      <w:szCs w:val="18"/>
      <w:u w:val="none"/>
    </w:rPr>
  </w:style>
  <w:style w:type="character" w:customStyle="1" w:styleId="82">
    <w:name w:val="ca-2"/>
    <w:basedOn w:val="50"/>
    <w:qFormat/>
    <w:uiPriority w:val="0"/>
  </w:style>
  <w:style w:type="character" w:customStyle="1" w:styleId="83">
    <w:name w:val="页脚 Char1"/>
    <w:qFormat/>
    <w:uiPriority w:val="99"/>
    <w:rPr>
      <w:rFonts w:ascii="Times New Roman" w:hAnsi="Times New Roman" w:eastAsia="宋体" w:cs="Times New Roman"/>
      <w:sz w:val="18"/>
      <w:szCs w:val="18"/>
    </w:rPr>
  </w:style>
  <w:style w:type="character" w:customStyle="1" w:styleId="84">
    <w:name w:val="正文文本 3 字符"/>
    <w:link w:val="20"/>
    <w:qFormat/>
    <w:uiPriority w:val="0"/>
    <w:rPr>
      <w:b/>
      <w:bCs/>
      <w:sz w:val="24"/>
      <w:szCs w:val="24"/>
    </w:rPr>
  </w:style>
  <w:style w:type="character" w:customStyle="1" w:styleId="85">
    <w:name w:val="引用 Char1"/>
    <w:qFormat/>
    <w:uiPriority w:val="99"/>
    <w:rPr>
      <w:rFonts w:ascii="Times New Roman" w:hAnsi="Times New Roman"/>
      <w:i/>
      <w:iCs/>
      <w:color w:val="000000"/>
      <w:kern w:val="2"/>
      <w:sz w:val="21"/>
      <w:szCs w:val="24"/>
    </w:rPr>
  </w:style>
  <w:style w:type="character" w:customStyle="1" w:styleId="86">
    <w:name w:val="正文缩进 字符"/>
    <w:link w:val="9"/>
    <w:qFormat/>
    <w:uiPriority w:val="0"/>
    <w:rPr>
      <w:rFonts w:ascii="宋体"/>
      <w:snapToGrid w:val="0"/>
    </w:rPr>
  </w:style>
  <w:style w:type="character" w:customStyle="1" w:styleId="87">
    <w:name w:val="标题 7 字符"/>
    <w:link w:val="12"/>
    <w:qFormat/>
    <w:uiPriority w:val="0"/>
    <w:rPr>
      <w:b/>
      <w:kern w:val="2"/>
      <w:sz w:val="24"/>
      <w:szCs w:val="24"/>
    </w:rPr>
  </w:style>
  <w:style w:type="character" w:customStyle="1" w:styleId="88">
    <w:name w:val="style21"/>
    <w:qFormat/>
    <w:uiPriority w:val="0"/>
    <w:rPr>
      <w:sz w:val="22"/>
      <w:szCs w:val="22"/>
    </w:rPr>
  </w:style>
  <w:style w:type="character" w:customStyle="1" w:styleId="89">
    <w:name w:val="A4"/>
    <w:qFormat/>
    <w:uiPriority w:val="0"/>
    <w:rPr>
      <w:rFonts w:ascii="新宋体" w:eastAsia="新宋体" w:cs="新宋体"/>
      <w:color w:val="000000"/>
      <w:lang w:bidi="ar-SA"/>
    </w:rPr>
  </w:style>
  <w:style w:type="character" w:customStyle="1" w:styleId="90">
    <w:name w:val="纯文本 字符1"/>
    <w:qFormat/>
    <w:uiPriority w:val="0"/>
    <w:rPr>
      <w:rFonts w:ascii="宋体" w:hAnsi="Courier New" w:eastAsia="宋体" w:cs="Courier New"/>
      <w:szCs w:val="21"/>
    </w:rPr>
  </w:style>
  <w:style w:type="character" w:customStyle="1" w:styleId="91">
    <w:name w:val="Subtle Emphasis_f5a6d666-ca81-4b5e-b685-ab303d7573b1"/>
    <w:qFormat/>
    <w:uiPriority w:val="19"/>
    <w:rPr>
      <w:i/>
      <w:iCs/>
      <w:color w:val="808080"/>
    </w:rPr>
  </w:style>
  <w:style w:type="character" w:customStyle="1" w:styleId="92">
    <w:name w:val="宏文本 字符"/>
    <w:link w:val="3"/>
    <w:qFormat/>
    <w:uiPriority w:val="99"/>
    <w:rPr>
      <w:rFonts w:ascii="Courier New" w:hAnsi="Courier New"/>
      <w:kern w:val="2"/>
      <w:sz w:val="24"/>
      <w:szCs w:val="24"/>
      <w:lang w:val="en-US" w:eastAsia="zh-CN" w:bidi="ar-SA"/>
    </w:rPr>
  </w:style>
  <w:style w:type="character" w:customStyle="1" w:styleId="93">
    <w:name w:val="正文文本缩进 3 Char2"/>
    <w:qFormat/>
    <w:uiPriority w:val="99"/>
    <w:rPr>
      <w:kern w:val="2"/>
      <w:sz w:val="16"/>
      <w:szCs w:val="16"/>
    </w:rPr>
  </w:style>
  <w:style w:type="character" w:customStyle="1" w:styleId="94">
    <w:name w:val="日期 字符"/>
    <w:link w:val="28"/>
    <w:qFormat/>
    <w:uiPriority w:val="0"/>
    <w:rPr>
      <w:kern w:val="2"/>
      <w:sz w:val="24"/>
      <w:szCs w:val="24"/>
    </w:rPr>
  </w:style>
  <w:style w:type="character" w:customStyle="1" w:styleId="95">
    <w:name w:val="正文文本缩进 3 Char1"/>
    <w:qFormat/>
    <w:uiPriority w:val="99"/>
    <w:rPr>
      <w:rFonts w:ascii="Times New Roman" w:hAnsi="Times New Roman" w:eastAsia="宋体" w:cs="Times New Roman"/>
      <w:sz w:val="16"/>
      <w:szCs w:val="16"/>
    </w:rPr>
  </w:style>
  <w:style w:type="character" w:customStyle="1" w:styleId="96">
    <w:name w:val="普通文字 Char Char4"/>
    <w:qFormat/>
    <w:uiPriority w:val="0"/>
    <w:rPr>
      <w:rFonts w:ascii="宋体" w:hAnsi="Courier New" w:eastAsia="宋体" w:cs="Courier New"/>
      <w:szCs w:val="21"/>
    </w:rPr>
  </w:style>
  <w:style w:type="character" w:customStyle="1" w:styleId="97">
    <w:name w:val="text1"/>
    <w:basedOn w:val="50"/>
    <w:qFormat/>
    <w:uiPriority w:val="0"/>
  </w:style>
  <w:style w:type="character" w:customStyle="1" w:styleId="98">
    <w:name w:val="表正文 Char2"/>
    <w:qFormat/>
    <w:uiPriority w:val="0"/>
    <w:rPr>
      <w:rFonts w:ascii="Times New Roman" w:hAnsi="Times New Roman"/>
      <w:kern w:val="2"/>
      <w:sz w:val="21"/>
    </w:rPr>
  </w:style>
  <w:style w:type="character" w:customStyle="1" w:styleId="99">
    <w:name w:val="项目排列 Char Char"/>
    <w:link w:val="100"/>
    <w:qFormat/>
    <w:uiPriority w:val="0"/>
    <w:rPr>
      <w:kern w:val="2"/>
      <w:sz w:val="24"/>
      <w:szCs w:val="24"/>
    </w:rPr>
  </w:style>
  <w:style w:type="paragraph" w:customStyle="1" w:styleId="100">
    <w:name w:val="项目排列"/>
    <w:basedOn w:val="1"/>
    <w:link w:val="99"/>
    <w:qFormat/>
    <w:uiPriority w:val="0"/>
    <w:pPr>
      <w:numPr>
        <w:ilvl w:val="0"/>
        <w:numId w:val="1"/>
      </w:numPr>
      <w:tabs>
        <w:tab w:val="left" w:pos="1200"/>
      </w:tabs>
      <w:spacing w:before="156" w:beforeLines="50" w:after="156" w:afterLines="50" w:line="300" w:lineRule="auto"/>
    </w:pPr>
    <w:rPr>
      <w:sz w:val="24"/>
    </w:rPr>
  </w:style>
  <w:style w:type="character" w:customStyle="1" w:styleId="101">
    <w:name w:val="正文文本缩进 3 字符"/>
    <w:link w:val="38"/>
    <w:qFormat/>
    <w:uiPriority w:val="0"/>
    <w:rPr>
      <w:kern w:val="2"/>
      <w:sz w:val="16"/>
      <w:szCs w:val="16"/>
    </w:rPr>
  </w:style>
  <w:style w:type="character" w:customStyle="1" w:styleId="102">
    <w:name w:val="text11"/>
    <w:qFormat/>
    <w:uiPriority w:val="0"/>
    <w:rPr>
      <w:rFonts w:hint="default" w:ascii="Verdana" w:hAnsi="Verdana"/>
      <w:color w:val="4E4E4E"/>
      <w:sz w:val="18"/>
      <w:szCs w:val="18"/>
    </w:rPr>
  </w:style>
  <w:style w:type="character" w:customStyle="1" w:styleId="103">
    <w:name w:val="批注文字 字符"/>
    <w:link w:val="19"/>
    <w:qFormat/>
    <w:uiPriority w:val="99"/>
    <w:rPr>
      <w:kern w:val="2"/>
      <w:sz w:val="21"/>
      <w:szCs w:val="24"/>
    </w:rPr>
  </w:style>
  <w:style w:type="character" w:customStyle="1" w:styleId="104">
    <w:name w:val="lmain1"/>
    <w:qFormat/>
    <w:uiPriority w:val="0"/>
    <w:rPr>
      <w:color w:val="407AAB"/>
      <w:sz w:val="30"/>
      <w:szCs w:val="30"/>
    </w:rPr>
  </w:style>
  <w:style w:type="character" w:customStyle="1" w:styleId="105">
    <w:name w:val="case31"/>
    <w:qFormat/>
    <w:uiPriority w:val="0"/>
    <w:rPr>
      <w:rFonts w:hint="default"/>
      <w:sz w:val="21"/>
      <w:szCs w:val="21"/>
    </w:rPr>
  </w:style>
  <w:style w:type="character" w:customStyle="1" w:styleId="106">
    <w:name w:val="ca-11"/>
    <w:qFormat/>
    <w:uiPriority w:val="0"/>
    <w:rPr>
      <w:rFonts w:hint="eastAsia" w:ascii="宋体" w:hAnsi="宋体" w:eastAsia="宋体"/>
      <w:b/>
      <w:bCs/>
      <w:spacing w:val="-20"/>
      <w:sz w:val="21"/>
      <w:szCs w:val="21"/>
    </w:rPr>
  </w:style>
  <w:style w:type="character" w:customStyle="1" w:styleId="107">
    <w:name w:val="f161"/>
    <w:qFormat/>
    <w:uiPriority w:val="0"/>
    <w:rPr>
      <w:b/>
      <w:bCs/>
      <w:sz w:val="24"/>
      <w:szCs w:val="24"/>
    </w:rPr>
  </w:style>
  <w:style w:type="character" w:customStyle="1" w:styleId="108">
    <w:name w:val="标题 4 字符"/>
    <w:link w:val="7"/>
    <w:qFormat/>
    <w:uiPriority w:val="0"/>
    <w:rPr>
      <w:rFonts w:ascii="Arial" w:hAnsi="Arial" w:eastAsia="黑体"/>
      <w:b/>
      <w:bCs/>
      <w:kern w:val="2"/>
      <w:sz w:val="28"/>
      <w:szCs w:val="28"/>
    </w:rPr>
  </w:style>
  <w:style w:type="character" w:customStyle="1" w:styleId="109">
    <w:name w:val="正文文本 2 Char2"/>
    <w:qFormat/>
    <w:uiPriority w:val="99"/>
    <w:rPr>
      <w:kern w:val="2"/>
      <w:sz w:val="21"/>
      <w:szCs w:val="24"/>
    </w:rPr>
  </w:style>
  <w:style w:type="character" w:customStyle="1" w:styleId="110">
    <w:name w:val="style1"/>
    <w:basedOn w:val="50"/>
    <w:qFormat/>
    <w:uiPriority w:val="0"/>
  </w:style>
  <w:style w:type="character" w:customStyle="1" w:styleId="111">
    <w:name w:val="ca-21"/>
    <w:qFormat/>
    <w:uiPriority w:val="0"/>
    <w:rPr>
      <w:rFonts w:hint="eastAsia" w:ascii="宋体" w:hAnsi="宋体" w:eastAsia="宋体"/>
      <w:sz w:val="21"/>
      <w:szCs w:val="21"/>
    </w:rPr>
  </w:style>
  <w:style w:type="character" w:customStyle="1" w:styleId="112">
    <w:name w:val="HTML 预设格式 字符"/>
    <w:link w:val="42"/>
    <w:qFormat/>
    <w:uiPriority w:val="99"/>
    <w:rPr>
      <w:rFonts w:ascii="宋体" w:hAnsi="宋体" w:cs="宋体"/>
      <w:sz w:val="24"/>
      <w:szCs w:val="24"/>
    </w:rPr>
  </w:style>
  <w:style w:type="character" w:customStyle="1" w:styleId="113">
    <w:name w:val="Char Char11"/>
    <w:qFormat/>
    <w:uiPriority w:val="0"/>
    <w:rPr>
      <w:rFonts w:ascii="宋体" w:hAnsi="Courier New" w:eastAsia="宋体" w:cs="Courier New"/>
      <w:szCs w:val="21"/>
    </w:rPr>
  </w:style>
  <w:style w:type="character" w:customStyle="1" w:styleId="114">
    <w:name w:val="日期 Char2"/>
    <w:qFormat/>
    <w:uiPriority w:val="99"/>
    <w:rPr>
      <w:kern w:val="2"/>
      <w:sz w:val="21"/>
      <w:szCs w:val="24"/>
    </w:rPr>
  </w:style>
  <w:style w:type="character" w:customStyle="1" w:styleId="115">
    <w:name w:val="hei16b"/>
    <w:basedOn w:val="50"/>
    <w:qFormat/>
    <w:uiPriority w:val="0"/>
  </w:style>
  <w:style w:type="character" w:customStyle="1" w:styleId="116">
    <w:name w:val="标题 1 字符"/>
    <w:link w:val="4"/>
    <w:qFormat/>
    <w:uiPriority w:val="0"/>
    <w:rPr>
      <w:b/>
      <w:bCs/>
      <w:kern w:val="44"/>
      <w:sz w:val="44"/>
      <w:szCs w:val="44"/>
    </w:rPr>
  </w:style>
  <w:style w:type="character" w:customStyle="1" w:styleId="117">
    <w:name w:val="页眉 Char1"/>
    <w:qFormat/>
    <w:uiPriority w:val="99"/>
    <w:rPr>
      <w:kern w:val="2"/>
      <w:sz w:val="18"/>
      <w:szCs w:val="18"/>
    </w:rPr>
  </w:style>
  <w:style w:type="character" w:customStyle="1" w:styleId="118">
    <w:name w:val="正文缩进 Char1"/>
    <w:qFormat/>
    <w:uiPriority w:val="0"/>
    <w:rPr>
      <w:rFonts w:ascii="Times New Roman" w:hAnsi="Times New Roman"/>
      <w:kern w:val="2"/>
      <w:sz w:val="21"/>
    </w:rPr>
  </w:style>
  <w:style w:type="character" w:customStyle="1" w:styleId="119">
    <w:name w:val="font12-blue-bold1"/>
    <w:qFormat/>
    <w:uiPriority w:val="0"/>
    <w:rPr>
      <w:b/>
      <w:bCs/>
      <w:color w:val="0249A5"/>
      <w:sz w:val="14"/>
      <w:szCs w:val="14"/>
      <w:u w:val="none"/>
    </w:rPr>
  </w:style>
  <w:style w:type="character" w:customStyle="1" w:styleId="120">
    <w:name w:val="正文文本 字符"/>
    <w:link w:val="2"/>
    <w:qFormat/>
    <w:uiPriority w:val="0"/>
    <w:rPr>
      <w:kern w:val="2"/>
      <w:sz w:val="24"/>
      <w:szCs w:val="24"/>
    </w:rPr>
  </w:style>
  <w:style w:type="character" w:customStyle="1" w:styleId="121">
    <w:name w:val="Body Text Indent 3 Char"/>
    <w:qFormat/>
    <w:uiPriority w:val="99"/>
    <w:rPr>
      <w:rFonts w:eastAsia="宋体"/>
      <w:sz w:val="16"/>
    </w:rPr>
  </w:style>
  <w:style w:type="character" w:customStyle="1" w:styleId="122">
    <w:name w:val="批注主题 字符"/>
    <w:link w:val="46"/>
    <w:qFormat/>
    <w:uiPriority w:val="0"/>
    <w:rPr>
      <w:b/>
      <w:bCs/>
      <w:kern w:val="2"/>
      <w:sz w:val="21"/>
      <w:szCs w:val="24"/>
    </w:rPr>
  </w:style>
  <w:style w:type="character" w:customStyle="1" w:styleId="123">
    <w:name w:val="bold1"/>
    <w:qFormat/>
    <w:uiPriority w:val="0"/>
    <w:rPr>
      <w:rFonts w:hint="default"/>
      <w:b/>
      <w:bCs/>
      <w:color w:val="000000"/>
      <w:sz w:val="18"/>
      <w:szCs w:val="18"/>
    </w:rPr>
  </w:style>
  <w:style w:type="character" w:customStyle="1" w:styleId="124">
    <w:name w:val="标题 6 字符"/>
    <w:link w:val="11"/>
    <w:qFormat/>
    <w:uiPriority w:val="0"/>
    <w:rPr>
      <w:rFonts w:ascii="Arial" w:hAnsi="Arial" w:eastAsia="黑体"/>
      <w:b/>
      <w:kern w:val="2"/>
      <w:sz w:val="24"/>
      <w:szCs w:val="24"/>
    </w:rPr>
  </w:style>
  <w:style w:type="character" w:customStyle="1" w:styleId="125">
    <w:name w:val="文档结构图 Char1"/>
    <w:qFormat/>
    <w:uiPriority w:val="99"/>
    <w:rPr>
      <w:rFonts w:ascii="宋体"/>
      <w:kern w:val="2"/>
      <w:sz w:val="18"/>
      <w:szCs w:val="18"/>
    </w:rPr>
  </w:style>
  <w:style w:type="character" w:customStyle="1" w:styleId="126">
    <w:name w:val="正文文本 Char1"/>
    <w:qFormat/>
    <w:uiPriority w:val="99"/>
    <w:rPr>
      <w:rFonts w:ascii="Times New Roman" w:hAnsi="Times New Roman" w:eastAsia="宋体" w:cs="Times New Roman"/>
      <w:szCs w:val="24"/>
    </w:rPr>
  </w:style>
  <w:style w:type="character" w:customStyle="1" w:styleId="127">
    <w:name w:val="页眉 字符"/>
    <w:link w:val="32"/>
    <w:qFormat/>
    <w:uiPriority w:val="0"/>
    <w:rPr>
      <w:kern w:val="2"/>
      <w:sz w:val="18"/>
      <w:szCs w:val="18"/>
    </w:rPr>
  </w:style>
  <w:style w:type="character" w:customStyle="1" w:styleId="128">
    <w:name w:val="正文文本缩进 Char1"/>
    <w:qFormat/>
    <w:uiPriority w:val="99"/>
    <w:rPr>
      <w:kern w:val="2"/>
      <w:sz w:val="21"/>
      <w:szCs w:val="24"/>
    </w:rPr>
  </w:style>
  <w:style w:type="character" w:customStyle="1" w:styleId="129">
    <w:name w:val="正文文本 2 Char1"/>
    <w:qFormat/>
    <w:uiPriority w:val="99"/>
    <w:rPr>
      <w:rFonts w:ascii="Times New Roman" w:hAnsi="Times New Roman" w:eastAsia="宋体" w:cs="Times New Roman"/>
      <w:szCs w:val="24"/>
    </w:rPr>
  </w:style>
  <w:style w:type="character" w:customStyle="1" w:styleId="130">
    <w:name w:val="文档结构图 字符"/>
    <w:link w:val="18"/>
    <w:qFormat/>
    <w:uiPriority w:val="0"/>
    <w:rPr>
      <w:kern w:val="2"/>
      <w:sz w:val="21"/>
      <w:szCs w:val="24"/>
      <w:shd w:val="clear" w:color="auto" w:fill="000080"/>
    </w:rPr>
  </w:style>
  <w:style w:type="character" w:customStyle="1" w:styleId="131">
    <w:name w:val="纯文本 字符"/>
    <w:link w:val="26"/>
    <w:qFormat/>
    <w:uiPriority w:val="0"/>
    <w:rPr>
      <w:rFonts w:ascii="宋体" w:hAnsi="Courier New" w:eastAsia="宋体" w:cs="Courier New"/>
      <w:kern w:val="2"/>
      <w:sz w:val="21"/>
      <w:szCs w:val="21"/>
      <w:lang w:val="en-US" w:eastAsia="zh-CN" w:bidi="ar-SA"/>
    </w:rPr>
  </w:style>
  <w:style w:type="character" w:customStyle="1" w:styleId="132">
    <w:name w:val="apple-style-span"/>
    <w:qFormat/>
    <w:uiPriority w:val="0"/>
  </w:style>
  <w:style w:type="character" w:customStyle="1" w:styleId="133">
    <w:name w:val="页脚 字符"/>
    <w:link w:val="31"/>
    <w:qFormat/>
    <w:uiPriority w:val="99"/>
    <w:rPr>
      <w:kern w:val="2"/>
      <w:sz w:val="18"/>
      <w:szCs w:val="18"/>
    </w:rPr>
  </w:style>
  <w:style w:type="character" w:customStyle="1" w:styleId="134">
    <w:name w:val="标题 8 字符"/>
    <w:link w:val="13"/>
    <w:qFormat/>
    <w:uiPriority w:val="0"/>
    <w:rPr>
      <w:rFonts w:ascii="Arial" w:hAnsi="Arial" w:eastAsia="黑体"/>
      <w:kern w:val="2"/>
      <w:sz w:val="24"/>
      <w:szCs w:val="24"/>
    </w:rPr>
  </w:style>
  <w:style w:type="character" w:customStyle="1" w:styleId="135">
    <w:name w:val="Char Char4"/>
    <w:qFormat/>
    <w:uiPriority w:val="0"/>
    <w:rPr>
      <w:rFonts w:ascii="Times New Roman" w:hAnsi="Times New Roman" w:eastAsia="宋体" w:cs="Times New Roman"/>
      <w:sz w:val="16"/>
      <w:szCs w:val="16"/>
    </w:rPr>
  </w:style>
  <w:style w:type="character" w:customStyle="1" w:styleId="136">
    <w:name w:val="Plain Text Char"/>
    <w:qFormat/>
    <w:uiPriority w:val="0"/>
    <w:rPr>
      <w:rFonts w:ascii="宋体" w:hAnsi="Courier New" w:eastAsia="宋体"/>
    </w:rPr>
  </w:style>
  <w:style w:type="character" w:customStyle="1" w:styleId="137">
    <w:name w:val="ca-41"/>
    <w:qFormat/>
    <w:uiPriority w:val="0"/>
    <w:rPr>
      <w:rFonts w:hint="eastAsia" w:ascii="宋体" w:hAnsi="宋体" w:eastAsia="宋体"/>
      <w:color w:val="FF0000"/>
      <w:sz w:val="21"/>
      <w:szCs w:val="21"/>
    </w:rPr>
  </w:style>
  <w:style w:type="character" w:customStyle="1" w:styleId="138">
    <w:name w:val="无间隔 字符"/>
    <w:link w:val="139"/>
    <w:qFormat/>
    <w:uiPriority w:val="1"/>
    <w:rPr>
      <w:rFonts w:hAnsi="Courier New"/>
      <w:kern w:val="2"/>
      <w:sz w:val="21"/>
      <w:lang w:val="en-US" w:eastAsia="zh-CN" w:bidi="ar-SA"/>
    </w:rPr>
  </w:style>
  <w:style w:type="paragraph" w:styleId="139">
    <w:name w:val="No Spacing"/>
    <w:link w:val="138"/>
    <w:qFormat/>
    <w:uiPriority w:val="1"/>
    <w:pPr>
      <w:widowControl w:val="0"/>
      <w:jc w:val="both"/>
    </w:pPr>
    <w:rPr>
      <w:rFonts w:ascii="Times New Roman" w:hAnsi="Courier New" w:eastAsia="宋体" w:cs="Times New Roman"/>
      <w:kern w:val="2"/>
      <w:sz w:val="21"/>
      <w:lang w:val="en-US" w:eastAsia="zh-CN" w:bidi="ar-SA"/>
    </w:rPr>
  </w:style>
  <w:style w:type="character" w:customStyle="1" w:styleId="140">
    <w:name w:val="正文文本缩进 2 字符"/>
    <w:link w:val="29"/>
    <w:qFormat/>
    <w:uiPriority w:val="0"/>
    <w:rPr>
      <w:kern w:val="2"/>
      <w:sz w:val="21"/>
      <w:szCs w:val="24"/>
    </w:rPr>
  </w:style>
  <w:style w:type="character" w:customStyle="1" w:styleId="141">
    <w:name w:val="批注框文本 字符"/>
    <w:link w:val="30"/>
    <w:qFormat/>
    <w:uiPriority w:val="0"/>
    <w:rPr>
      <w:kern w:val="2"/>
      <w:sz w:val="18"/>
      <w:szCs w:val="18"/>
    </w:rPr>
  </w:style>
  <w:style w:type="character" w:customStyle="1" w:styleId="142">
    <w:name w:val="文档正文 Char Char"/>
    <w:link w:val="143"/>
    <w:qFormat/>
    <w:uiPriority w:val="0"/>
    <w:rPr>
      <w:rFonts w:ascii="华文细黑" w:hAnsi="华文细黑" w:eastAsia="华文细黑"/>
      <w:color w:val="000000"/>
      <w:sz w:val="24"/>
    </w:rPr>
  </w:style>
  <w:style w:type="paragraph" w:customStyle="1" w:styleId="143">
    <w:name w:val="文档正文"/>
    <w:basedOn w:val="1"/>
    <w:link w:val="142"/>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44">
    <w:name w:val="纯文本 Char2"/>
    <w:qFormat/>
    <w:uiPriority w:val="0"/>
    <w:rPr>
      <w:rFonts w:ascii="宋体" w:hAnsi="Courier New" w:eastAsia="宋体" w:cs="Courier New"/>
      <w:kern w:val="2"/>
      <w:sz w:val="21"/>
      <w:szCs w:val="21"/>
      <w:lang w:val="en-US" w:eastAsia="zh-CN" w:bidi="ar-SA"/>
    </w:rPr>
  </w:style>
  <w:style w:type="character" w:customStyle="1" w:styleId="145">
    <w:name w:val="font91"/>
    <w:qFormat/>
    <w:uiPriority w:val="0"/>
    <w:rPr>
      <w:rFonts w:hint="default" w:ascii="Times New Roman" w:hAnsi="Times New Roman" w:cs="Times New Roman"/>
      <w:color w:val="000000"/>
      <w:sz w:val="20"/>
      <w:szCs w:val="20"/>
      <w:u w:val="none"/>
    </w:rPr>
  </w:style>
  <w:style w:type="character" w:customStyle="1" w:styleId="146">
    <w:name w:val="062"/>
    <w:qFormat/>
    <w:uiPriority w:val="0"/>
    <w:rPr>
      <w:rFonts w:ascii="宋体" w:hAnsi="宋体"/>
      <w:b/>
      <w:bCs/>
      <w:sz w:val="32"/>
    </w:rPr>
  </w:style>
  <w:style w:type="character" w:customStyle="1" w:styleId="147">
    <w:name w:val="纯文本 Char3"/>
    <w:qFormat/>
    <w:uiPriority w:val="0"/>
    <w:rPr>
      <w:rFonts w:ascii="宋体" w:hAnsi="Courier New" w:eastAsia="宋体" w:cs="Courier New"/>
      <w:szCs w:val="21"/>
    </w:rPr>
  </w:style>
  <w:style w:type="character" w:customStyle="1" w:styleId="148">
    <w:name w:val="正文文本 Char2"/>
    <w:qFormat/>
    <w:uiPriority w:val="99"/>
    <w:rPr>
      <w:kern w:val="2"/>
      <w:sz w:val="21"/>
      <w:szCs w:val="24"/>
    </w:rPr>
  </w:style>
  <w:style w:type="character" w:customStyle="1" w:styleId="149">
    <w:name w:val="纯文本 Char1"/>
    <w:qFormat/>
    <w:uiPriority w:val="0"/>
    <w:rPr>
      <w:rFonts w:ascii="宋体" w:hAnsi="Courier New" w:eastAsia="宋体" w:cs="Courier New"/>
      <w:szCs w:val="21"/>
    </w:rPr>
  </w:style>
  <w:style w:type="character" w:customStyle="1" w:styleId="150">
    <w:name w:val="Char Char1"/>
    <w:qFormat/>
    <w:uiPriority w:val="0"/>
    <w:rPr>
      <w:rFonts w:eastAsia="宋体"/>
      <w:kern w:val="2"/>
      <w:sz w:val="21"/>
      <w:szCs w:val="24"/>
      <w:lang w:bidi="ar-SA"/>
    </w:rPr>
  </w:style>
  <w:style w:type="character" w:customStyle="1" w:styleId="151">
    <w:name w:val="1ji Char"/>
    <w:link w:val="152"/>
    <w:qFormat/>
    <w:uiPriority w:val="0"/>
    <w:rPr>
      <w:rFonts w:ascii="宋体" w:hAnsi="宋体"/>
      <w:b/>
      <w:bCs/>
      <w:kern w:val="44"/>
      <w:sz w:val="36"/>
      <w:szCs w:val="44"/>
    </w:rPr>
  </w:style>
  <w:style w:type="paragraph" w:customStyle="1" w:styleId="152">
    <w:name w:val="1ji"/>
    <w:basedOn w:val="4"/>
    <w:link w:val="151"/>
    <w:qFormat/>
    <w:uiPriority w:val="0"/>
    <w:pPr>
      <w:keepLines w:val="0"/>
      <w:widowControl/>
      <w:spacing w:before="0" w:after="0" w:line="240" w:lineRule="auto"/>
      <w:jc w:val="center"/>
    </w:pPr>
    <w:rPr>
      <w:rFonts w:ascii="宋体" w:hAnsi="宋体"/>
      <w:sz w:val="36"/>
    </w:rPr>
  </w:style>
  <w:style w:type="character" w:customStyle="1" w:styleId="153">
    <w:name w:val="批注主题 Char1"/>
    <w:qFormat/>
    <w:uiPriority w:val="99"/>
    <w:rPr>
      <w:b/>
      <w:bCs/>
      <w:kern w:val="2"/>
      <w:sz w:val="21"/>
      <w:szCs w:val="24"/>
    </w:rPr>
  </w:style>
  <w:style w:type="character" w:customStyle="1" w:styleId="154">
    <w:name w:val="标题3 Char Char"/>
    <w:link w:val="155"/>
    <w:qFormat/>
    <w:uiPriority w:val="0"/>
    <w:rPr>
      <w:rFonts w:eastAsia="仿宋_GB2312"/>
      <w:bCs/>
      <w:kern w:val="2"/>
      <w:sz w:val="30"/>
      <w:szCs w:val="32"/>
    </w:rPr>
  </w:style>
  <w:style w:type="paragraph" w:customStyle="1" w:styleId="155">
    <w:name w:val="标题3"/>
    <w:basedOn w:val="6"/>
    <w:link w:val="154"/>
    <w:qFormat/>
    <w:uiPriority w:val="0"/>
    <w:pPr>
      <w:keepNext w:val="0"/>
      <w:keepLines w:val="0"/>
      <w:spacing w:before="0" w:after="0" w:line="360" w:lineRule="auto"/>
    </w:pPr>
    <w:rPr>
      <w:rFonts w:eastAsia="仿宋_GB2312"/>
      <w:b w:val="0"/>
      <w:sz w:val="30"/>
    </w:rPr>
  </w:style>
  <w:style w:type="character" w:customStyle="1" w:styleId="156">
    <w:name w:val="批注框文本 Char1"/>
    <w:qFormat/>
    <w:uiPriority w:val="99"/>
    <w:rPr>
      <w:kern w:val="2"/>
      <w:sz w:val="18"/>
      <w:szCs w:val="18"/>
    </w:rPr>
  </w:style>
  <w:style w:type="character" w:customStyle="1" w:styleId="157">
    <w:name w:val="正文文本 2 字符"/>
    <w:link w:val="41"/>
    <w:qFormat/>
    <w:uiPriority w:val="0"/>
    <w:rPr>
      <w:szCs w:val="24"/>
    </w:rPr>
  </w:style>
  <w:style w:type="character" w:customStyle="1" w:styleId="158">
    <w:name w:val="引用 Char2"/>
    <w:qFormat/>
    <w:uiPriority w:val="29"/>
    <w:rPr>
      <w:i/>
      <w:iCs/>
      <w:color w:val="000000"/>
      <w:kern w:val="2"/>
      <w:sz w:val="21"/>
      <w:szCs w:val="24"/>
    </w:rPr>
  </w:style>
  <w:style w:type="paragraph" w:customStyle="1" w:styleId="159">
    <w:name w:val="Char Char Char"/>
    <w:basedOn w:val="1"/>
    <w:qFormat/>
    <w:uiPriority w:val="0"/>
    <w:rPr>
      <w:rFonts w:ascii="Tahoma" w:hAnsi="Tahoma"/>
      <w:sz w:val="24"/>
      <w:szCs w:val="20"/>
    </w:rPr>
  </w:style>
  <w:style w:type="paragraph" w:customStyle="1" w:styleId="160">
    <w:name w:val="Char11"/>
    <w:basedOn w:val="1"/>
    <w:qFormat/>
    <w:uiPriority w:val="0"/>
    <w:rPr>
      <w:szCs w:val="21"/>
    </w:rPr>
  </w:style>
  <w:style w:type="paragraph" w:customStyle="1" w:styleId="161">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62">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163">
    <w:name w:val="HTML Top of Form_18a0c3d8-b514-4111-9747-3707a80a4424"/>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64">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165">
    <w:name w:val="2ji"/>
    <w:basedOn w:val="5"/>
    <w:qFormat/>
    <w:uiPriority w:val="0"/>
    <w:pPr>
      <w:keepLines/>
      <w:spacing w:before="0"/>
      <w:jc w:val="both"/>
      <w:textAlignment w:val="baseline"/>
    </w:pPr>
    <w:rPr>
      <w:rFonts w:ascii="宋体" w:hAnsi="宋体" w:eastAsia="宋体"/>
      <w:bCs/>
      <w:sz w:val="21"/>
      <w:szCs w:val="21"/>
    </w:rPr>
  </w:style>
  <w:style w:type="paragraph" w:customStyle="1" w:styleId="166">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167">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168">
    <w:name w:val="正文段"/>
    <w:basedOn w:val="1"/>
    <w:qFormat/>
    <w:uiPriority w:val="0"/>
    <w:pPr>
      <w:widowControl/>
      <w:snapToGrid w:val="0"/>
      <w:spacing w:after="156" w:afterLines="50"/>
      <w:ind w:firstLine="200" w:firstLineChars="200"/>
    </w:pPr>
    <w:rPr>
      <w:kern w:val="0"/>
      <w:sz w:val="24"/>
      <w:szCs w:val="20"/>
    </w:rPr>
  </w:style>
  <w:style w:type="paragraph" w:customStyle="1" w:styleId="169">
    <w:name w:val="五级条标题"/>
    <w:basedOn w:val="170"/>
    <w:next w:val="173"/>
    <w:qFormat/>
    <w:uiPriority w:val="0"/>
    <w:pPr>
      <w:outlineLvl w:val="6"/>
    </w:pPr>
  </w:style>
  <w:style w:type="paragraph" w:customStyle="1" w:styleId="170">
    <w:name w:val="四级条标题"/>
    <w:basedOn w:val="171"/>
    <w:next w:val="173"/>
    <w:qFormat/>
    <w:uiPriority w:val="0"/>
    <w:pPr>
      <w:outlineLvl w:val="5"/>
    </w:pPr>
  </w:style>
  <w:style w:type="paragraph" w:customStyle="1" w:styleId="171">
    <w:name w:val="三级条标题"/>
    <w:basedOn w:val="172"/>
    <w:next w:val="173"/>
    <w:qFormat/>
    <w:uiPriority w:val="0"/>
    <w:pPr>
      <w:outlineLvl w:val="4"/>
    </w:pPr>
  </w:style>
  <w:style w:type="paragraph" w:customStyle="1" w:styleId="172">
    <w:name w:val="二级条标题"/>
    <w:basedOn w:val="1"/>
    <w:next w:val="1"/>
    <w:qFormat/>
    <w:uiPriority w:val="0"/>
    <w:pPr>
      <w:widowControl/>
      <w:jc w:val="left"/>
      <w:outlineLvl w:val="3"/>
    </w:pPr>
    <w:rPr>
      <w:rFonts w:ascii="宋体" w:hAnsi="宋体"/>
      <w:color w:val="000000"/>
      <w:kern w:val="0"/>
      <w:szCs w:val="20"/>
    </w:rPr>
  </w:style>
  <w:style w:type="paragraph" w:customStyle="1" w:styleId="173">
    <w:name w:val="段"/>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174">
    <w:name w:val="表格"/>
    <w:basedOn w:val="1"/>
    <w:qFormat/>
    <w:uiPriority w:val="0"/>
    <w:pPr>
      <w:spacing w:line="400" w:lineRule="exact"/>
    </w:pPr>
    <w:rPr>
      <w:sz w:val="24"/>
    </w:rPr>
  </w:style>
  <w:style w:type="paragraph" w:customStyle="1" w:styleId="175">
    <w:name w:val="列表段落1"/>
    <w:basedOn w:val="1"/>
    <w:qFormat/>
    <w:uiPriority w:val="0"/>
    <w:pPr>
      <w:ind w:firstLine="420" w:firstLineChars="200"/>
    </w:pPr>
    <w:rPr>
      <w:rFonts w:ascii="Calibri" w:hAnsi="Calibri"/>
      <w:szCs w:val="22"/>
    </w:rPr>
  </w:style>
  <w:style w:type="paragraph" w:customStyle="1" w:styleId="176">
    <w:name w:val="Char1 Char Char Char Char Char Char Char Char Char Char Char Char"/>
    <w:basedOn w:val="1"/>
    <w:qFormat/>
    <w:uiPriority w:val="0"/>
    <w:rPr>
      <w:rFonts w:ascii="Tahoma" w:hAnsi="Tahoma"/>
      <w:sz w:val="24"/>
      <w:szCs w:val="20"/>
    </w:rPr>
  </w:style>
  <w:style w:type="paragraph" w:customStyle="1" w:styleId="177">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p0"/>
    <w:basedOn w:val="1"/>
    <w:qFormat/>
    <w:uiPriority w:val="0"/>
    <w:pPr>
      <w:widowControl/>
    </w:pPr>
    <w:rPr>
      <w:kern w:val="0"/>
      <w:szCs w:val="21"/>
    </w:rPr>
  </w:style>
  <w:style w:type="paragraph" w:customStyle="1" w:styleId="179">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180">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81">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2">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83">
    <w:name w:val="pa-5"/>
    <w:basedOn w:val="1"/>
    <w:qFormat/>
    <w:uiPriority w:val="0"/>
    <w:pPr>
      <w:widowControl/>
      <w:spacing w:line="240" w:lineRule="atLeast"/>
      <w:ind w:firstLine="420"/>
    </w:pPr>
    <w:rPr>
      <w:rFonts w:ascii="宋体" w:hAnsi="宋体" w:cs="宋体"/>
      <w:kern w:val="0"/>
      <w:sz w:val="24"/>
    </w:rPr>
  </w:style>
  <w:style w:type="paragraph" w:customStyle="1" w:styleId="184">
    <w:name w:val="默认段落字体 Para Char Char Char1 Char"/>
    <w:basedOn w:val="1"/>
    <w:qFormat/>
    <w:uiPriority w:val="0"/>
    <w:rPr>
      <w:rFonts w:ascii="Tahoma" w:hAnsi="Tahoma"/>
      <w:sz w:val="24"/>
      <w:szCs w:val="20"/>
    </w:rPr>
  </w:style>
  <w:style w:type="paragraph" w:customStyle="1" w:styleId="185">
    <w:name w:val="列项——"/>
    <w:qFormat/>
    <w:uiPriority w:val="0"/>
    <w:pPr>
      <w:widowControl w:val="0"/>
      <w:tabs>
        <w:tab w:val="left" w:pos="854"/>
      </w:tabs>
      <w:ind w:left="840" w:leftChars="200" w:hanging="420" w:hangingChars="200"/>
      <w:jc w:val="both"/>
    </w:pPr>
    <w:rPr>
      <w:rFonts w:ascii="Times New Roman" w:hAnsi="Times New Roman" w:eastAsia="宋体" w:cs="Times New Roman"/>
      <w:sz w:val="21"/>
      <w:lang w:val="en-US" w:eastAsia="zh-CN" w:bidi="ar-SA"/>
    </w:rPr>
  </w:style>
  <w:style w:type="paragraph" w:customStyle="1" w:styleId="186">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7">
    <w:name w:val="444"/>
    <w:basedOn w:val="1"/>
    <w:qFormat/>
    <w:uiPriority w:val="0"/>
    <w:pPr>
      <w:adjustRightInd w:val="0"/>
      <w:spacing w:line="312" w:lineRule="atLeast"/>
      <w:jc w:val="center"/>
      <w:textAlignment w:val="baseline"/>
    </w:pPr>
    <w:rPr>
      <w:b/>
      <w:kern w:val="0"/>
      <w:sz w:val="36"/>
      <w:szCs w:val="36"/>
    </w:rPr>
  </w:style>
  <w:style w:type="paragraph" w:customStyle="1" w:styleId="188">
    <w:name w:val="列表1"/>
    <w:basedOn w:val="189"/>
    <w:qFormat/>
    <w:uiPriority w:val="0"/>
    <w:pPr>
      <w:tabs>
        <w:tab w:val="left" w:pos="900"/>
      </w:tabs>
      <w:ind w:left="900" w:hanging="420"/>
    </w:pPr>
    <w:rPr>
      <w:rFonts w:ascii="Times New Roman" w:hAnsi="Times New Roman"/>
      <w:szCs w:val="20"/>
    </w:rPr>
  </w:style>
  <w:style w:type="paragraph" w:customStyle="1" w:styleId="189">
    <w:name w:val="标准正文"/>
    <w:basedOn w:val="10"/>
    <w:qFormat/>
    <w:uiPriority w:val="0"/>
    <w:pPr>
      <w:spacing w:before="60" w:after="60" w:line="360" w:lineRule="auto"/>
      <w:ind w:left="0" w:leftChars="0" w:firstLine="482"/>
    </w:pPr>
    <w:rPr>
      <w:rFonts w:ascii="宋体" w:hAnsi="宋体"/>
      <w:kern w:val="0"/>
      <w:sz w:val="24"/>
      <w:szCs w:val="28"/>
    </w:rPr>
  </w:style>
  <w:style w:type="paragraph" w:customStyle="1" w:styleId="190">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91">
    <w:name w:val="样式 标题 2 + Times New Roman 四号 非加粗 段前: 5 磅 段后: 0 磅 行距: 固定值 20..."/>
    <w:basedOn w:val="5"/>
    <w:qFormat/>
    <w:uiPriority w:val="0"/>
    <w:pPr>
      <w:keepLines/>
      <w:adjustRightInd/>
      <w:spacing w:before="100" w:line="400" w:lineRule="exact"/>
      <w:jc w:val="both"/>
    </w:pPr>
    <w:rPr>
      <w:rFonts w:eastAsia="黑体" w:cs="宋体"/>
      <w:b w:val="0"/>
      <w:sz w:val="28"/>
    </w:rPr>
  </w:style>
  <w:style w:type="paragraph" w:customStyle="1" w:styleId="19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93">
    <w:name w:val="样式 Verdana 首行缩进:  0.74 厘米"/>
    <w:basedOn w:val="1"/>
    <w:qFormat/>
    <w:uiPriority w:val="0"/>
    <w:pPr>
      <w:spacing w:line="360" w:lineRule="auto"/>
      <w:ind w:firstLine="420"/>
    </w:pPr>
    <w:rPr>
      <w:rFonts w:ascii="Verdana" w:hAnsi="Verdana"/>
      <w:sz w:val="24"/>
      <w:szCs w:val="20"/>
    </w:rPr>
  </w:style>
  <w:style w:type="paragraph" w:customStyle="1" w:styleId="194">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95">
    <w:name w:val="1 Char"/>
    <w:basedOn w:val="9"/>
    <w:qFormat/>
    <w:uiPriority w:val="0"/>
    <w:pPr>
      <w:spacing w:line="360" w:lineRule="auto"/>
      <w:ind w:left="0" w:firstLine="200" w:firstLineChars="200"/>
      <w:jc w:val="both"/>
    </w:pPr>
    <w:rPr>
      <w:rFonts w:ascii="Times New Roman"/>
      <w:snapToGrid/>
      <w:kern w:val="2"/>
      <w:sz w:val="21"/>
    </w:rPr>
  </w:style>
  <w:style w:type="paragraph" w:customStyle="1" w:styleId="196">
    <w:name w:val="列出段落1"/>
    <w:basedOn w:val="1"/>
    <w:qFormat/>
    <w:uiPriority w:val="0"/>
    <w:pPr>
      <w:ind w:firstLine="420" w:firstLineChars="200"/>
    </w:pPr>
    <w:rPr>
      <w:rFonts w:ascii="Calibri" w:hAnsi="Calibri"/>
      <w:szCs w:val="22"/>
    </w:rPr>
  </w:style>
  <w:style w:type="paragraph" w:customStyle="1" w:styleId="197">
    <w:name w:val="_Style 2"/>
    <w:basedOn w:val="1"/>
    <w:qFormat/>
    <w:uiPriority w:val="0"/>
    <w:pPr>
      <w:ind w:firstLine="420" w:firstLineChars="200"/>
    </w:pPr>
  </w:style>
  <w:style w:type="paragraph" w:customStyle="1" w:styleId="19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99">
    <w:name w:val="Char"/>
    <w:basedOn w:val="1"/>
    <w:qFormat/>
    <w:uiPriority w:val="0"/>
  </w:style>
  <w:style w:type="paragraph" w:customStyle="1" w:styleId="200">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01">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2">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03">
    <w:name w:val="Char Char Char Char"/>
    <w:basedOn w:val="1"/>
    <w:qFormat/>
    <w:uiPriority w:val="0"/>
  </w:style>
  <w:style w:type="paragraph" w:customStyle="1" w:styleId="204">
    <w:name w:val="1"/>
    <w:basedOn w:val="1"/>
    <w:next w:val="26"/>
    <w:qFormat/>
    <w:uiPriority w:val="0"/>
    <w:rPr>
      <w:rFonts w:ascii="宋体" w:hAnsi="Courier New"/>
      <w:szCs w:val="20"/>
    </w:rPr>
  </w:style>
  <w:style w:type="paragraph" w:customStyle="1" w:styleId="205">
    <w:name w:val="Char Char Char Char1"/>
    <w:basedOn w:val="1"/>
    <w:qFormat/>
    <w:uiPriority w:val="0"/>
  </w:style>
  <w:style w:type="paragraph" w:customStyle="1" w:styleId="206">
    <w:name w:val="HTML Bottom of Form_923758f5-b244-4871-86b2-f0db60053b33"/>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20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8">
    <w:name w:val="pa-3"/>
    <w:basedOn w:val="1"/>
    <w:qFormat/>
    <w:uiPriority w:val="0"/>
    <w:pPr>
      <w:widowControl/>
      <w:spacing w:line="240" w:lineRule="atLeast"/>
    </w:pPr>
    <w:rPr>
      <w:rFonts w:ascii="宋体" w:hAnsi="宋体" w:cs="宋体"/>
      <w:kern w:val="0"/>
      <w:sz w:val="24"/>
    </w:rPr>
  </w:style>
  <w:style w:type="paragraph" w:customStyle="1" w:styleId="209">
    <w:name w:val="规范正文"/>
    <w:basedOn w:val="1"/>
    <w:qFormat/>
    <w:uiPriority w:val="0"/>
    <w:pPr>
      <w:adjustRightInd w:val="0"/>
      <w:spacing w:line="360" w:lineRule="auto"/>
      <w:ind w:left="480"/>
      <w:textAlignment w:val="baseline"/>
    </w:pPr>
    <w:rPr>
      <w:kern w:val="0"/>
      <w:sz w:val="24"/>
      <w:szCs w:val="20"/>
    </w:rPr>
  </w:style>
  <w:style w:type="paragraph" w:customStyle="1" w:styleId="210">
    <w:name w:val="about_main1"/>
    <w:basedOn w:val="1"/>
    <w:qFormat/>
    <w:uiPriority w:val="0"/>
    <w:pPr>
      <w:widowControl/>
      <w:spacing w:before="30" w:after="100" w:afterAutospacing="1"/>
      <w:jc w:val="left"/>
    </w:pPr>
    <w:rPr>
      <w:rFonts w:ascii="宋体" w:hAnsi="宋体" w:cs="宋体"/>
      <w:kern w:val="0"/>
      <w:sz w:val="24"/>
    </w:rPr>
  </w:style>
  <w:style w:type="paragraph" w:customStyle="1" w:styleId="211">
    <w:name w:val="pa-2"/>
    <w:basedOn w:val="1"/>
    <w:qFormat/>
    <w:uiPriority w:val="0"/>
    <w:pPr>
      <w:widowControl/>
      <w:spacing w:line="280" w:lineRule="atLeast"/>
      <w:ind w:firstLine="420"/>
    </w:pPr>
    <w:rPr>
      <w:rFonts w:ascii="宋体" w:hAnsi="宋体" w:cs="宋体"/>
      <w:kern w:val="0"/>
      <w:sz w:val="24"/>
    </w:rPr>
  </w:style>
  <w:style w:type="paragraph" w:customStyle="1" w:styleId="212">
    <w:name w:val="Char1"/>
    <w:basedOn w:val="18"/>
    <w:qFormat/>
    <w:uiPriority w:val="0"/>
    <w:pPr>
      <w:widowControl/>
      <w:ind w:firstLine="454"/>
      <w:jc w:val="left"/>
    </w:pPr>
    <w:rPr>
      <w:rFonts w:ascii="Tahoma" w:hAnsi="Tahoma" w:cs="宋体"/>
      <w:kern w:val="0"/>
      <w:sz w:val="24"/>
      <w:szCs w:val="20"/>
    </w:rPr>
  </w:style>
  <w:style w:type="paragraph" w:customStyle="1" w:styleId="213">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14">
    <w:name w:val="正文1"/>
    <w:basedOn w:val="1"/>
    <w:qFormat/>
    <w:uiPriority w:val="0"/>
    <w:pPr>
      <w:widowControl/>
      <w:overflowPunct w:val="0"/>
      <w:autoSpaceDE w:val="0"/>
      <w:autoSpaceDN w:val="0"/>
      <w:adjustRightInd w:val="0"/>
    </w:pPr>
    <w:rPr>
      <w:rFonts w:ascii="宋体"/>
      <w:kern w:val="0"/>
      <w:szCs w:val="20"/>
    </w:rPr>
  </w:style>
  <w:style w:type="paragraph" w:customStyle="1" w:styleId="215">
    <w:name w:val="样式 标题 3 + (中文) 黑体 小四 非加粗 段前: 7.8 磅 段后: 0 磅 行距: 固定值 20 磅"/>
    <w:basedOn w:val="6"/>
    <w:qFormat/>
    <w:uiPriority w:val="0"/>
    <w:pPr>
      <w:spacing w:before="0" w:after="0" w:line="400" w:lineRule="exact"/>
    </w:pPr>
    <w:rPr>
      <w:rFonts w:eastAsia="黑体" w:cs="宋体"/>
      <w:b w:val="0"/>
      <w:bCs w:val="0"/>
      <w:kern w:val="0"/>
      <w:sz w:val="24"/>
      <w:szCs w:val="20"/>
    </w:rPr>
  </w:style>
  <w:style w:type="paragraph" w:customStyle="1" w:styleId="216">
    <w:name w:val="正文首行缩进两字符"/>
    <w:basedOn w:val="1"/>
    <w:qFormat/>
    <w:uiPriority w:val="0"/>
    <w:pPr>
      <w:spacing w:line="360" w:lineRule="auto"/>
      <w:ind w:firstLine="200" w:firstLineChars="200"/>
    </w:pPr>
  </w:style>
  <w:style w:type="paragraph" w:customStyle="1" w:styleId="217">
    <w:name w:val="一级条标题"/>
    <w:next w:val="173"/>
    <w:qFormat/>
    <w:uiPriority w:val="0"/>
    <w:pPr>
      <w:ind w:left="284"/>
      <w:outlineLvl w:val="2"/>
    </w:pPr>
    <w:rPr>
      <w:rFonts w:ascii="Times New Roman" w:hAnsi="Times New Roman" w:eastAsia="黑体" w:cs="Times New Roman"/>
      <w:sz w:val="21"/>
      <w:lang w:val="en-US" w:eastAsia="zh-CN" w:bidi="ar-SA"/>
    </w:rPr>
  </w:style>
  <w:style w:type="paragraph" w:customStyle="1" w:styleId="218">
    <w:name w:val="1."/>
    <w:basedOn w:val="1"/>
    <w:qFormat/>
    <w:uiPriority w:val="0"/>
    <w:pPr>
      <w:spacing w:line="360" w:lineRule="auto"/>
      <w:ind w:firstLine="480" w:firstLineChars="200"/>
    </w:pPr>
    <w:rPr>
      <w:rFonts w:ascii="宋体" w:hAnsi="宋体"/>
      <w:sz w:val="24"/>
    </w:rPr>
  </w:style>
  <w:style w:type="paragraph" w:customStyle="1" w:styleId="219">
    <w:name w:val="样式 首行缩进:  2 字符"/>
    <w:basedOn w:val="1"/>
    <w:qFormat/>
    <w:uiPriority w:val="0"/>
    <w:pPr>
      <w:spacing w:line="400" w:lineRule="exact"/>
      <w:ind w:firstLine="200" w:firstLineChars="200"/>
    </w:pPr>
    <w:rPr>
      <w:rFonts w:cs="宋体"/>
      <w:sz w:val="24"/>
    </w:rPr>
  </w:style>
  <w:style w:type="paragraph" w:customStyle="1" w:styleId="220">
    <w:name w:val="Char Char3 Char Char"/>
    <w:basedOn w:val="1"/>
    <w:qFormat/>
    <w:uiPriority w:val="0"/>
  </w:style>
  <w:style w:type="paragraph" w:customStyle="1" w:styleId="221">
    <w:name w:val="Char12"/>
    <w:basedOn w:val="1"/>
    <w:qFormat/>
    <w:uiPriority w:val="0"/>
    <w:rPr>
      <w:szCs w:val="21"/>
    </w:rPr>
  </w:style>
  <w:style w:type="paragraph" w:customStyle="1" w:styleId="222">
    <w:name w:val="F2"/>
    <w:basedOn w:val="1"/>
    <w:qFormat/>
    <w:uiPriority w:val="0"/>
    <w:pPr>
      <w:autoSpaceDE w:val="0"/>
      <w:autoSpaceDN w:val="0"/>
      <w:adjustRightInd w:val="0"/>
      <w:ind w:firstLine="601"/>
      <w:textAlignment w:val="baseline"/>
    </w:pPr>
    <w:rPr>
      <w:kern w:val="0"/>
      <w:sz w:val="24"/>
      <w:szCs w:val="20"/>
    </w:rPr>
  </w:style>
  <w:style w:type="paragraph" w:customStyle="1" w:styleId="223">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24">
    <w:name w:val="样式6"/>
    <w:basedOn w:val="8"/>
    <w:qFormat/>
    <w:uiPriority w:val="0"/>
    <w:pPr>
      <w:numPr>
        <w:ilvl w:val="0"/>
        <w:numId w:val="0"/>
      </w:numPr>
      <w:spacing w:line="360" w:lineRule="auto"/>
      <w:ind w:left="210" w:leftChars="100"/>
    </w:pPr>
    <w:rPr>
      <w:rFonts w:ascii="宋体" w:hAnsi="宋体" w:cs="Arial"/>
      <w:bCs/>
      <w:sz w:val="24"/>
    </w:rPr>
  </w:style>
  <w:style w:type="paragraph" w:customStyle="1" w:styleId="225">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26">
    <w:name w:val="Tabletext"/>
    <w:basedOn w:val="1"/>
    <w:qFormat/>
    <w:uiPriority w:val="0"/>
    <w:pPr>
      <w:keepLines/>
      <w:spacing w:after="120" w:line="240" w:lineRule="atLeast"/>
      <w:jc w:val="left"/>
    </w:pPr>
    <w:rPr>
      <w:rFonts w:ascii="宋体"/>
      <w:snapToGrid w:val="0"/>
      <w:kern w:val="0"/>
      <w:sz w:val="20"/>
      <w:szCs w:val="20"/>
    </w:rPr>
  </w:style>
  <w:style w:type="paragraph" w:customStyle="1" w:styleId="227">
    <w:name w:val="Revision_fd864cd9-4955-47fb-b9f9-03c99a5f447f"/>
    <w:qFormat/>
    <w:uiPriority w:val="99"/>
    <w:rPr>
      <w:rFonts w:ascii="Times New Roman" w:hAnsi="Times New Roman" w:eastAsia="宋体" w:cs="Times New Roman"/>
      <w:kern w:val="2"/>
      <w:sz w:val="21"/>
      <w:szCs w:val="24"/>
      <w:lang w:val="en-US" w:eastAsia="zh-CN" w:bidi="ar-SA"/>
    </w:rPr>
  </w:style>
  <w:style w:type="paragraph" w:customStyle="1" w:styleId="228">
    <w:name w:val="样式5"/>
    <w:basedOn w:val="5"/>
    <w:qFormat/>
    <w:uiPriority w:val="0"/>
    <w:pPr>
      <w:keepLines/>
      <w:adjustRightInd/>
      <w:spacing w:before="260" w:after="260"/>
      <w:ind w:left="420" w:leftChars="200"/>
      <w:jc w:val="both"/>
    </w:pPr>
    <w:rPr>
      <w:rFonts w:ascii="宋体" w:hAnsi="宋体" w:eastAsia="宋体"/>
      <w:bCs/>
      <w:sz w:val="24"/>
      <w:szCs w:val="24"/>
    </w:rPr>
  </w:style>
  <w:style w:type="paragraph" w:customStyle="1" w:styleId="229">
    <w:name w:val="默认段落字体 Para Char Char Char Char Char Char Char Char Char1 Char Char Char Char"/>
    <w:basedOn w:val="1"/>
    <w:qFormat/>
    <w:uiPriority w:val="0"/>
    <w:rPr>
      <w:rFonts w:ascii="Tahoma" w:hAnsi="Tahoma"/>
      <w:sz w:val="24"/>
      <w:szCs w:val="20"/>
    </w:rPr>
  </w:style>
  <w:style w:type="paragraph" w:customStyle="1" w:styleId="230">
    <w:name w:val="2-2ji"/>
    <w:basedOn w:val="5"/>
    <w:qFormat/>
    <w:uiPriority w:val="0"/>
    <w:pPr>
      <w:keepLines/>
      <w:spacing w:before="0"/>
      <w:textAlignment w:val="baseline"/>
    </w:pPr>
    <w:rPr>
      <w:rFonts w:ascii="宋体" w:hAnsi="宋体" w:eastAsia="宋体"/>
      <w:sz w:val="36"/>
      <w:szCs w:val="32"/>
    </w:rPr>
  </w:style>
  <w:style w:type="paragraph" w:customStyle="1" w:styleId="231">
    <w:name w:val="表格文字"/>
    <w:basedOn w:val="1"/>
    <w:qFormat/>
    <w:uiPriority w:val="99"/>
    <w:pPr>
      <w:spacing w:before="25" w:after="25"/>
      <w:jc w:val="left"/>
    </w:pPr>
    <w:rPr>
      <w:bCs/>
      <w:spacing w:val="10"/>
      <w:kern w:val="0"/>
      <w:sz w:val="24"/>
    </w:rPr>
  </w:style>
  <w:style w:type="paragraph" w:customStyle="1" w:styleId="232">
    <w:name w:val="Normal (Web)_file_872_file_882"/>
    <w:basedOn w:val="1"/>
    <w:qFormat/>
    <w:uiPriority w:val="99"/>
    <w:pPr>
      <w:widowControl/>
      <w:spacing w:before="100" w:beforeAutospacing="1" w:after="100" w:afterAutospacing="1"/>
      <w:jc w:val="left"/>
    </w:pPr>
    <w:rPr>
      <w:rFonts w:ascii="宋体" w:hAnsi="宋体" w:cs="宋体"/>
      <w:kern w:val="0"/>
      <w:sz w:val="24"/>
    </w:rPr>
  </w:style>
  <w:style w:type="character" w:customStyle="1" w:styleId="233">
    <w:name w:val="正文文本首行缩进 2 字符"/>
    <w:basedOn w:val="70"/>
    <w:link w:val="47"/>
    <w:qFormat/>
    <w:uiPriority w:val="0"/>
    <w:rPr>
      <w:kern w:val="2"/>
      <w:sz w:val="21"/>
      <w:szCs w:val="24"/>
    </w:rPr>
  </w:style>
  <w:style w:type="paragraph" w:customStyle="1" w:styleId="234">
    <w:name w:val="Table Text"/>
    <w:basedOn w:val="1"/>
    <w:qFormat/>
    <w:uiPriority w:val="0"/>
    <w:rPr>
      <w:rFonts w:ascii="宋体" w:hAnsi="宋体" w:cs="宋体"/>
      <w:sz w:val="19"/>
      <w:szCs w:val="19"/>
      <w:lang w:eastAsia="en-US"/>
    </w:rPr>
  </w:style>
  <w:style w:type="table" w:customStyle="1" w:styleId="235">
    <w:name w:val="Table Normal"/>
    <w:qFormat/>
    <w:uiPriority w:val="0"/>
    <w:tblPr>
      <w:tblCellMar>
        <w:top w:w="0" w:type="dxa"/>
        <w:left w:w="0" w:type="dxa"/>
        <w:bottom w:w="0" w:type="dxa"/>
        <w:right w:w="0" w:type="dxa"/>
      </w:tblCellMar>
    </w:tblPr>
  </w:style>
  <w:style w:type="paragraph" w:customStyle="1" w:styleId="236">
    <w:name w:val="Normal_file_284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7">
    <w:name w:val="heading 2_file_2846"/>
    <w:basedOn w:val="236"/>
    <w:next w:val="4"/>
    <w:qFormat/>
    <w:uiPriority w:val="0"/>
    <w:pPr>
      <w:keepNext/>
      <w:adjustRightInd w:val="0"/>
      <w:spacing w:before="120" w:line="360" w:lineRule="auto"/>
      <w:jc w:val="center"/>
      <w:outlineLvl w:val="1"/>
    </w:pPr>
    <w:rPr>
      <w:rFonts w:eastAsia="隶书"/>
      <w:b/>
      <w:kern w:val="0"/>
      <w:sz w:val="44"/>
      <w:szCs w:val="20"/>
    </w:rPr>
  </w:style>
  <w:style w:type="paragraph" w:customStyle="1" w:styleId="238">
    <w:name w:val="heading 4_file_2846"/>
    <w:basedOn w:val="236"/>
    <w:next w:val="4"/>
    <w:qFormat/>
    <w:uiPriority w:val="0"/>
    <w:pPr>
      <w:keepNext/>
      <w:keepLines/>
      <w:spacing w:before="280" w:after="290" w:line="376" w:lineRule="auto"/>
      <w:outlineLvl w:val="3"/>
    </w:pPr>
    <w:rPr>
      <w:rFonts w:ascii="Arial" w:hAnsi="Arial" w:eastAsia="黑体"/>
      <w:b/>
      <w:bCs/>
      <w:sz w:val="28"/>
      <w:szCs w:val="28"/>
    </w:rPr>
  </w:style>
  <w:style w:type="character" w:customStyle="1" w:styleId="239">
    <w:name w:val="Default Paragraph Font_file_2846"/>
    <w:qFormat/>
    <w:uiPriority w:val="0"/>
  </w:style>
  <w:style w:type="table" w:customStyle="1" w:styleId="240">
    <w:name w:val="Normal Table_file_2846"/>
    <w:qFormat/>
    <w:uiPriority w:val="0"/>
    <w:tblPr>
      <w:tblCellMar>
        <w:top w:w="0" w:type="dxa"/>
        <w:left w:w="108" w:type="dxa"/>
        <w:bottom w:w="0" w:type="dxa"/>
        <w:right w:w="108" w:type="dxa"/>
      </w:tblCellMar>
    </w:tblPr>
  </w:style>
  <w:style w:type="table" w:customStyle="1" w:styleId="241">
    <w:name w:val="Normal Table_file_423_file_2846"/>
    <w:qFormat/>
    <w:uiPriority w:val="0"/>
    <w:tblPr>
      <w:tblCellMar>
        <w:top w:w="0" w:type="dxa"/>
        <w:left w:w="108" w:type="dxa"/>
        <w:bottom w:w="0" w:type="dxa"/>
        <w:right w:w="108" w:type="dxa"/>
      </w:tblCellMar>
    </w:tblPr>
  </w:style>
  <w:style w:type="paragraph" w:customStyle="1" w:styleId="242">
    <w:name w:val="Plain Text_file_423_file_2846"/>
    <w:basedOn w:val="243"/>
    <w:qFormat/>
    <w:uiPriority w:val="0"/>
    <w:rPr>
      <w:rFonts w:ascii="宋体" w:hAnsi="Courier New" w:cs="Courier New"/>
      <w:szCs w:val="21"/>
    </w:rPr>
  </w:style>
  <w:style w:type="paragraph" w:customStyle="1" w:styleId="243">
    <w:name w:val="Normal_file_423_file_2846"/>
    <w:next w:val="5"/>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244">
    <w:name w:val="Normal Table_file_369_file_420_file_2846"/>
    <w:qFormat/>
    <w:uiPriority w:val="99"/>
    <w:tblPr>
      <w:tblCellMar>
        <w:top w:w="0" w:type="dxa"/>
        <w:left w:w="108" w:type="dxa"/>
        <w:bottom w:w="0" w:type="dxa"/>
        <w:right w:w="108" w:type="dxa"/>
      </w:tblCellMar>
    </w:tblPr>
  </w:style>
  <w:style w:type="paragraph" w:customStyle="1" w:styleId="245">
    <w:name w:val="Plain Text_file_369_file_420_file_2846"/>
    <w:basedOn w:val="246"/>
    <w:qFormat/>
    <w:uiPriority w:val="0"/>
    <w:rPr>
      <w:rFonts w:ascii="宋体" w:hAnsi="Courier New" w:cs="Courier New"/>
      <w:szCs w:val="21"/>
    </w:rPr>
  </w:style>
  <w:style w:type="paragraph" w:customStyle="1" w:styleId="246">
    <w:name w:val="Normal_file_369_file_420_file_2846"/>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7">
    <w:name w:val="Table Paragraph_file_2846"/>
    <w:basedOn w:val="236"/>
    <w:qFormat/>
    <w:uiPriority w:val="1"/>
    <w:pPr>
      <w:autoSpaceDE w:val="0"/>
      <w:autoSpaceDN w:val="0"/>
      <w:adjustRightInd w:val="0"/>
      <w:jc w:val="left"/>
    </w:pPr>
    <w:rPr>
      <w:rFonts w:ascii="黑体" w:eastAsia="黑体" w:cs="黑体"/>
      <w:kern w:val="0"/>
      <w:sz w:val="24"/>
    </w:rPr>
  </w:style>
  <w:style w:type="paragraph" w:customStyle="1" w:styleId="248">
    <w:name w:val="Normal_file_284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49">
    <w:name w:val="heading 1_file_2847"/>
    <w:basedOn w:val="248"/>
    <w:qFormat/>
    <w:uiPriority w:val="9"/>
    <w:pPr>
      <w:outlineLvl w:val="0"/>
    </w:pPr>
    <w:rPr>
      <w:kern w:val="36"/>
      <w:sz w:val="48"/>
      <w:szCs w:val="48"/>
    </w:rPr>
  </w:style>
  <w:style w:type="paragraph" w:customStyle="1" w:styleId="250">
    <w:name w:val="heading 2_file_2847"/>
    <w:basedOn w:val="248"/>
    <w:qFormat/>
    <w:uiPriority w:val="9"/>
    <w:pPr>
      <w:outlineLvl w:val="1"/>
    </w:pPr>
    <w:rPr>
      <w:sz w:val="36"/>
      <w:szCs w:val="36"/>
    </w:rPr>
  </w:style>
  <w:style w:type="paragraph" w:customStyle="1" w:styleId="251">
    <w:name w:val="heading 3_file_2847"/>
    <w:basedOn w:val="248"/>
    <w:qFormat/>
    <w:uiPriority w:val="9"/>
    <w:pPr>
      <w:outlineLvl w:val="2"/>
    </w:pPr>
    <w:rPr>
      <w:sz w:val="27"/>
      <w:szCs w:val="27"/>
    </w:rPr>
  </w:style>
  <w:style w:type="paragraph" w:customStyle="1" w:styleId="252">
    <w:name w:val="heading 4_file_2847"/>
    <w:basedOn w:val="248"/>
    <w:qFormat/>
    <w:uiPriority w:val="9"/>
    <w:pPr>
      <w:outlineLvl w:val="3"/>
    </w:pPr>
  </w:style>
  <w:style w:type="paragraph" w:customStyle="1" w:styleId="253">
    <w:name w:val="heading 5_file_2847"/>
    <w:basedOn w:val="248"/>
    <w:qFormat/>
    <w:uiPriority w:val="9"/>
    <w:pPr>
      <w:outlineLvl w:val="4"/>
    </w:pPr>
    <w:rPr>
      <w:sz w:val="20"/>
      <w:szCs w:val="20"/>
    </w:rPr>
  </w:style>
  <w:style w:type="paragraph" w:customStyle="1" w:styleId="254">
    <w:name w:val="heading 6_file_2847"/>
    <w:basedOn w:val="248"/>
    <w:qFormat/>
    <w:uiPriority w:val="9"/>
    <w:pPr>
      <w:outlineLvl w:val="5"/>
    </w:pPr>
    <w:rPr>
      <w:sz w:val="15"/>
      <w:szCs w:val="15"/>
    </w:rPr>
  </w:style>
  <w:style w:type="character" w:customStyle="1" w:styleId="255">
    <w:name w:val="Default Paragraph Font_file_2847"/>
    <w:qFormat/>
    <w:uiPriority w:val="1"/>
  </w:style>
  <w:style w:type="table" w:customStyle="1" w:styleId="256">
    <w:name w:val="Normal Table_file_2847"/>
    <w:qFormat/>
    <w:uiPriority w:val="99"/>
    <w:tblPr>
      <w:tblCellMar>
        <w:top w:w="0" w:type="dxa"/>
        <w:left w:w="108" w:type="dxa"/>
        <w:bottom w:w="0" w:type="dxa"/>
        <w:right w:w="108" w:type="dxa"/>
      </w:tblCellMar>
    </w:tblPr>
  </w:style>
  <w:style w:type="character" w:customStyle="1" w:styleId="257">
    <w:name w:val="Hyperlink_file_2847"/>
    <w:basedOn w:val="255"/>
    <w:qFormat/>
    <w:uiPriority w:val="99"/>
    <w:rPr>
      <w:color w:val="0782C1"/>
      <w:u w:val="single"/>
    </w:rPr>
  </w:style>
  <w:style w:type="character" w:customStyle="1" w:styleId="258">
    <w:name w:val="FollowedHyperlink_file_2847"/>
    <w:basedOn w:val="255"/>
    <w:qFormat/>
    <w:uiPriority w:val="99"/>
    <w:rPr>
      <w:color w:val="0782C1"/>
      <w:u w:val="single"/>
    </w:rPr>
  </w:style>
  <w:style w:type="character" w:customStyle="1" w:styleId="259">
    <w:name w:val="标题 1 Char_file_2847"/>
    <w:basedOn w:val="255"/>
    <w:link w:val="4"/>
    <w:qFormat/>
    <w:uiPriority w:val="9"/>
    <w:rPr>
      <w:rFonts w:ascii="宋体" w:hAnsi="宋体" w:eastAsia="宋体" w:cs="宋体"/>
      <w:b/>
      <w:bCs/>
      <w:kern w:val="44"/>
      <w:sz w:val="44"/>
      <w:szCs w:val="44"/>
    </w:rPr>
  </w:style>
  <w:style w:type="character" w:customStyle="1" w:styleId="260">
    <w:name w:val="标题 2 Char_file_2847"/>
    <w:basedOn w:val="255"/>
    <w:link w:val="5"/>
    <w:qFormat/>
    <w:uiPriority w:val="9"/>
    <w:rPr>
      <w:rFonts w:ascii="等线 Light" w:hAnsi="等线 Light" w:eastAsia="等线 Light" w:cs="宋体"/>
      <w:b/>
      <w:bCs/>
      <w:sz w:val="32"/>
      <w:szCs w:val="32"/>
    </w:rPr>
  </w:style>
  <w:style w:type="character" w:customStyle="1" w:styleId="261">
    <w:name w:val="标题 3 Char_file_2847"/>
    <w:basedOn w:val="255"/>
    <w:link w:val="6"/>
    <w:qFormat/>
    <w:uiPriority w:val="9"/>
    <w:rPr>
      <w:rFonts w:ascii="宋体" w:hAnsi="宋体" w:eastAsia="宋体" w:cs="宋体"/>
      <w:b/>
      <w:bCs/>
      <w:sz w:val="32"/>
      <w:szCs w:val="32"/>
    </w:rPr>
  </w:style>
  <w:style w:type="character" w:customStyle="1" w:styleId="262">
    <w:name w:val="标题 4 Char_file_2847"/>
    <w:basedOn w:val="255"/>
    <w:link w:val="7"/>
    <w:qFormat/>
    <w:uiPriority w:val="9"/>
    <w:rPr>
      <w:rFonts w:ascii="等线 Light" w:hAnsi="等线 Light" w:eastAsia="等线 Light" w:cs="宋体"/>
      <w:b/>
      <w:bCs/>
      <w:sz w:val="28"/>
      <w:szCs w:val="28"/>
    </w:rPr>
  </w:style>
  <w:style w:type="character" w:customStyle="1" w:styleId="263">
    <w:name w:val="标题 5 Char_file_2847"/>
    <w:basedOn w:val="255"/>
    <w:link w:val="8"/>
    <w:qFormat/>
    <w:uiPriority w:val="9"/>
    <w:rPr>
      <w:rFonts w:ascii="宋体" w:hAnsi="宋体" w:eastAsia="宋体" w:cs="宋体"/>
      <w:b/>
      <w:bCs/>
      <w:sz w:val="28"/>
      <w:szCs w:val="28"/>
    </w:rPr>
  </w:style>
  <w:style w:type="character" w:customStyle="1" w:styleId="264">
    <w:name w:val="标题 6 Char_file_2847"/>
    <w:basedOn w:val="255"/>
    <w:link w:val="11"/>
    <w:qFormat/>
    <w:uiPriority w:val="9"/>
    <w:rPr>
      <w:rFonts w:ascii="等线 Light" w:hAnsi="等线 Light" w:eastAsia="等线 Light" w:cs="宋体"/>
      <w:b/>
      <w:bCs/>
      <w:sz w:val="24"/>
      <w:szCs w:val="24"/>
    </w:rPr>
  </w:style>
  <w:style w:type="paragraph" w:customStyle="1" w:styleId="265">
    <w:name w:val="cke_editable_file_2847"/>
    <w:basedOn w:val="248"/>
    <w:qFormat/>
    <w:uiPriority w:val="0"/>
    <w:rPr>
      <w:rFonts w:ascii="仿宋_GB2312" w:eastAsia="仿宋_GB2312"/>
    </w:rPr>
  </w:style>
  <w:style w:type="paragraph" w:customStyle="1" w:styleId="266">
    <w:name w:val="marker_file_2847"/>
    <w:basedOn w:val="248"/>
    <w:qFormat/>
    <w:uiPriority w:val="0"/>
    <w:pPr>
      <w:shd w:val="clear" w:color="auto" w:fill="FFFF00"/>
    </w:pPr>
  </w:style>
  <w:style w:type="paragraph" w:customStyle="1" w:styleId="267">
    <w:name w:val="Normal (Web)_file_2847"/>
    <w:basedOn w:val="248"/>
    <w:qFormat/>
    <w:uiPriority w:val="99"/>
  </w:style>
  <w:style w:type="paragraph" w:customStyle="1" w:styleId="268">
    <w:name w:val="Normal_file_284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69">
    <w:name w:val="heading 1_file_2848"/>
    <w:basedOn w:val="268"/>
    <w:qFormat/>
    <w:uiPriority w:val="9"/>
    <w:pPr>
      <w:outlineLvl w:val="0"/>
    </w:pPr>
    <w:rPr>
      <w:kern w:val="36"/>
      <w:sz w:val="48"/>
      <w:szCs w:val="48"/>
    </w:rPr>
  </w:style>
  <w:style w:type="paragraph" w:customStyle="1" w:styleId="270">
    <w:name w:val="heading 2_file_2848"/>
    <w:basedOn w:val="268"/>
    <w:qFormat/>
    <w:uiPriority w:val="9"/>
    <w:pPr>
      <w:outlineLvl w:val="1"/>
    </w:pPr>
    <w:rPr>
      <w:sz w:val="36"/>
      <w:szCs w:val="36"/>
    </w:rPr>
  </w:style>
  <w:style w:type="paragraph" w:customStyle="1" w:styleId="271">
    <w:name w:val="heading 3_file_2848"/>
    <w:basedOn w:val="268"/>
    <w:qFormat/>
    <w:uiPriority w:val="9"/>
    <w:pPr>
      <w:outlineLvl w:val="2"/>
    </w:pPr>
    <w:rPr>
      <w:sz w:val="27"/>
      <w:szCs w:val="27"/>
    </w:rPr>
  </w:style>
  <w:style w:type="paragraph" w:customStyle="1" w:styleId="272">
    <w:name w:val="heading 4_file_2848"/>
    <w:basedOn w:val="268"/>
    <w:qFormat/>
    <w:uiPriority w:val="9"/>
    <w:pPr>
      <w:outlineLvl w:val="3"/>
    </w:pPr>
  </w:style>
  <w:style w:type="paragraph" w:customStyle="1" w:styleId="273">
    <w:name w:val="heading 5_file_2848"/>
    <w:basedOn w:val="268"/>
    <w:qFormat/>
    <w:uiPriority w:val="9"/>
    <w:pPr>
      <w:outlineLvl w:val="4"/>
    </w:pPr>
    <w:rPr>
      <w:sz w:val="20"/>
      <w:szCs w:val="20"/>
    </w:rPr>
  </w:style>
  <w:style w:type="paragraph" w:customStyle="1" w:styleId="274">
    <w:name w:val="heading 6_file_2848"/>
    <w:basedOn w:val="268"/>
    <w:qFormat/>
    <w:uiPriority w:val="9"/>
    <w:pPr>
      <w:outlineLvl w:val="5"/>
    </w:pPr>
    <w:rPr>
      <w:sz w:val="15"/>
      <w:szCs w:val="15"/>
    </w:rPr>
  </w:style>
  <w:style w:type="character" w:customStyle="1" w:styleId="275">
    <w:name w:val="Default Paragraph Font_file_2848"/>
    <w:qFormat/>
    <w:uiPriority w:val="1"/>
  </w:style>
  <w:style w:type="table" w:customStyle="1" w:styleId="276">
    <w:name w:val="Normal Table_file_2848"/>
    <w:qFormat/>
    <w:uiPriority w:val="99"/>
    <w:tblPr>
      <w:tblCellMar>
        <w:top w:w="0" w:type="dxa"/>
        <w:left w:w="108" w:type="dxa"/>
        <w:bottom w:w="0" w:type="dxa"/>
        <w:right w:w="108" w:type="dxa"/>
      </w:tblCellMar>
    </w:tblPr>
  </w:style>
  <w:style w:type="character" w:customStyle="1" w:styleId="277">
    <w:name w:val="Hyperlink_file_2848"/>
    <w:basedOn w:val="275"/>
    <w:qFormat/>
    <w:uiPriority w:val="99"/>
    <w:rPr>
      <w:color w:val="0782C1"/>
      <w:u w:val="single"/>
    </w:rPr>
  </w:style>
  <w:style w:type="character" w:customStyle="1" w:styleId="278">
    <w:name w:val="FollowedHyperlink_file_2848"/>
    <w:basedOn w:val="275"/>
    <w:qFormat/>
    <w:uiPriority w:val="99"/>
    <w:rPr>
      <w:color w:val="0782C1"/>
      <w:u w:val="single"/>
    </w:rPr>
  </w:style>
  <w:style w:type="character" w:customStyle="1" w:styleId="279">
    <w:name w:val="标题 1 Char_file_2848"/>
    <w:basedOn w:val="275"/>
    <w:link w:val="4"/>
    <w:qFormat/>
    <w:uiPriority w:val="9"/>
    <w:rPr>
      <w:rFonts w:ascii="宋体" w:hAnsi="宋体" w:eastAsia="宋体" w:cs="宋体"/>
      <w:b/>
      <w:bCs/>
      <w:kern w:val="44"/>
      <w:sz w:val="44"/>
      <w:szCs w:val="44"/>
    </w:rPr>
  </w:style>
  <w:style w:type="character" w:customStyle="1" w:styleId="280">
    <w:name w:val="标题 2 Char_file_2848"/>
    <w:basedOn w:val="275"/>
    <w:link w:val="5"/>
    <w:qFormat/>
    <w:uiPriority w:val="9"/>
    <w:rPr>
      <w:rFonts w:ascii="等线 Light" w:hAnsi="等线 Light" w:eastAsia="等线 Light" w:cs="宋体"/>
      <w:b/>
      <w:bCs/>
      <w:sz w:val="32"/>
      <w:szCs w:val="32"/>
    </w:rPr>
  </w:style>
  <w:style w:type="character" w:customStyle="1" w:styleId="281">
    <w:name w:val="标题 3 Char_file_2848"/>
    <w:basedOn w:val="275"/>
    <w:link w:val="6"/>
    <w:qFormat/>
    <w:uiPriority w:val="9"/>
    <w:rPr>
      <w:rFonts w:ascii="宋体" w:hAnsi="宋体" w:eastAsia="宋体" w:cs="宋体"/>
      <w:b/>
      <w:bCs/>
      <w:sz w:val="32"/>
      <w:szCs w:val="32"/>
    </w:rPr>
  </w:style>
  <w:style w:type="character" w:customStyle="1" w:styleId="282">
    <w:name w:val="标题 4 Char_file_2848"/>
    <w:basedOn w:val="275"/>
    <w:link w:val="7"/>
    <w:qFormat/>
    <w:uiPriority w:val="9"/>
    <w:rPr>
      <w:rFonts w:ascii="等线 Light" w:hAnsi="等线 Light" w:eastAsia="等线 Light" w:cs="宋体"/>
      <w:b/>
      <w:bCs/>
      <w:sz w:val="28"/>
      <w:szCs w:val="28"/>
    </w:rPr>
  </w:style>
  <w:style w:type="character" w:customStyle="1" w:styleId="283">
    <w:name w:val="标题 5 Char_file_2848"/>
    <w:basedOn w:val="275"/>
    <w:link w:val="8"/>
    <w:qFormat/>
    <w:uiPriority w:val="9"/>
    <w:rPr>
      <w:rFonts w:ascii="宋体" w:hAnsi="宋体" w:eastAsia="宋体" w:cs="宋体"/>
      <w:b/>
      <w:bCs/>
      <w:sz w:val="28"/>
      <w:szCs w:val="28"/>
    </w:rPr>
  </w:style>
  <w:style w:type="character" w:customStyle="1" w:styleId="284">
    <w:name w:val="标题 6 Char_file_2848"/>
    <w:basedOn w:val="275"/>
    <w:link w:val="11"/>
    <w:qFormat/>
    <w:uiPriority w:val="9"/>
    <w:rPr>
      <w:rFonts w:ascii="等线 Light" w:hAnsi="等线 Light" w:eastAsia="等线 Light" w:cs="宋体"/>
      <w:b/>
      <w:bCs/>
      <w:sz w:val="24"/>
      <w:szCs w:val="24"/>
    </w:rPr>
  </w:style>
  <w:style w:type="paragraph" w:customStyle="1" w:styleId="285">
    <w:name w:val="cke_editable_file_2848"/>
    <w:basedOn w:val="268"/>
    <w:qFormat/>
    <w:uiPriority w:val="0"/>
    <w:rPr>
      <w:rFonts w:ascii="仿宋_GB2312" w:eastAsia="仿宋_GB2312"/>
    </w:rPr>
  </w:style>
  <w:style w:type="paragraph" w:customStyle="1" w:styleId="286">
    <w:name w:val="marker_file_2848"/>
    <w:basedOn w:val="268"/>
    <w:qFormat/>
    <w:uiPriority w:val="0"/>
    <w:pPr>
      <w:shd w:val="clear" w:color="auto" w:fill="FFFF00"/>
    </w:pPr>
  </w:style>
  <w:style w:type="paragraph" w:customStyle="1" w:styleId="287">
    <w:name w:val="Normal (Web)_file_2848"/>
    <w:basedOn w:val="268"/>
    <w:qFormat/>
    <w:uiPriority w:val="99"/>
  </w:style>
  <w:style w:type="paragraph" w:customStyle="1" w:styleId="288">
    <w:name w:val="Normal_file_284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heading 2_file_2849"/>
    <w:basedOn w:val="288"/>
    <w:next w:val="4"/>
    <w:qFormat/>
    <w:uiPriority w:val="0"/>
    <w:pPr>
      <w:keepNext/>
      <w:adjustRightInd w:val="0"/>
      <w:spacing w:before="120" w:line="360" w:lineRule="auto"/>
      <w:jc w:val="center"/>
      <w:outlineLvl w:val="1"/>
    </w:pPr>
    <w:rPr>
      <w:rFonts w:eastAsia="隶书"/>
      <w:b/>
      <w:kern w:val="0"/>
      <w:sz w:val="44"/>
      <w:szCs w:val="20"/>
    </w:rPr>
  </w:style>
  <w:style w:type="paragraph" w:customStyle="1" w:styleId="290">
    <w:name w:val="heading 3_file_2849"/>
    <w:basedOn w:val="288"/>
    <w:next w:val="4"/>
    <w:qFormat/>
    <w:uiPriority w:val="0"/>
    <w:pPr>
      <w:numPr>
        <w:ilvl w:val="0"/>
        <w:numId w:val="1"/>
      </w:numPr>
      <w:tabs>
        <w:tab w:val="left" w:pos="312"/>
      </w:tabs>
      <w:spacing w:before="100" w:beforeAutospacing="1" w:after="100" w:afterAutospacing="1"/>
      <w:jc w:val="left"/>
      <w:outlineLvl w:val="2"/>
    </w:pPr>
    <w:rPr>
      <w:rFonts w:hint="eastAsia" w:ascii="宋体" w:hAnsi="宋体" w:eastAsia="宋体" w:cs="宋体"/>
      <w:bCs/>
      <w:kern w:val="0"/>
      <w:sz w:val="27"/>
      <w:szCs w:val="27"/>
    </w:rPr>
  </w:style>
  <w:style w:type="paragraph" w:customStyle="1" w:styleId="291">
    <w:name w:val="heading 4_file_2849"/>
    <w:basedOn w:val="288"/>
    <w:next w:val="4"/>
    <w:qFormat/>
    <w:uiPriority w:val="0"/>
    <w:pPr>
      <w:keepNext/>
      <w:keepLines/>
      <w:spacing w:before="280" w:after="290" w:line="376" w:lineRule="auto"/>
      <w:outlineLvl w:val="3"/>
    </w:pPr>
    <w:rPr>
      <w:rFonts w:ascii="Arial" w:hAnsi="Arial" w:eastAsia="黑体"/>
      <w:b/>
      <w:bCs/>
      <w:sz w:val="28"/>
      <w:szCs w:val="28"/>
    </w:rPr>
  </w:style>
  <w:style w:type="paragraph" w:customStyle="1" w:styleId="292">
    <w:name w:val="heading 5_file_2849"/>
    <w:basedOn w:val="288"/>
    <w:next w:val="11"/>
    <w:qFormat/>
    <w:uiPriority w:val="0"/>
    <w:pPr>
      <w:numPr>
        <w:ilvl w:val="4"/>
        <w:numId w:val="2"/>
      </w:numPr>
      <w:tabs>
        <w:tab w:val="left" w:pos="312"/>
      </w:tabs>
      <w:spacing w:before="30" w:beforeLines="30" w:after="30" w:afterLines="30"/>
      <w:ind w:left="991" w:hanging="991"/>
      <w:outlineLvl w:val="4"/>
    </w:pPr>
    <w:rPr>
      <w:rFonts w:ascii="Arial" w:hAnsi="Arial" w:eastAsia="仿宋" w:cs="Times New Roman"/>
      <w:b/>
      <w:sz w:val="24"/>
      <w:szCs w:val="22"/>
    </w:rPr>
  </w:style>
  <w:style w:type="character" w:customStyle="1" w:styleId="293">
    <w:name w:val="Default Paragraph Font_file_2849"/>
    <w:qFormat/>
    <w:uiPriority w:val="0"/>
  </w:style>
  <w:style w:type="table" w:customStyle="1" w:styleId="294">
    <w:name w:val="Normal Table_file_2849"/>
    <w:qFormat/>
    <w:uiPriority w:val="0"/>
    <w:tblPr>
      <w:tblCellMar>
        <w:top w:w="0" w:type="dxa"/>
        <w:left w:w="108" w:type="dxa"/>
        <w:bottom w:w="0" w:type="dxa"/>
        <w:right w:w="108" w:type="dxa"/>
      </w:tblCellMar>
    </w:tblPr>
  </w:style>
  <w:style w:type="paragraph" w:customStyle="1" w:styleId="295">
    <w:name w:val="Normal Indent_file_2849"/>
    <w:basedOn w:val="288"/>
    <w:qFormat/>
    <w:uiPriority w:val="0"/>
    <w:pPr>
      <w:spacing w:line="240" w:lineRule="atLeast"/>
      <w:ind w:left="900" w:hanging="900"/>
      <w:jc w:val="left"/>
    </w:pPr>
    <w:rPr>
      <w:rFonts w:ascii="宋体"/>
      <w:snapToGrid w:val="0"/>
      <w:kern w:val="0"/>
      <w:sz w:val="20"/>
      <w:szCs w:val="20"/>
    </w:rPr>
  </w:style>
  <w:style w:type="paragraph" w:customStyle="1" w:styleId="296">
    <w:name w:val="Plain Text_file_2849"/>
    <w:basedOn w:val="288"/>
    <w:next w:val="4"/>
    <w:qFormat/>
    <w:uiPriority w:val="0"/>
    <w:rPr>
      <w:rFonts w:ascii="宋体" w:hAnsi="Courier New" w:cs="Courier New"/>
      <w:szCs w:val="21"/>
    </w:rPr>
  </w:style>
  <w:style w:type="table" w:customStyle="1" w:styleId="297">
    <w:name w:val="Normal Table_file_369_file_420_file_2849"/>
    <w:qFormat/>
    <w:uiPriority w:val="99"/>
    <w:tblPr>
      <w:tblCellMar>
        <w:top w:w="0" w:type="dxa"/>
        <w:left w:w="108" w:type="dxa"/>
        <w:bottom w:w="0" w:type="dxa"/>
        <w:right w:w="108" w:type="dxa"/>
      </w:tblCellMar>
    </w:tblPr>
  </w:style>
  <w:style w:type="paragraph" w:customStyle="1" w:styleId="298">
    <w:name w:val="Plain Text_file_369_file_420_file_2849"/>
    <w:basedOn w:val="299"/>
    <w:qFormat/>
    <w:uiPriority w:val="0"/>
    <w:rPr>
      <w:rFonts w:ascii="宋体" w:hAnsi="Courier New" w:cs="Courier New"/>
      <w:szCs w:val="21"/>
    </w:rPr>
  </w:style>
  <w:style w:type="paragraph" w:customStyle="1" w:styleId="299">
    <w:name w:val="Normal_file_369_file_420_file_2849"/>
    <w:next w:val="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0">
    <w:name w:val="Table Paragraph_file_2849"/>
    <w:basedOn w:val="288"/>
    <w:qFormat/>
    <w:uiPriority w:val="1"/>
    <w:pPr>
      <w:autoSpaceDE w:val="0"/>
      <w:autoSpaceDN w:val="0"/>
      <w:adjustRightInd w:val="0"/>
      <w:jc w:val="left"/>
    </w:pPr>
    <w:rPr>
      <w:rFonts w:ascii="黑体" w:eastAsia="黑体" w:cs="黑体"/>
      <w:kern w:val="0"/>
      <w:sz w:val="24"/>
    </w:rPr>
  </w:style>
  <w:style w:type="table" w:customStyle="1" w:styleId="301">
    <w:name w:val="Normal Table_file_592_file_509_file_669_file_674_file_222_file_2849"/>
    <w:qFormat/>
    <w:uiPriority w:val="0"/>
    <w:tblPr>
      <w:tblCellMar>
        <w:top w:w="0" w:type="dxa"/>
        <w:left w:w="108" w:type="dxa"/>
        <w:bottom w:w="0" w:type="dxa"/>
        <w:right w:w="108" w:type="dxa"/>
      </w:tblCellMar>
    </w:tblPr>
  </w:style>
  <w:style w:type="paragraph" w:customStyle="1" w:styleId="302">
    <w:name w:val="Plain Text_file_592_file_509_file_669_file_674_file_222_file_2849"/>
    <w:basedOn w:val="303"/>
    <w:qFormat/>
    <w:uiPriority w:val="0"/>
    <w:rPr>
      <w:rFonts w:ascii="宋体" w:hAnsi="Courier New" w:cs="Courier New"/>
      <w:szCs w:val="21"/>
    </w:rPr>
  </w:style>
  <w:style w:type="paragraph" w:customStyle="1" w:styleId="303">
    <w:name w:val="Normal_file_592_file_509_file_669_file_674_file_222_file_284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4">
    <w:name w:val="表格文字_file_592_file_509_file_457_file_528_file_222_file_2849"/>
    <w:basedOn w:val="305"/>
    <w:qFormat/>
    <w:uiPriority w:val="99"/>
    <w:pPr>
      <w:spacing w:before="25" w:after="25"/>
      <w:jc w:val="left"/>
    </w:pPr>
    <w:rPr>
      <w:bCs/>
      <w:spacing w:val="10"/>
      <w:kern w:val="0"/>
      <w:sz w:val="24"/>
    </w:rPr>
  </w:style>
  <w:style w:type="paragraph" w:customStyle="1" w:styleId="305">
    <w:name w:val="Normal_file_592_file_509_file_457_file_528_file_222_file_284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6">
    <w:name w:val="表格文字_file_457_file_528_file_222_file_2849"/>
    <w:basedOn w:val="307"/>
    <w:qFormat/>
    <w:uiPriority w:val="99"/>
    <w:pPr>
      <w:spacing w:before="25" w:after="25"/>
      <w:jc w:val="left"/>
    </w:pPr>
    <w:rPr>
      <w:bCs/>
      <w:spacing w:val="10"/>
      <w:kern w:val="0"/>
      <w:sz w:val="24"/>
    </w:rPr>
  </w:style>
  <w:style w:type="paragraph" w:customStyle="1" w:styleId="307">
    <w:name w:val="Normal_file_457_file_528_file_222_file_2849"/>
    <w:next w:val="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8">
    <w:name w:val="Plain Text_file_457_file_528_file_222_file_2849"/>
    <w:basedOn w:val="307"/>
    <w:next w:val="7"/>
    <w:qFormat/>
    <w:uiPriority w:val="0"/>
    <w:rPr>
      <w:rFonts w:ascii="宋体" w:hAnsi="Courier New" w:cs="Courier New"/>
      <w:szCs w:val="21"/>
    </w:rPr>
  </w:style>
  <w:style w:type="paragraph" w:customStyle="1" w:styleId="309">
    <w:name w:val="Plain Text_file_222_file_2849"/>
    <w:basedOn w:val="310"/>
    <w:next w:val="7"/>
    <w:qFormat/>
    <w:uiPriority w:val="0"/>
    <w:rPr>
      <w:rFonts w:ascii="宋体" w:hAnsi="Courier New" w:cs="Courier New"/>
      <w:szCs w:val="21"/>
    </w:rPr>
  </w:style>
  <w:style w:type="paragraph" w:customStyle="1" w:styleId="310">
    <w:name w:val="Normal_file_222_file_2849"/>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1">
    <w:name w:val="Plain Text_file_372_file_669_file_674_file_222_file_2849"/>
    <w:basedOn w:val="312"/>
    <w:qFormat/>
    <w:uiPriority w:val="0"/>
    <w:rPr>
      <w:rFonts w:ascii="宋体" w:hAnsi="Courier New" w:cs="Courier New"/>
      <w:szCs w:val="21"/>
    </w:rPr>
  </w:style>
  <w:style w:type="paragraph" w:customStyle="1" w:styleId="312">
    <w:name w:val="Normal_file_372_file_669_file_674_file_222_file_2849"/>
    <w:next w:val="6"/>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313">
    <w:name w:val="Normal Table_file_423_file_2849"/>
    <w:qFormat/>
    <w:uiPriority w:val="0"/>
    <w:tblPr>
      <w:tblCellMar>
        <w:top w:w="0" w:type="dxa"/>
        <w:left w:w="108" w:type="dxa"/>
        <w:bottom w:w="0" w:type="dxa"/>
        <w:right w:w="108" w:type="dxa"/>
      </w:tblCellMar>
    </w:tblPr>
  </w:style>
  <w:style w:type="paragraph" w:customStyle="1" w:styleId="314">
    <w:name w:val="表格文字_file_423_file_2849"/>
    <w:basedOn w:val="315"/>
    <w:qFormat/>
    <w:uiPriority w:val="99"/>
    <w:pPr>
      <w:spacing w:before="25" w:after="25"/>
      <w:jc w:val="left"/>
    </w:pPr>
    <w:rPr>
      <w:bCs/>
      <w:spacing w:val="10"/>
      <w:kern w:val="0"/>
      <w:sz w:val="24"/>
    </w:rPr>
  </w:style>
  <w:style w:type="paragraph" w:customStyle="1" w:styleId="315">
    <w:name w:val="Normal_file_423_file_2849"/>
    <w:next w:val="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6">
    <w:name w:val="15_file_2849"/>
    <w:qFormat/>
    <w:uiPriority w:val="0"/>
    <w:rPr>
      <w:rFonts w:hint="default" w:ascii="Times New Roman" w:hAnsi="Times New Roman" w:cs="Times New Roman"/>
      <w:color w:val="0000FF"/>
      <w:u w:val="single"/>
    </w:rPr>
  </w:style>
  <w:style w:type="paragraph" w:customStyle="1" w:styleId="317">
    <w:name w:val="Plain Text_file_423_file_2849"/>
    <w:basedOn w:val="315"/>
    <w:qFormat/>
    <w:uiPriority w:val="0"/>
    <w:rPr>
      <w:rFonts w:ascii="宋体" w:hAnsi="Courier New" w:cs="Courier New"/>
      <w:szCs w:val="21"/>
    </w:rPr>
  </w:style>
  <w:style w:type="table" w:customStyle="1" w:styleId="318">
    <w:name w:val="Normal Table_file_1078_file_331_file_2849"/>
    <w:qFormat/>
    <w:uiPriority w:val="0"/>
    <w:tblPr>
      <w:tblCellMar>
        <w:top w:w="0" w:type="dxa"/>
        <w:left w:w="108" w:type="dxa"/>
        <w:bottom w:w="0" w:type="dxa"/>
        <w:right w:w="108" w:type="dxa"/>
      </w:tblCellMar>
    </w:tblPr>
  </w:style>
  <w:style w:type="paragraph" w:customStyle="1" w:styleId="319">
    <w:name w:val="Normal_file_285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20">
    <w:name w:val="heading 1_file_2850"/>
    <w:basedOn w:val="319"/>
    <w:qFormat/>
    <w:uiPriority w:val="9"/>
    <w:pPr>
      <w:outlineLvl w:val="0"/>
    </w:pPr>
    <w:rPr>
      <w:kern w:val="36"/>
      <w:sz w:val="48"/>
      <w:szCs w:val="48"/>
    </w:rPr>
  </w:style>
  <w:style w:type="paragraph" w:customStyle="1" w:styleId="321">
    <w:name w:val="heading 2_file_2850"/>
    <w:basedOn w:val="319"/>
    <w:qFormat/>
    <w:uiPriority w:val="9"/>
    <w:pPr>
      <w:outlineLvl w:val="1"/>
    </w:pPr>
    <w:rPr>
      <w:sz w:val="36"/>
      <w:szCs w:val="36"/>
    </w:rPr>
  </w:style>
  <w:style w:type="paragraph" w:customStyle="1" w:styleId="322">
    <w:name w:val="heading 3_file_2850"/>
    <w:basedOn w:val="319"/>
    <w:qFormat/>
    <w:uiPriority w:val="9"/>
    <w:pPr>
      <w:outlineLvl w:val="2"/>
    </w:pPr>
    <w:rPr>
      <w:sz w:val="27"/>
      <w:szCs w:val="27"/>
    </w:rPr>
  </w:style>
  <w:style w:type="paragraph" w:customStyle="1" w:styleId="323">
    <w:name w:val="heading 4_file_2850"/>
    <w:basedOn w:val="319"/>
    <w:qFormat/>
    <w:uiPriority w:val="9"/>
    <w:pPr>
      <w:outlineLvl w:val="3"/>
    </w:pPr>
  </w:style>
  <w:style w:type="paragraph" w:customStyle="1" w:styleId="324">
    <w:name w:val="heading 5_file_2850"/>
    <w:basedOn w:val="319"/>
    <w:qFormat/>
    <w:uiPriority w:val="9"/>
    <w:pPr>
      <w:outlineLvl w:val="4"/>
    </w:pPr>
    <w:rPr>
      <w:sz w:val="20"/>
      <w:szCs w:val="20"/>
    </w:rPr>
  </w:style>
  <w:style w:type="paragraph" w:customStyle="1" w:styleId="325">
    <w:name w:val="heading 6_file_2850"/>
    <w:basedOn w:val="319"/>
    <w:qFormat/>
    <w:uiPriority w:val="9"/>
    <w:pPr>
      <w:outlineLvl w:val="5"/>
    </w:pPr>
    <w:rPr>
      <w:sz w:val="15"/>
      <w:szCs w:val="15"/>
    </w:rPr>
  </w:style>
  <w:style w:type="character" w:customStyle="1" w:styleId="326">
    <w:name w:val="Default Paragraph Font_file_2850"/>
    <w:qFormat/>
    <w:uiPriority w:val="1"/>
  </w:style>
  <w:style w:type="table" w:customStyle="1" w:styleId="327">
    <w:name w:val="Normal Table_file_2850"/>
    <w:qFormat/>
    <w:uiPriority w:val="99"/>
    <w:tblPr>
      <w:tblCellMar>
        <w:top w:w="0" w:type="dxa"/>
        <w:left w:w="108" w:type="dxa"/>
        <w:bottom w:w="0" w:type="dxa"/>
        <w:right w:w="108" w:type="dxa"/>
      </w:tblCellMar>
    </w:tblPr>
  </w:style>
  <w:style w:type="character" w:customStyle="1" w:styleId="328">
    <w:name w:val="Hyperlink_file_2850"/>
    <w:basedOn w:val="326"/>
    <w:qFormat/>
    <w:uiPriority w:val="99"/>
    <w:rPr>
      <w:color w:val="0782C1"/>
      <w:u w:val="single"/>
    </w:rPr>
  </w:style>
  <w:style w:type="character" w:customStyle="1" w:styleId="329">
    <w:name w:val="FollowedHyperlink_file_2850"/>
    <w:basedOn w:val="326"/>
    <w:qFormat/>
    <w:uiPriority w:val="99"/>
    <w:rPr>
      <w:color w:val="0782C1"/>
      <w:u w:val="single"/>
    </w:rPr>
  </w:style>
  <w:style w:type="character" w:customStyle="1" w:styleId="330">
    <w:name w:val="标题 1 Char_file_2850"/>
    <w:basedOn w:val="326"/>
    <w:link w:val="4"/>
    <w:qFormat/>
    <w:uiPriority w:val="9"/>
    <w:rPr>
      <w:rFonts w:ascii="宋体" w:hAnsi="宋体" w:eastAsia="宋体" w:cs="宋体"/>
      <w:b/>
      <w:bCs/>
      <w:kern w:val="44"/>
      <w:sz w:val="44"/>
      <w:szCs w:val="44"/>
    </w:rPr>
  </w:style>
  <w:style w:type="character" w:customStyle="1" w:styleId="331">
    <w:name w:val="标题 2 Char_file_2850"/>
    <w:basedOn w:val="326"/>
    <w:link w:val="5"/>
    <w:qFormat/>
    <w:uiPriority w:val="9"/>
    <w:rPr>
      <w:rFonts w:ascii="等线 Light" w:hAnsi="等线 Light" w:eastAsia="等线 Light" w:cs="宋体"/>
      <w:b/>
      <w:bCs/>
      <w:sz w:val="32"/>
      <w:szCs w:val="32"/>
    </w:rPr>
  </w:style>
  <w:style w:type="character" w:customStyle="1" w:styleId="332">
    <w:name w:val="标题 3 Char_file_2850"/>
    <w:basedOn w:val="326"/>
    <w:link w:val="6"/>
    <w:qFormat/>
    <w:uiPriority w:val="9"/>
    <w:rPr>
      <w:rFonts w:ascii="宋体" w:hAnsi="宋体" w:eastAsia="宋体" w:cs="宋体"/>
      <w:b/>
      <w:bCs/>
      <w:sz w:val="32"/>
      <w:szCs w:val="32"/>
    </w:rPr>
  </w:style>
  <w:style w:type="character" w:customStyle="1" w:styleId="333">
    <w:name w:val="标题 4 Char_file_2850"/>
    <w:basedOn w:val="326"/>
    <w:link w:val="7"/>
    <w:qFormat/>
    <w:uiPriority w:val="9"/>
    <w:rPr>
      <w:rFonts w:ascii="等线 Light" w:hAnsi="等线 Light" w:eastAsia="等线 Light" w:cs="宋体"/>
      <w:b/>
      <w:bCs/>
      <w:sz w:val="28"/>
      <w:szCs w:val="28"/>
    </w:rPr>
  </w:style>
  <w:style w:type="character" w:customStyle="1" w:styleId="334">
    <w:name w:val="标题 5 Char_file_2850"/>
    <w:basedOn w:val="326"/>
    <w:link w:val="8"/>
    <w:qFormat/>
    <w:uiPriority w:val="9"/>
    <w:rPr>
      <w:rFonts w:ascii="宋体" w:hAnsi="宋体" w:eastAsia="宋体" w:cs="宋体"/>
      <w:b/>
      <w:bCs/>
      <w:sz w:val="28"/>
      <w:szCs w:val="28"/>
    </w:rPr>
  </w:style>
  <w:style w:type="character" w:customStyle="1" w:styleId="335">
    <w:name w:val="标题 6 Char_file_2850"/>
    <w:basedOn w:val="326"/>
    <w:link w:val="11"/>
    <w:qFormat/>
    <w:uiPriority w:val="9"/>
    <w:rPr>
      <w:rFonts w:ascii="等线 Light" w:hAnsi="等线 Light" w:eastAsia="等线 Light" w:cs="宋体"/>
      <w:b/>
      <w:bCs/>
      <w:sz w:val="24"/>
      <w:szCs w:val="24"/>
    </w:rPr>
  </w:style>
  <w:style w:type="paragraph" w:customStyle="1" w:styleId="336">
    <w:name w:val="cke_editable_file_2850"/>
    <w:basedOn w:val="319"/>
    <w:qFormat/>
    <w:uiPriority w:val="0"/>
    <w:rPr>
      <w:rFonts w:ascii="仿宋_GB2312" w:eastAsia="仿宋_GB2312"/>
    </w:rPr>
  </w:style>
  <w:style w:type="paragraph" w:customStyle="1" w:styleId="337">
    <w:name w:val="marker_file_2850"/>
    <w:basedOn w:val="319"/>
    <w:qFormat/>
    <w:uiPriority w:val="0"/>
    <w:pPr>
      <w:shd w:val="clear" w:color="auto" w:fill="FFFF00"/>
    </w:pPr>
  </w:style>
  <w:style w:type="paragraph" w:customStyle="1" w:styleId="338">
    <w:name w:val="Normal (Web)_file_2850"/>
    <w:basedOn w:val="319"/>
    <w:qFormat/>
    <w:uiPriority w:val="99"/>
  </w:style>
  <w:style w:type="paragraph" w:customStyle="1" w:styleId="339">
    <w:name w:val="Normal_file_285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40">
    <w:name w:val="heading 1_file_2851"/>
    <w:basedOn w:val="339"/>
    <w:qFormat/>
    <w:uiPriority w:val="9"/>
    <w:pPr>
      <w:outlineLvl w:val="0"/>
    </w:pPr>
    <w:rPr>
      <w:kern w:val="36"/>
      <w:sz w:val="48"/>
      <w:szCs w:val="48"/>
    </w:rPr>
  </w:style>
  <w:style w:type="paragraph" w:customStyle="1" w:styleId="341">
    <w:name w:val="heading 2_file_2851"/>
    <w:basedOn w:val="339"/>
    <w:qFormat/>
    <w:uiPriority w:val="9"/>
    <w:pPr>
      <w:outlineLvl w:val="1"/>
    </w:pPr>
    <w:rPr>
      <w:sz w:val="36"/>
      <w:szCs w:val="36"/>
    </w:rPr>
  </w:style>
  <w:style w:type="paragraph" w:customStyle="1" w:styleId="342">
    <w:name w:val="heading 3_file_2851"/>
    <w:basedOn w:val="339"/>
    <w:qFormat/>
    <w:uiPriority w:val="9"/>
    <w:pPr>
      <w:outlineLvl w:val="2"/>
    </w:pPr>
    <w:rPr>
      <w:sz w:val="27"/>
      <w:szCs w:val="27"/>
    </w:rPr>
  </w:style>
  <w:style w:type="paragraph" w:customStyle="1" w:styleId="343">
    <w:name w:val="heading 4_file_2851"/>
    <w:basedOn w:val="339"/>
    <w:qFormat/>
    <w:uiPriority w:val="9"/>
    <w:pPr>
      <w:outlineLvl w:val="3"/>
    </w:pPr>
  </w:style>
  <w:style w:type="paragraph" w:customStyle="1" w:styleId="344">
    <w:name w:val="heading 5_file_2851"/>
    <w:basedOn w:val="339"/>
    <w:qFormat/>
    <w:uiPriority w:val="9"/>
    <w:pPr>
      <w:outlineLvl w:val="4"/>
    </w:pPr>
    <w:rPr>
      <w:sz w:val="20"/>
      <w:szCs w:val="20"/>
    </w:rPr>
  </w:style>
  <w:style w:type="paragraph" w:customStyle="1" w:styleId="345">
    <w:name w:val="heading 6_file_2851"/>
    <w:basedOn w:val="339"/>
    <w:qFormat/>
    <w:uiPriority w:val="9"/>
    <w:pPr>
      <w:outlineLvl w:val="5"/>
    </w:pPr>
    <w:rPr>
      <w:sz w:val="15"/>
      <w:szCs w:val="15"/>
    </w:rPr>
  </w:style>
  <w:style w:type="character" w:customStyle="1" w:styleId="346">
    <w:name w:val="Default Paragraph Font_file_2851"/>
    <w:qFormat/>
    <w:uiPriority w:val="1"/>
  </w:style>
  <w:style w:type="table" w:customStyle="1" w:styleId="347">
    <w:name w:val="Normal Table_file_2851"/>
    <w:qFormat/>
    <w:uiPriority w:val="99"/>
    <w:tblPr>
      <w:tblCellMar>
        <w:top w:w="0" w:type="dxa"/>
        <w:left w:w="108" w:type="dxa"/>
        <w:bottom w:w="0" w:type="dxa"/>
        <w:right w:w="108" w:type="dxa"/>
      </w:tblCellMar>
    </w:tblPr>
  </w:style>
  <w:style w:type="character" w:customStyle="1" w:styleId="348">
    <w:name w:val="Hyperlink_file_2851"/>
    <w:basedOn w:val="346"/>
    <w:qFormat/>
    <w:uiPriority w:val="99"/>
    <w:rPr>
      <w:color w:val="0782C1"/>
      <w:u w:val="single"/>
    </w:rPr>
  </w:style>
  <w:style w:type="character" w:customStyle="1" w:styleId="349">
    <w:name w:val="FollowedHyperlink_file_2851"/>
    <w:basedOn w:val="346"/>
    <w:qFormat/>
    <w:uiPriority w:val="99"/>
    <w:rPr>
      <w:color w:val="0782C1"/>
      <w:u w:val="single"/>
    </w:rPr>
  </w:style>
  <w:style w:type="character" w:customStyle="1" w:styleId="350">
    <w:name w:val="标题 1 Char_file_2851"/>
    <w:basedOn w:val="346"/>
    <w:link w:val="4"/>
    <w:qFormat/>
    <w:uiPriority w:val="9"/>
    <w:rPr>
      <w:rFonts w:ascii="宋体" w:hAnsi="宋体" w:eastAsia="宋体" w:cs="宋体"/>
      <w:b/>
      <w:bCs/>
      <w:kern w:val="44"/>
      <w:sz w:val="44"/>
      <w:szCs w:val="44"/>
    </w:rPr>
  </w:style>
  <w:style w:type="character" w:customStyle="1" w:styleId="351">
    <w:name w:val="标题 2 Char_file_2851"/>
    <w:basedOn w:val="346"/>
    <w:link w:val="5"/>
    <w:qFormat/>
    <w:uiPriority w:val="9"/>
    <w:rPr>
      <w:rFonts w:ascii="等线 Light" w:hAnsi="等线 Light" w:eastAsia="等线 Light" w:cs="宋体"/>
      <w:b/>
      <w:bCs/>
      <w:sz w:val="32"/>
      <w:szCs w:val="32"/>
    </w:rPr>
  </w:style>
  <w:style w:type="character" w:customStyle="1" w:styleId="352">
    <w:name w:val="标题 3 Char_file_2851"/>
    <w:basedOn w:val="346"/>
    <w:link w:val="6"/>
    <w:qFormat/>
    <w:uiPriority w:val="9"/>
    <w:rPr>
      <w:rFonts w:ascii="宋体" w:hAnsi="宋体" w:eastAsia="宋体" w:cs="宋体"/>
      <w:b/>
      <w:bCs/>
      <w:sz w:val="32"/>
      <w:szCs w:val="32"/>
    </w:rPr>
  </w:style>
  <w:style w:type="character" w:customStyle="1" w:styleId="353">
    <w:name w:val="标题 4 Char_file_2851"/>
    <w:basedOn w:val="346"/>
    <w:link w:val="7"/>
    <w:qFormat/>
    <w:uiPriority w:val="9"/>
    <w:rPr>
      <w:rFonts w:ascii="等线 Light" w:hAnsi="等线 Light" w:eastAsia="等线 Light" w:cs="宋体"/>
      <w:b/>
      <w:bCs/>
      <w:sz w:val="28"/>
      <w:szCs w:val="28"/>
    </w:rPr>
  </w:style>
  <w:style w:type="character" w:customStyle="1" w:styleId="354">
    <w:name w:val="标题 5 Char_file_2851"/>
    <w:basedOn w:val="346"/>
    <w:link w:val="8"/>
    <w:qFormat/>
    <w:uiPriority w:val="9"/>
    <w:rPr>
      <w:rFonts w:ascii="宋体" w:hAnsi="宋体" w:eastAsia="宋体" w:cs="宋体"/>
      <w:b/>
      <w:bCs/>
      <w:sz w:val="28"/>
      <w:szCs w:val="28"/>
    </w:rPr>
  </w:style>
  <w:style w:type="character" w:customStyle="1" w:styleId="355">
    <w:name w:val="标题 6 Char_file_2851"/>
    <w:basedOn w:val="346"/>
    <w:link w:val="11"/>
    <w:qFormat/>
    <w:uiPriority w:val="9"/>
    <w:rPr>
      <w:rFonts w:ascii="等线 Light" w:hAnsi="等线 Light" w:eastAsia="等线 Light" w:cs="宋体"/>
      <w:b/>
      <w:bCs/>
      <w:sz w:val="24"/>
      <w:szCs w:val="24"/>
    </w:rPr>
  </w:style>
  <w:style w:type="paragraph" w:customStyle="1" w:styleId="356">
    <w:name w:val="cke_editable_file_2851"/>
    <w:basedOn w:val="339"/>
    <w:qFormat/>
    <w:uiPriority w:val="0"/>
    <w:rPr>
      <w:rFonts w:ascii="仿宋_GB2312" w:eastAsia="仿宋_GB2312"/>
    </w:rPr>
  </w:style>
  <w:style w:type="paragraph" w:customStyle="1" w:styleId="357">
    <w:name w:val="marker_file_2851"/>
    <w:basedOn w:val="339"/>
    <w:qFormat/>
    <w:uiPriority w:val="0"/>
    <w:pPr>
      <w:shd w:val="clear" w:color="auto" w:fill="FFFF00"/>
    </w:pPr>
  </w:style>
  <w:style w:type="paragraph" w:customStyle="1" w:styleId="358">
    <w:name w:val="Normal (Web)_file_2851"/>
    <w:basedOn w:val="339"/>
    <w:qFormat/>
    <w:uiPriority w:val="99"/>
  </w:style>
  <w:style w:type="paragraph" w:customStyle="1" w:styleId="359">
    <w:name w:val="Normal_file_285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60">
    <w:name w:val="heading 1_file_2852"/>
    <w:basedOn w:val="359"/>
    <w:qFormat/>
    <w:uiPriority w:val="9"/>
    <w:pPr>
      <w:outlineLvl w:val="0"/>
    </w:pPr>
    <w:rPr>
      <w:kern w:val="36"/>
      <w:sz w:val="48"/>
      <w:szCs w:val="48"/>
    </w:rPr>
  </w:style>
  <w:style w:type="paragraph" w:customStyle="1" w:styleId="361">
    <w:name w:val="heading 2_file_2852"/>
    <w:basedOn w:val="359"/>
    <w:qFormat/>
    <w:uiPriority w:val="9"/>
    <w:pPr>
      <w:outlineLvl w:val="1"/>
    </w:pPr>
    <w:rPr>
      <w:sz w:val="36"/>
      <w:szCs w:val="36"/>
    </w:rPr>
  </w:style>
  <w:style w:type="paragraph" w:customStyle="1" w:styleId="362">
    <w:name w:val="heading 3_file_2852"/>
    <w:basedOn w:val="359"/>
    <w:qFormat/>
    <w:uiPriority w:val="9"/>
    <w:pPr>
      <w:outlineLvl w:val="2"/>
    </w:pPr>
    <w:rPr>
      <w:sz w:val="27"/>
      <w:szCs w:val="27"/>
    </w:rPr>
  </w:style>
  <w:style w:type="paragraph" w:customStyle="1" w:styleId="363">
    <w:name w:val="heading 4_file_2852"/>
    <w:basedOn w:val="359"/>
    <w:qFormat/>
    <w:uiPriority w:val="9"/>
    <w:pPr>
      <w:outlineLvl w:val="3"/>
    </w:pPr>
  </w:style>
  <w:style w:type="paragraph" w:customStyle="1" w:styleId="364">
    <w:name w:val="heading 5_file_2852"/>
    <w:basedOn w:val="359"/>
    <w:qFormat/>
    <w:uiPriority w:val="9"/>
    <w:pPr>
      <w:outlineLvl w:val="4"/>
    </w:pPr>
    <w:rPr>
      <w:sz w:val="20"/>
      <w:szCs w:val="20"/>
    </w:rPr>
  </w:style>
  <w:style w:type="paragraph" w:customStyle="1" w:styleId="365">
    <w:name w:val="heading 6_file_2852"/>
    <w:basedOn w:val="359"/>
    <w:qFormat/>
    <w:uiPriority w:val="9"/>
    <w:pPr>
      <w:outlineLvl w:val="5"/>
    </w:pPr>
    <w:rPr>
      <w:sz w:val="15"/>
      <w:szCs w:val="15"/>
    </w:rPr>
  </w:style>
  <w:style w:type="character" w:customStyle="1" w:styleId="366">
    <w:name w:val="Default Paragraph Font_file_2852"/>
    <w:qFormat/>
    <w:uiPriority w:val="1"/>
  </w:style>
  <w:style w:type="table" w:customStyle="1" w:styleId="367">
    <w:name w:val="Normal Table_file_2852"/>
    <w:qFormat/>
    <w:uiPriority w:val="99"/>
    <w:tblPr>
      <w:tblCellMar>
        <w:top w:w="0" w:type="dxa"/>
        <w:left w:w="108" w:type="dxa"/>
        <w:bottom w:w="0" w:type="dxa"/>
        <w:right w:w="108" w:type="dxa"/>
      </w:tblCellMar>
    </w:tblPr>
  </w:style>
  <w:style w:type="character" w:customStyle="1" w:styleId="368">
    <w:name w:val="Hyperlink_file_2852"/>
    <w:basedOn w:val="366"/>
    <w:qFormat/>
    <w:uiPriority w:val="99"/>
    <w:rPr>
      <w:color w:val="0782C1"/>
      <w:u w:val="single"/>
    </w:rPr>
  </w:style>
  <w:style w:type="character" w:customStyle="1" w:styleId="369">
    <w:name w:val="FollowedHyperlink_file_2852"/>
    <w:basedOn w:val="366"/>
    <w:qFormat/>
    <w:uiPriority w:val="99"/>
    <w:rPr>
      <w:color w:val="0782C1"/>
      <w:u w:val="single"/>
    </w:rPr>
  </w:style>
  <w:style w:type="character" w:customStyle="1" w:styleId="370">
    <w:name w:val="标题 1 Char_file_2852"/>
    <w:basedOn w:val="366"/>
    <w:link w:val="4"/>
    <w:qFormat/>
    <w:uiPriority w:val="9"/>
    <w:rPr>
      <w:rFonts w:ascii="宋体" w:hAnsi="宋体" w:eastAsia="宋体" w:cs="宋体"/>
      <w:b/>
      <w:bCs/>
      <w:kern w:val="44"/>
      <w:sz w:val="44"/>
      <w:szCs w:val="44"/>
    </w:rPr>
  </w:style>
  <w:style w:type="character" w:customStyle="1" w:styleId="371">
    <w:name w:val="标题 2 Char_file_2852"/>
    <w:basedOn w:val="366"/>
    <w:link w:val="5"/>
    <w:qFormat/>
    <w:uiPriority w:val="9"/>
    <w:rPr>
      <w:rFonts w:ascii="等线 Light" w:hAnsi="等线 Light" w:eastAsia="等线 Light" w:cs="宋体"/>
      <w:b/>
      <w:bCs/>
      <w:sz w:val="32"/>
      <w:szCs w:val="32"/>
    </w:rPr>
  </w:style>
  <w:style w:type="character" w:customStyle="1" w:styleId="372">
    <w:name w:val="标题 3 Char_file_2852"/>
    <w:basedOn w:val="366"/>
    <w:link w:val="6"/>
    <w:qFormat/>
    <w:uiPriority w:val="9"/>
    <w:rPr>
      <w:rFonts w:ascii="宋体" w:hAnsi="宋体" w:eastAsia="宋体" w:cs="宋体"/>
      <w:b/>
      <w:bCs/>
      <w:sz w:val="32"/>
      <w:szCs w:val="32"/>
    </w:rPr>
  </w:style>
  <w:style w:type="character" w:customStyle="1" w:styleId="373">
    <w:name w:val="标题 4 Char_file_2852"/>
    <w:basedOn w:val="366"/>
    <w:link w:val="7"/>
    <w:qFormat/>
    <w:uiPriority w:val="9"/>
    <w:rPr>
      <w:rFonts w:ascii="等线 Light" w:hAnsi="等线 Light" w:eastAsia="等线 Light" w:cs="宋体"/>
      <w:b/>
      <w:bCs/>
      <w:sz w:val="28"/>
      <w:szCs w:val="28"/>
    </w:rPr>
  </w:style>
  <w:style w:type="character" w:customStyle="1" w:styleId="374">
    <w:name w:val="标题 5 Char_file_2852"/>
    <w:basedOn w:val="366"/>
    <w:link w:val="8"/>
    <w:qFormat/>
    <w:uiPriority w:val="9"/>
    <w:rPr>
      <w:rFonts w:ascii="宋体" w:hAnsi="宋体" w:eastAsia="宋体" w:cs="宋体"/>
      <w:b/>
      <w:bCs/>
      <w:sz w:val="28"/>
      <w:szCs w:val="28"/>
    </w:rPr>
  </w:style>
  <w:style w:type="character" w:customStyle="1" w:styleId="375">
    <w:name w:val="标题 6 Char_file_2852"/>
    <w:basedOn w:val="366"/>
    <w:link w:val="11"/>
    <w:qFormat/>
    <w:uiPriority w:val="9"/>
    <w:rPr>
      <w:rFonts w:ascii="等线 Light" w:hAnsi="等线 Light" w:eastAsia="等线 Light" w:cs="宋体"/>
      <w:b/>
      <w:bCs/>
      <w:sz w:val="24"/>
      <w:szCs w:val="24"/>
    </w:rPr>
  </w:style>
  <w:style w:type="paragraph" w:customStyle="1" w:styleId="376">
    <w:name w:val="cke_editable_file_2852"/>
    <w:basedOn w:val="359"/>
    <w:qFormat/>
    <w:uiPriority w:val="0"/>
    <w:rPr>
      <w:rFonts w:ascii="仿宋_GB2312" w:eastAsia="仿宋_GB2312"/>
    </w:rPr>
  </w:style>
  <w:style w:type="paragraph" w:customStyle="1" w:styleId="377">
    <w:name w:val="marker_file_2852"/>
    <w:basedOn w:val="359"/>
    <w:qFormat/>
    <w:uiPriority w:val="0"/>
    <w:pPr>
      <w:shd w:val="clear" w:color="auto" w:fill="FFFF00"/>
    </w:pPr>
  </w:style>
  <w:style w:type="paragraph" w:customStyle="1" w:styleId="378">
    <w:name w:val="Normal (Web)_file_2852"/>
    <w:basedOn w:val="359"/>
    <w:qFormat/>
    <w:uiPriority w:val="99"/>
  </w:style>
  <w:style w:type="character" w:customStyle="1" w:styleId="379">
    <w:name w:val="Emphasis_file_2852"/>
    <w:basedOn w:val="366"/>
    <w:qFormat/>
    <w:uiPriority w:val="20"/>
    <w:rPr>
      <w:i/>
      <w:iCs/>
    </w:rPr>
  </w:style>
  <w:style w:type="paragraph" w:customStyle="1" w:styleId="380">
    <w:name w:val="Normal_file_285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81">
    <w:name w:val="heading 1_file_2853"/>
    <w:basedOn w:val="380"/>
    <w:qFormat/>
    <w:uiPriority w:val="9"/>
    <w:pPr>
      <w:outlineLvl w:val="0"/>
    </w:pPr>
    <w:rPr>
      <w:kern w:val="36"/>
      <w:sz w:val="48"/>
      <w:szCs w:val="48"/>
    </w:rPr>
  </w:style>
  <w:style w:type="paragraph" w:customStyle="1" w:styleId="382">
    <w:name w:val="heading 2_file_2853"/>
    <w:basedOn w:val="380"/>
    <w:qFormat/>
    <w:uiPriority w:val="9"/>
    <w:pPr>
      <w:outlineLvl w:val="1"/>
    </w:pPr>
    <w:rPr>
      <w:sz w:val="36"/>
      <w:szCs w:val="36"/>
    </w:rPr>
  </w:style>
  <w:style w:type="paragraph" w:customStyle="1" w:styleId="383">
    <w:name w:val="heading 3_file_2853"/>
    <w:basedOn w:val="380"/>
    <w:qFormat/>
    <w:uiPriority w:val="9"/>
    <w:pPr>
      <w:outlineLvl w:val="2"/>
    </w:pPr>
    <w:rPr>
      <w:sz w:val="27"/>
      <w:szCs w:val="27"/>
    </w:rPr>
  </w:style>
  <w:style w:type="paragraph" w:customStyle="1" w:styleId="384">
    <w:name w:val="heading 4_file_2853"/>
    <w:basedOn w:val="380"/>
    <w:qFormat/>
    <w:uiPriority w:val="9"/>
    <w:pPr>
      <w:outlineLvl w:val="3"/>
    </w:pPr>
  </w:style>
  <w:style w:type="paragraph" w:customStyle="1" w:styleId="385">
    <w:name w:val="heading 5_file_2853"/>
    <w:basedOn w:val="380"/>
    <w:qFormat/>
    <w:uiPriority w:val="9"/>
    <w:pPr>
      <w:outlineLvl w:val="4"/>
    </w:pPr>
    <w:rPr>
      <w:sz w:val="20"/>
      <w:szCs w:val="20"/>
    </w:rPr>
  </w:style>
  <w:style w:type="paragraph" w:customStyle="1" w:styleId="386">
    <w:name w:val="heading 6_file_2853"/>
    <w:basedOn w:val="380"/>
    <w:qFormat/>
    <w:uiPriority w:val="9"/>
    <w:pPr>
      <w:outlineLvl w:val="5"/>
    </w:pPr>
    <w:rPr>
      <w:sz w:val="15"/>
      <w:szCs w:val="15"/>
    </w:rPr>
  </w:style>
  <w:style w:type="character" w:customStyle="1" w:styleId="387">
    <w:name w:val="Default Paragraph Font_file_2853"/>
    <w:qFormat/>
    <w:uiPriority w:val="1"/>
  </w:style>
  <w:style w:type="table" w:customStyle="1" w:styleId="388">
    <w:name w:val="Normal Table_file_2853"/>
    <w:qFormat/>
    <w:uiPriority w:val="99"/>
    <w:tblPr>
      <w:tblCellMar>
        <w:top w:w="0" w:type="dxa"/>
        <w:left w:w="108" w:type="dxa"/>
        <w:bottom w:w="0" w:type="dxa"/>
        <w:right w:w="108" w:type="dxa"/>
      </w:tblCellMar>
    </w:tblPr>
  </w:style>
  <w:style w:type="character" w:customStyle="1" w:styleId="389">
    <w:name w:val="Hyperlink_file_2853"/>
    <w:basedOn w:val="387"/>
    <w:qFormat/>
    <w:uiPriority w:val="99"/>
    <w:rPr>
      <w:color w:val="0782C1"/>
      <w:u w:val="single"/>
    </w:rPr>
  </w:style>
  <w:style w:type="character" w:customStyle="1" w:styleId="390">
    <w:name w:val="FollowedHyperlink_file_2853"/>
    <w:basedOn w:val="387"/>
    <w:qFormat/>
    <w:uiPriority w:val="99"/>
    <w:rPr>
      <w:color w:val="0782C1"/>
      <w:u w:val="single"/>
    </w:rPr>
  </w:style>
  <w:style w:type="character" w:customStyle="1" w:styleId="391">
    <w:name w:val="标题 1 Char_file_2853"/>
    <w:basedOn w:val="387"/>
    <w:link w:val="4"/>
    <w:qFormat/>
    <w:uiPriority w:val="9"/>
    <w:rPr>
      <w:rFonts w:ascii="宋体" w:hAnsi="宋体" w:eastAsia="宋体" w:cs="宋体"/>
      <w:b/>
      <w:bCs/>
      <w:kern w:val="44"/>
      <w:sz w:val="44"/>
      <w:szCs w:val="44"/>
    </w:rPr>
  </w:style>
  <w:style w:type="character" w:customStyle="1" w:styleId="392">
    <w:name w:val="标题 2 Char_file_2853"/>
    <w:basedOn w:val="387"/>
    <w:link w:val="5"/>
    <w:qFormat/>
    <w:uiPriority w:val="9"/>
    <w:rPr>
      <w:rFonts w:ascii="等线 Light" w:hAnsi="等线 Light" w:eastAsia="等线 Light" w:cs="宋体"/>
      <w:b/>
      <w:bCs/>
      <w:sz w:val="32"/>
      <w:szCs w:val="32"/>
    </w:rPr>
  </w:style>
  <w:style w:type="character" w:customStyle="1" w:styleId="393">
    <w:name w:val="标题 3 Char_file_2853"/>
    <w:basedOn w:val="387"/>
    <w:link w:val="6"/>
    <w:qFormat/>
    <w:uiPriority w:val="9"/>
    <w:rPr>
      <w:rFonts w:ascii="宋体" w:hAnsi="宋体" w:eastAsia="宋体" w:cs="宋体"/>
      <w:b/>
      <w:bCs/>
      <w:sz w:val="32"/>
      <w:szCs w:val="32"/>
    </w:rPr>
  </w:style>
  <w:style w:type="character" w:customStyle="1" w:styleId="394">
    <w:name w:val="标题 4 Char_file_2853"/>
    <w:basedOn w:val="387"/>
    <w:link w:val="7"/>
    <w:qFormat/>
    <w:uiPriority w:val="9"/>
    <w:rPr>
      <w:rFonts w:ascii="等线 Light" w:hAnsi="等线 Light" w:eastAsia="等线 Light" w:cs="宋体"/>
      <w:b/>
      <w:bCs/>
      <w:sz w:val="28"/>
      <w:szCs w:val="28"/>
    </w:rPr>
  </w:style>
  <w:style w:type="character" w:customStyle="1" w:styleId="395">
    <w:name w:val="标题 5 Char_file_2853"/>
    <w:basedOn w:val="387"/>
    <w:link w:val="8"/>
    <w:qFormat/>
    <w:uiPriority w:val="9"/>
    <w:rPr>
      <w:rFonts w:ascii="宋体" w:hAnsi="宋体" w:eastAsia="宋体" w:cs="宋体"/>
      <w:b/>
      <w:bCs/>
      <w:sz w:val="28"/>
      <w:szCs w:val="28"/>
    </w:rPr>
  </w:style>
  <w:style w:type="character" w:customStyle="1" w:styleId="396">
    <w:name w:val="标题 6 Char_file_2853"/>
    <w:basedOn w:val="387"/>
    <w:link w:val="11"/>
    <w:qFormat/>
    <w:uiPriority w:val="9"/>
    <w:rPr>
      <w:rFonts w:ascii="等线 Light" w:hAnsi="等线 Light" w:eastAsia="等线 Light" w:cs="宋体"/>
      <w:b/>
      <w:bCs/>
      <w:sz w:val="24"/>
      <w:szCs w:val="24"/>
    </w:rPr>
  </w:style>
  <w:style w:type="paragraph" w:customStyle="1" w:styleId="397">
    <w:name w:val="cke_editable_file_2853"/>
    <w:basedOn w:val="380"/>
    <w:qFormat/>
    <w:uiPriority w:val="0"/>
    <w:rPr>
      <w:rFonts w:ascii="仿宋_GB2312" w:eastAsia="仿宋_GB2312"/>
    </w:rPr>
  </w:style>
  <w:style w:type="paragraph" w:customStyle="1" w:styleId="398">
    <w:name w:val="marker_file_2853"/>
    <w:basedOn w:val="380"/>
    <w:qFormat/>
    <w:uiPriority w:val="0"/>
    <w:pPr>
      <w:shd w:val="clear" w:color="auto" w:fill="FFFF00"/>
    </w:pPr>
  </w:style>
  <w:style w:type="paragraph" w:customStyle="1" w:styleId="399">
    <w:name w:val="Normal (Web)_file_2853"/>
    <w:basedOn w:val="380"/>
    <w:qFormat/>
    <w:uiPriority w:val="99"/>
  </w:style>
  <w:style w:type="paragraph" w:customStyle="1" w:styleId="400">
    <w:name w:val="Normal_file_285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01">
    <w:name w:val="heading 1_file_2854"/>
    <w:basedOn w:val="400"/>
    <w:qFormat/>
    <w:uiPriority w:val="9"/>
    <w:pPr>
      <w:outlineLvl w:val="0"/>
    </w:pPr>
    <w:rPr>
      <w:kern w:val="36"/>
      <w:sz w:val="48"/>
      <w:szCs w:val="48"/>
    </w:rPr>
  </w:style>
  <w:style w:type="paragraph" w:customStyle="1" w:styleId="402">
    <w:name w:val="heading 2_file_2854"/>
    <w:basedOn w:val="400"/>
    <w:qFormat/>
    <w:uiPriority w:val="9"/>
    <w:pPr>
      <w:outlineLvl w:val="1"/>
    </w:pPr>
    <w:rPr>
      <w:sz w:val="36"/>
      <w:szCs w:val="36"/>
    </w:rPr>
  </w:style>
  <w:style w:type="paragraph" w:customStyle="1" w:styleId="403">
    <w:name w:val="heading 3_file_2854"/>
    <w:basedOn w:val="400"/>
    <w:qFormat/>
    <w:uiPriority w:val="9"/>
    <w:pPr>
      <w:outlineLvl w:val="2"/>
    </w:pPr>
    <w:rPr>
      <w:sz w:val="27"/>
      <w:szCs w:val="27"/>
    </w:rPr>
  </w:style>
  <w:style w:type="paragraph" w:customStyle="1" w:styleId="404">
    <w:name w:val="heading 4_file_2854"/>
    <w:basedOn w:val="400"/>
    <w:qFormat/>
    <w:uiPriority w:val="9"/>
    <w:pPr>
      <w:outlineLvl w:val="3"/>
    </w:pPr>
  </w:style>
  <w:style w:type="paragraph" w:customStyle="1" w:styleId="405">
    <w:name w:val="heading 5_file_2854"/>
    <w:basedOn w:val="400"/>
    <w:qFormat/>
    <w:uiPriority w:val="9"/>
    <w:pPr>
      <w:outlineLvl w:val="4"/>
    </w:pPr>
    <w:rPr>
      <w:sz w:val="20"/>
      <w:szCs w:val="20"/>
    </w:rPr>
  </w:style>
  <w:style w:type="paragraph" w:customStyle="1" w:styleId="406">
    <w:name w:val="heading 6_file_2854"/>
    <w:basedOn w:val="400"/>
    <w:qFormat/>
    <w:uiPriority w:val="9"/>
    <w:pPr>
      <w:outlineLvl w:val="5"/>
    </w:pPr>
    <w:rPr>
      <w:sz w:val="15"/>
      <w:szCs w:val="15"/>
    </w:rPr>
  </w:style>
  <w:style w:type="character" w:customStyle="1" w:styleId="407">
    <w:name w:val="Default Paragraph Font_file_2854"/>
    <w:qFormat/>
    <w:uiPriority w:val="1"/>
  </w:style>
  <w:style w:type="table" w:customStyle="1" w:styleId="408">
    <w:name w:val="Normal Table_file_2854"/>
    <w:qFormat/>
    <w:uiPriority w:val="99"/>
    <w:tblPr>
      <w:tblCellMar>
        <w:top w:w="0" w:type="dxa"/>
        <w:left w:w="108" w:type="dxa"/>
        <w:bottom w:w="0" w:type="dxa"/>
        <w:right w:w="108" w:type="dxa"/>
      </w:tblCellMar>
    </w:tblPr>
  </w:style>
  <w:style w:type="character" w:customStyle="1" w:styleId="409">
    <w:name w:val="Hyperlink_file_2854"/>
    <w:basedOn w:val="407"/>
    <w:qFormat/>
    <w:uiPriority w:val="99"/>
    <w:rPr>
      <w:color w:val="0782C1"/>
      <w:u w:val="single"/>
    </w:rPr>
  </w:style>
  <w:style w:type="character" w:customStyle="1" w:styleId="410">
    <w:name w:val="FollowedHyperlink_file_2854"/>
    <w:basedOn w:val="407"/>
    <w:qFormat/>
    <w:uiPriority w:val="99"/>
    <w:rPr>
      <w:color w:val="0782C1"/>
      <w:u w:val="single"/>
    </w:rPr>
  </w:style>
  <w:style w:type="character" w:customStyle="1" w:styleId="411">
    <w:name w:val="标题 1 Char_file_2854"/>
    <w:basedOn w:val="407"/>
    <w:link w:val="4"/>
    <w:qFormat/>
    <w:uiPriority w:val="9"/>
    <w:rPr>
      <w:rFonts w:ascii="宋体" w:hAnsi="宋体" w:eastAsia="宋体" w:cs="宋体"/>
      <w:b/>
      <w:bCs/>
      <w:kern w:val="44"/>
      <w:sz w:val="44"/>
      <w:szCs w:val="44"/>
    </w:rPr>
  </w:style>
  <w:style w:type="character" w:customStyle="1" w:styleId="412">
    <w:name w:val="标题 2 Char_file_2854"/>
    <w:basedOn w:val="407"/>
    <w:link w:val="5"/>
    <w:qFormat/>
    <w:uiPriority w:val="9"/>
    <w:rPr>
      <w:rFonts w:ascii="等线 Light" w:hAnsi="等线 Light" w:eastAsia="等线 Light" w:cs="宋体"/>
      <w:b/>
      <w:bCs/>
      <w:sz w:val="32"/>
      <w:szCs w:val="32"/>
    </w:rPr>
  </w:style>
  <w:style w:type="character" w:customStyle="1" w:styleId="413">
    <w:name w:val="标题 3 Char_file_2854"/>
    <w:basedOn w:val="407"/>
    <w:link w:val="6"/>
    <w:qFormat/>
    <w:uiPriority w:val="9"/>
    <w:rPr>
      <w:rFonts w:ascii="宋体" w:hAnsi="宋体" w:eastAsia="宋体" w:cs="宋体"/>
      <w:b/>
      <w:bCs/>
      <w:sz w:val="32"/>
      <w:szCs w:val="32"/>
    </w:rPr>
  </w:style>
  <w:style w:type="character" w:customStyle="1" w:styleId="414">
    <w:name w:val="标题 4 Char_file_2854"/>
    <w:basedOn w:val="407"/>
    <w:link w:val="7"/>
    <w:qFormat/>
    <w:uiPriority w:val="9"/>
    <w:rPr>
      <w:rFonts w:ascii="等线 Light" w:hAnsi="等线 Light" w:eastAsia="等线 Light" w:cs="宋体"/>
      <w:b/>
      <w:bCs/>
      <w:sz w:val="28"/>
      <w:szCs w:val="28"/>
    </w:rPr>
  </w:style>
  <w:style w:type="character" w:customStyle="1" w:styleId="415">
    <w:name w:val="标题 5 Char_file_2854"/>
    <w:basedOn w:val="407"/>
    <w:link w:val="8"/>
    <w:qFormat/>
    <w:uiPriority w:val="9"/>
    <w:rPr>
      <w:rFonts w:ascii="宋体" w:hAnsi="宋体" w:eastAsia="宋体" w:cs="宋体"/>
      <w:b/>
      <w:bCs/>
      <w:sz w:val="28"/>
      <w:szCs w:val="28"/>
    </w:rPr>
  </w:style>
  <w:style w:type="character" w:customStyle="1" w:styleId="416">
    <w:name w:val="标题 6 Char_file_2854"/>
    <w:basedOn w:val="407"/>
    <w:link w:val="11"/>
    <w:qFormat/>
    <w:uiPriority w:val="9"/>
    <w:rPr>
      <w:rFonts w:ascii="等线 Light" w:hAnsi="等线 Light" w:eastAsia="等线 Light" w:cs="宋体"/>
      <w:b/>
      <w:bCs/>
      <w:sz w:val="24"/>
      <w:szCs w:val="24"/>
    </w:rPr>
  </w:style>
  <w:style w:type="paragraph" w:customStyle="1" w:styleId="417">
    <w:name w:val="cke_editable_file_2854"/>
    <w:basedOn w:val="400"/>
    <w:qFormat/>
    <w:uiPriority w:val="0"/>
    <w:rPr>
      <w:rFonts w:ascii="仿宋_GB2312" w:eastAsia="仿宋_GB2312"/>
    </w:rPr>
  </w:style>
  <w:style w:type="paragraph" w:customStyle="1" w:styleId="418">
    <w:name w:val="marker_file_2854"/>
    <w:basedOn w:val="400"/>
    <w:qFormat/>
    <w:uiPriority w:val="0"/>
    <w:pPr>
      <w:shd w:val="clear" w:color="auto" w:fill="FFFF00"/>
    </w:pPr>
  </w:style>
  <w:style w:type="paragraph" w:customStyle="1" w:styleId="419">
    <w:name w:val="Normal (Web)_file_2854"/>
    <w:basedOn w:val="400"/>
    <w:qFormat/>
    <w:uiPriority w:val="99"/>
  </w:style>
  <w:style w:type="paragraph" w:customStyle="1" w:styleId="420">
    <w:name w:val="Normal_file_285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21">
    <w:name w:val="heading 1_file_2855"/>
    <w:basedOn w:val="420"/>
    <w:qFormat/>
    <w:uiPriority w:val="9"/>
    <w:pPr>
      <w:outlineLvl w:val="0"/>
    </w:pPr>
    <w:rPr>
      <w:kern w:val="36"/>
      <w:sz w:val="48"/>
      <w:szCs w:val="48"/>
    </w:rPr>
  </w:style>
  <w:style w:type="paragraph" w:customStyle="1" w:styleId="422">
    <w:name w:val="heading 2_file_2855"/>
    <w:basedOn w:val="420"/>
    <w:qFormat/>
    <w:uiPriority w:val="9"/>
    <w:pPr>
      <w:outlineLvl w:val="1"/>
    </w:pPr>
    <w:rPr>
      <w:sz w:val="36"/>
      <w:szCs w:val="36"/>
    </w:rPr>
  </w:style>
  <w:style w:type="paragraph" w:customStyle="1" w:styleId="423">
    <w:name w:val="heading 3_file_2855"/>
    <w:basedOn w:val="420"/>
    <w:qFormat/>
    <w:uiPriority w:val="9"/>
    <w:pPr>
      <w:outlineLvl w:val="2"/>
    </w:pPr>
    <w:rPr>
      <w:sz w:val="27"/>
      <w:szCs w:val="27"/>
    </w:rPr>
  </w:style>
  <w:style w:type="paragraph" w:customStyle="1" w:styleId="424">
    <w:name w:val="heading 4_file_2855"/>
    <w:basedOn w:val="420"/>
    <w:qFormat/>
    <w:uiPriority w:val="9"/>
    <w:pPr>
      <w:outlineLvl w:val="3"/>
    </w:pPr>
  </w:style>
  <w:style w:type="paragraph" w:customStyle="1" w:styleId="425">
    <w:name w:val="heading 5_file_2855"/>
    <w:basedOn w:val="420"/>
    <w:qFormat/>
    <w:uiPriority w:val="9"/>
    <w:pPr>
      <w:outlineLvl w:val="4"/>
    </w:pPr>
    <w:rPr>
      <w:sz w:val="20"/>
      <w:szCs w:val="20"/>
    </w:rPr>
  </w:style>
  <w:style w:type="paragraph" w:customStyle="1" w:styleId="426">
    <w:name w:val="heading 6_file_2855"/>
    <w:basedOn w:val="420"/>
    <w:qFormat/>
    <w:uiPriority w:val="9"/>
    <w:pPr>
      <w:outlineLvl w:val="5"/>
    </w:pPr>
    <w:rPr>
      <w:sz w:val="15"/>
      <w:szCs w:val="15"/>
    </w:rPr>
  </w:style>
  <w:style w:type="character" w:customStyle="1" w:styleId="427">
    <w:name w:val="Default Paragraph Font_file_2855"/>
    <w:qFormat/>
    <w:uiPriority w:val="1"/>
  </w:style>
  <w:style w:type="table" w:customStyle="1" w:styleId="428">
    <w:name w:val="Normal Table_file_2855"/>
    <w:qFormat/>
    <w:uiPriority w:val="99"/>
    <w:tblPr>
      <w:tblCellMar>
        <w:top w:w="0" w:type="dxa"/>
        <w:left w:w="108" w:type="dxa"/>
        <w:bottom w:w="0" w:type="dxa"/>
        <w:right w:w="108" w:type="dxa"/>
      </w:tblCellMar>
    </w:tblPr>
  </w:style>
  <w:style w:type="character" w:customStyle="1" w:styleId="429">
    <w:name w:val="Hyperlink_file_2855"/>
    <w:basedOn w:val="427"/>
    <w:qFormat/>
    <w:uiPriority w:val="99"/>
    <w:rPr>
      <w:color w:val="0782C1"/>
      <w:u w:val="single"/>
    </w:rPr>
  </w:style>
  <w:style w:type="character" w:customStyle="1" w:styleId="430">
    <w:name w:val="FollowedHyperlink_file_2855"/>
    <w:basedOn w:val="427"/>
    <w:qFormat/>
    <w:uiPriority w:val="99"/>
    <w:rPr>
      <w:color w:val="0782C1"/>
      <w:u w:val="single"/>
    </w:rPr>
  </w:style>
  <w:style w:type="character" w:customStyle="1" w:styleId="431">
    <w:name w:val="标题 1 Char_file_2855"/>
    <w:basedOn w:val="427"/>
    <w:link w:val="4"/>
    <w:qFormat/>
    <w:uiPriority w:val="9"/>
    <w:rPr>
      <w:rFonts w:ascii="宋体" w:hAnsi="宋体" w:eastAsia="宋体" w:cs="宋体"/>
      <w:b/>
      <w:bCs/>
      <w:kern w:val="44"/>
      <w:sz w:val="44"/>
      <w:szCs w:val="44"/>
    </w:rPr>
  </w:style>
  <w:style w:type="character" w:customStyle="1" w:styleId="432">
    <w:name w:val="标题 2 Char_file_2855"/>
    <w:basedOn w:val="427"/>
    <w:link w:val="5"/>
    <w:qFormat/>
    <w:uiPriority w:val="9"/>
    <w:rPr>
      <w:rFonts w:ascii="等线 Light" w:hAnsi="等线 Light" w:eastAsia="等线 Light" w:cs="宋体"/>
      <w:b/>
      <w:bCs/>
      <w:sz w:val="32"/>
      <w:szCs w:val="32"/>
    </w:rPr>
  </w:style>
  <w:style w:type="character" w:customStyle="1" w:styleId="433">
    <w:name w:val="标题 3 Char_file_2855"/>
    <w:basedOn w:val="427"/>
    <w:link w:val="6"/>
    <w:qFormat/>
    <w:uiPriority w:val="9"/>
    <w:rPr>
      <w:rFonts w:ascii="宋体" w:hAnsi="宋体" w:eastAsia="宋体" w:cs="宋体"/>
      <w:b/>
      <w:bCs/>
      <w:sz w:val="32"/>
      <w:szCs w:val="32"/>
    </w:rPr>
  </w:style>
  <w:style w:type="character" w:customStyle="1" w:styleId="434">
    <w:name w:val="标题 4 Char_file_2855"/>
    <w:basedOn w:val="427"/>
    <w:link w:val="7"/>
    <w:qFormat/>
    <w:uiPriority w:val="9"/>
    <w:rPr>
      <w:rFonts w:ascii="等线 Light" w:hAnsi="等线 Light" w:eastAsia="等线 Light" w:cs="宋体"/>
      <w:b/>
      <w:bCs/>
      <w:sz w:val="28"/>
      <w:szCs w:val="28"/>
    </w:rPr>
  </w:style>
  <w:style w:type="character" w:customStyle="1" w:styleId="435">
    <w:name w:val="标题 5 Char_file_2855"/>
    <w:basedOn w:val="427"/>
    <w:link w:val="8"/>
    <w:qFormat/>
    <w:uiPriority w:val="9"/>
    <w:rPr>
      <w:rFonts w:ascii="宋体" w:hAnsi="宋体" w:eastAsia="宋体" w:cs="宋体"/>
      <w:b/>
      <w:bCs/>
      <w:sz w:val="28"/>
      <w:szCs w:val="28"/>
    </w:rPr>
  </w:style>
  <w:style w:type="character" w:customStyle="1" w:styleId="436">
    <w:name w:val="标题 6 Char_file_2855"/>
    <w:basedOn w:val="427"/>
    <w:link w:val="11"/>
    <w:qFormat/>
    <w:uiPriority w:val="9"/>
    <w:rPr>
      <w:rFonts w:ascii="等线 Light" w:hAnsi="等线 Light" w:eastAsia="等线 Light" w:cs="宋体"/>
      <w:b/>
      <w:bCs/>
      <w:sz w:val="24"/>
      <w:szCs w:val="24"/>
    </w:rPr>
  </w:style>
  <w:style w:type="paragraph" w:customStyle="1" w:styleId="437">
    <w:name w:val="cke_editable_file_2855"/>
    <w:basedOn w:val="420"/>
    <w:qFormat/>
    <w:uiPriority w:val="0"/>
    <w:rPr>
      <w:rFonts w:ascii="仿宋_GB2312" w:eastAsia="仿宋_GB2312"/>
    </w:rPr>
  </w:style>
  <w:style w:type="paragraph" w:customStyle="1" w:styleId="438">
    <w:name w:val="marker_file_2855"/>
    <w:basedOn w:val="420"/>
    <w:qFormat/>
    <w:uiPriority w:val="0"/>
    <w:pPr>
      <w:shd w:val="clear" w:color="auto" w:fill="FFFF00"/>
    </w:pPr>
  </w:style>
  <w:style w:type="paragraph" w:customStyle="1" w:styleId="439">
    <w:name w:val="Normal (Web)_file_2855"/>
    <w:basedOn w:val="420"/>
    <w:qFormat/>
    <w:uiPriority w:val="99"/>
  </w:style>
  <w:style w:type="paragraph" w:customStyle="1" w:styleId="440">
    <w:name w:val="Normal_file_2856"/>
    <w:qFormat/>
    <w:uiPriority w:val="0"/>
    <w:pPr>
      <w:widowControl w:val="0"/>
      <w:jc w:val="both"/>
    </w:pPr>
    <w:rPr>
      <w:rFonts w:ascii="Times New Roman" w:hAnsi="Times New Roman" w:eastAsia="宋体" w:cs="Times New Roman"/>
      <w:szCs w:val="24"/>
      <w:lang w:val="en-US" w:eastAsia="zh-CN" w:bidi="ar-SA"/>
    </w:rPr>
  </w:style>
  <w:style w:type="character" w:customStyle="1" w:styleId="441">
    <w:name w:val="Default Paragraph Font_file_2856"/>
    <w:qFormat/>
    <w:uiPriority w:val="1"/>
  </w:style>
  <w:style w:type="table" w:customStyle="1" w:styleId="442">
    <w:name w:val="Normal Table_file_2856"/>
    <w:qFormat/>
    <w:uiPriority w:val="99"/>
    <w:tblPr>
      <w:tblCellMar>
        <w:top w:w="0" w:type="dxa"/>
        <w:left w:w="108" w:type="dxa"/>
        <w:bottom w:w="0" w:type="dxa"/>
        <w:right w:w="108" w:type="dxa"/>
      </w:tblCellMar>
    </w:tblPr>
  </w:style>
  <w:style w:type="paragraph" w:customStyle="1" w:styleId="443">
    <w:name w:val="Normal_file_2845_file_285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44">
    <w:name w:val="heading 1_file_2845_file_2856"/>
    <w:basedOn w:val="443"/>
    <w:qFormat/>
    <w:uiPriority w:val="9"/>
    <w:pPr>
      <w:outlineLvl w:val="0"/>
    </w:pPr>
    <w:rPr>
      <w:kern w:val="36"/>
      <w:sz w:val="48"/>
      <w:szCs w:val="48"/>
    </w:rPr>
  </w:style>
  <w:style w:type="paragraph" w:customStyle="1" w:styleId="445">
    <w:name w:val="heading 2_file_2845_file_2856"/>
    <w:basedOn w:val="443"/>
    <w:qFormat/>
    <w:uiPriority w:val="9"/>
    <w:pPr>
      <w:outlineLvl w:val="1"/>
    </w:pPr>
    <w:rPr>
      <w:sz w:val="36"/>
      <w:szCs w:val="36"/>
    </w:rPr>
  </w:style>
  <w:style w:type="paragraph" w:customStyle="1" w:styleId="446">
    <w:name w:val="heading 3_file_2845_file_2856"/>
    <w:basedOn w:val="443"/>
    <w:qFormat/>
    <w:uiPriority w:val="9"/>
    <w:pPr>
      <w:outlineLvl w:val="2"/>
    </w:pPr>
    <w:rPr>
      <w:sz w:val="27"/>
      <w:szCs w:val="27"/>
    </w:rPr>
  </w:style>
  <w:style w:type="paragraph" w:customStyle="1" w:styleId="447">
    <w:name w:val="heading 4_file_2845_file_2856"/>
    <w:basedOn w:val="443"/>
    <w:qFormat/>
    <w:uiPriority w:val="9"/>
    <w:pPr>
      <w:outlineLvl w:val="3"/>
    </w:pPr>
  </w:style>
  <w:style w:type="paragraph" w:customStyle="1" w:styleId="448">
    <w:name w:val="heading 5_file_2845_file_2856"/>
    <w:basedOn w:val="443"/>
    <w:qFormat/>
    <w:uiPriority w:val="9"/>
    <w:pPr>
      <w:outlineLvl w:val="4"/>
    </w:pPr>
    <w:rPr>
      <w:sz w:val="20"/>
      <w:szCs w:val="20"/>
    </w:rPr>
  </w:style>
  <w:style w:type="paragraph" w:customStyle="1" w:styleId="449">
    <w:name w:val="heading 6_file_2845_file_2856"/>
    <w:basedOn w:val="443"/>
    <w:qFormat/>
    <w:uiPriority w:val="9"/>
    <w:pPr>
      <w:outlineLvl w:val="5"/>
    </w:pPr>
    <w:rPr>
      <w:sz w:val="15"/>
      <w:szCs w:val="15"/>
    </w:rPr>
  </w:style>
  <w:style w:type="character" w:customStyle="1" w:styleId="450">
    <w:name w:val="Default Paragraph Font_file_2845_file_2856"/>
    <w:qFormat/>
    <w:uiPriority w:val="1"/>
  </w:style>
  <w:style w:type="table" w:customStyle="1" w:styleId="451">
    <w:name w:val="Normal Table_file_2845_file_2856"/>
    <w:qFormat/>
    <w:uiPriority w:val="99"/>
    <w:tblPr>
      <w:tblCellMar>
        <w:top w:w="0" w:type="dxa"/>
        <w:left w:w="108" w:type="dxa"/>
        <w:bottom w:w="0" w:type="dxa"/>
        <w:right w:w="108" w:type="dxa"/>
      </w:tblCellMar>
    </w:tblPr>
  </w:style>
  <w:style w:type="character" w:customStyle="1" w:styleId="452">
    <w:name w:val="Hyperlink_file_2845_file_2856"/>
    <w:basedOn w:val="450"/>
    <w:qFormat/>
    <w:uiPriority w:val="99"/>
    <w:rPr>
      <w:color w:val="0782C1"/>
      <w:u w:val="single"/>
    </w:rPr>
  </w:style>
  <w:style w:type="character" w:customStyle="1" w:styleId="453">
    <w:name w:val="FollowedHyperlink_file_2845_file_2856"/>
    <w:basedOn w:val="450"/>
    <w:qFormat/>
    <w:uiPriority w:val="99"/>
    <w:rPr>
      <w:color w:val="0782C1"/>
      <w:u w:val="single"/>
    </w:rPr>
  </w:style>
  <w:style w:type="character" w:customStyle="1" w:styleId="454">
    <w:name w:val="标题 1 Char_file_2845_file_2856"/>
    <w:basedOn w:val="450"/>
    <w:link w:val="4"/>
    <w:qFormat/>
    <w:uiPriority w:val="9"/>
    <w:rPr>
      <w:rFonts w:ascii="宋体" w:hAnsi="宋体" w:eastAsia="宋体" w:cs="宋体"/>
      <w:b/>
      <w:bCs/>
      <w:kern w:val="44"/>
      <w:sz w:val="44"/>
      <w:szCs w:val="44"/>
    </w:rPr>
  </w:style>
  <w:style w:type="character" w:customStyle="1" w:styleId="455">
    <w:name w:val="标题 2 Char_file_2845_file_2856"/>
    <w:basedOn w:val="450"/>
    <w:link w:val="5"/>
    <w:qFormat/>
    <w:uiPriority w:val="9"/>
    <w:rPr>
      <w:rFonts w:ascii="等线 Light" w:hAnsi="等线 Light" w:eastAsia="等线 Light" w:cs="宋体"/>
      <w:b/>
      <w:bCs/>
      <w:sz w:val="32"/>
      <w:szCs w:val="32"/>
    </w:rPr>
  </w:style>
  <w:style w:type="character" w:customStyle="1" w:styleId="456">
    <w:name w:val="标题 3 Char_file_2845_file_2856"/>
    <w:basedOn w:val="450"/>
    <w:link w:val="6"/>
    <w:qFormat/>
    <w:uiPriority w:val="9"/>
    <w:rPr>
      <w:rFonts w:ascii="宋体" w:hAnsi="宋体" w:eastAsia="宋体" w:cs="宋体"/>
      <w:b/>
      <w:bCs/>
      <w:sz w:val="32"/>
      <w:szCs w:val="32"/>
    </w:rPr>
  </w:style>
  <w:style w:type="character" w:customStyle="1" w:styleId="457">
    <w:name w:val="标题 4 Char_file_2845_file_2856"/>
    <w:basedOn w:val="450"/>
    <w:link w:val="7"/>
    <w:qFormat/>
    <w:uiPriority w:val="9"/>
    <w:rPr>
      <w:rFonts w:ascii="等线 Light" w:hAnsi="等线 Light" w:eastAsia="等线 Light" w:cs="宋体"/>
      <w:b/>
      <w:bCs/>
      <w:sz w:val="28"/>
      <w:szCs w:val="28"/>
    </w:rPr>
  </w:style>
  <w:style w:type="character" w:customStyle="1" w:styleId="458">
    <w:name w:val="标题 5 Char_file_2845_file_2856"/>
    <w:basedOn w:val="450"/>
    <w:link w:val="8"/>
    <w:qFormat/>
    <w:uiPriority w:val="9"/>
    <w:rPr>
      <w:rFonts w:ascii="宋体" w:hAnsi="宋体" w:eastAsia="宋体" w:cs="宋体"/>
      <w:b/>
      <w:bCs/>
      <w:sz w:val="28"/>
      <w:szCs w:val="28"/>
    </w:rPr>
  </w:style>
  <w:style w:type="character" w:customStyle="1" w:styleId="459">
    <w:name w:val="标题 6 Char_file_2845_file_2856"/>
    <w:basedOn w:val="450"/>
    <w:link w:val="11"/>
    <w:qFormat/>
    <w:uiPriority w:val="9"/>
    <w:rPr>
      <w:rFonts w:ascii="等线 Light" w:hAnsi="等线 Light" w:eastAsia="等线 Light" w:cs="宋体"/>
      <w:b/>
      <w:bCs/>
      <w:sz w:val="24"/>
      <w:szCs w:val="24"/>
    </w:rPr>
  </w:style>
  <w:style w:type="paragraph" w:customStyle="1" w:styleId="460">
    <w:name w:val="cke_editable_file_2845_file_2856"/>
    <w:basedOn w:val="443"/>
    <w:qFormat/>
    <w:uiPriority w:val="0"/>
    <w:rPr>
      <w:rFonts w:ascii="仿宋_GB2312" w:eastAsia="仿宋_GB2312"/>
    </w:rPr>
  </w:style>
  <w:style w:type="paragraph" w:customStyle="1" w:styleId="461">
    <w:name w:val="marker_file_2845_file_2856"/>
    <w:basedOn w:val="443"/>
    <w:qFormat/>
    <w:uiPriority w:val="0"/>
    <w:pPr>
      <w:shd w:val="clear" w:color="auto" w:fill="FFFF00"/>
    </w:pPr>
  </w:style>
  <w:style w:type="paragraph" w:customStyle="1" w:styleId="462">
    <w:name w:val="Normal (Web)_file_2845_file_2856"/>
    <w:basedOn w:val="443"/>
    <w:qFormat/>
    <w:uiPriority w:val="99"/>
  </w:style>
  <w:style w:type="paragraph" w:customStyle="1" w:styleId="463">
    <w:name w:val="Normal_file_285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64">
    <w:name w:val="heading 1_file_2857"/>
    <w:basedOn w:val="463"/>
    <w:qFormat/>
    <w:uiPriority w:val="9"/>
    <w:pPr>
      <w:outlineLvl w:val="0"/>
    </w:pPr>
    <w:rPr>
      <w:kern w:val="36"/>
      <w:sz w:val="48"/>
      <w:szCs w:val="48"/>
    </w:rPr>
  </w:style>
  <w:style w:type="paragraph" w:customStyle="1" w:styleId="465">
    <w:name w:val="heading 2_file_2857"/>
    <w:basedOn w:val="463"/>
    <w:qFormat/>
    <w:uiPriority w:val="9"/>
    <w:pPr>
      <w:outlineLvl w:val="1"/>
    </w:pPr>
    <w:rPr>
      <w:sz w:val="36"/>
      <w:szCs w:val="36"/>
    </w:rPr>
  </w:style>
  <w:style w:type="paragraph" w:customStyle="1" w:styleId="466">
    <w:name w:val="heading 3_file_2857"/>
    <w:basedOn w:val="463"/>
    <w:qFormat/>
    <w:uiPriority w:val="9"/>
    <w:pPr>
      <w:outlineLvl w:val="2"/>
    </w:pPr>
    <w:rPr>
      <w:sz w:val="27"/>
      <w:szCs w:val="27"/>
    </w:rPr>
  </w:style>
  <w:style w:type="paragraph" w:customStyle="1" w:styleId="467">
    <w:name w:val="heading 4_file_2857"/>
    <w:basedOn w:val="463"/>
    <w:qFormat/>
    <w:uiPriority w:val="9"/>
    <w:pPr>
      <w:outlineLvl w:val="3"/>
    </w:pPr>
  </w:style>
  <w:style w:type="paragraph" w:customStyle="1" w:styleId="468">
    <w:name w:val="heading 5_file_2857"/>
    <w:basedOn w:val="463"/>
    <w:qFormat/>
    <w:uiPriority w:val="9"/>
    <w:pPr>
      <w:outlineLvl w:val="4"/>
    </w:pPr>
    <w:rPr>
      <w:sz w:val="20"/>
      <w:szCs w:val="20"/>
    </w:rPr>
  </w:style>
  <w:style w:type="paragraph" w:customStyle="1" w:styleId="469">
    <w:name w:val="heading 6_file_2857"/>
    <w:basedOn w:val="463"/>
    <w:qFormat/>
    <w:uiPriority w:val="9"/>
    <w:pPr>
      <w:outlineLvl w:val="5"/>
    </w:pPr>
    <w:rPr>
      <w:sz w:val="15"/>
      <w:szCs w:val="15"/>
    </w:rPr>
  </w:style>
  <w:style w:type="character" w:customStyle="1" w:styleId="470">
    <w:name w:val="Default Paragraph Font_file_2857"/>
    <w:qFormat/>
    <w:uiPriority w:val="1"/>
  </w:style>
  <w:style w:type="table" w:customStyle="1" w:styleId="471">
    <w:name w:val="Normal Table_file_2857"/>
    <w:qFormat/>
    <w:uiPriority w:val="99"/>
    <w:tblPr>
      <w:tblCellMar>
        <w:top w:w="0" w:type="dxa"/>
        <w:left w:w="108" w:type="dxa"/>
        <w:bottom w:w="0" w:type="dxa"/>
        <w:right w:w="108" w:type="dxa"/>
      </w:tblCellMar>
    </w:tblPr>
  </w:style>
  <w:style w:type="character" w:customStyle="1" w:styleId="472">
    <w:name w:val="Hyperlink_file_2857"/>
    <w:basedOn w:val="470"/>
    <w:qFormat/>
    <w:uiPriority w:val="99"/>
    <w:rPr>
      <w:color w:val="0782C1"/>
      <w:u w:val="single"/>
    </w:rPr>
  </w:style>
  <w:style w:type="character" w:customStyle="1" w:styleId="473">
    <w:name w:val="FollowedHyperlink_file_2857"/>
    <w:basedOn w:val="470"/>
    <w:qFormat/>
    <w:uiPriority w:val="99"/>
    <w:rPr>
      <w:color w:val="0782C1"/>
      <w:u w:val="single"/>
    </w:rPr>
  </w:style>
  <w:style w:type="character" w:customStyle="1" w:styleId="474">
    <w:name w:val="标题 1 Char_file_2857"/>
    <w:basedOn w:val="470"/>
    <w:link w:val="4"/>
    <w:qFormat/>
    <w:uiPriority w:val="9"/>
    <w:rPr>
      <w:rFonts w:ascii="宋体" w:hAnsi="宋体" w:eastAsia="宋体" w:cs="宋体"/>
      <w:b/>
      <w:bCs/>
      <w:kern w:val="44"/>
      <w:sz w:val="44"/>
      <w:szCs w:val="44"/>
    </w:rPr>
  </w:style>
  <w:style w:type="character" w:customStyle="1" w:styleId="475">
    <w:name w:val="标题 2 Char_file_2857"/>
    <w:basedOn w:val="470"/>
    <w:link w:val="5"/>
    <w:qFormat/>
    <w:uiPriority w:val="9"/>
    <w:rPr>
      <w:rFonts w:ascii="等线 Light" w:hAnsi="等线 Light" w:eastAsia="等线 Light" w:cs="宋体"/>
      <w:b/>
      <w:bCs/>
      <w:sz w:val="32"/>
      <w:szCs w:val="32"/>
    </w:rPr>
  </w:style>
  <w:style w:type="character" w:customStyle="1" w:styleId="476">
    <w:name w:val="标题 3 Char_file_2857"/>
    <w:basedOn w:val="470"/>
    <w:link w:val="6"/>
    <w:qFormat/>
    <w:uiPriority w:val="9"/>
    <w:rPr>
      <w:rFonts w:ascii="宋体" w:hAnsi="宋体" w:eastAsia="宋体" w:cs="宋体"/>
      <w:b/>
      <w:bCs/>
      <w:sz w:val="32"/>
      <w:szCs w:val="32"/>
    </w:rPr>
  </w:style>
  <w:style w:type="character" w:customStyle="1" w:styleId="477">
    <w:name w:val="标题 4 Char_file_2857"/>
    <w:basedOn w:val="470"/>
    <w:link w:val="7"/>
    <w:qFormat/>
    <w:uiPriority w:val="9"/>
    <w:rPr>
      <w:rFonts w:ascii="等线 Light" w:hAnsi="等线 Light" w:eastAsia="等线 Light" w:cs="宋体"/>
      <w:b/>
      <w:bCs/>
      <w:sz w:val="28"/>
      <w:szCs w:val="28"/>
    </w:rPr>
  </w:style>
  <w:style w:type="character" w:customStyle="1" w:styleId="478">
    <w:name w:val="标题 5 Char_file_2857"/>
    <w:basedOn w:val="470"/>
    <w:link w:val="8"/>
    <w:qFormat/>
    <w:uiPriority w:val="9"/>
    <w:rPr>
      <w:rFonts w:ascii="宋体" w:hAnsi="宋体" w:eastAsia="宋体" w:cs="宋体"/>
      <w:b/>
      <w:bCs/>
      <w:sz w:val="28"/>
      <w:szCs w:val="28"/>
    </w:rPr>
  </w:style>
  <w:style w:type="character" w:customStyle="1" w:styleId="479">
    <w:name w:val="标题 6 Char_file_2857"/>
    <w:basedOn w:val="470"/>
    <w:link w:val="11"/>
    <w:qFormat/>
    <w:uiPriority w:val="9"/>
    <w:rPr>
      <w:rFonts w:ascii="等线 Light" w:hAnsi="等线 Light" w:eastAsia="等线 Light" w:cs="宋体"/>
      <w:b/>
      <w:bCs/>
      <w:sz w:val="24"/>
      <w:szCs w:val="24"/>
    </w:rPr>
  </w:style>
  <w:style w:type="paragraph" w:customStyle="1" w:styleId="480">
    <w:name w:val="cke_editable_file_2857"/>
    <w:basedOn w:val="463"/>
    <w:qFormat/>
    <w:uiPriority w:val="0"/>
    <w:rPr>
      <w:rFonts w:ascii="仿宋_GB2312" w:eastAsia="仿宋_GB2312"/>
    </w:rPr>
  </w:style>
  <w:style w:type="paragraph" w:customStyle="1" w:styleId="481">
    <w:name w:val="marker_file_2857"/>
    <w:basedOn w:val="463"/>
    <w:qFormat/>
    <w:uiPriority w:val="0"/>
    <w:pPr>
      <w:shd w:val="clear" w:color="auto" w:fill="FFFF00"/>
    </w:pPr>
  </w:style>
  <w:style w:type="paragraph" w:customStyle="1" w:styleId="482">
    <w:name w:val="Normal (Web)_file_2857"/>
    <w:basedOn w:val="463"/>
    <w:qFormat/>
    <w:uiPriority w:val="99"/>
  </w:style>
  <w:style w:type="paragraph" w:customStyle="1" w:styleId="483">
    <w:name w:val="Normal_file_285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84">
    <w:name w:val="heading 1_file_2858"/>
    <w:basedOn w:val="483"/>
    <w:qFormat/>
    <w:uiPriority w:val="9"/>
    <w:pPr>
      <w:outlineLvl w:val="0"/>
    </w:pPr>
    <w:rPr>
      <w:kern w:val="36"/>
      <w:sz w:val="48"/>
      <w:szCs w:val="48"/>
    </w:rPr>
  </w:style>
  <w:style w:type="paragraph" w:customStyle="1" w:styleId="485">
    <w:name w:val="heading 2_file_2858"/>
    <w:basedOn w:val="483"/>
    <w:qFormat/>
    <w:uiPriority w:val="9"/>
    <w:pPr>
      <w:outlineLvl w:val="1"/>
    </w:pPr>
    <w:rPr>
      <w:sz w:val="36"/>
      <w:szCs w:val="36"/>
    </w:rPr>
  </w:style>
  <w:style w:type="paragraph" w:customStyle="1" w:styleId="486">
    <w:name w:val="heading 3_file_2858"/>
    <w:basedOn w:val="483"/>
    <w:qFormat/>
    <w:uiPriority w:val="9"/>
    <w:pPr>
      <w:outlineLvl w:val="2"/>
    </w:pPr>
    <w:rPr>
      <w:sz w:val="27"/>
      <w:szCs w:val="27"/>
    </w:rPr>
  </w:style>
  <w:style w:type="paragraph" w:customStyle="1" w:styleId="487">
    <w:name w:val="heading 4_file_2858"/>
    <w:basedOn w:val="483"/>
    <w:qFormat/>
    <w:uiPriority w:val="9"/>
    <w:pPr>
      <w:outlineLvl w:val="3"/>
    </w:pPr>
  </w:style>
  <w:style w:type="paragraph" w:customStyle="1" w:styleId="488">
    <w:name w:val="heading 5_file_2858"/>
    <w:basedOn w:val="483"/>
    <w:qFormat/>
    <w:uiPriority w:val="9"/>
    <w:pPr>
      <w:outlineLvl w:val="4"/>
    </w:pPr>
    <w:rPr>
      <w:sz w:val="20"/>
      <w:szCs w:val="20"/>
    </w:rPr>
  </w:style>
  <w:style w:type="paragraph" w:customStyle="1" w:styleId="489">
    <w:name w:val="heading 6_file_2858"/>
    <w:basedOn w:val="483"/>
    <w:qFormat/>
    <w:uiPriority w:val="9"/>
    <w:pPr>
      <w:outlineLvl w:val="5"/>
    </w:pPr>
    <w:rPr>
      <w:sz w:val="15"/>
      <w:szCs w:val="15"/>
    </w:rPr>
  </w:style>
  <w:style w:type="character" w:customStyle="1" w:styleId="490">
    <w:name w:val="Default Paragraph Font_file_2858"/>
    <w:qFormat/>
    <w:uiPriority w:val="1"/>
  </w:style>
  <w:style w:type="table" w:customStyle="1" w:styleId="491">
    <w:name w:val="Normal Table_file_2858"/>
    <w:qFormat/>
    <w:uiPriority w:val="99"/>
    <w:tblPr>
      <w:tblCellMar>
        <w:top w:w="0" w:type="dxa"/>
        <w:left w:w="108" w:type="dxa"/>
        <w:bottom w:w="0" w:type="dxa"/>
        <w:right w:w="108" w:type="dxa"/>
      </w:tblCellMar>
    </w:tblPr>
  </w:style>
  <w:style w:type="character" w:customStyle="1" w:styleId="492">
    <w:name w:val="Hyperlink_file_2858"/>
    <w:basedOn w:val="490"/>
    <w:qFormat/>
    <w:uiPriority w:val="99"/>
    <w:rPr>
      <w:color w:val="0782C1"/>
      <w:u w:val="single"/>
    </w:rPr>
  </w:style>
  <w:style w:type="character" w:customStyle="1" w:styleId="493">
    <w:name w:val="FollowedHyperlink_file_2858"/>
    <w:basedOn w:val="490"/>
    <w:qFormat/>
    <w:uiPriority w:val="99"/>
    <w:rPr>
      <w:color w:val="0782C1"/>
      <w:u w:val="single"/>
    </w:rPr>
  </w:style>
  <w:style w:type="character" w:customStyle="1" w:styleId="494">
    <w:name w:val="标题 1 Char_file_2858"/>
    <w:basedOn w:val="490"/>
    <w:link w:val="4"/>
    <w:qFormat/>
    <w:uiPriority w:val="9"/>
    <w:rPr>
      <w:rFonts w:ascii="宋体" w:hAnsi="宋体" w:eastAsia="宋体" w:cs="宋体"/>
      <w:b/>
      <w:bCs/>
      <w:kern w:val="44"/>
      <w:sz w:val="44"/>
      <w:szCs w:val="44"/>
    </w:rPr>
  </w:style>
  <w:style w:type="character" w:customStyle="1" w:styleId="495">
    <w:name w:val="标题 2 Char_file_2858"/>
    <w:basedOn w:val="490"/>
    <w:link w:val="5"/>
    <w:qFormat/>
    <w:uiPriority w:val="9"/>
    <w:rPr>
      <w:rFonts w:ascii="等线 Light" w:hAnsi="等线 Light" w:eastAsia="等线 Light" w:cs="宋体"/>
      <w:b/>
      <w:bCs/>
      <w:sz w:val="32"/>
      <w:szCs w:val="32"/>
    </w:rPr>
  </w:style>
  <w:style w:type="character" w:customStyle="1" w:styleId="496">
    <w:name w:val="标题 3 Char_file_2858"/>
    <w:basedOn w:val="490"/>
    <w:link w:val="6"/>
    <w:qFormat/>
    <w:uiPriority w:val="9"/>
    <w:rPr>
      <w:rFonts w:ascii="宋体" w:hAnsi="宋体" w:eastAsia="宋体" w:cs="宋体"/>
      <w:b/>
      <w:bCs/>
      <w:sz w:val="32"/>
      <w:szCs w:val="32"/>
    </w:rPr>
  </w:style>
  <w:style w:type="character" w:customStyle="1" w:styleId="497">
    <w:name w:val="标题 4 Char_file_2858"/>
    <w:basedOn w:val="490"/>
    <w:link w:val="7"/>
    <w:qFormat/>
    <w:uiPriority w:val="9"/>
    <w:rPr>
      <w:rFonts w:ascii="等线 Light" w:hAnsi="等线 Light" w:eastAsia="等线 Light" w:cs="宋体"/>
      <w:b/>
      <w:bCs/>
      <w:sz w:val="28"/>
      <w:szCs w:val="28"/>
    </w:rPr>
  </w:style>
  <w:style w:type="character" w:customStyle="1" w:styleId="498">
    <w:name w:val="标题 5 Char_file_2858"/>
    <w:basedOn w:val="490"/>
    <w:link w:val="8"/>
    <w:qFormat/>
    <w:uiPriority w:val="9"/>
    <w:rPr>
      <w:rFonts w:ascii="宋体" w:hAnsi="宋体" w:eastAsia="宋体" w:cs="宋体"/>
      <w:b/>
      <w:bCs/>
      <w:sz w:val="28"/>
      <w:szCs w:val="28"/>
    </w:rPr>
  </w:style>
  <w:style w:type="character" w:customStyle="1" w:styleId="499">
    <w:name w:val="标题 6 Char_file_2858"/>
    <w:basedOn w:val="490"/>
    <w:link w:val="11"/>
    <w:qFormat/>
    <w:uiPriority w:val="9"/>
    <w:rPr>
      <w:rFonts w:ascii="等线 Light" w:hAnsi="等线 Light" w:eastAsia="等线 Light" w:cs="宋体"/>
      <w:b/>
      <w:bCs/>
      <w:sz w:val="24"/>
      <w:szCs w:val="24"/>
    </w:rPr>
  </w:style>
  <w:style w:type="paragraph" w:customStyle="1" w:styleId="500">
    <w:name w:val="cke_editable_file_2858"/>
    <w:basedOn w:val="483"/>
    <w:qFormat/>
    <w:uiPriority w:val="0"/>
    <w:rPr>
      <w:rFonts w:ascii="仿宋_GB2312" w:eastAsia="仿宋_GB2312"/>
    </w:rPr>
  </w:style>
  <w:style w:type="paragraph" w:customStyle="1" w:styleId="501">
    <w:name w:val="marker_file_2858"/>
    <w:basedOn w:val="483"/>
    <w:qFormat/>
    <w:uiPriority w:val="0"/>
    <w:pPr>
      <w:shd w:val="clear" w:color="auto" w:fill="FFFF00"/>
    </w:pPr>
  </w:style>
  <w:style w:type="paragraph" w:customStyle="1" w:styleId="502">
    <w:name w:val="Normal (Web)_file_2858"/>
    <w:basedOn w:val="483"/>
    <w:qFormat/>
    <w:uiPriority w:val="99"/>
  </w:style>
  <w:style w:type="character" w:customStyle="1" w:styleId="503">
    <w:name w:val="Strong_file_2858"/>
    <w:basedOn w:val="490"/>
    <w:qFormat/>
    <w:uiPriority w:val="22"/>
    <w:rPr>
      <w:b/>
      <w:bCs/>
    </w:rPr>
  </w:style>
  <w:style w:type="paragraph" w:customStyle="1" w:styleId="504">
    <w:name w:val="Normal_file_285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05">
    <w:name w:val="heading 1_file_2859"/>
    <w:basedOn w:val="504"/>
    <w:qFormat/>
    <w:uiPriority w:val="9"/>
    <w:pPr>
      <w:outlineLvl w:val="0"/>
    </w:pPr>
    <w:rPr>
      <w:kern w:val="36"/>
      <w:sz w:val="48"/>
      <w:szCs w:val="48"/>
    </w:rPr>
  </w:style>
  <w:style w:type="paragraph" w:customStyle="1" w:styleId="506">
    <w:name w:val="heading 2_file_2859"/>
    <w:basedOn w:val="504"/>
    <w:qFormat/>
    <w:uiPriority w:val="9"/>
    <w:pPr>
      <w:outlineLvl w:val="1"/>
    </w:pPr>
    <w:rPr>
      <w:sz w:val="36"/>
      <w:szCs w:val="36"/>
    </w:rPr>
  </w:style>
  <w:style w:type="paragraph" w:customStyle="1" w:styleId="507">
    <w:name w:val="heading 3_file_2859"/>
    <w:basedOn w:val="504"/>
    <w:qFormat/>
    <w:uiPriority w:val="9"/>
    <w:pPr>
      <w:outlineLvl w:val="2"/>
    </w:pPr>
    <w:rPr>
      <w:sz w:val="27"/>
      <w:szCs w:val="27"/>
    </w:rPr>
  </w:style>
  <w:style w:type="paragraph" w:customStyle="1" w:styleId="508">
    <w:name w:val="heading 4_file_2859"/>
    <w:basedOn w:val="504"/>
    <w:qFormat/>
    <w:uiPriority w:val="9"/>
    <w:pPr>
      <w:outlineLvl w:val="3"/>
    </w:pPr>
  </w:style>
  <w:style w:type="paragraph" w:customStyle="1" w:styleId="509">
    <w:name w:val="heading 5_file_2859"/>
    <w:basedOn w:val="504"/>
    <w:qFormat/>
    <w:uiPriority w:val="9"/>
    <w:pPr>
      <w:outlineLvl w:val="4"/>
    </w:pPr>
    <w:rPr>
      <w:sz w:val="20"/>
      <w:szCs w:val="20"/>
    </w:rPr>
  </w:style>
  <w:style w:type="paragraph" w:customStyle="1" w:styleId="510">
    <w:name w:val="heading 6_file_2859"/>
    <w:basedOn w:val="504"/>
    <w:qFormat/>
    <w:uiPriority w:val="9"/>
    <w:pPr>
      <w:outlineLvl w:val="5"/>
    </w:pPr>
    <w:rPr>
      <w:sz w:val="15"/>
      <w:szCs w:val="15"/>
    </w:rPr>
  </w:style>
  <w:style w:type="character" w:customStyle="1" w:styleId="511">
    <w:name w:val="Default Paragraph Font_file_2859"/>
    <w:qFormat/>
    <w:uiPriority w:val="1"/>
  </w:style>
  <w:style w:type="table" w:customStyle="1" w:styleId="512">
    <w:name w:val="Normal Table_file_2859"/>
    <w:qFormat/>
    <w:uiPriority w:val="99"/>
    <w:tblPr>
      <w:tblCellMar>
        <w:top w:w="0" w:type="dxa"/>
        <w:left w:w="108" w:type="dxa"/>
        <w:bottom w:w="0" w:type="dxa"/>
        <w:right w:w="108" w:type="dxa"/>
      </w:tblCellMar>
    </w:tblPr>
  </w:style>
  <w:style w:type="character" w:customStyle="1" w:styleId="513">
    <w:name w:val="Hyperlink_file_2859"/>
    <w:basedOn w:val="511"/>
    <w:qFormat/>
    <w:uiPriority w:val="99"/>
    <w:rPr>
      <w:color w:val="0782C1"/>
      <w:u w:val="single"/>
    </w:rPr>
  </w:style>
  <w:style w:type="character" w:customStyle="1" w:styleId="514">
    <w:name w:val="FollowedHyperlink_file_2859"/>
    <w:basedOn w:val="511"/>
    <w:qFormat/>
    <w:uiPriority w:val="99"/>
    <w:rPr>
      <w:color w:val="0782C1"/>
      <w:u w:val="single"/>
    </w:rPr>
  </w:style>
  <w:style w:type="character" w:customStyle="1" w:styleId="515">
    <w:name w:val="标题 1 Char_file_2859"/>
    <w:basedOn w:val="511"/>
    <w:link w:val="4"/>
    <w:qFormat/>
    <w:uiPriority w:val="9"/>
    <w:rPr>
      <w:rFonts w:ascii="宋体" w:hAnsi="宋体" w:eastAsia="宋体" w:cs="宋体"/>
      <w:b/>
      <w:bCs/>
      <w:kern w:val="44"/>
      <w:sz w:val="44"/>
      <w:szCs w:val="44"/>
    </w:rPr>
  </w:style>
  <w:style w:type="character" w:customStyle="1" w:styleId="516">
    <w:name w:val="标题 2 Char_file_2859"/>
    <w:basedOn w:val="511"/>
    <w:link w:val="5"/>
    <w:qFormat/>
    <w:uiPriority w:val="9"/>
    <w:rPr>
      <w:rFonts w:ascii="等线 Light" w:hAnsi="等线 Light" w:eastAsia="等线 Light" w:cs="宋体"/>
      <w:b/>
      <w:bCs/>
      <w:sz w:val="32"/>
      <w:szCs w:val="32"/>
    </w:rPr>
  </w:style>
  <w:style w:type="character" w:customStyle="1" w:styleId="517">
    <w:name w:val="标题 3 Char_file_2859"/>
    <w:basedOn w:val="511"/>
    <w:link w:val="6"/>
    <w:qFormat/>
    <w:uiPriority w:val="9"/>
    <w:rPr>
      <w:rFonts w:ascii="宋体" w:hAnsi="宋体" w:eastAsia="宋体" w:cs="宋体"/>
      <w:b/>
      <w:bCs/>
      <w:sz w:val="32"/>
      <w:szCs w:val="32"/>
    </w:rPr>
  </w:style>
  <w:style w:type="character" w:customStyle="1" w:styleId="518">
    <w:name w:val="标题 4 Char_file_2859"/>
    <w:basedOn w:val="511"/>
    <w:link w:val="7"/>
    <w:qFormat/>
    <w:uiPriority w:val="9"/>
    <w:rPr>
      <w:rFonts w:ascii="等线 Light" w:hAnsi="等线 Light" w:eastAsia="等线 Light" w:cs="宋体"/>
      <w:b/>
      <w:bCs/>
      <w:sz w:val="28"/>
      <w:szCs w:val="28"/>
    </w:rPr>
  </w:style>
  <w:style w:type="character" w:customStyle="1" w:styleId="519">
    <w:name w:val="标题 5 Char_file_2859"/>
    <w:basedOn w:val="511"/>
    <w:link w:val="8"/>
    <w:qFormat/>
    <w:uiPriority w:val="9"/>
    <w:rPr>
      <w:rFonts w:ascii="宋体" w:hAnsi="宋体" w:eastAsia="宋体" w:cs="宋体"/>
      <w:b/>
      <w:bCs/>
      <w:sz w:val="28"/>
      <w:szCs w:val="28"/>
    </w:rPr>
  </w:style>
  <w:style w:type="character" w:customStyle="1" w:styleId="520">
    <w:name w:val="标题 6 Char_file_2859"/>
    <w:basedOn w:val="511"/>
    <w:link w:val="11"/>
    <w:qFormat/>
    <w:uiPriority w:val="9"/>
    <w:rPr>
      <w:rFonts w:ascii="等线 Light" w:hAnsi="等线 Light" w:eastAsia="等线 Light" w:cs="宋体"/>
      <w:b/>
      <w:bCs/>
      <w:sz w:val="24"/>
      <w:szCs w:val="24"/>
    </w:rPr>
  </w:style>
  <w:style w:type="paragraph" w:customStyle="1" w:styleId="521">
    <w:name w:val="cke_editable_file_2859"/>
    <w:basedOn w:val="504"/>
    <w:qFormat/>
    <w:uiPriority w:val="0"/>
    <w:rPr>
      <w:rFonts w:ascii="仿宋_GB2312" w:eastAsia="仿宋_GB2312"/>
    </w:rPr>
  </w:style>
  <w:style w:type="paragraph" w:customStyle="1" w:styleId="522">
    <w:name w:val="marker_file_2859"/>
    <w:basedOn w:val="504"/>
    <w:qFormat/>
    <w:uiPriority w:val="0"/>
    <w:pPr>
      <w:shd w:val="clear" w:color="auto" w:fill="FFFF00"/>
    </w:pPr>
  </w:style>
  <w:style w:type="paragraph" w:customStyle="1" w:styleId="523">
    <w:name w:val="Normal (Web)_file_2859"/>
    <w:basedOn w:val="504"/>
    <w:qFormat/>
    <w:uiPriority w:val="99"/>
  </w:style>
  <w:style w:type="paragraph" w:customStyle="1" w:styleId="524">
    <w:name w:val="Normal_file_286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25">
    <w:name w:val="heading 1_file_2860"/>
    <w:basedOn w:val="524"/>
    <w:qFormat/>
    <w:uiPriority w:val="9"/>
    <w:pPr>
      <w:outlineLvl w:val="0"/>
    </w:pPr>
    <w:rPr>
      <w:kern w:val="36"/>
      <w:sz w:val="48"/>
      <w:szCs w:val="48"/>
    </w:rPr>
  </w:style>
  <w:style w:type="paragraph" w:customStyle="1" w:styleId="526">
    <w:name w:val="heading 2_file_2860"/>
    <w:basedOn w:val="524"/>
    <w:qFormat/>
    <w:uiPriority w:val="9"/>
    <w:pPr>
      <w:outlineLvl w:val="1"/>
    </w:pPr>
    <w:rPr>
      <w:sz w:val="36"/>
      <w:szCs w:val="36"/>
    </w:rPr>
  </w:style>
  <w:style w:type="paragraph" w:customStyle="1" w:styleId="527">
    <w:name w:val="heading 3_file_2860"/>
    <w:basedOn w:val="524"/>
    <w:qFormat/>
    <w:uiPriority w:val="9"/>
    <w:pPr>
      <w:outlineLvl w:val="2"/>
    </w:pPr>
    <w:rPr>
      <w:sz w:val="27"/>
      <w:szCs w:val="27"/>
    </w:rPr>
  </w:style>
  <w:style w:type="paragraph" w:customStyle="1" w:styleId="528">
    <w:name w:val="heading 4_file_2860"/>
    <w:basedOn w:val="524"/>
    <w:qFormat/>
    <w:uiPriority w:val="9"/>
    <w:pPr>
      <w:outlineLvl w:val="3"/>
    </w:pPr>
  </w:style>
  <w:style w:type="paragraph" w:customStyle="1" w:styleId="529">
    <w:name w:val="heading 5_file_2860"/>
    <w:basedOn w:val="524"/>
    <w:qFormat/>
    <w:uiPriority w:val="9"/>
    <w:pPr>
      <w:outlineLvl w:val="4"/>
    </w:pPr>
    <w:rPr>
      <w:sz w:val="20"/>
      <w:szCs w:val="20"/>
    </w:rPr>
  </w:style>
  <w:style w:type="paragraph" w:customStyle="1" w:styleId="530">
    <w:name w:val="heading 6_file_2860"/>
    <w:basedOn w:val="524"/>
    <w:qFormat/>
    <w:uiPriority w:val="9"/>
    <w:pPr>
      <w:outlineLvl w:val="5"/>
    </w:pPr>
    <w:rPr>
      <w:sz w:val="15"/>
      <w:szCs w:val="15"/>
    </w:rPr>
  </w:style>
  <w:style w:type="character" w:customStyle="1" w:styleId="531">
    <w:name w:val="Default Paragraph Font_file_2860"/>
    <w:qFormat/>
    <w:uiPriority w:val="1"/>
  </w:style>
  <w:style w:type="table" w:customStyle="1" w:styleId="532">
    <w:name w:val="Normal Table_file_2860"/>
    <w:qFormat/>
    <w:uiPriority w:val="99"/>
    <w:tblPr>
      <w:tblCellMar>
        <w:top w:w="0" w:type="dxa"/>
        <w:left w:w="108" w:type="dxa"/>
        <w:bottom w:w="0" w:type="dxa"/>
        <w:right w:w="108" w:type="dxa"/>
      </w:tblCellMar>
    </w:tblPr>
  </w:style>
  <w:style w:type="character" w:customStyle="1" w:styleId="533">
    <w:name w:val="Hyperlink_file_2860"/>
    <w:basedOn w:val="531"/>
    <w:qFormat/>
    <w:uiPriority w:val="99"/>
    <w:rPr>
      <w:color w:val="0782C1"/>
      <w:u w:val="single"/>
    </w:rPr>
  </w:style>
  <w:style w:type="character" w:customStyle="1" w:styleId="534">
    <w:name w:val="FollowedHyperlink_file_2860"/>
    <w:basedOn w:val="531"/>
    <w:qFormat/>
    <w:uiPriority w:val="99"/>
    <w:rPr>
      <w:color w:val="0782C1"/>
      <w:u w:val="single"/>
    </w:rPr>
  </w:style>
  <w:style w:type="character" w:customStyle="1" w:styleId="535">
    <w:name w:val="标题 1 Char_file_2860"/>
    <w:basedOn w:val="531"/>
    <w:link w:val="4"/>
    <w:qFormat/>
    <w:uiPriority w:val="9"/>
    <w:rPr>
      <w:rFonts w:ascii="宋体" w:hAnsi="宋体" w:eastAsia="宋体" w:cs="宋体"/>
      <w:b/>
      <w:bCs/>
      <w:kern w:val="44"/>
      <w:sz w:val="44"/>
      <w:szCs w:val="44"/>
    </w:rPr>
  </w:style>
  <w:style w:type="character" w:customStyle="1" w:styleId="536">
    <w:name w:val="标题 2 Char_file_2860"/>
    <w:basedOn w:val="531"/>
    <w:link w:val="5"/>
    <w:qFormat/>
    <w:uiPriority w:val="9"/>
    <w:rPr>
      <w:rFonts w:ascii="等线 Light" w:hAnsi="等线 Light" w:eastAsia="等线 Light" w:cs="宋体"/>
      <w:b/>
      <w:bCs/>
      <w:sz w:val="32"/>
      <w:szCs w:val="32"/>
    </w:rPr>
  </w:style>
  <w:style w:type="character" w:customStyle="1" w:styleId="537">
    <w:name w:val="标题 3 Char_file_2860"/>
    <w:basedOn w:val="531"/>
    <w:link w:val="6"/>
    <w:qFormat/>
    <w:uiPriority w:val="9"/>
    <w:rPr>
      <w:rFonts w:ascii="宋体" w:hAnsi="宋体" w:eastAsia="宋体" w:cs="宋体"/>
      <w:b/>
      <w:bCs/>
      <w:sz w:val="32"/>
      <w:szCs w:val="32"/>
    </w:rPr>
  </w:style>
  <w:style w:type="character" w:customStyle="1" w:styleId="538">
    <w:name w:val="标题 4 Char_file_2860"/>
    <w:basedOn w:val="531"/>
    <w:link w:val="7"/>
    <w:qFormat/>
    <w:uiPriority w:val="9"/>
    <w:rPr>
      <w:rFonts w:ascii="等线 Light" w:hAnsi="等线 Light" w:eastAsia="等线 Light" w:cs="宋体"/>
      <w:b/>
      <w:bCs/>
      <w:sz w:val="28"/>
      <w:szCs w:val="28"/>
    </w:rPr>
  </w:style>
  <w:style w:type="character" w:customStyle="1" w:styleId="539">
    <w:name w:val="标题 5 Char_file_2860"/>
    <w:basedOn w:val="531"/>
    <w:link w:val="8"/>
    <w:qFormat/>
    <w:uiPriority w:val="9"/>
    <w:rPr>
      <w:rFonts w:ascii="宋体" w:hAnsi="宋体" w:eastAsia="宋体" w:cs="宋体"/>
      <w:b/>
      <w:bCs/>
      <w:sz w:val="28"/>
      <w:szCs w:val="28"/>
    </w:rPr>
  </w:style>
  <w:style w:type="character" w:customStyle="1" w:styleId="540">
    <w:name w:val="标题 6 Char_file_2860"/>
    <w:basedOn w:val="531"/>
    <w:link w:val="11"/>
    <w:qFormat/>
    <w:uiPriority w:val="9"/>
    <w:rPr>
      <w:rFonts w:ascii="等线 Light" w:hAnsi="等线 Light" w:eastAsia="等线 Light" w:cs="宋体"/>
      <w:b/>
      <w:bCs/>
      <w:sz w:val="24"/>
      <w:szCs w:val="24"/>
    </w:rPr>
  </w:style>
  <w:style w:type="paragraph" w:customStyle="1" w:styleId="541">
    <w:name w:val="cke_editable_file_2860"/>
    <w:basedOn w:val="524"/>
    <w:qFormat/>
    <w:uiPriority w:val="0"/>
    <w:rPr>
      <w:rFonts w:ascii="仿宋_GB2312" w:eastAsia="仿宋_GB2312"/>
    </w:rPr>
  </w:style>
  <w:style w:type="paragraph" w:customStyle="1" w:styleId="542">
    <w:name w:val="marker_file_2860"/>
    <w:basedOn w:val="524"/>
    <w:qFormat/>
    <w:uiPriority w:val="0"/>
    <w:pPr>
      <w:shd w:val="clear" w:color="auto" w:fill="FFFF00"/>
    </w:pPr>
  </w:style>
  <w:style w:type="paragraph" w:customStyle="1" w:styleId="543">
    <w:name w:val="Normal (Web)_file_2860"/>
    <w:basedOn w:val="524"/>
    <w:qFormat/>
    <w:uiPriority w:val="99"/>
  </w:style>
  <w:style w:type="paragraph" w:customStyle="1" w:styleId="544">
    <w:name w:val="Normal_file_286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45">
    <w:name w:val="heading 1_file_2861"/>
    <w:basedOn w:val="544"/>
    <w:qFormat/>
    <w:uiPriority w:val="9"/>
    <w:pPr>
      <w:outlineLvl w:val="0"/>
    </w:pPr>
    <w:rPr>
      <w:kern w:val="36"/>
      <w:sz w:val="48"/>
      <w:szCs w:val="48"/>
    </w:rPr>
  </w:style>
  <w:style w:type="paragraph" w:customStyle="1" w:styleId="546">
    <w:name w:val="heading 2_file_2861"/>
    <w:basedOn w:val="544"/>
    <w:qFormat/>
    <w:uiPriority w:val="9"/>
    <w:pPr>
      <w:outlineLvl w:val="1"/>
    </w:pPr>
    <w:rPr>
      <w:sz w:val="36"/>
      <w:szCs w:val="36"/>
    </w:rPr>
  </w:style>
  <w:style w:type="paragraph" w:customStyle="1" w:styleId="547">
    <w:name w:val="heading 3_file_2861"/>
    <w:basedOn w:val="544"/>
    <w:qFormat/>
    <w:uiPriority w:val="9"/>
    <w:pPr>
      <w:outlineLvl w:val="2"/>
    </w:pPr>
    <w:rPr>
      <w:sz w:val="27"/>
      <w:szCs w:val="27"/>
    </w:rPr>
  </w:style>
  <w:style w:type="paragraph" w:customStyle="1" w:styleId="548">
    <w:name w:val="heading 4_file_2861"/>
    <w:basedOn w:val="544"/>
    <w:qFormat/>
    <w:uiPriority w:val="9"/>
    <w:pPr>
      <w:outlineLvl w:val="3"/>
    </w:pPr>
  </w:style>
  <w:style w:type="paragraph" w:customStyle="1" w:styleId="549">
    <w:name w:val="heading 5_file_2861"/>
    <w:basedOn w:val="544"/>
    <w:qFormat/>
    <w:uiPriority w:val="9"/>
    <w:pPr>
      <w:outlineLvl w:val="4"/>
    </w:pPr>
    <w:rPr>
      <w:sz w:val="20"/>
      <w:szCs w:val="20"/>
    </w:rPr>
  </w:style>
  <w:style w:type="paragraph" w:customStyle="1" w:styleId="550">
    <w:name w:val="heading 6_file_2861"/>
    <w:basedOn w:val="544"/>
    <w:qFormat/>
    <w:uiPriority w:val="9"/>
    <w:pPr>
      <w:outlineLvl w:val="5"/>
    </w:pPr>
    <w:rPr>
      <w:sz w:val="15"/>
      <w:szCs w:val="15"/>
    </w:rPr>
  </w:style>
  <w:style w:type="character" w:customStyle="1" w:styleId="551">
    <w:name w:val="Default Paragraph Font_file_2861"/>
    <w:qFormat/>
    <w:uiPriority w:val="1"/>
  </w:style>
  <w:style w:type="table" w:customStyle="1" w:styleId="552">
    <w:name w:val="Normal Table_file_2861"/>
    <w:qFormat/>
    <w:uiPriority w:val="99"/>
    <w:tblPr>
      <w:tblCellMar>
        <w:top w:w="0" w:type="dxa"/>
        <w:left w:w="108" w:type="dxa"/>
        <w:bottom w:w="0" w:type="dxa"/>
        <w:right w:w="108" w:type="dxa"/>
      </w:tblCellMar>
    </w:tblPr>
  </w:style>
  <w:style w:type="character" w:customStyle="1" w:styleId="553">
    <w:name w:val="Hyperlink_file_2861"/>
    <w:basedOn w:val="551"/>
    <w:qFormat/>
    <w:uiPriority w:val="99"/>
    <w:rPr>
      <w:color w:val="0782C1"/>
      <w:u w:val="single"/>
    </w:rPr>
  </w:style>
  <w:style w:type="character" w:customStyle="1" w:styleId="554">
    <w:name w:val="FollowedHyperlink_file_2861"/>
    <w:basedOn w:val="551"/>
    <w:qFormat/>
    <w:uiPriority w:val="99"/>
    <w:rPr>
      <w:color w:val="0782C1"/>
      <w:u w:val="single"/>
    </w:rPr>
  </w:style>
  <w:style w:type="character" w:customStyle="1" w:styleId="555">
    <w:name w:val="标题 1 Char_file_2861"/>
    <w:basedOn w:val="551"/>
    <w:link w:val="4"/>
    <w:qFormat/>
    <w:uiPriority w:val="9"/>
    <w:rPr>
      <w:rFonts w:ascii="宋体" w:hAnsi="宋体" w:eastAsia="宋体" w:cs="宋体"/>
      <w:b/>
      <w:bCs/>
      <w:kern w:val="44"/>
      <w:sz w:val="44"/>
      <w:szCs w:val="44"/>
    </w:rPr>
  </w:style>
  <w:style w:type="character" w:customStyle="1" w:styleId="556">
    <w:name w:val="标题 2 Char_file_2861"/>
    <w:basedOn w:val="551"/>
    <w:link w:val="5"/>
    <w:qFormat/>
    <w:uiPriority w:val="9"/>
    <w:rPr>
      <w:rFonts w:ascii="等线 Light" w:hAnsi="等线 Light" w:eastAsia="等线 Light" w:cs="宋体"/>
      <w:b/>
      <w:bCs/>
      <w:sz w:val="32"/>
      <w:szCs w:val="32"/>
    </w:rPr>
  </w:style>
  <w:style w:type="character" w:customStyle="1" w:styleId="557">
    <w:name w:val="标题 3 Char_file_2861"/>
    <w:basedOn w:val="551"/>
    <w:link w:val="6"/>
    <w:qFormat/>
    <w:uiPriority w:val="9"/>
    <w:rPr>
      <w:rFonts w:ascii="宋体" w:hAnsi="宋体" w:eastAsia="宋体" w:cs="宋体"/>
      <w:b/>
      <w:bCs/>
      <w:sz w:val="32"/>
      <w:szCs w:val="32"/>
    </w:rPr>
  </w:style>
  <w:style w:type="character" w:customStyle="1" w:styleId="558">
    <w:name w:val="标题 4 Char_file_2861"/>
    <w:basedOn w:val="551"/>
    <w:link w:val="7"/>
    <w:qFormat/>
    <w:uiPriority w:val="9"/>
    <w:rPr>
      <w:rFonts w:ascii="等线 Light" w:hAnsi="等线 Light" w:eastAsia="等线 Light" w:cs="宋体"/>
      <w:b/>
      <w:bCs/>
      <w:sz w:val="28"/>
      <w:szCs w:val="28"/>
    </w:rPr>
  </w:style>
  <w:style w:type="character" w:customStyle="1" w:styleId="559">
    <w:name w:val="标题 5 Char_file_2861"/>
    <w:basedOn w:val="551"/>
    <w:link w:val="8"/>
    <w:qFormat/>
    <w:uiPriority w:val="9"/>
    <w:rPr>
      <w:rFonts w:ascii="宋体" w:hAnsi="宋体" w:eastAsia="宋体" w:cs="宋体"/>
      <w:b/>
      <w:bCs/>
      <w:sz w:val="28"/>
      <w:szCs w:val="28"/>
    </w:rPr>
  </w:style>
  <w:style w:type="character" w:customStyle="1" w:styleId="560">
    <w:name w:val="标题 6 Char_file_2861"/>
    <w:basedOn w:val="551"/>
    <w:link w:val="11"/>
    <w:qFormat/>
    <w:uiPriority w:val="9"/>
    <w:rPr>
      <w:rFonts w:ascii="等线 Light" w:hAnsi="等线 Light" w:eastAsia="等线 Light" w:cs="宋体"/>
      <w:b/>
      <w:bCs/>
      <w:sz w:val="24"/>
      <w:szCs w:val="24"/>
    </w:rPr>
  </w:style>
  <w:style w:type="paragraph" w:customStyle="1" w:styleId="561">
    <w:name w:val="cke_editable_file_2861"/>
    <w:basedOn w:val="544"/>
    <w:qFormat/>
    <w:uiPriority w:val="0"/>
    <w:rPr>
      <w:rFonts w:ascii="仿宋_GB2312" w:eastAsia="仿宋_GB2312"/>
    </w:rPr>
  </w:style>
  <w:style w:type="paragraph" w:customStyle="1" w:styleId="562">
    <w:name w:val="marker_file_2861"/>
    <w:basedOn w:val="544"/>
    <w:qFormat/>
    <w:uiPriority w:val="0"/>
    <w:pPr>
      <w:shd w:val="clear" w:color="auto" w:fill="FFFF00"/>
    </w:pPr>
  </w:style>
  <w:style w:type="paragraph" w:customStyle="1" w:styleId="563">
    <w:name w:val="Normal_file_286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64">
    <w:name w:val="heading 1_file_2862"/>
    <w:basedOn w:val="563"/>
    <w:qFormat/>
    <w:uiPriority w:val="9"/>
    <w:pPr>
      <w:outlineLvl w:val="0"/>
    </w:pPr>
    <w:rPr>
      <w:kern w:val="36"/>
      <w:sz w:val="48"/>
      <w:szCs w:val="48"/>
    </w:rPr>
  </w:style>
  <w:style w:type="paragraph" w:customStyle="1" w:styleId="565">
    <w:name w:val="heading 2_file_2862"/>
    <w:basedOn w:val="563"/>
    <w:qFormat/>
    <w:uiPriority w:val="9"/>
    <w:pPr>
      <w:outlineLvl w:val="1"/>
    </w:pPr>
    <w:rPr>
      <w:sz w:val="36"/>
      <w:szCs w:val="36"/>
    </w:rPr>
  </w:style>
  <w:style w:type="paragraph" w:customStyle="1" w:styleId="566">
    <w:name w:val="heading 3_file_2862"/>
    <w:basedOn w:val="563"/>
    <w:qFormat/>
    <w:uiPriority w:val="9"/>
    <w:pPr>
      <w:outlineLvl w:val="2"/>
    </w:pPr>
    <w:rPr>
      <w:sz w:val="27"/>
      <w:szCs w:val="27"/>
    </w:rPr>
  </w:style>
  <w:style w:type="paragraph" w:customStyle="1" w:styleId="567">
    <w:name w:val="heading 4_file_2862"/>
    <w:basedOn w:val="563"/>
    <w:qFormat/>
    <w:uiPriority w:val="9"/>
    <w:pPr>
      <w:outlineLvl w:val="3"/>
    </w:pPr>
  </w:style>
  <w:style w:type="paragraph" w:customStyle="1" w:styleId="568">
    <w:name w:val="heading 5_file_2862"/>
    <w:basedOn w:val="563"/>
    <w:qFormat/>
    <w:uiPriority w:val="9"/>
    <w:pPr>
      <w:outlineLvl w:val="4"/>
    </w:pPr>
    <w:rPr>
      <w:sz w:val="20"/>
      <w:szCs w:val="20"/>
    </w:rPr>
  </w:style>
  <w:style w:type="paragraph" w:customStyle="1" w:styleId="569">
    <w:name w:val="heading 6_file_2862"/>
    <w:basedOn w:val="563"/>
    <w:qFormat/>
    <w:uiPriority w:val="9"/>
    <w:pPr>
      <w:outlineLvl w:val="5"/>
    </w:pPr>
    <w:rPr>
      <w:sz w:val="15"/>
      <w:szCs w:val="15"/>
    </w:rPr>
  </w:style>
  <w:style w:type="character" w:customStyle="1" w:styleId="570">
    <w:name w:val="Default Paragraph Font_file_2862"/>
    <w:qFormat/>
    <w:uiPriority w:val="1"/>
  </w:style>
  <w:style w:type="table" w:customStyle="1" w:styleId="571">
    <w:name w:val="Normal Table_file_2862"/>
    <w:qFormat/>
    <w:uiPriority w:val="99"/>
    <w:tblPr>
      <w:tblCellMar>
        <w:top w:w="0" w:type="dxa"/>
        <w:left w:w="108" w:type="dxa"/>
        <w:bottom w:w="0" w:type="dxa"/>
        <w:right w:w="108" w:type="dxa"/>
      </w:tblCellMar>
    </w:tblPr>
  </w:style>
  <w:style w:type="character" w:customStyle="1" w:styleId="572">
    <w:name w:val="Hyperlink_file_2862"/>
    <w:basedOn w:val="570"/>
    <w:qFormat/>
    <w:uiPriority w:val="99"/>
    <w:rPr>
      <w:color w:val="0782C1"/>
      <w:u w:val="single"/>
    </w:rPr>
  </w:style>
  <w:style w:type="character" w:customStyle="1" w:styleId="573">
    <w:name w:val="FollowedHyperlink_file_2862"/>
    <w:basedOn w:val="570"/>
    <w:qFormat/>
    <w:uiPriority w:val="99"/>
    <w:rPr>
      <w:color w:val="0782C1"/>
      <w:u w:val="single"/>
    </w:rPr>
  </w:style>
  <w:style w:type="character" w:customStyle="1" w:styleId="574">
    <w:name w:val="标题 1 Char_file_2862"/>
    <w:basedOn w:val="570"/>
    <w:link w:val="4"/>
    <w:qFormat/>
    <w:uiPriority w:val="9"/>
    <w:rPr>
      <w:rFonts w:ascii="宋体" w:hAnsi="宋体" w:eastAsia="宋体" w:cs="宋体"/>
      <w:b/>
      <w:bCs/>
      <w:kern w:val="44"/>
      <w:sz w:val="44"/>
      <w:szCs w:val="44"/>
    </w:rPr>
  </w:style>
  <w:style w:type="character" w:customStyle="1" w:styleId="575">
    <w:name w:val="标题 2 Char_file_2862"/>
    <w:basedOn w:val="570"/>
    <w:link w:val="5"/>
    <w:qFormat/>
    <w:uiPriority w:val="9"/>
    <w:rPr>
      <w:rFonts w:ascii="等线 Light" w:hAnsi="等线 Light" w:eastAsia="等线 Light" w:cs="宋体"/>
      <w:b/>
      <w:bCs/>
      <w:sz w:val="32"/>
      <w:szCs w:val="32"/>
    </w:rPr>
  </w:style>
  <w:style w:type="character" w:customStyle="1" w:styleId="576">
    <w:name w:val="标题 3 Char_file_2862"/>
    <w:basedOn w:val="570"/>
    <w:link w:val="6"/>
    <w:qFormat/>
    <w:uiPriority w:val="9"/>
    <w:rPr>
      <w:rFonts w:ascii="宋体" w:hAnsi="宋体" w:eastAsia="宋体" w:cs="宋体"/>
      <w:b/>
      <w:bCs/>
      <w:sz w:val="32"/>
      <w:szCs w:val="32"/>
    </w:rPr>
  </w:style>
  <w:style w:type="character" w:customStyle="1" w:styleId="577">
    <w:name w:val="标题 4 Char_file_2862"/>
    <w:basedOn w:val="570"/>
    <w:link w:val="7"/>
    <w:qFormat/>
    <w:uiPriority w:val="9"/>
    <w:rPr>
      <w:rFonts w:ascii="等线 Light" w:hAnsi="等线 Light" w:eastAsia="等线 Light" w:cs="宋体"/>
      <w:b/>
      <w:bCs/>
      <w:sz w:val="28"/>
      <w:szCs w:val="28"/>
    </w:rPr>
  </w:style>
  <w:style w:type="character" w:customStyle="1" w:styleId="578">
    <w:name w:val="标题 5 Char_file_2862"/>
    <w:basedOn w:val="570"/>
    <w:link w:val="8"/>
    <w:qFormat/>
    <w:uiPriority w:val="9"/>
    <w:rPr>
      <w:rFonts w:ascii="宋体" w:hAnsi="宋体" w:eastAsia="宋体" w:cs="宋体"/>
      <w:b/>
      <w:bCs/>
      <w:sz w:val="28"/>
      <w:szCs w:val="28"/>
    </w:rPr>
  </w:style>
  <w:style w:type="character" w:customStyle="1" w:styleId="579">
    <w:name w:val="标题 6 Char_file_2862"/>
    <w:basedOn w:val="570"/>
    <w:link w:val="11"/>
    <w:qFormat/>
    <w:uiPriority w:val="9"/>
    <w:rPr>
      <w:rFonts w:ascii="等线 Light" w:hAnsi="等线 Light" w:eastAsia="等线 Light" w:cs="宋体"/>
      <w:b/>
      <w:bCs/>
      <w:sz w:val="24"/>
      <w:szCs w:val="24"/>
    </w:rPr>
  </w:style>
  <w:style w:type="paragraph" w:customStyle="1" w:styleId="580">
    <w:name w:val="cke_editable_file_2862"/>
    <w:basedOn w:val="563"/>
    <w:qFormat/>
    <w:uiPriority w:val="0"/>
    <w:rPr>
      <w:rFonts w:ascii="仿宋_GB2312" w:eastAsia="仿宋_GB2312"/>
    </w:rPr>
  </w:style>
  <w:style w:type="paragraph" w:customStyle="1" w:styleId="581">
    <w:name w:val="marker_file_2862"/>
    <w:basedOn w:val="563"/>
    <w:qFormat/>
    <w:uiPriority w:val="0"/>
    <w:pPr>
      <w:shd w:val="clear" w:color="auto" w:fill="FFFF00"/>
    </w:pPr>
  </w:style>
  <w:style w:type="paragraph" w:customStyle="1" w:styleId="582">
    <w:name w:val="Normal (Web)_file_2862"/>
    <w:basedOn w:val="563"/>
    <w:qFormat/>
    <w:uiPriority w:val="99"/>
  </w:style>
  <w:style w:type="character" w:customStyle="1" w:styleId="583">
    <w:name w:val="Strong_file_2862"/>
    <w:basedOn w:val="570"/>
    <w:qFormat/>
    <w:uiPriority w:val="22"/>
    <w:rPr>
      <w:b/>
      <w:bCs/>
    </w:rPr>
  </w:style>
  <w:style w:type="paragraph" w:customStyle="1" w:styleId="584">
    <w:name w:val="Normal_file_286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85">
    <w:name w:val="heading 1_file_2863"/>
    <w:basedOn w:val="584"/>
    <w:qFormat/>
    <w:uiPriority w:val="9"/>
    <w:pPr>
      <w:outlineLvl w:val="0"/>
    </w:pPr>
    <w:rPr>
      <w:kern w:val="36"/>
      <w:sz w:val="48"/>
      <w:szCs w:val="48"/>
    </w:rPr>
  </w:style>
  <w:style w:type="paragraph" w:customStyle="1" w:styleId="586">
    <w:name w:val="heading 2_file_2863"/>
    <w:basedOn w:val="584"/>
    <w:qFormat/>
    <w:uiPriority w:val="9"/>
    <w:pPr>
      <w:outlineLvl w:val="1"/>
    </w:pPr>
    <w:rPr>
      <w:sz w:val="36"/>
      <w:szCs w:val="36"/>
    </w:rPr>
  </w:style>
  <w:style w:type="paragraph" w:customStyle="1" w:styleId="587">
    <w:name w:val="heading 3_file_2863"/>
    <w:basedOn w:val="584"/>
    <w:qFormat/>
    <w:uiPriority w:val="9"/>
    <w:pPr>
      <w:outlineLvl w:val="2"/>
    </w:pPr>
    <w:rPr>
      <w:sz w:val="27"/>
      <w:szCs w:val="27"/>
    </w:rPr>
  </w:style>
  <w:style w:type="paragraph" w:customStyle="1" w:styleId="588">
    <w:name w:val="heading 4_file_2863"/>
    <w:basedOn w:val="584"/>
    <w:qFormat/>
    <w:uiPriority w:val="9"/>
    <w:pPr>
      <w:outlineLvl w:val="3"/>
    </w:pPr>
  </w:style>
  <w:style w:type="paragraph" w:customStyle="1" w:styleId="589">
    <w:name w:val="heading 5_file_2863"/>
    <w:basedOn w:val="584"/>
    <w:qFormat/>
    <w:uiPriority w:val="9"/>
    <w:pPr>
      <w:outlineLvl w:val="4"/>
    </w:pPr>
    <w:rPr>
      <w:sz w:val="20"/>
      <w:szCs w:val="20"/>
    </w:rPr>
  </w:style>
  <w:style w:type="paragraph" w:customStyle="1" w:styleId="590">
    <w:name w:val="heading 6_file_2863"/>
    <w:basedOn w:val="584"/>
    <w:qFormat/>
    <w:uiPriority w:val="9"/>
    <w:pPr>
      <w:outlineLvl w:val="5"/>
    </w:pPr>
    <w:rPr>
      <w:sz w:val="15"/>
      <w:szCs w:val="15"/>
    </w:rPr>
  </w:style>
  <w:style w:type="character" w:customStyle="1" w:styleId="591">
    <w:name w:val="Default Paragraph Font_file_2863"/>
    <w:qFormat/>
    <w:uiPriority w:val="1"/>
  </w:style>
  <w:style w:type="table" w:customStyle="1" w:styleId="592">
    <w:name w:val="Normal Table_file_2863"/>
    <w:qFormat/>
    <w:uiPriority w:val="99"/>
    <w:tblPr>
      <w:tblCellMar>
        <w:top w:w="0" w:type="dxa"/>
        <w:left w:w="108" w:type="dxa"/>
        <w:bottom w:w="0" w:type="dxa"/>
        <w:right w:w="108" w:type="dxa"/>
      </w:tblCellMar>
    </w:tblPr>
  </w:style>
  <w:style w:type="character" w:customStyle="1" w:styleId="593">
    <w:name w:val="Hyperlink_file_2863"/>
    <w:basedOn w:val="591"/>
    <w:qFormat/>
    <w:uiPriority w:val="99"/>
    <w:rPr>
      <w:color w:val="0782C1"/>
      <w:u w:val="single"/>
    </w:rPr>
  </w:style>
  <w:style w:type="character" w:customStyle="1" w:styleId="594">
    <w:name w:val="FollowedHyperlink_file_2863"/>
    <w:basedOn w:val="591"/>
    <w:qFormat/>
    <w:uiPriority w:val="99"/>
    <w:rPr>
      <w:color w:val="0782C1"/>
      <w:u w:val="single"/>
    </w:rPr>
  </w:style>
  <w:style w:type="character" w:customStyle="1" w:styleId="595">
    <w:name w:val="标题 1 Char_file_2863"/>
    <w:basedOn w:val="591"/>
    <w:link w:val="4"/>
    <w:qFormat/>
    <w:uiPriority w:val="9"/>
    <w:rPr>
      <w:rFonts w:ascii="宋体" w:hAnsi="宋体" w:eastAsia="宋体" w:cs="宋体"/>
      <w:b/>
      <w:bCs/>
      <w:kern w:val="44"/>
      <w:sz w:val="44"/>
      <w:szCs w:val="44"/>
    </w:rPr>
  </w:style>
  <w:style w:type="character" w:customStyle="1" w:styleId="596">
    <w:name w:val="标题 2 Char_file_2863"/>
    <w:basedOn w:val="591"/>
    <w:link w:val="5"/>
    <w:qFormat/>
    <w:uiPriority w:val="9"/>
    <w:rPr>
      <w:rFonts w:ascii="等线 Light" w:hAnsi="等线 Light" w:eastAsia="等线 Light" w:cs="宋体"/>
      <w:b/>
      <w:bCs/>
      <w:sz w:val="32"/>
      <w:szCs w:val="32"/>
    </w:rPr>
  </w:style>
  <w:style w:type="character" w:customStyle="1" w:styleId="597">
    <w:name w:val="标题 3 Char_file_2863"/>
    <w:basedOn w:val="591"/>
    <w:link w:val="6"/>
    <w:qFormat/>
    <w:uiPriority w:val="9"/>
    <w:rPr>
      <w:rFonts w:ascii="宋体" w:hAnsi="宋体" w:eastAsia="宋体" w:cs="宋体"/>
      <w:b/>
      <w:bCs/>
      <w:sz w:val="32"/>
      <w:szCs w:val="32"/>
    </w:rPr>
  </w:style>
  <w:style w:type="character" w:customStyle="1" w:styleId="598">
    <w:name w:val="标题 4 Char_file_2863"/>
    <w:basedOn w:val="591"/>
    <w:link w:val="7"/>
    <w:qFormat/>
    <w:uiPriority w:val="9"/>
    <w:rPr>
      <w:rFonts w:ascii="等线 Light" w:hAnsi="等线 Light" w:eastAsia="等线 Light" w:cs="宋体"/>
      <w:b/>
      <w:bCs/>
      <w:sz w:val="28"/>
      <w:szCs w:val="28"/>
    </w:rPr>
  </w:style>
  <w:style w:type="character" w:customStyle="1" w:styleId="599">
    <w:name w:val="标题 5 Char_file_2863"/>
    <w:basedOn w:val="591"/>
    <w:link w:val="8"/>
    <w:qFormat/>
    <w:uiPriority w:val="9"/>
    <w:rPr>
      <w:rFonts w:ascii="宋体" w:hAnsi="宋体" w:eastAsia="宋体" w:cs="宋体"/>
      <w:b/>
      <w:bCs/>
      <w:sz w:val="28"/>
      <w:szCs w:val="28"/>
    </w:rPr>
  </w:style>
  <w:style w:type="character" w:customStyle="1" w:styleId="600">
    <w:name w:val="标题 6 Char_file_2863"/>
    <w:basedOn w:val="591"/>
    <w:link w:val="11"/>
    <w:qFormat/>
    <w:uiPriority w:val="9"/>
    <w:rPr>
      <w:rFonts w:ascii="等线 Light" w:hAnsi="等线 Light" w:eastAsia="等线 Light" w:cs="宋体"/>
      <w:b/>
      <w:bCs/>
      <w:sz w:val="24"/>
      <w:szCs w:val="24"/>
    </w:rPr>
  </w:style>
  <w:style w:type="paragraph" w:customStyle="1" w:styleId="601">
    <w:name w:val="cke_editable_file_2863"/>
    <w:basedOn w:val="584"/>
    <w:qFormat/>
    <w:uiPriority w:val="0"/>
    <w:rPr>
      <w:rFonts w:ascii="仿宋_GB2312" w:eastAsia="仿宋_GB2312"/>
    </w:rPr>
  </w:style>
  <w:style w:type="paragraph" w:customStyle="1" w:styleId="602">
    <w:name w:val="marker_file_2863"/>
    <w:basedOn w:val="584"/>
    <w:qFormat/>
    <w:uiPriority w:val="0"/>
    <w:pPr>
      <w:shd w:val="clear" w:color="auto" w:fill="FFFF00"/>
    </w:pPr>
  </w:style>
  <w:style w:type="paragraph" w:customStyle="1" w:styleId="603">
    <w:name w:val="Normal (Web)_file_2863"/>
    <w:basedOn w:val="584"/>
    <w:qFormat/>
    <w:uiPriority w:val="99"/>
  </w:style>
  <w:style w:type="paragraph" w:customStyle="1" w:styleId="604">
    <w:name w:val="Normal_file_286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05">
    <w:name w:val="heading 1_file_2864"/>
    <w:basedOn w:val="604"/>
    <w:qFormat/>
    <w:uiPriority w:val="9"/>
    <w:pPr>
      <w:outlineLvl w:val="0"/>
    </w:pPr>
    <w:rPr>
      <w:kern w:val="36"/>
      <w:sz w:val="48"/>
      <w:szCs w:val="48"/>
    </w:rPr>
  </w:style>
  <w:style w:type="paragraph" w:customStyle="1" w:styleId="606">
    <w:name w:val="heading 2_file_2864"/>
    <w:basedOn w:val="604"/>
    <w:qFormat/>
    <w:uiPriority w:val="9"/>
    <w:pPr>
      <w:outlineLvl w:val="1"/>
    </w:pPr>
    <w:rPr>
      <w:sz w:val="36"/>
      <w:szCs w:val="36"/>
    </w:rPr>
  </w:style>
  <w:style w:type="paragraph" w:customStyle="1" w:styleId="607">
    <w:name w:val="heading 3_file_2864"/>
    <w:basedOn w:val="604"/>
    <w:qFormat/>
    <w:uiPriority w:val="9"/>
    <w:pPr>
      <w:outlineLvl w:val="2"/>
    </w:pPr>
    <w:rPr>
      <w:sz w:val="27"/>
      <w:szCs w:val="27"/>
    </w:rPr>
  </w:style>
  <w:style w:type="paragraph" w:customStyle="1" w:styleId="608">
    <w:name w:val="heading 4_file_2864"/>
    <w:basedOn w:val="604"/>
    <w:qFormat/>
    <w:uiPriority w:val="9"/>
    <w:pPr>
      <w:outlineLvl w:val="3"/>
    </w:pPr>
  </w:style>
  <w:style w:type="paragraph" w:customStyle="1" w:styleId="609">
    <w:name w:val="heading 5_file_2864"/>
    <w:basedOn w:val="604"/>
    <w:qFormat/>
    <w:uiPriority w:val="9"/>
    <w:pPr>
      <w:outlineLvl w:val="4"/>
    </w:pPr>
    <w:rPr>
      <w:sz w:val="20"/>
      <w:szCs w:val="20"/>
    </w:rPr>
  </w:style>
  <w:style w:type="paragraph" w:customStyle="1" w:styleId="610">
    <w:name w:val="heading 6_file_2864"/>
    <w:basedOn w:val="604"/>
    <w:qFormat/>
    <w:uiPriority w:val="9"/>
    <w:pPr>
      <w:outlineLvl w:val="5"/>
    </w:pPr>
    <w:rPr>
      <w:sz w:val="15"/>
      <w:szCs w:val="15"/>
    </w:rPr>
  </w:style>
  <w:style w:type="character" w:customStyle="1" w:styleId="611">
    <w:name w:val="Default Paragraph Font_file_2864"/>
    <w:qFormat/>
    <w:uiPriority w:val="1"/>
  </w:style>
  <w:style w:type="table" w:customStyle="1" w:styleId="612">
    <w:name w:val="Normal Table_file_2864"/>
    <w:qFormat/>
    <w:uiPriority w:val="99"/>
    <w:tblPr>
      <w:tblCellMar>
        <w:top w:w="0" w:type="dxa"/>
        <w:left w:w="108" w:type="dxa"/>
        <w:bottom w:w="0" w:type="dxa"/>
        <w:right w:w="108" w:type="dxa"/>
      </w:tblCellMar>
    </w:tblPr>
  </w:style>
  <w:style w:type="character" w:customStyle="1" w:styleId="613">
    <w:name w:val="Hyperlink_file_2864"/>
    <w:basedOn w:val="611"/>
    <w:qFormat/>
    <w:uiPriority w:val="99"/>
    <w:rPr>
      <w:color w:val="0782C1"/>
      <w:u w:val="single"/>
    </w:rPr>
  </w:style>
  <w:style w:type="character" w:customStyle="1" w:styleId="614">
    <w:name w:val="FollowedHyperlink_file_2864"/>
    <w:basedOn w:val="611"/>
    <w:qFormat/>
    <w:uiPriority w:val="99"/>
    <w:rPr>
      <w:color w:val="0782C1"/>
      <w:u w:val="single"/>
    </w:rPr>
  </w:style>
  <w:style w:type="character" w:customStyle="1" w:styleId="615">
    <w:name w:val="标题 1 Char_file_2864"/>
    <w:basedOn w:val="611"/>
    <w:link w:val="4"/>
    <w:qFormat/>
    <w:uiPriority w:val="9"/>
    <w:rPr>
      <w:rFonts w:ascii="宋体" w:hAnsi="宋体" w:eastAsia="宋体" w:cs="宋体"/>
      <w:b/>
      <w:bCs/>
      <w:kern w:val="44"/>
      <w:sz w:val="44"/>
      <w:szCs w:val="44"/>
    </w:rPr>
  </w:style>
  <w:style w:type="character" w:customStyle="1" w:styleId="616">
    <w:name w:val="标题 2 Char_file_2864"/>
    <w:basedOn w:val="611"/>
    <w:link w:val="5"/>
    <w:qFormat/>
    <w:uiPriority w:val="9"/>
    <w:rPr>
      <w:rFonts w:ascii="等线 Light" w:hAnsi="等线 Light" w:eastAsia="等线 Light" w:cs="宋体"/>
      <w:b/>
      <w:bCs/>
      <w:sz w:val="32"/>
      <w:szCs w:val="32"/>
    </w:rPr>
  </w:style>
  <w:style w:type="character" w:customStyle="1" w:styleId="617">
    <w:name w:val="标题 3 Char_file_2864"/>
    <w:basedOn w:val="611"/>
    <w:link w:val="6"/>
    <w:qFormat/>
    <w:uiPriority w:val="9"/>
    <w:rPr>
      <w:rFonts w:ascii="宋体" w:hAnsi="宋体" w:eastAsia="宋体" w:cs="宋体"/>
      <w:b/>
      <w:bCs/>
      <w:sz w:val="32"/>
      <w:szCs w:val="32"/>
    </w:rPr>
  </w:style>
  <w:style w:type="character" w:customStyle="1" w:styleId="618">
    <w:name w:val="标题 4 Char_file_2864"/>
    <w:basedOn w:val="611"/>
    <w:link w:val="7"/>
    <w:qFormat/>
    <w:uiPriority w:val="9"/>
    <w:rPr>
      <w:rFonts w:ascii="等线 Light" w:hAnsi="等线 Light" w:eastAsia="等线 Light" w:cs="宋体"/>
      <w:b/>
      <w:bCs/>
      <w:sz w:val="28"/>
      <w:szCs w:val="28"/>
    </w:rPr>
  </w:style>
  <w:style w:type="character" w:customStyle="1" w:styleId="619">
    <w:name w:val="标题 5 Char_file_2864"/>
    <w:basedOn w:val="611"/>
    <w:link w:val="8"/>
    <w:qFormat/>
    <w:uiPriority w:val="9"/>
    <w:rPr>
      <w:rFonts w:ascii="宋体" w:hAnsi="宋体" w:eastAsia="宋体" w:cs="宋体"/>
      <w:b/>
      <w:bCs/>
      <w:sz w:val="28"/>
      <w:szCs w:val="28"/>
    </w:rPr>
  </w:style>
  <w:style w:type="character" w:customStyle="1" w:styleId="620">
    <w:name w:val="标题 6 Char_file_2864"/>
    <w:basedOn w:val="611"/>
    <w:link w:val="11"/>
    <w:qFormat/>
    <w:uiPriority w:val="9"/>
    <w:rPr>
      <w:rFonts w:ascii="等线 Light" w:hAnsi="等线 Light" w:eastAsia="等线 Light" w:cs="宋体"/>
      <w:b/>
      <w:bCs/>
      <w:sz w:val="24"/>
      <w:szCs w:val="24"/>
    </w:rPr>
  </w:style>
  <w:style w:type="paragraph" w:customStyle="1" w:styleId="621">
    <w:name w:val="cke_editable_file_2864"/>
    <w:basedOn w:val="604"/>
    <w:qFormat/>
    <w:uiPriority w:val="0"/>
    <w:rPr>
      <w:rFonts w:ascii="仿宋_GB2312" w:eastAsia="仿宋_GB2312"/>
    </w:rPr>
  </w:style>
  <w:style w:type="paragraph" w:customStyle="1" w:styleId="622">
    <w:name w:val="marker_file_2864"/>
    <w:basedOn w:val="604"/>
    <w:qFormat/>
    <w:uiPriority w:val="0"/>
    <w:pPr>
      <w:shd w:val="clear" w:color="auto" w:fill="FFFF00"/>
    </w:pPr>
  </w:style>
  <w:style w:type="paragraph" w:customStyle="1" w:styleId="623">
    <w:name w:val="Normal (Web)_file_2864"/>
    <w:basedOn w:val="604"/>
    <w:qFormat/>
    <w:uiPriority w:val="99"/>
  </w:style>
  <w:style w:type="paragraph" w:customStyle="1" w:styleId="624">
    <w:name w:val="Normal_file_286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25">
    <w:name w:val="heading 1_file_2865"/>
    <w:basedOn w:val="624"/>
    <w:qFormat/>
    <w:uiPriority w:val="9"/>
    <w:pPr>
      <w:outlineLvl w:val="0"/>
    </w:pPr>
    <w:rPr>
      <w:kern w:val="36"/>
      <w:sz w:val="48"/>
      <w:szCs w:val="48"/>
    </w:rPr>
  </w:style>
  <w:style w:type="paragraph" w:customStyle="1" w:styleId="626">
    <w:name w:val="heading 2_file_2865"/>
    <w:basedOn w:val="624"/>
    <w:qFormat/>
    <w:uiPriority w:val="9"/>
    <w:pPr>
      <w:outlineLvl w:val="1"/>
    </w:pPr>
    <w:rPr>
      <w:sz w:val="36"/>
      <w:szCs w:val="36"/>
    </w:rPr>
  </w:style>
  <w:style w:type="paragraph" w:customStyle="1" w:styleId="627">
    <w:name w:val="heading 3_file_2865"/>
    <w:basedOn w:val="624"/>
    <w:qFormat/>
    <w:uiPriority w:val="9"/>
    <w:pPr>
      <w:outlineLvl w:val="2"/>
    </w:pPr>
    <w:rPr>
      <w:sz w:val="27"/>
      <w:szCs w:val="27"/>
    </w:rPr>
  </w:style>
  <w:style w:type="paragraph" w:customStyle="1" w:styleId="628">
    <w:name w:val="heading 4_file_2865"/>
    <w:basedOn w:val="624"/>
    <w:qFormat/>
    <w:uiPriority w:val="9"/>
    <w:pPr>
      <w:outlineLvl w:val="3"/>
    </w:pPr>
  </w:style>
  <w:style w:type="paragraph" w:customStyle="1" w:styleId="629">
    <w:name w:val="heading 5_file_2865"/>
    <w:basedOn w:val="624"/>
    <w:qFormat/>
    <w:uiPriority w:val="9"/>
    <w:pPr>
      <w:outlineLvl w:val="4"/>
    </w:pPr>
    <w:rPr>
      <w:sz w:val="20"/>
      <w:szCs w:val="20"/>
    </w:rPr>
  </w:style>
  <w:style w:type="paragraph" w:customStyle="1" w:styleId="630">
    <w:name w:val="heading 6_file_2865"/>
    <w:basedOn w:val="624"/>
    <w:qFormat/>
    <w:uiPriority w:val="9"/>
    <w:pPr>
      <w:outlineLvl w:val="5"/>
    </w:pPr>
    <w:rPr>
      <w:sz w:val="15"/>
      <w:szCs w:val="15"/>
    </w:rPr>
  </w:style>
  <w:style w:type="character" w:customStyle="1" w:styleId="631">
    <w:name w:val="Default Paragraph Font_file_2865"/>
    <w:qFormat/>
    <w:uiPriority w:val="1"/>
  </w:style>
  <w:style w:type="table" w:customStyle="1" w:styleId="632">
    <w:name w:val="Normal Table_file_2865"/>
    <w:qFormat/>
    <w:uiPriority w:val="99"/>
    <w:tblPr>
      <w:tblCellMar>
        <w:top w:w="0" w:type="dxa"/>
        <w:left w:w="108" w:type="dxa"/>
        <w:bottom w:w="0" w:type="dxa"/>
        <w:right w:w="108" w:type="dxa"/>
      </w:tblCellMar>
    </w:tblPr>
  </w:style>
  <w:style w:type="character" w:customStyle="1" w:styleId="633">
    <w:name w:val="Hyperlink_file_2865"/>
    <w:basedOn w:val="631"/>
    <w:qFormat/>
    <w:uiPriority w:val="99"/>
    <w:rPr>
      <w:color w:val="0782C1"/>
      <w:u w:val="single"/>
    </w:rPr>
  </w:style>
  <w:style w:type="character" w:customStyle="1" w:styleId="634">
    <w:name w:val="FollowedHyperlink_file_2865"/>
    <w:basedOn w:val="631"/>
    <w:qFormat/>
    <w:uiPriority w:val="99"/>
    <w:rPr>
      <w:color w:val="0782C1"/>
      <w:u w:val="single"/>
    </w:rPr>
  </w:style>
  <w:style w:type="character" w:customStyle="1" w:styleId="635">
    <w:name w:val="标题 1 Char_file_2865"/>
    <w:basedOn w:val="631"/>
    <w:link w:val="4"/>
    <w:qFormat/>
    <w:uiPriority w:val="9"/>
    <w:rPr>
      <w:rFonts w:ascii="宋体" w:hAnsi="宋体" w:eastAsia="宋体" w:cs="宋体"/>
      <w:b/>
      <w:bCs/>
      <w:kern w:val="44"/>
      <w:sz w:val="44"/>
      <w:szCs w:val="44"/>
    </w:rPr>
  </w:style>
  <w:style w:type="character" w:customStyle="1" w:styleId="636">
    <w:name w:val="标题 2 Char_file_2865"/>
    <w:basedOn w:val="631"/>
    <w:link w:val="5"/>
    <w:qFormat/>
    <w:uiPriority w:val="9"/>
    <w:rPr>
      <w:rFonts w:ascii="等线 Light" w:hAnsi="等线 Light" w:eastAsia="等线 Light" w:cs="宋体"/>
      <w:b/>
      <w:bCs/>
      <w:sz w:val="32"/>
      <w:szCs w:val="32"/>
    </w:rPr>
  </w:style>
  <w:style w:type="character" w:customStyle="1" w:styleId="637">
    <w:name w:val="标题 3 Char_file_2865"/>
    <w:basedOn w:val="631"/>
    <w:link w:val="6"/>
    <w:qFormat/>
    <w:uiPriority w:val="9"/>
    <w:rPr>
      <w:rFonts w:ascii="宋体" w:hAnsi="宋体" w:eastAsia="宋体" w:cs="宋体"/>
      <w:b/>
      <w:bCs/>
      <w:sz w:val="32"/>
      <w:szCs w:val="32"/>
    </w:rPr>
  </w:style>
  <w:style w:type="character" w:customStyle="1" w:styleId="638">
    <w:name w:val="标题 4 Char_file_2865"/>
    <w:basedOn w:val="631"/>
    <w:link w:val="7"/>
    <w:qFormat/>
    <w:uiPriority w:val="9"/>
    <w:rPr>
      <w:rFonts w:ascii="等线 Light" w:hAnsi="等线 Light" w:eastAsia="等线 Light" w:cs="宋体"/>
      <w:b/>
      <w:bCs/>
      <w:sz w:val="28"/>
      <w:szCs w:val="28"/>
    </w:rPr>
  </w:style>
  <w:style w:type="character" w:customStyle="1" w:styleId="639">
    <w:name w:val="标题 5 Char_file_2865"/>
    <w:basedOn w:val="631"/>
    <w:link w:val="8"/>
    <w:qFormat/>
    <w:uiPriority w:val="9"/>
    <w:rPr>
      <w:rFonts w:ascii="宋体" w:hAnsi="宋体" w:eastAsia="宋体" w:cs="宋体"/>
      <w:b/>
      <w:bCs/>
      <w:sz w:val="28"/>
      <w:szCs w:val="28"/>
    </w:rPr>
  </w:style>
  <w:style w:type="character" w:customStyle="1" w:styleId="640">
    <w:name w:val="标题 6 Char_file_2865"/>
    <w:basedOn w:val="631"/>
    <w:link w:val="11"/>
    <w:qFormat/>
    <w:uiPriority w:val="9"/>
    <w:rPr>
      <w:rFonts w:ascii="等线 Light" w:hAnsi="等线 Light" w:eastAsia="等线 Light" w:cs="宋体"/>
      <w:b/>
      <w:bCs/>
      <w:sz w:val="24"/>
      <w:szCs w:val="24"/>
    </w:rPr>
  </w:style>
  <w:style w:type="paragraph" w:customStyle="1" w:styleId="641">
    <w:name w:val="cke_editable_file_2865"/>
    <w:basedOn w:val="624"/>
    <w:qFormat/>
    <w:uiPriority w:val="0"/>
    <w:rPr>
      <w:rFonts w:ascii="仿宋_GB2312" w:eastAsia="仿宋_GB2312"/>
    </w:rPr>
  </w:style>
  <w:style w:type="paragraph" w:customStyle="1" w:styleId="642">
    <w:name w:val="marker_file_2865"/>
    <w:basedOn w:val="624"/>
    <w:qFormat/>
    <w:uiPriority w:val="0"/>
    <w:pPr>
      <w:shd w:val="clear" w:color="auto" w:fill="FFFF00"/>
    </w:pPr>
  </w:style>
  <w:style w:type="paragraph" w:customStyle="1" w:styleId="643">
    <w:name w:val="Normal (Web)_file_2865"/>
    <w:basedOn w:val="624"/>
    <w:qFormat/>
    <w:uiPriority w:val="99"/>
  </w:style>
  <w:style w:type="paragraph" w:customStyle="1" w:styleId="644">
    <w:name w:val="Normal_file_286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45">
    <w:name w:val="heading 1_file_2866"/>
    <w:basedOn w:val="644"/>
    <w:qFormat/>
    <w:uiPriority w:val="9"/>
    <w:pPr>
      <w:outlineLvl w:val="0"/>
    </w:pPr>
    <w:rPr>
      <w:kern w:val="36"/>
      <w:sz w:val="48"/>
      <w:szCs w:val="48"/>
    </w:rPr>
  </w:style>
  <w:style w:type="paragraph" w:customStyle="1" w:styleId="646">
    <w:name w:val="heading 2_file_2866"/>
    <w:basedOn w:val="644"/>
    <w:qFormat/>
    <w:uiPriority w:val="9"/>
    <w:pPr>
      <w:outlineLvl w:val="1"/>
    </w:pPr>
    <w:rPr>
      <w:sz w:val="36"/>
      <w:szCs w:val="36"/>
    </w:rPr>
  </w:style>
  <w:style w:type="paragraph" w:customStyle="1" w:styleId="647">
    <w:name w:val="heading 3_file_2866"/>
    <w:basedOn w:val="644"/>
    <w:qFormat/>
    <w:uiPriority w:val="9"/>
    <w:pPr>
      <w:outlineLvl w:val="2"/>
    </w:pPr>
    <w:rPr>
      <w:sz w:val="27"/>
      <w:szCs w:val="27"/>
    </w:rPr>
  </w:style>
  <w:style w:type="paragraph" w:customStyle="1" w:styleId="648">
    <w:name w:val="heading 4_file_2866"/>
    <w:basedOn w:val="644"/>
    <w:qFormat/>
    <w:uiPriority w:val="9"/>
    <w:pPr>
      <w:outlineLvl w:val="3"/>
    </w:pPr>
  </w:style>
  <w:style w:type="paragraph" w:customStyle="1" w:styleId="649">
    <w:name w:val="heading 5_file_2866"/>
    <w:basedOn w:val="644"/>
    <w:qFormat/>
    <w:uiPriority w:val="9"/>
    <w:pPr>
      <w:outlineLvl w:val="4"/>
    </w:pPr>
    <w:rPr>
      <w:sz w:val="20"/>
      <w:szCs w:val="20"/>
    </w:rPr>
  </w:style>
  <w:style w:type="paragraph" w:customStyle="1" w:styleId="650">
    <w:name w:val="heading 6_file_2866"/>
    <w:basedOn w:val="644"/>
    <w:qFormat/>
    <w:uiPriority w:val="9"/>
    <w:pPr>
      <w:outlineLvl w:val="5"/>
    </w:pPr>
    <w:rPr>
      <w:sz w:val="15"/>
      <w:szCs w:val="15"/>
    </w:rPr>
  </w:style>
  <w:style w:type="character" w:customStyle="1" w:styleId="651">
    <w:name w:val="Default Paragraph Font_file_2866"/>
    <w:qFormat/>
    <w:uiPriority w:val="1"/>
  </w:style>
  <w:style w:type="table" w:customStyle="1" w:styleId="652">
    <w:name w:val="Normal Table_file_2866"/>
    <w:qFormat/>
    <w:uiPriority w:val="99"/>
    <w:tblPr>
      <w:tblCellMar>
        <w:top w:w="0" w:type="dxa"/>
        <w:left w:w="108" w:type="dxa"/>
        <w:bottom w:w="0" w:type="dxa"/>
        <w:right w:w="108" w:type="dxa"/>
      </w:tblCellMar>
    </w:tblPr>
  </w:style>
  <w:style w:type="character" w:customStyle="1" w:styleId="653">
    <w:name w:val="Hyperlink_file_2866"/>
    <w:basedOn w:val="651"/>
    <w:qFormat/>
    <w:uiPriority w:val="99"/>
    <w:rPr>
      <w:color w:val="0782C1"/>
      <w:u w:val="single"/>
    </w:rPr>
  </w:style>
  <w:style w:type="character" w:customStyle="1" w:styleId="654">
    <w:name w:val="FollowedHyperlink_file_2866"/>
    <w:basedOn w:val="651"/>
    <w:qFormat/>
    <w:uiPriority w:val="99"/>
    <w:rPr>
      <w:color w:val="0782C1"/>
      <w:u w:val="single"/>
    </w:rPr>
  </w:style>
  <w:style w:type="character" w:customStyle="1" w:styleId="655">
    <w:name w:val="标题 1 Char_file_2866"/>
    <w:basedOn w:val="651"/>
    <w:link w:val="4"/>
    <w:qFormat/>
    <w:uiPriority w:val="9"/>
    <w:rPr>
      <w:rFonts w:ascii="宋体" w:hAnsi="宋体" w:eastAsia="宋体" w:cs="宋体"/>
      <w:b/>
      <w:bCs/>
      <w:kern w:val="44"/>
      <w:sz w:val="44"/>
      <w:szCs w:val="44"/>
    </w:rPr>
  </w:style>
  <w:style w:type="character" w:customStyle="1" w:styleId="656">
    <w:name w:val="标题 2 Char_file_2866"/>
    <w:basedOn w:val="651"/>
    <w:link w:val="5"/>
    <w:qFormat/>
    <w:uiPriority w:val="9"/>
    <w:rPr>
      <w:rFonts w:ascii="等线 Light" w:hAnsi="等线 Light" w:eastAsia="等线 Light" w:cs="宋体"/>
      <w:b/>
      <w:bCs/>
      <w:sz w:val="32"/>
      <w:szCs w:val="32"/>
    </w:rPr>
  </w:style>
  <w:style w:type="character" w:customStyle="1" w:styleId="657">
    <w:name w:val="标题 3 Char_file_2866"/>
    <w:basedOn w:val="651"/>
    <w:link w:val="6"/>
    <w:qFormat/>
    <w:uiPriority w:val="9"/>
    <w:rPr>
      <w:rFonts w:ascii="宋体" w:hAnsi="宋体" w:eastAsia="宋体" w:cs="宋体"/>
      <w:b/>
      <w:bCs/>
      <w:sz w:val="32"/>
      <w:szCs w:val="32"/>
    </w:rPr>
  </w:style>
  <w:style w:type="character" w:customStyle="1" w:styleId="658">
    <w:name w:val="标题 4 Char_file_2866"/>
    <w:basedOn w:val="651"/>
    <w:link w:val="7"/>
    <w:qFormat/>
    <w:uiPriority w:val="9"/>
    <w:rPr>
      <w:rFonts w:ascii="等线 Light" w:hAnsi="等线 Light" w:eastAsia="等线 Light" w:cs="宋体"/>
      <w:b/>
      <w:bCs/>
      <w:sz w:val="28"/>
      <w:szCs w:val="28"/>
    </w:rPr>
  </w:style>
  <w:style w:type="character" w:customStyle="1" w:styleId="659">
    <w:name w:val="标题 5 Char_file_2866"/>
    <w:basedOn w:val="651"/>
    <w:link w:val="8"/>
    <w:qFormat/>
    <w:uiPriority w:val="9"/>
    <w:rPr>
      <w:rFonts w:ascii="宋体" w:hAnsi="宋体" w:eastAsia="宋体" w:cs="宋体"/>
      <w:b/>
      <w:bCs/>
      <w:sz w:val="28"/>
      <w:szCs w:val="28"/>
    </w:rPr>
  </w:style>
  <w:style w:type="character" w:customStyle="1" w:styleId="660">
    <w:name w:val="标题 6 Char_file_2866"/>
    <w:basedOn w:val="651"/>
    <w:link w:val="11"/>
    <w:qFormat/>
    <w:uiPriority w:val="9"/>
    <w:rPr>
      <w:rFonts w:ascii="等线 Light" w:hAnsi="等线 Light" w:eastAsia="等线 Light" w:cs="宋体"/>
      <w:b/>
      <w:bCs/>
      <w:sz w:val="24"/>
      <w:szCs w:val="24"/>
    </w:rPr>
  </w:style>
  <w:style w:type="paragraph" w:customStyle="1" w:styleId="661">
    <w:name w:val="cke_editable_file_2866"/>
    <w:basedOn w:val="644"/>
    <w:qFormat/>
    <w:uiPriority w:val="0"/>
    <w:rPr>
      <w:rFonts w:ascii="仿宋_GB2312" w:eastAsia="仿宋_GB2312"/>
    </w:rPr>
  </w:style>
  <w:style w:type="paragraph" w:customStyle="1" w:styleId="662">
    <w:name w:val="marker_file_2866"/>
    <w:basedOn w:val="644"/>
    <w:qFormat/>
    <w:uiPriority w:val="0"/>
    <w:pPr>
      <w:shd w:val="clear" w:color="auto" w:fill="FFFF00"/>
    </w:pPr>
  </w:style>
  <w:style w:type="paragraph" w:customStyle="1" w:styleId="663">
    <w:name w:val="Normal (Web)_file_2866"/>
    <w:basedOn w:val="644"/>
    <w:qFormat/>
    <w:uiPriority w:val="99"/>
  </w:style>
  <w:style w:type="paragraph" w:customStyle="1" w:styleId="664">
    <w:name w:val="Normal_file_286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65">
    <w:name w:val="heading 1_file_2867"/>
    <w:basedOn w:val="664"/>
    <w:qFormat/>
    <w:uiPriority w:val="9"/>
    <w:pPr>
      <w:outlineLvl w:val="0"/>
    </w:pPr>
    <w:rPr>
      <w:kern w:val="36"/>
      <w:sz w:val="48"/>
      <w:szCs w:val="48"/>
    </w:rPr>
  </w:style>
  <w:style w:type="paragraph" w:customStyle="1" w:styleId="666">
    <w:name w:val="heading 2_file_2867"/>
    <w:basedOn w:val="664"/>
    <w:qFormat/>
    <w:uiPriority w:val="9"/>
    <w:pPr>
      <w:outlineLvl w:val="1"/>
    </w:pPr>
    <w:rPr>
      <w:sz w:val="36"/>
      <w:szCs w:val="36"/>
    </w:rPr>
  </w:style>
  <w:style w:type="paragraph" w:customStyle="1" w:styleId="667">
    <w:name w:val="heading 3_file_2867"/>
    <w:basedOn w:val="664"/>
    <w:qFormat/>
    <w:uiPriority w:val="9"/>
    <w:pPr>
      <w:outlineLvl w:val="2"/>
    </w:pPr>
    <w:rPr>
      <w:sz w:val="27"/>
      <w:szCs w:val="27"/>
    </w:rPr>
  </w:style>
  <w:style w:type="paragraph" w:customStyle="1" w:styleId="668">
    <w:name w:val="heading 4_file_2867"/>
    <w:basedOn w:val="664"/>
    <w:qFormat/>
    <w:uiPriority w:val="9"/>
    <w:pPr>
      <w:outlineLvl w:val="3"/>
    </w:pPr>
  </w:style>
  <w:style w:type="paragraph" w:customStyle="1" w:styleId="669">
    <w:name w:val="heading 5_file_2867"/>
    <w:basedOn w:val="664"/>
    <w:qFormat/>
    <w:uiPriority w:val="9"/>
    <w:pPr>
      <w:outlineLvl w:val="4"/>
    </w:pPr>
    <w:rPr>
      <w:sz w:val="20"/>
      <w:szCs w:val="20"/>
    </w:rPr>
  </w:style>
  <w:style w:type="paragraph" w:customStyle="1" w:styleId="670">
    <w:name w:val="heading 6_file_2867"/>
    <w:basedOn w:val="664"/>
    <w:qFormat/>
    <w:uiPriority w:val="9"/>
    <w:pPr>
      <w:outlineLvl w:val="5"/>
    </w:pPr>
    <w:rPr>
      <w:sz w:val="15"/>
      <w:szCs w:val="15"/>
    </w:rPr>
  </w:style>
  <w:style w:type="character" w:customStyle="1" w:styleId="671">
    <w:name w:val="Default Paragraph Font_file_2867"/>
    <w:qFormat/>
    <w:uiPriority w:val="1"/>
  </w:style>
  <w:style w:type="table" w:customStyle="1" w:styleId="672">
    <w:name w:val="Normal Table_file_2867"/>
    <w:qFormat/>
    <w:uiPriority w:val="99"/>
    <w:tblPr>
      <w:tblCellMar>
        <w:top w:w="0" w:type="dxa"/>
        <w:left w:w="108" w:type="dxa"/>
        <w:bottom w:w="0" w:type="dxa"/>
        <w:right w:w="108" w:type="dxa"/>
      </w:tblCellMar>
    </w:tblPr>
  </w:style>
  <w:style w:type="character" w:customStyle="1" w:styleId="673">
    <w:name w:val="Hyperlink_file_2867"/>
    <w:basedOn w:val="671"/>
    <w:qFormat/>
    <w:uiPriority w:val="99"/>
    <w:rPr>
      <w:color w:val="0782C1"/>
      <w:u w:val="single"/>
    </w:rPr>
  </w:style>
  <w:style w:type="character" w:customStyle="1" w:styleId="674">
    <w:name w:val="FollowedHyperlink_file_2867"/>
    <w:basedOn w:val="671"/>
    <w:qFormat/>
    <w:uiPriority w:val="99"/>
    <w:rPr>
      <w:color w:val="0782C1"/>
      <w:u w:val="single"/>
    </w:rPr>
  </w:style>
  <w:style w:type="character" w:customStyle="1" w:styleId="675">
    <w:name w:val="标题 1 Char_file_2867"/>
    <w:basedOn w:val="671"/>
    <w:link w:val="4"/>
    <w:qFormat/>
    <w:uiPriority w:val="9"/>
    <w:rPr>
      <w:rFonts w:ascii="宋体" w:hAnsi="宋体" w:eastAsia="宋体" w:cs="宋体"/>
      <w:b/>
      <w:bCs/>
      <w:kern w:val="44"/>
      <w:sz w:val="44"/>
      <w:szCs w:val="44"/>
    </w:rPr>
  </w:style>
  <w:style w:type="character" w:customStyle="1" w:styleId="676">
    <w:name w:val="标题 2 Char_file_2867"/>
    <w:basedOn w:val="671"/>
    <w:link w:val="5"/>
    <w:qFormat/>
    <w:uiPriority w:val="9"/>
    <w:rPr>
      <w:rFonts w:ascii="等线 Light" w:hAnsi="等线 Light" w:eastAsia="等线 Light" w:cs="宋体"/>
      <w:b/>
      <w:bCs/>
      <w:sz w:val="32"/>
      <w:szCs w:val="32"/>
    </w:rPr>
  </w:style>
  <w:style w:type="character" w:customStyle="1" w:styleId="677">
    <w:name w:val="标题 3 Char_file_2867"/>
    <w:basedOn w:val="671"/>
    <w:link w:val="6"/>
    <w:qFormat/>
    <w:uiPriority w:val="9"/>
    <w:rPr>
      <w:rFonts w:ascii="宋体" w:hAnsi="宋体" w:eastAsia="宋体" w:cs="宋体"/>
      <w:b/>
      <w:bCs/>
      <w:sz w:val="32"/>
      <w:szCs w:val="32"/>
    </w:rPr>
  </w:style>
  <w:style w:type="character" w:customStyle="1" w:styleId="678">
    <w:name w:val="标题 4 Char_file_2867"/>
    <w:basedOn w:val="671"/>
    <w:link w:val="7"/>
    <w:qFormat/>
    <w:uiPriority w:val="9"/>
    <w:rPr>
      <w:rFonts w:ascii="等线 Light" w:hAnsi="等线 Light" w:eastAsia="等线 Light" w:cs="宋体"/>
      <w:b/>
      <w:bCs/>
      <w:sz w:val="28"/>
      <w:szCs w:val="28"/>
    </w:rPr>
  </w:style>
  <w:style w:type="character" w:customStyle="1" w:styleId="679">
    <w:name w:val="标题 5 Char_file_2867"/>
    <w:basedOn w:val="671"/>
    <w:link w:val="8"/>
    <w:qFormat/>
    <w:uiPriority w:val="9"/>
    <w:rPr>
      <w:rFonts w:ascii="宋体" w:hAnsi="宋体" w:eastAsia="宋体" w:cs="宋体"/>
      <w:b/>
      <w:bCs/>
      <w:sz w:val="28"/>
      <w:szCs w:val="28"/>
    </w:rPr>
  </w:style>
  <w:style w:type="character" w:customStyle="1" w:styleId="680">
    <w:name w:val="标题 6 Char_file_2867"/>
    <w:basedOn w:val="671"/>
    <w:link w:val="11"/>
    <w:qFormat/>
    <w:uiPriority w:val="9"/>
    <w:rPr>
      <w:rFonts w:ascii="等线 Light" w:hAnsi="等线 Light" w:eastAsia="等线 Light" w:cs="宋体"/>
      <w:b/>
      <w:bCs/>
      <w:sz w:val="24"/>
      <w:szCs w:val="24"/>
    </w:rPr>
  </w:style>
  <w:style w:type="paragraph" w:customStyle="1" w:styleId="681">
    <w:name w:val="cke_editable_file_2867"/>
    <w:basedOn w:val="664"/>
    <w:qFormat/>
    <w:uiPriority w:val="0"/>
    <w:rPr>
      <w:rFonts w:ascii="仿宋_GB2312" w:eastAsia="仿宋_GB2312"/>
    </w:rPr>
  </w:style>
  <w:style w:type="paragraph" w:customStyle="1" w:styleId="682">
    <w:name w:val="marker_file_2867"/>
    <w:basedOn w:val="664"/>
    <w:qFormat/>
    <w:uiPriority w:val="0"/>
    <w:pPr>
      <w:shd w:val="clear" w:color="auto" w:fill="FFFF00"/>
    </w:pPr>
  </w:style>
  <w:style w:type="paragraph" w:customStyle="1" w:styleId="683">
    <w:name w:val="Normal (Web)_file_2867"/>
    <w:basedOn w:val="664"/>
    <w:qFormat/>
    <w:uiPriority w:val="99"/>
  </w:style>
  <w:style w:type="paragraph" w:customStyle="1" w:styleId="684">
    <w:name w:val="Normal_file_286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85">
    <w:name w:val="heading 1_file_2868"/>
    <w:basedOn w:val="684"/>
    <w:qFormat/>
    <w:uiPriority w:val="9"/>
    <w:pPr>
      <w:outlineLvl w:val="0"/>
    </w:pPr>
    <w:rPr>
      <w:kern w:val="36"/>
      <w:sz w:val="48"/>
      <w:szCs w:val="48"/>
    </w:rPr>
  </w:style>
  <w:style w:type="paragraph" w:customStyle="1" w:styleId="686">
    <w:name w:val="heading 2_file_2868"/>
    <w:basedOn w:val="684"/>
    <w:qFormat/>
    <w:uiPriority w:val="9"/>
    <w:pPr>
      <w:outlineLvl w:val="1"/>
    </w:pPr>
    <w:rPr>
      <w:sz w:val="36"/>
      <w:szCs w:val="36"/>
    </w:rPr>
  </w:style>
  <w:style w:type="paragraph" w:customStyle="1" w:styleId="687">
    <w:name w:val="heading 3_file_2868"/>
    <w:basedOn w:val="684"/>
    <w:qFormat/>
    <w:uiPriority w:val="9"/>
    <w:pPr>
      <w:outlineLvl w:val="2"/>
    </w:pPr>
    <w:rPr>
      <w:sz w:val="27"/>
      <w:szCs w:val="27"/>
    </w:rPr>
  </w:style>
  <w:style w:type="paragraph" w:customStyle="1" w:styleId="688">
    <w:name w:val="heading 4_file_2868"/>
    <w:basedOn w:val="684"/>
    <w:qFormat/>
    <w:uiPriority w:val="9"/>
    <w:pPr>
      <w:outlineLvl w:val="3"/>
    </w:pPr>
  </w:style>
  <w:style w:type="paragraph" w:customStyle="1" w:styleId="689">
    <w:name w:val="heading 5_file_2868"/>
    <w:basedOn w:val="684"/>
    <w:qFormat/>
    <w:uiPriority w:val="9"/>
    <w:pPr>
      <w:outlineLvl w:val="4"/>
    </w:pPr>
    <w:rPr>
      <w:sz w:val="20"/>
      <w:szCs w:val="20"/>
    </w:rPr>
  </w:style>
  <w:style w:type="paragraph" w:customStyle="1" w:styleId="690">
    <w:name w:val="heading 6_file_2868"/>
    <w:basedOn w:val="684"/>
    <w:qFormat/>
    <w:uiPriority w:val="9"/>
    <w:pPr>
      <w:outlineLvl w:val="5"/>
    </w:pPr>
    <w:rPr>
      <w:sz w:val="15"/>
      <w:szCs w:val="15"/>
    </w:rPr>
  </w:style>
  <w:style w:type="character" w:customStyle="1" w:styleId="691">
    <w:name w:val="Default Paragraph Font_file_2868"/>
    <w:qFormat/>
    <w:uiPriority w:val="1"/>
  </w:style>
  <w:style w:type="table" w:customStyle="1" w:styleId="692">
    <w:name w:val="Normal Table_file_2868"/>
    <w:qFormat/>
    <w:uiPriority w:val="99"/>
    <w:tblPr>
      <w:tblCellMar>
        <w:top w:w="0" w:type="dxa"/>
        <w:left w:w="108" w:type="dxa"/>
        <w:bottom w:w="0" w:type="dxa"/>
        <w:right w:w="108" w:type="dxa"/>
      </w:tblCellMar>
    </w:tblPr>
  </w:style>
  <w:style w:type="character" w:customStyle="1" w:styleId="693">
    <w:name w:val="Hyperlink_file_2868"/>
    <w:basedOn w:val="691"/>
    <w:qFormat/>
    <w:uiPriority w:val="99"/>
    <w:rPr>
      <w:color w:val="0782C1"/>
      <w:u w:val="single"/>
    </w:rPr>
  </w:style>
  <w:style w:type="character" w:customStyle="1" w:styleId="694">
    <w:name w:val="FollowedHyperlink_file_2868"/>
    <w:basedOn w:val="691"/>
    <w:qFormat/>
    <w:uiPriority w:val="99"/>
    <w:rPr>
      <w:color w:val="0782C1"/>
      <w:u w:val="single"/>
    </w:rPr>
  </w:style>
  <w:style w:type="character" w:customStyle="1" w:styleId="695">
    <w:name w:val="标题 1 Char_file_2868"/>
    <w:basedOn w:val="691"/>
    <w:link w:val="4"/>
    <w:qFormat/>
    <w:uiPriority w:val="9"/>
    <w:rPr>
      <w:rFonts w:ascii="宋体" w:hAnsi="宋体" w:eastAsia="宋体" w:cs="宋体"/>
      <w:b/>
      <w:bCs/>
      <w:kern w:val="44"/>
      <w:sz w:val="44"/>
      <w:szCs w:val="44"/>
    </w:rPr>
  </w:style>
  <w:style w:type="character" w:customStyle="1" w:styleId="696">
    <w:name w:val="标题 2 Char_file_2868"/>
    <w:basedOn w:val="691"/>
    <w:link w:val="5"/>
    <w:qFormat/>
    <w:uiPriority w:val="9"/>
    <w:rPr>
      <w:rFonts w:ascii="等线 Light" w:hAnsi="等线 Light" w:eastAsia="等线 Light" w:cs="宋体"/>
      <w:b/>
      <w:bCs/>
      <w:sz w:val="32"/>
      <w:szCs w:val="32"/>
    </w:rPr>
  </w:style>
  <w:style w:type="character" w:customStyle="1" w:styleId="697">
    <w:name w:val="标题 3 Char_file_2868"/>
    <w:basedOn w:val="691"/>
    <w:link w:val="6"/>
    <w:qFormat/>
    <w:uiPriority w:val="9"/>
    <w:rPr>
      <w:rFonts w:ascii="宋体" w:hAnsi="宋体" w:eastAsia="宋体" w:cs="宋体"/>
      <w:b/>
      <w:bCs/>
      <w:sz w:val="32"/>
      <w:szCs w:val="32"/>
    </w:rPr>
  </w:style>
  <w:style w:type="character" w:customStyle="1" w:styleId="698">
    <w:name w:val="标题 4 Char_file_2868"/>
    <w:basedOn w:val="691"/>
    <w:link w:val="7"/>
    <w:qFormat/>
    <w:uiPriority w:val="9"/>
    <w:rPr>
      <w:rFonts w:ascii="等线 Light" w:hAnsi="等线 Light" w:eastAsia="等线 Light" w:cs="宋体"/>
      <w:b/>
      <w:bCs/>
      <w:sz w:val="28"/>
      <w:szCs w:val="28"/>
    </w:rPr>
  </w:style>
  <w:style w:type="character" w:customStyle="1" w:styleId="699">
    <w:name w:val="标题 5 Char_file_2868"/>
    <w:basedOn w:val="691"/>
    <w:link w:val="8"/>
    <w:qFormat/>
    <w:uiPriority w:val="9"/>
    <w:rPr>
      <w:rFonts w:ascii="宋体" w:hAnsi="宋体" w:eastAsia="宋体" w:cs="宋体"/>
      <w:b/>
      <w:bCs/>
      <w:sz w:val="28"/>
      <w:szCs w:val="28"/>
    </w:rPr>
  </w:style>
  <w:style w:type="character" w:customStyle="1" w:styleId="700">
    <w:name w:val="标题 6 Char_file_2868"/>
    <w:basedOn w:val="691"/>
    <w:link w:val="11"/>
    <w:qFormat/>
    <w:uiPriority w:val="9"/>
    <w:rPr>
      <w:rFonts w:ascii="等线 Light" w:hAnsi="等线 Light" w:eastAsia="等线 Light" w:cs="宋体"/>
      <w:b/>
      <w:bCs/>
      <w:sz w:val="24"/>
      <w:szCs w:val="24"/>
    </w:rPr>
  </w:style>
  <w:style w:type="paragraph" w:customStyle="1" w:styleId="701">
    <w:name w:val="cke_editable_file_2868"/>
    <w:basedOn w:val="684"/>
    <w:qFormat/>
    <w:uiPriority w:val="0"/>
    <w:rPr>
      <w:rFonts w:ascii="仿宋_GB2312" w:eastAsia="仿宋_GB2312"/>
    </w:rPr>
  </w:style>
  <w:style w:type="paragraph" w:customStyle="1" w:styleId="702">
    <w:name w:val="marker_file_2868"/>
    <w:basedOn w:val="684"/>
    <w:qFormat/>
    <w:uiPriority w:val="0"/>
    <w:pPr>
      <w:shd w:val="clear" w:color="auto" w:fill="FFFF00"/>
    </w:pPr>
  </w:style>
  <w:style w:type="paragraph" w:customStyle="1" w:styleId="703">
    <w:name w:val="Normal (Web)_file_2868"/>
    <w:basedOn w:val="684"/>
    <w:qFormat/>
    <w:uiPriority w:val="99"/>
  </w:style>
  <w:style w:type="character" w:customStyle="1" w:styleId="704">
    <w:name w:val="Strong_file_2868"/>
    <w:basedOn w:val="691"/>
    <w:qFormat/>
    <w:uiPriority w:val="22"/>
    <w:rPr>
      <w:b/>
      <w:bCs/>
    </w:rPr>
  </w:style>
  <w:style w:type="paragraph" w:customStyle="1" w:styleId="705">
    <w:name w:val="Normal_file_286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06">
    <w:name w:val="heading 1_file_2869"/>
    <w:basedOn w:val="705"/>
    <w:qFormat/>
    <w:uiPriority w:val="9"/>
    <w:pPr>
      <w:outlineLvl w:val="0"/>
    </w:pPr>
    <w:rPr>
      <w:kern w:val="36"/>
      <w:sz w:val="48"/>
      <w:szCs w:val="48"/>
    </w:rPr>
  </w:style>
  <w:style w:type="paragraph" w:customStyle="1" w:styleId="707">
    <w:name w:val="heading 2_file_2869"/>
    <w:basedOn w:val="705"/>
    <w:qFormat/>
    <w:uiPriority w:val="9"/>
    <w:pPr>
      <w:outlineLvl w:val="1"/>
    </w:pPr>
    <w:rPr>
      <w:sz w:val="36"/>
      <w:szCs w:val="36"/>
    </w:rPr>
  </w:style>
  <w:style w:type="paragraph" w:customStyle="1" w:styleId="708">
    <w:name w:val="heading 3_file_2869"/>
    <w:basedOn w:val="705"/>
    <w:qFormat/>
    <w:uiPriority w:val="9"/>
    <w:pPr>
      <w:outlineLvl w:val="2"/>
    </w:pPr>
    <w:rPr>
      <w:sz w:val="27"/>
      <w:szCs w:val="27"/>
    </w:rPr>
  </w:style>
  <w:style w:type="paragraph" w:customStyle="1" w:styleId="709">
    <w:name w:val="heading 4_file_2869"/>
    <w:basedOn w:val="705"/>
    <w:qFormat/>
    <w:uiPriority w:val="9"/>
    <w:pPr>
      <w:outlineLvl w:val="3"/>
    </w:pPr>
  </w:style>
  <w:style w:type="paragraph" w:customStyle="1" w:styleId="710">
    <w:name w:val="heading 5_file_2869"/>
    <w:basedOn w:val="705"/>
    <w:qFormat/>
    <w:uiPriority w:val="9"/>
    <w:pPr>
      <w:outlineLvl w:val="4"/>
    </w:pPr>
    <w:rPr>
      <w:sz w:val="20"/>
      <w:szCs w:val="20"/>
    </w:rPr>
  </w:style>
  <w:style w:type="paragraph" w:customStyle="1" w:styleId="711">
    <w:name w:val="heading 6_file_2869"/>
    <w:basedOn w:val="705"/>
    <w:qFormat/>
    <w:uiPriority w:val="9"/>
    <w:pPr>
      <w:outlineLvl w:val="5"/>
    </w:pPr>
    <w:rPr>
      <w:sz w:val="15"/>
      <w:szCs w:val="15"/>
    </w:rPr>
  </w:style>
  <w:style w:type="character" w:customStyle="1" w:styleId="712">
    <w:name w:val="Default Paragraph Font_file_2869"/>
    <w:qFormat/>
    <w:uiPriority w:val="1"/>
  </w:style>
  <w:style w:type="table" w:customStyle="1" w:styleId="713">
    <w:name w:val="Normal Table_file_2869"/>
    <w:qFormat/>
    <w:uiPriority w:val="99"/>
    <w:tblPr>
      <w:tblCellMar>
        <w:top w:w="0" w:type="dxa"/>
        <w:left w:w="108" w:type="dxa"/>
        <w:bottom w:w="0" w:type="dxa"/>
        <w:right w:w="108" w:type="dxa"/>
      </w:tblCellMar>
    </w:tblPr>
  </w:style>
  <w:style w:type="character" w:customStyle="1" w:styleId="714">
    <w:name w:val="Hyperlink_file_2869"/>
    <w:basedOn w:val="712"/>
    <w:qFormat/>
    <w:uiPriority w:val="99"/>
    <w:rPr>
      <w:color w:val="0782C1"/>
      <w:u w:val="single"/>
    </w:rPr>
  </w:style>
  <w:style w:type="character" w:customStyle="1" w:styleId="715">
    <w:name w:val="FollowedHyperlink_file_2869"/>
    <w:basedOn w:val="712"/>
    <w:qFormat/>
    <w:uiPriority w:val="99"/>
    <w:rPr>
      <w:color w:val="0782C1"/>
      <w:u w:val="single"/>
    </w:rPr>
  </w:style>
  <w:style w:type="character" w:customStyle="1" w:styleId="716">
    <w:name w:val="标题 1 Char_file_2869"/>
    <w:basedOn w:val="712"/>
    <w:link w:val="4"/>
    <w:qFormat/>
    <w:uiPriority w:val="9"/>
    <w:rPr>
      <w:rFonts w:ascii="宋体" w:hAnsi="宋体" w:eastAsia="宋体" w:cs="宋体"/>
      <w:b/>
      <w:bCs/>
      <w:kern w:val="44"/>
      <w:sz w:val="44"/>
      <w:szCs w:val="44"/>
    </w:rPr>
  </w:style>
  <w:style w:type="character" w:customStyle="1" w:styleId="717">
    <w:name w:val="标题 2 Char_file_2869"/>
    <w:basedOn w:val="712"/>
    <w:link w:val="5"/>
    <w:qFormat/>
    <w:uiPriority w:val="9"/>
    <w:rPr>
      <w:rFonts w:ascii="等线 Light" w:hAnsi="等线 Light" w:eastAsia="等线 Light" w:cs="宋体"/>
      <w:b/>
      <w:bCs/>
      <w:sz w:val="32"/>
      <w:szCs w:val="32"/>
    </w:rPr>
  </w:style>
  <w:style w:type="character" w:customStyle="1" w:styleId="718">
    <w:name w:val="标题 3 Char_file_2869"/>
    <w:basedOn w:val="712"/>
    <w:link w:val="6"/>
    <w:qFormat/>
    <w:uiPriority w:val="9"/>
    <w:rPr>
      <w:rFonts w:ascii="宋体" w:hAnsi="宋体" w:eastAsia="宋体" w:cs="宋体"/>
      <w:b/>
      <w:bCs/>
      <w:sz w:val="32"/>
      <w:szCs w:val="32"/>
    </w:rPr>
  </w:style>
  <w:style w:type="character" w:customStyle="1" w:styleId="719">
    <w:name w:val="标题 4 Char_file_2869"/>
    <w:basedOn w:val="712"/>
    <w:link w:val="7"/>
    <w:qFormat/>
    <w:uiPriority w:val="9"/>
    <w:rPr>
      <w:rFonts w:ascii="等线 Light" w:hAnsi="等线 Light" w:eastAsia="等线 Light" w:cs="宋体"/>
      <w:b/>
      <w:bCs/>
      <w:sz w:val="28"/>
      <w:szCs w:val="28"/>
    </w:rPr>
  </w:style>
  <w:style w:type="character" w:customStyle="1" w:styleId="720">
    <w:name w:val="标题 5 Char_file_2869"/>
    <w:basedOn w:val="712"/>
    <w:link w:val="8"/>
    <w:qFormat/>
    <w:uiPriority w:val="9"/>
    <w:rPr>
      <w:rFonts w:ascii="宋体" w:hAnsi="宋体" w:eastAsia="宋体" w:cs="宋体"/>
      <w:b/>
      <w:bCs/>
      <w:sz w:val="28"/>
      <w:szCs w:val="28"/>
    </w:rPr>
  </w:style>
  <w:style w:type="character" w:customStyle="1" w:styleId="721">
    <w:name w:val="标题 6 Char_file_2869"/>
    <w:basedOn w:val="712"/>
    <w:link w:val="11"/>
    <w:qFormat/>
    <w:uiPriority w:val="9"/>
    <w:rPr>
      <w:rFonts w:ascii="等线 Light" w:hAnsi="等线 Light" w:eastAsia="等线 Light" w:cs="宋体"/>
      <w:b/>
      <w:bCs/>
      <w:sz w:val="24"/>
      <w:szCs w:val="24"/>
    </w:rPr>
  </w:style>
  <w:style w:type="paragraph" w:customStyle="1" w:styleId="722">
    <w:name w:val="cke_editable_file_2869"/>
    <w:basedOn w:val="705"/>
    <w:qFormat/>
    <w:uiPriority w:val="0"/>
    <w:rPr>
      <w:rFonts w:ascii="仿宋_GB2312" w:eastAsia="仿宋_GB2312"/>
    </w:rPr>
  </w:style>
  <w:style w:type="paragraph" w:customStyle="1" w:styleId="723">
    <w:name w:val="marker_file_2869"/>
    <w:basedOn w:val="705"/>
    <w:qFormat/>
    <w:uiPriority w:val="0"/>
    <w:pPr>
      <w:shd w:val="clear" w:color="auto" w:fill="FFFF00"/>
    </w:pPr>
  </w:style>
  <w:style w:type="paragraph" w:customStyle="1" w:styleId="724">
    <w:name w:val="Normal (Web)_file_2869"/>
    <w:basedOn w:val="705"/>
    <w:qFormat/>
    <w:uiPriority w:val="99"/>
  </w:style>
  <w:style w:type="character" w:customStyle="1" w:styleId="725">
    <w:name w:val="Strong_file_2869"/>
    <w:basedOn w:val="712"/>
    <w:qFormat/>
    <w:uiPriority w:val="22"/>
    <w:rPr>
      <w:b/>
      <w:bCs/>
    </w:rPr>
  </w:style>
  <w:style w:type="paragraph" w:customStyle="1" w:styleId="726">
    <w:name w:val="Normal_file_287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27">
    <w:name w:val="heading 1_file_2870"/>
    <w:basedOn w:val="726"/>
    <w:qFormat/>
    <w:uiPriority w:val="9"/>
    <w:pPr>
      <w:outlineLvl w:val="0"/>
    </w:pPr>
    <w:rPr>
      <w:kern w:val="36"/>
      <w:sz w:val="48"/>
      <w:szCs w:val="48"/>
    </w:rPr>
  </w:style>
  <w:style w:type="paragraph" w:customStyle="1" w:styleId="728">
    <w:name w:val="heading 2_file_2870"/>
    <w:basedOn w:val="726"/>
    <w:qFormat/>
    <w:uiPriority w:val="9"/>
    <w:pPr>
      <w:outlineLvl w:val="1"/>
    </w:pPr>
    <w:rPr>
      <w:sz w:val="36"/>
      <w:szCs w:val="36"/>
    </w:rPr>
  </w:style>
  <w:style w:type="paragraph" w:customStyle="1" w:styleId="729">
    <w:name w:val="heading 3_file_2870"/>
    <w:basedOn w:val="726"/>
    <w:qFormat/>
    <w:uiPriority w:val="9"/>
    <w:pPr>
      <w:outlineLvl w:val="2"/>
    </w:pPr>
    <w:rPr>
      <w:sz w:val="27"/>
      <w:szCs w:val="27"/>
    </w:rPr>
  </w:style>
  <w:style w:type="paragraph" w:customStyle="1" w:styleId="730">
    <w:name w:val="heading 4_file_2870"/>
    <w:basedOn w:val="726"/>
    <w:qFormat/>
    <w:uiPriority w:val="9"/>
    <w:pPr>
      <w:outlineLvl w:val="3"/>
    </w:pPr>
  </w:style>
  <w:style w:type="paragraph" w:customStyle="1" w:styleId="731">
    <w:name w:val="heading 5_file_2870"/>
    <w:basedOn w:val="726"/>
    <w:qFormat/>
    <w:uiPriority w:val="9"/>
    <w:pPr>
      <w:outlineLvl w:val="4"/>
    </w:pPr>
    <w:rPr>
      <w:sz w:val="20"/>
      <w:szCs w:val="20"/>
    </w:rPr>
  </w:style>
  <w:style w:type="paragraph" w:customStyle="1" w:styleId="732">
    <w:name w:val="heading 6_file_2870"/>
    <w:basedOn w:val="726"/>
    <w:qFormat/>
    <w:uiPriority w:val="9"/>
    <w:pPr>
      <w:outlineLvl w:val="5"/>
    </w:pPr>
    <w:rPr>
      <w:sz w:val="15"/>
      <w:szCs w:val="15"/>
    </w:rPr>
  </w:style>
  <w:style w:type="character" w:customStyle="1" w:styleId="733">
    <w:name w:val="Default Paragraph Font_file_2870"/>
    <w:qFormat/>
    <w:uiPriority w:val="1"/>
  </w:style>
  <w:style w:type="table" w:customStyle="1" w:styleId="734">
    <w:name w:val="Normal Table_file_2870"/>
    <w:qFormat/>
    <w:uiPriority w:val="99"/>
    <w:tblPr>
      <w:tblCellMar>
        <w:top w:w="0" w:type="dxa"/>
        <w:left w:w="108" w:type="dxa"/>
        <w:bottom w:w="0" w:type="dxa"/>
        <w:right w:w="108" w:type="dxa"/>
      </w:tblCellMar>
    </w:tblPr>
  </w:style>
  <w:style w:type="character" w:customStyle="1" w:styleId="735">
    <w:name w:val="Hyperlink_file_2870"/>
    <w:basedOn w:val="733"/>
    <w:qFormat/>
    <w:uiPriority w:val="99"/>
    <w:rPr>
      <w:color w:val="0782C1"/>
      <w:u w:val="single"/>
    </w:rPr>
  </w:style>
  <w:style w:type="character" w:customStyle="1" w:styleId="736">
    <w:name w:val="FollowedHyperlink_file_2870"/>
    <w:basedOn w:val="733"/>
    <w:qFormat/>
    <w:uiPriority w:val="99"/>
    <w:rPr>
      <w:color w:val="0782C1"/>
      <w:u w:val="single"/>
    </w:rPr>
  </w:style>
  <w:style w:type="character" w:customStyle="1" w:styleId="737">
    <w:name w:val="标题 1 Char_file_2870"/>
    <w:basedOn w:val="733"/>
    <w:link w:val="4"/>
    <w:qFormat/>
    <w:uiPriority w:val="9"/>
    <w:rPr>
      <w:rFonts w:ascii="宋体" w:hAnsi="宋体" w:eastAsia="宋体" w:cs="宋体"/>
      <w:b/>
      <w:bCs/>
      <w:kern w:val="44"/>
      <w:sz w:val="44"/>
      <w:szCs w:val="44"/>
    </w:rPr>
  </w:style>
  <w:style w:type="character" w:customStyle="1" w:styleId="738">
    <w:name w:val="标题 2 Char_file_2870"/>
    <w:basedOn w:val="733"/>
    <w:link w:val="5"/>
    <w:qFormat/>
    <w:uiPriority w:val="9"/>
    <w:rPr>
      <w:rFonts w:ascii="等线 Light" w:hAnsi="等线 Light" w:eastAsia="等线 Light" w:cs="宋体"/>
      <w:b/>
      <w:bCs/>
      <w:sz w:val="32"/>
      <w:szCs w:val="32"/>
    </w:rPr>
  </w:style>
  <w:style w:type="character" w:customStyle="1" w:styleId="739">
    <w:name w:val="标题 3 Char_file_2870"/>
    <w:basedOn w:val="733"/>
    <w:link w:val="6"/>
    <w:qFormat/>
    <w:uiPriority w:val="9"/>
    <w:rPr>
      <w:rFonts w:ascii="宋体" w:hAnsi="宋体" w:eastAsia="宋体" w:cs="宋体"/>
      <w:b/>
      <w:bCs/>
      <w:sz w:val="32"/>
      <w:szCs w:val="32"/>
    </w:rPr>
  </w:style>
  <w:style w:type="character" w:customStyle="1" w:styleId="740">
    <w:name w:val="标题 4 Char_file_2870"/>
    <w:basedOn w:val="733"/>
    <w:link w:val="7"/>
    <w:qFormat/>
    <w:uiPriority w:val="9"/>
    <w:rPr>
      <w:rFonts w:ascii="等线 Light" w:hAnsi="等线 Light" w:eastAsia="等线 Light" w:cs="宋体"/>
      <w:b/>
      <w:bCs/>
      <w:sz w:val="28"/>
      <w:szCs w:val="28"/>
    </w:rPr>
  </w:style>
  <w:style w:type="character" w:customStyle="1" w:styleId="741">
    <w:name w:val="标题 5 Char_file_2870"/>
    <w:basedOn w:val="733"/>
    <w:link w:val="8"/>
    <w:qFormat/>
    <w:uiPriority w:val="9"/>
    <w:rPr>
      <w:rFonts w:ascii="宋体" w:hAnsi="宋体" w:eastAsia="宋体" w:cs="宋体"/>
      <w:b/>
      <w:bCs/>
      <w:sz w:val="28"/>
      <w:szCs w:val="28"/>
    </w:rPr>
  </w:style>
  <w:style w:type="character" w:customStyle="1" w:styleId="742">
    <w:name w:val="标题 6 Char_file_2870"/>
    <w:basedOn w:val="733"/>
    <w:link w:val="11"/>
    <w:qFormat/>
    <w:uiPriority w:val="9"/>
    <w:rPr>
      <w:rFonts w:ascii="等线 Light" w:hAnsi="等线 Light" w:eastAsia="等线 Light" w:cs="宋体"/>
      <w:b/>
      <w:bCs/>
      <w:sz w:val="24"/>
      <w:szCs w:val="24"/>
    </w:rPr>
  </w:style>
  <w:style w:type="paragraph" w:customStyle="1" w:styleId="743">
    <w:name w:val="cke_editable_file_2870"/>
    <w:basedOn w:val="726"/>
    <w:qFormat/>
    <w:uiPriority w:val="0"/>
    <w:rPr>
      <w:rFonts w:ascii="仿宋_GB2312" w:eastAsia="仿宋_GB2312"/>
    </w:rPr>
  </w:style>
  <w:style w:type="paragraph" w:customStyle="1" w:styleId="744">
    <w:name w:val="marker_file_2870"/>
    <w:basedOn w:val="726"/>
    <w:qFormat/>
    <w:uiPriority w:val="0"/>
    <w:pPr>
      <w:shd w:val="clear" w:color="auto" w:fill="FFFF00"/>
    </w:pPr>
  </w:style>
  <w:style w:type="paragraph" w:customStyle="1" w:styleId="745">
    <w:name w:val="Normal (Web)_file_2870"/>
    <w:basedOn w:val="726"/>
    <w:qFormat/>
    <w:uiPriority w:val="99"/>
  </w:style>
  <w:style w:type="character" w:customStyle="1" w:styleId="746">
    <w:name w:val="Strong_file_2870"/>
    <w:basedOn w:val="733"/>
    <w:qFormat/>
    <w:uiPriority w:val="22"/>
    <w:rPr>
      <w:b/>
      <w:bCs/>
    </w:rPr>
  </w:style>
  <w:style w:type="paragraph" w:customStyle="1" w:styleId="747">
    <w:name w:val="Normal_file_287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48">
    <w:name w:val="heading 1_file_2871"/>
    <w:basedOn w:val="747"/>
    <w:qFormat/>
    <w:uiPriority w:val="9"/>
    <w:pPr>
      <w:outlineLvl w:val="0"/>
    </w:pPr>
    <w:rPr>
      <w:kern w:val="36"/>
      <w:sz w:val="48"/>
      <w:szCs w:val="48"/>
    </w:rPr>
  </w:style>
  <w:style w:type="paragraph" w:customStyle="1" w:styleId="749">
    <w:name w:val="heading 2_file_2871"/>
    <w:basedOn w:val="747"/>
    <w:qFormat/>
    <w:uiPriority w:val="9"/>
    <w:pPr>
      <w:outlineLvl w:val="1"/>
    </w:pPr>
    <w:rPr>
      <w:sz w:val="36"/>
      <w:szCs w:val="36"/>
    </w:rPr>
  </w:style>
  <w:style w:type="paragraph" w:customStyle="1" w:styleId="750">
    <w:name w:val="heading 3_file_2871"/>
    <w:basedOn w:val="747"/>
    <w:qFormat/>
    <w:uiPriority w:val="9"/>
    <w:pPr>
      <w:outlineLvl w:val="2"/>
    </w:pPr>
    <w:rPr>
      <w:sz w:val="27"/>
      <w:szCs w:val="27"/>
    </w:rPr>
  </w:style>
  <w:style w:type="paragraph" w:customStyle="1" w:styleId="751">
    <w:name w:val="heading 4_file_2871"/>
    <w:basedOn w:val="747"/>
    <w:qFormat/>
    <w:uiPriority w:val="9"/>
    <w:pPr>
      <w:outlineLvl w:val="3"/>
    </w:pPr>
  </w:style>
  <w:style w:type="paragraph" w:customStyle="1" w:styleId="752">
    <w:name w:val="heading 5_file_2871"/>
    <w:basedOn w:val="747"/>
    <w:qFormat/>
    <w:uiPriority w:val="9"/>
    <w:pPr>
      <w:outlineLvl w:val="4"/>
    </w:pPr>
    <w:rPr>
      <w:sz w:val="20"/>
      <w:szCs w:val="20"/>
    </w:rPr>
  </w:style>
  <w:style w:type="paragraph" w:customStyle="1" w:styleId="753">
    <w:name w:val="heading 6_file_2871"/>
    <w:basedOn w:val="747"/>
    <w:qFormat/>
    <w:uiPriority w:val="9"/>
    <w:pPr>
      <w:outlineLvl w:val="5"/>
    </w:pPr>
    <w:rPr>
      <w:sz w:val="15"/>
      <w:szCs w:val="15"/>
    </w:rPr>
  </w:style>
  <w:style w:type="character" w:customStyle="1" w:styleId="754">
    <w:name w:val="Default Paragraph Font_file_2871"/>
    <w:qFormat/>
    <w:uiPriority w:val="1"/>
  </w:style>
  <w:style w:type="table" w:customStyle="1" w:styleId="755">
    <w:name w:val="Normal Table_file_2871"/>
    <w:qFormat/>
    <w:uiPriority w:val="99"/>
    <w:tblPr>
      <w:tblCellMar>
        <w:top w:w="0" w:type="dxa"/>
        <w:left w:w="108" w:type="dxa"/>
        <w:bottom w:w="0" w:type="dxa"/>
        <w:right w:w="108" w:type="dxa"/>
      </w:tblCellMar>
    </w:tblPr>
  </w:style>
  <w:style w:type="character" w:customStyle="1" w:styleId="756">
    <w:name w:val="Hyperlink_file_2871"/>
    <w:basedOn w:val="754"/>
    <w:qFormat/>
    <w:uiPriority w:val="99"/>
    <w:rPr>
      <w:color w:val="0782C1"/>
      <w:u w:val="single"/>
    </w:rPr>
  </w:style>
  <w:style w:type="character" w:customStyle="1" w:styleId="757">
    <w:name w:val="FollowedHyperlink_file_2871"/>
    <w:basedOn w:val="754"/>
    <w:qFormat/>
    <w:uiPriority w:val="99"/>
    <w:rPr>
      <w:color w:val="0782C1"/>
      <w:u w:val="single"/>
    </w:rPr>
  </w:style>
  <w:style w:type="character" w:customStyle="1" w:styleId="758">
    <w:name w:val="标题 1 Char_file_2871"/>
    <w:basedOn w:val="754"/>
    <w:link w:val="4"/>
    <w:qFormat/>
    <w:uiPriority w:val="9"/>
    <w:rPr>
      <w:rFonts w:ascii="宋体" w:hAnsi="宋体" w:eastAsia="宋体" w:cs="宋体"/>
      <w:b/>
      <w:bCs/>
      <w:kern w:val="44"/>
      <w:sz w:val="44"/>
      <w:szCs w:val="44"/>
    </w:rPr>
  </w:style>
  <w:style w:type="character" w:customStyle="1" w:styleId="759">
    <w:name w:val="标题 2 Char_file_2871"/>
    <w:basedOn w:val="754"/>
    <w:link w:val="5"/>
    <w:qFormat/>
    <w:uiPriority w:val="9"/>
    <w:rPr>
      <w:rFonts w:ascii="等线 Light" w:hAnsi="等线 Light" w:eastAsia="等线 Light" w:cs="宋体"/>
      <w:b/>
      <w:bCs/>
      <w:sz w:val="32"/>
      <w:szCs w:val="32"/>
    </w:rPr>
  </w:style>
  <w:style w:type="character" w:customStyle="1" w:styleId="760">
    <w:name w:val="标题 3 Char_file_2871"/>
    <w:basedOn w:val="754"/>
    <w:link w:val="6"/>
    <w:qFormat/>
    <w:uiPriority w:val="9"/>
    <w:rPr>
      <w:rFonts w:ascii="宋体" w:hAnsi="宋体" w:eastAsia="宋体" w:cs="宋体"/>
      <w:b/>
      <w:bCs/>
      <w:sz w:val="32"/>
      <w:szCs w:val="32"/>
    </w:rPr>
  </w:style>
  <w:style w:type="character" w:customStyle="1" w:styleId="761">
    <w:name w:val="标题 4 Char_file_2871"/>
    <w:basedOn w:val="754"/>
    <w:link w:val="7"/>
    <w:qFormat/>
    <w:uiPriority w:val="9"/>
    <w:rPr>
      <w:rFonts w:ascii="等线 Light" w:hAnsi="等线 Light" w:eastAsia="等线 Light" w:cs="宋体"/>
      <w:b/>
      <w:bCs/>
      <w:sz w:val="28"/>
      <w:szCs w:val="28"/>
    </w:rPr>
  </w:style>
  <w:style w:type="character" w:customStyle="1" w:styleId="762">
    <w:name w:val="标题 5 Char_file_2871"/>
    <w:basedOn w:val="754"/>
    <w:link w:val="8"/>
    <w:qFormat/>
    <w:uiPriority w:val="9"/>
    <w:rPr>
      <w:rFonts w:ascii="宋体" w:hAnsi="宋体" w:eastAsia="宋体" w:cs="宋体"/>
      <w:b/>
      <w:bCs/>
      <w:sz w:val="28"/>
      <w:szCs w:val="28"/>
    </w:rPr>
  </w:style>
  <w:style w:type="character" w:customStyle="1" w:styleId="763">
    <w:name w:val="标题 6 Char_file_2871"/>
    <w:basedOn w:val="754"/>
    <w:link w:val="11"/>
    <w:qFormat/>
    <w:uiPriority w:val="9"/>
    <w:rPr>
      <w:rFonts w:ascii="等线 Light" w:hAnsi="等线 Light" w:eastAsia="等线 Light" w:cs="宋体"/>
      <w:b/>
      <w:bCs/>
      <w:sz w:val="24"/>
      <w:szCs w:val="24"/>
    </w:rPr>
  </w:style>
  <w:style w:type="paragraph" w:customStyle="1" w:styleId="764">
    <w:name w:val="cke_editable_file_2871"/>
    <w:basedOn w:val="747"/>
    <w:qFormat/>
    <w:uiPriority w:val="0"/>
    <w:rPr>
      <w:rFonts w:ascii="仿宋_GB2312" w:eastAsia="仿宋_GB2312"/>
    </w:rPr>
  </w:style>
  <w:style w:type="paragraph" w:customStyle="1" w:styleId="765">
    <w:name w:val="marker_file_2871"/>
    <w:basedOn w:val="747"/>
    <w:qFormat/>
    <w:uiPriority w:val="0"/>
    <w:pPr>
      <w:shd w:val="clear" w:color="auto" w:fill="FFFF00"/>
    </w:pPr>
  </w:style>
  <w:style w:type="paragraph" w:customStyle="1" w:styleId="766">
    <w:name w:val="Normal (Web)_file_2871"/>
    <w:basedOn w:val="747"/>
    <w:qFormat/>
    <w:uiPriority w:val="99"/>
  </w:style>
  <w:style w:type="paragraph" w:customStyle="1" w:styleId="767">
    <w:name w:val="Normal_file_287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68">
    <w:name w:val="heading 1_file_2872"/>
    <w:basedOn w:val="767"/>
    <w:qFormat/>
    <w:uiPriority w:val="9"/>
    <w:pPr>
      <w:outlineLvl w:val="0"/>
    </w:pPr>
    <w:rPr>
      <w:kern w:val="36"/>
      <w:sz w:val="48"/>
      <w:szCs w:val="48"/>
    </w:rPr>
  </w:style>
  <w:style w:type="paragraph" w:customStyle="1" w:styleId="769">
    <w:name w:val="heading 2_file_2872"/>
    <w:basedOn w:val="767"/>
    <w:qFormat/>
    <w:uiPriority w:val="9"/>
    <w:pPr>
      <w:outlineLvl w:val="1"/>
    </w:pPr>
    <w:rPr>
      <w:sz w:val="36"/>
      <w:szCs w:val="36"/>
    </w:rPr>
  </w:style>
  <w:style w:type="paragraph" w:customStyle="1" w:styleId="770">
    <w:name w:val="heading 3_file_2872"/>
    <w:basedOn w:val="767"/>
    <w:qFormat/>
    <w:uiPriority w:val="9"/>
    <w:pPr>
      <w:outlineLvl w:val="2"/>
    </w:pPr>
    <w:rPr>
      <w:sz w:val="27"/>
      <w:szCs w:val="27"/>
    </w:rPr>
  </w:style>
  <w:style w:type="paragraph" w:customStyle="1" w:styleId="771">
    <w:name w:val="heading 4_file_2872"/>
    <w:basedOn w:val="767"/>
    <w:qFormat/>
    <w:uiPriority w:val="9"/>
    <w:pPr>
      <w:outlineLvl w:val="3"/>
    </w:pPr>
  </w:style>
  <w:style w:type="paragraph" w:customStyle="1" w:styleId="772">
    <w:name w:val="heading 5_file_2872"/>
    <w:basedOn w:val="767"/>
    <w:qFormat/>
    <w:uiPriority w:val="9"/>
    <w:pPr>
      <w:outlineLvl w:val="4"/>
    </w:pPr>
    <w:rPr>
      <w:sz w:val="20"/>
      <w:szCs w:val="20"/>
    </w:rPr>
  </w:style>
  <w:style w:type="paragraph" w:customStyle="1" w:styleId="773">
    <w:name w:val="heading 6_file_2872"/>
    <w:basedOn w:val="767"/>
    <w:qFormat/>
    <w:uiPriority w:val="9"/>
    <w:pPr>
      <w:outlineLvl w:val="5"/>
    </w:pPr>
    <w:rPr>
      <w:sz w:val="15"/>
      <w:szCs w:val="15"/>
    </w:rPr>
  </w:style>
  <w:style w:type="character" w:customStyle="1" w:styleId="774">
    <w:name w:val="Default Paragraph Font_file_2872"/>
    <w:qFormat/>
    <w:uiPriority w:val="1"/>
  </w:style>
  <w:style w:type="table" w:customStyle="1" w:styleId="775">
    <w:name w:val="Normal Table_file_2872"/>
    <w:qFormat/>
    <w:uiPriority w:val="99"/>
    <w:tblPr>
      <w:tblCellMar>
        <w:top w:w="0" w:type="dxa"/>
        <w:left w:w="108" w:type="dxa"/>
        <w:bottom w:w="0" w:type="dxa"/>
        <w:right w:w="108" w:type="dxa"/>
      </w:tblCellMar>
    </w:tblPr>
  </w:style>
  <w:style w:type="character" w:customStyle="1" w:styleId="776">
    <w:name w:val="Hyperlink_file_2872"/>
    <w:basedOn w:val="774"/>
    <w:qFormat/>
    <w:uiPriority w:val="99"/>
    <w:rPr>
      <w:color w:val="0782C1"/>
      <w:u w:val="single"/>
    </w:rPr>
  </w:style>
  <w:style w:type="character" w:customStyle="1" w:styleId="777">
    <w:name w:val="FollowedHyperlink_file_2872"/>
    <w:basedOn w:val="774"/>
    <w:qFormat/>
    <w:uiPriority w:val="99"/>
    <w:rPr>
      <w:color w:val="0782C1"/>
      <w:u w:val="single"/>
    </w:rPr>
  </w:style>
  <w:style w:type="character" w:customStyle="1" w:styleId="778">
    <w:name w:val="标题 1 Char_file_2872"/>
    <w:basedOn w:val="774"/>
    <w:link w:val="4"/>
    <w:qFormat/>
    <w:uiPriority w:val="9"/>
    <w:rPr>
      <w:rFonts w:ascii="宋体" w:hAnsi="宋体" w:eastAsia="宋体" w:cs="宋体"/>
      <w:b/>
      <w:bCs/>
      <w:kern w:val="44"/>
      <w:sz w:val="44"/>
      <w:szCs w:val="44"/>
    </w:rPr>
  </w:style>
  <w:style w:type="character" w:customStyle="1" w:styleId="779">
    <w:name w:val="标题 2 Char_file_2872"/>
    <w:basedOn w:val="774"/>
    <w:link w:val="5"/>
    <w:qFormat/>
    <w:uiPriority w:val="9"/>
    <w:rPr>
      <w:rFonts w:ascii="等线 Light" w:hAnsi="等线 Light" w:eastAsia="等线 Light" w:cs="宋体"/>
      <w:b/>
      <w:bCs/>
      <w:sz w:val="32"/>
      <w:szCs w:val="32"/>
    </w:rPr>
  </w:style>
  <w:style w:type="character" w:customStyle="1" w:styleId="780">
    <w:name w:val="标题 3 Char_file_2872"/>
    <w:basedOn w:val="774"/>
    <w:link w:val="6"/>
    <w:qFormat/>
    <w:uiPriority w:val="9"/>
    <w:rPr>
      <w:rFonts w:ascii="宋体" w:hAnsi="宋体" w:eastAsia="宋体" w:cs="宋体"/>
      <w:b/>
      <w:bCs/>
      <w:sz w:val="32"/>
      <w:szCs w:val="32"/>
    </w:rPr>
  </w:style>
  <w:style w:type="character" w:customStyle="1" w:styleId="781">
    <w:name w:val="标题 4 Char_file_2872"/>
    <w:basedOn w:val="774"/>
    <w:link w:val="7"/>
    <w:qFormat/>
    <w:uiPriority w:val="9"/>
    <w:rPr>
      <w:rFonts w:ascii="等线 Light" w:hAnsi="等线 Light" w:eastAsia="等线 Light" w:cs="宋体"/>
      <w:b/>
      <w:bCs/>
      <w:sz w:val="28"/>
      <w:szCs w:val="28"/>
    </w:rPr>
  </w:style>
  <w:style w:type="character" w:customStyle="1" w:styleId="782">
    <w:name w:val="标题 5 Char_file_2872"/>
    <w:basedOn w:val="774"/>
    <w:link w:val="8"/>
    <w:qFormat/>
    <w:uiPriority w:val="9"/>
    <w:rPr>
      <w:rFonts w:ascii="宋体" w:hAnsi="宋体" w:eastAsia="宋体" w:cs="宋体"/>
      <w:b/>
      <w:bCs/>
      <w:sz w:val="28"/>
      <w:szCs w:val="28"/>
    </w:rPr>
  </w:style>
  <w:style w:type="character" w:customStyle="1" w:styleId="783">
    <w:name w:val="标题 6 Char_file_2872"/>
    <w:basedOn w:val="774"/>
    <w:link w:val="11"/>
    <w:qFormat/>
    <w:uiPriority w:val="9"/>
    <w:rPr>
      <w:rFonts w:ascii="等线 Light" w:hAnsi="等线 Light" w:eastAsia="等线 Light" w:cs="宋体"/>
      <w:b/>
      <w:bCs/>
      <w:sz w:val="24"/>
      <w:szCs w:val="24"/>
    </w:rPr>
  </w:style>
  <w:style w:type="paragraph" w:customStyle="1" w:styleId="784">
    <w:name w:val="cke_editable_file_2872"/>
    <w:basedOn w:val="767"/>
    <w:qFormat/>
    <w:uiPriority w:val="0"/>
    <w:rPr>
      <w:rFonts w:ascii="仿宋_GB2312" w:eastAsia="仿宋_GB2312"/>
    </w:rPr>
  </w:style>
  <w:style w:type="paragraph" w:customStyle="1" w:styleId="785">
    <w:name w:val="marker_file_2872"/>
    <w:basedOn w:val="767"/>
    <w:qFormat/>
    <w:uiPriority w:val="0"/>
    <w:pPr>
      <w:shd w:val="clear" w:color="auto" w:fill="FFFF00"/>
    </w:pPr>
  </w:style>
  <w:style w:type="paragraph" w:customStyle="1" w:styleId="786">
    <w:name w:val="Normal (Web)_file_2872"/>
    <w:basedOn w:val="767"/>
    <w:qFormat/>
    <w:uiPriority w:val="99"/>
  </w:style>
  <w:style w:type="paragraph" w:customStyle="1" w:styleId="787">
    <w:name w:val="Normal_file_287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88">
    <w:name w:val="heading 1_file_2873"/>
    <w:basedOn w:val="787"/>
    <w:qFormat/>
    <w:uiPriority w:val="9"/>
    <w:pPr>
      <w:outlineLvl w:val="0"/>
    </w:pPr>
    <w:rPr>
      <w:kern w:val="36"/>
      <w:sz w:val="48"/>
      <w:szCs w:val="48"/>
    </w:rPr>
  </w:style>
  <w:style w:type="paragraph" w:customStyle="1" w:styleId="789">
    <w:name w:val="heading 2_file_2873"/>
    <w:basedOn w:val="787"/>
    <w:qFormat/>
    <w:uiPriority w:val="9"/>
    <w:pPr>
      <w:outlineLvl w:val="1"/>
    </w:pPr>
    <w:rPr>
      <w:sz w:val="36"/>
      <w:szCs w:val="36"/>
    </w:rPr>
  </w:style>
  <w:style w:type="paragraph" w:customStyle="1" w:styleId="790">
    <w:name w:val="heading 3_file_2873"/>
    <w:basedOn w:val="787"/>
    <w:qFormat/>
    <w:uiPriority w:val="9"/>
    <w:pPr>
      <w:outlineLvl w:val="2"/>
    </w:pPr>
    <w:rPr>
      <w:sz w:val="27"/>
      <w:szCs w:val="27"/>
    </w:rPr>
  </w:style>
  <w:style w:type="paragraph" w:customStyle="1" w:styleId="791">
    <w:name w:val="heading 4_file_2873"/>
    <w:basedOn w:val="787"/>
    <w:qFormat/>
    <w:uiPriority w:val="9"/>
    <w:pPr>
      <w:outlineLvl w:val="3"/>
    </w:pPr>
  </w:style>
  <w:style w:type="paragraph" w:customStyle="1" w:styleId="792">
    <w:name w:val="heading 5_file_2873"/>
    <w:basedOn w:val="787"/>
    <w:qFormat/>
    <w:uiPriority w:val="9"/>
    <w:pPr>
      <w:outlineLvl w:val="4"/>
    </w:pPr>
    <w:rPr>
      <w:sz w:val="20"/>
      <w:szCs w:val="20"/>
    </w:rPr>
  </w:style>
  <w:style w:type="paragraph" w:customStyle="1" w:styleId="793">
    <w:name w:val="heading 6_file_2873"/>
    <w:basedOn w:val="787"/>
    <w:qFormat/>
    <w:uiPriority w:val="9"/>
    <w:pPr>
      <w:outlineLvl w:val="5"/>
    </w:pPr>
    <w:rPr>
      <w:sz w:val="15"/>
      <w:szCs w:val="15"/>
    </w:rPr>
  </w:style>
  <w:style w:type="character" w:customStyle="1" w:styleId="794">
    <w:name w:val="Default Paragraph Font_file_2873"/>
    <w:qFormat/>
    <w:uiPriority w:val="1"/>
  </w:style>
  <w:style w:type="table" w:customStyle="1" w:styleId="795">
    <w:name w:val="Normal Table_file_2873"/>
    <w:qFormat/>
    <w:uiPriority w:val="99"/>
    <w:tblPr>
      <w:tblCellMar>
        <w:top w:w="0" w:type="dxa"/>
        <w:left w:w="108" w:type="dxa"/>
        <w:bottom w:w="0" w:type="dxa"/>
        <w:right w:w="108" w:type="dxa"/>
      </w:tblCellMar>
    </w:tblPr>
  </w:style>
  <w:style w:type="character" w:customStyle="1" w:styleId="796">
    <w:name w:val="Hyperlink_file_2873"/>
    <w:basedOn w:val="794"/>
    <w:qFormat/>
    <w:uiPriority w:val="99"/>
    <w:rPr>
      <w:color w:val="0782C1"/>
      <w:u w:val="single"/>
    </w:rPr>
  </w:style>
  <w:style w:type="character" w:customStyle="1" w:styleId="797">
    <w:name w:val="FollowedHyperlink_file_2873"/>
    <w:basedOn w:val="794"/>
    <w:qFormat/>
    <w:uiPriority w:val="99"/>
    <w:rPr>
      <w:color w:val="0782C1"/>
      <w:u w:val="single"/>
    </w:rPr>
  </w:style>
  <w:style w:type="character" w:customStyle="1" w:styleId="798">
    <w:name w:val="标题 1 Char_file_2873"/>
    <w:basedOn w:val="794"/>
    <w:link w:val="4"/>
    <w:qFormat/>
    <w:uiPriority w:val="9"/>
    <w:rPr>
      <w:rFonts w:ascii="宋体" w:hAnsi="宋体" w:eastAsia="宋体" w:cs="宋体"/>
      <w:b/>
      <w:bCs/>
      <w:kern w:val="44"/>
      <w:sz w:val="44"/>
      <w:szCs w:val="44"/>
    </w:rPr>
  </w:style>
  <w:style w:type="character" w:customStyle="1" w:styleId="799">
    <w:name w:val="标题 2 Char_file_2873"/>
    <w:basedOn w:val="794"/>
    <w:link w:val="5"/>
    <w:qFormat/>
    <w:uiPriority w:val="9"/>
    <w:rPr>
      <w:rFonts w:ascii="等线 Light" w:hAnsi="等线 Light" w:eastAsia="等线 Light" w:cs="宋体"/>
      <w:b/>
      <w:bCs/>
      <w:sz w:val="32"/>
      <w:szCs w:val="32"/>
    </w:rPr>
  </w:style>
  <w:style w:type="character" w:customStyle="1" w:styleId="800">
    <w:name w:val="标题 3 Char_file_2873"/>
    <w:basedOn w:val="794"/>
    <w:link w:val="6"/>
    <w:qFormat/>
    <w:uiPriority w:val="9"/>
    <w:rPr>
      <w:rFonts w:ascii="宋体" w:hAnsi="宋体" w:eastAsia="宋体" w:cs="宋体"/>
      <w:b/>
      <w:bCs/>
      <w:sz w:val="32"/>
      <w:szCs w:val="32"/>
    </w:rPr>
  </w:style>
  <w:style w:type="character" w:customStyle="1" w:styleId="801">
    <w:name w:val="标题 4 Char_file_2873"/>
    <w:basedOn w:val="794"/>
    <w:link w:val="7"/>
    <w:qFormat/>
    <w:uiPriority w:val="9"/>
    <w:rPr>
      <w:rFonts w:ascii="等线 Light" w:hAnsi="等线 Light" w:eastAsia="等线 Light" w:cs="宋体"/>
      <w:b/>
      <w:bCs/>
      <w:sz w:val="28"/>
      <w:szCs w:val="28"/>
    </w:rPr>
  </w:style>
  <w:style w:type="character" w:customStyle="1" w:styleId="802">
    <w:name w:val="标题 5 Char_file_2873"/>
    <w:basedOn w:val="794"/>
    <w:link w:val="8"/>
    <w:qFormat/>
    <w:uiPriority w:val="9"/>
    <w:rPr>
      <w:rFonts w:ascii="宋体" w:hAnsi="宋体" w:eastAsia="宋体" w:cs="宋体"/>
      <w:b/>
      <w:bCs/>
      <w:sz w:val="28"/>
      <w:szCs w:val="28"/>
    </w:rPr>
  </w:style>
  <w:style w:type="character" w:customStyle="1" w:styleId="803">
    <w:name w:val="标题 6 Char_file_2873"/>
    <w:basedOn w:val="794"/>
    <w:link w:val="11"/>
    <w:qFormat/>
    <w:uiPriority w:val="9"/>
    <w:rPr>
      <w:rFonts w:ascii="等线 Light" w:hAnsi="等线 Light" w:eastAsia="等线 Light" w:cs="宋体"/>
      <w:b/>
      <w:bCs/>
      <w:sz w:val="24"/>
      <w:szCs w:val="24"/>
    </w:rPr>
  </w:style>
  <w:style w:type="paragraph" w:customStyle="1" w:styleId="804">
    <w:name w:val="cke_editable_file_2873"/>
    <w:basedOn w:val="787"/>
    <w:qFormat/>
    <w:uiPriority w:val="0"/>
    <w:rPr>
      <w:rFonts w:ascii="仿宋_GB2312" w:eastAsia="仿宋_GB2312"/>
    </w:rPr>
  </w:style>
  <w:style w:type="paragraph" w:customStyle="1" w:styleId="805">
    <w:name w:val="marker_file_2873"/>
    <w:basedOn w:val="787"/>
    <w:qFormat/>
    <w:uiPriority w:val="0"/>
    <w:pPr>
      <w:shd w:val="clear" w:color="auto" w:fill="FFFF00"/>
    </w:pPr>
  </w:style>
  <w:style w:type="paragraph" w:customStyle="1" w:styleId="806">
    <w:name w:val="Normal (Web)_file_2873"/>
    <w:basedOn w:val="787"/>
    <w:qFormat/>
    <w:uiPriority w:val="99"/>
  </w:style>
  <w:style w:type="paragraph" w:customStyle="1" w:styleId="807">
    <w:name w:val="Normal_file_287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08">
    <w:name w:val="heading 1_file_2874"/>
    <w:basedOn w:val="807"/>
    <w:qFormat/>
    <w:uiPriority w:val="9"/>
    <w:pPr>
      <w:outlineLvl w:val="0"/>
    </w:pPr>
    <w:rPr>
      <w:kern w:val="36"/>
      <w:sz w:val="48"/>
      <w:szCs w:val="48"/>
    </w:rPr>
  </w:style>
  <w:style w:type="paragraph" w:customStyle="1" w:styleId="809">
    <w:name w:val="heading 2_file_2874"/>
    <w:basedOn w:val="807"/>
    <w:qFormat/>
    <w:uiPriority w:val="9"/>
    <w:pPr>
      <w:outlineLvl w:val="1"/>
    </w:pPr>
    <w:rPr>
      <w:sz w:val="36"/>
      <w:szCs w:val="36"/>
    </w:rPr>
  </w:style>
  <w:style w:type="paragraph" w:customStyle="1" w:styleId="810">
    <w:name w:val="heading 3_file_2874"/>
    <w:basedOn w:val="807"/>
    <w:qFormat/>
    <w:uiPriority w:val="9"/>
    <w:pPr>
      <w:outlineLvl w:val="2"/>
    </w:pPr>
    <w:rPr>
      <w:sz w:val="27"/>
      <w:szCs w:val="27"/>
    </w:rPr>
  </w:style>
  <w:style w:type="paragraph" w:customStyle="1" w:styleId="811">
    <w:name w:val="heading 4_file_2874"/>
    <w:basedOn w:val="807"/>
    <w:qFormat/>
    <w:uiPriority w:val="9"/>
    <w:pPr>
      <w:outlineLvl w:val="3"/>
    </w:pPr>
  </w:style>
  <w:style w:type="paragraph" w:customStyle="1" w:styleId="812">
    <w:name w:val="heading 5_file_2874"/>
    <w:basedOn w:val="807"/>
    <w:qFormat/>
    <w:uiPriority w:val="9"/>
    <w:pPr>
      <w:outlineLvl w:val="4"/>
    </w:pPr>
    <w:rPr>
      <w:sz w:val="20"/>
      <w:szCs w:val="20"/>
    </w:rPr>
  </w:style>
  <w:style w:type="paragraph" w:customStyle="1" w:styleId="813">
    <w:name w:val="heading 6_file_2874"/>
    <w:basedOn w:val="807"/>
    <w:qFormat/>
    <w:uiPriority w:val="9"/>
    <w:pPr>
      <w:outlineLvl w:val="5"/>
    </w:pPr>
    <w:rPr>
      <w:sz w:val="15"/>
      <w:szCs w:val="15"/>
    </w:rPr>
  </w:style>
  <w:style w:type="character" w:customStyle="1" w:styleId="814">
    <w:name w:val="Default Paragraph Font_file_2874"/>
    <w:qFormat/>
    <w:uiPriority w:val="1"/>
  </w:style>
  <w:style w:type="table" w:customStyle="1" w:styleId="815">
    <w:name w:val="Normal Table_file_2874"/>
    <w:qFormat/>
    <w:uiPriority w:val="99"/>
    <w:tblPr>
      <w:tblCellMar>
        <w:top w:w="0" w:type="dxa"/>
        <w:left w:w="108" w:type="dxa"/>
        <w:bottom w:w="0" w:type="dxa"/>
        <w:right w:w="108" w:type="dxa"/>
      </w:tblCellMar>
    </w:tblPr>
  </w:style>
  <w:style w:type="character" w:customStyle="1" w:styleId="816">
    <w:name w:val="Hyperlink_file_2874"/>
    <w:basedOn w:val="814"/>
    <w:qFormat/>
    <w:uiPriority w:val="99"/>
    <w:rPr>
      <w:color w:val="0782C1"/>
      <w:u w:val="single"/>
    </w:rPr>
  </w:style>
  <w:style w:type="character" w:customStyle="1" w:styleId="817">
    <w:name w:val="FollowedHyperlink_file_2874"/>
    <w:basedOn w:val="814"/>
    <w:qFormat/>
    <w:uiPriority w:val="99"/>
    <w:rPr>
      <w:color w:val="0782C1"/>
      <w:u w:val="single"/>
    </w:rPr>
  </w:style>
  <w:style w:type="character" w:customStyle="1" w:styleId="818">
    <w:name w:val="标题 1 Char_file_2874"/>
    <w:basedOn w:val="814"/>
    <w:link w:val="4"/>
    <w:qFormat/>
    <w:uiPriority w:val="9"/>
    <w:rPr>
      <w:rFonts w:ascii="宋体" w:hAnsi="宋体" w:eastAsia="宋体" w:cs="宋体"/>
      <w:b/>
      <w:bCs/>
      <w:kern w:val="44"/>
      <w:sz w:val="44"/>
      <w:szCs w:val="44"/>
    </w:rPr>
  </w:style>
  <w:style w:type="character" w:customStyle="1" w:styleId="819">
    <w:name w:val="标题 2 Char_file_2874"/>
    <w:basedOn w:val="814"/>
    <w:link w:val="5"/>
    <w:qFormat/>
    <w:uiPriority w:val="9"/>
    <w:rPr>
      <w:rFonts w:ascii="等线 Light" w:hAnsi="等线 Light" w:eastAsia="等线 Light" w:cs="宋体"/>
      <w:b/>
      <w:bCs/>
      <w:sz w:val="32"/>
      <w:szCs w:val="32"/>
    </w:rPr>
  </w:style>
  <w:style w:type="character" w:customStyle="1" w:styleId="820">
    <w:name w:val="标题 3 Char_file_2874"/>
    <w:basedOn w:val="814"/>
    <w:link w:val="6"/>
    <w:qFormat/>
    <w:uiPriority w:val="9"/>
    <w:rPr>
      <w:rFonts w:ascii="宋体" w:hAnsi="宋体" w:eastAsia="宋体" w:cs="宋体"/>
      <w:b/>
      <w:bCs/>
      <w:sz w:val="32"/>
      <w:szCs w:val="32"/>
    </w:rPr>
  </w:style>
  <w:style w:type="character" w:customStyle="1" w:styleId="821">
    <w:name w:val="标题 4 Char_file_2874"/>
    <w:basedOn w:val="814"/>
    <w:link w:val="7"/>
    <w:qFormat/>
    <w:uiPriority w:val="9"/>
    <w:rPr>
      <w:rFonts w:ascii="等线 Light" w:hAnsi="等线 Light" w:eastAsia="等线 Light" w:cs="宋体"/>
      <w:b/>
      <w:bCs/>
      <w:sz w:val="28"/>
      <w:szCs w:val="28"/>
    </w:rPr>
  </w:style>
  <w:style w:type="character" w:customStyle="1" w:styleId="822">
    <w:name w:val="标题 5 Char_file_2874"/>
    <w:basedOn w:val="814"/>
    <w:link w:val="8"/>
    <w:qFormat/>
    <w:uiPriority w:val="9"/>
    <w:rPr>
      <w:rFonts w:ascii="宋体" w:hAnsi="宋体" w:eastAsia="宋体" w:cs="宋体"/>
      <w:b/>
      <w:bCs/>
      <w:sz w:val="28"/>
      <w:szCs w:val="28"/>
    </w:rPr>
  </w:style>
  <w:style w:type="character" w:customStyle="1" w:styleId="823">
    <w:name w:val="标题 6 Char_file_2874"/>
    <w:basedOn w:val="814"/>
    <w:link w:val="11"/>
    <w:qFormat/>
    <w:uiPriority w:val="9"/>
    <w:rPr>
      <w:rFonts w:ascii="等线 Light" w:hAnsi="等线 Light" w:eastAsia="等线 Light" w:cs="宋体"/>
      <w:b/>
      <w:bCs/>
      <w:sz w:val="24"/>
      <w:szCs w:val="24"/>
    </w:rPr>
  </w:style>
  <w:style w:type="paragraph" w:customStyle="1" w:styleId="824">
    <w:name w:val="cke_editable_file_2874"/>
    <w:basedOn w:val="807"/>
    <w:qFormat/>
    <w:uiPriority w:val="0"/>
    <w:rPr>
      <w:rFonts w:ascii="仿宋_GB2312" w:eastAsia="仿宋_GB2312"/>
    </w:rPr>
  </w:style>
  <w:style w:type="paragraph" w:customStyle="1" w:styleId="825">
    <w:name w:val="marker_file_2874"/>
    <w:basedOn w:val="807"/>
    <w:qFormat/>
    <w:uiPriority w:val="0"/>
    <w:pPr>
      <w:shd w:val="clear" w:color="auto" w:fill="FFFF00"/>
    </w:pPr>
  </w:style>
  <w:style w:type="paragraph" w:customStyle="1" w:styleId="826">
    <w:name w:val="Normal (Web)_file_2874"/>
    <w:basedOn w:val="807"/>
    <w:qFormat/>
    <w:uiPriority w:val="99"/>
  </w:style>
  <w:style w:type="character" w:customStyle="1" w:styleId="827">
    <w:name w:val="15"/>
    <w:qFormat/>
    <w:uiPriority w:val="0"/>
    <w:rPr>
      <w:rFonts w:hint="default" w:ascii="Times New Roman" w:hAnsi="Times New Roman" w:cs="Times New Roman"/>
      <w:color w:val="0000FF"/>
      <w:u w:val="single"/>
    </w:rPr>
  </w:style>
  <w:style w:type="character" w:customStyle="1" w:styleId="828">
    <w:name w:val="Strong_file_1208"/>
    <w:basedOn w:val="829"/>
    <w:qFormat/>
    <w:uiPriority w:val="22"/>
    <w:rPr>
      <w:b/>
      <w:bCs/>
    </w:rPr>
  </w:style>
  <w:style w:type="character" w:customStyle="1" w:styleId="829">
    <w:name w:val="Default Paragraph Font_file_1208"/>
    <w:qFormat/>
    <w:uiPriority w:val="1"/>
  </w:style>
  <w:style w:type="paragraph" w:customStyle="1" w:styleId="830">
    <w:name w:val="Normal (Web)_file_1209"/>
    <w:basedOn w:val="831"/>
    <w:qFormat/>
    <w:uiPriority w:val="99"/>
  </w:style>
  <w:style w:type="paragraph" w:customStyle="1" w:styleId="831">
    <w:name w:val="Normal_file_120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32">
    <w:name w:val="Normal (Web)_file_2618"/>
    <w:basedOn w:val="833"/>
    <w:qFormat/>
    <w:uiPriority w:val="99"/>
  </w:style>
  <w:style w:type="paragraph" w:customStyle="1" w:styleId="833">
    <w:name w:val="Normal_file_261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34">
    <w:name w:val="Normal (Web)_file_2620"/>
    <w:basedOn w:val="835"/>
    <w:qFormat/>
    <w:uiPriority w:val="99"/>
  </w:style>
  <w:style w:type="paragraph" w:customStyle="1" w:styleId="835">
    <w:name w:val="Normal_file_262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36">
    <w:name w:val="Normal (Web)_file_624"/>
    <w:basedOn w:val="837"/>
    <w:qFormat/>
    <w:uiPriority w:val="99"/>
  </w:style>
  <w:style w:type="paragraph" w:customStyle="1" w:styleId="837">
    <w:name w:val="Normal_file_62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38">
    <w:name w:val="Normal (Web)_file_718"/>
    <w:basedOn w:val="839"/>
    <w:qFormat/>
    <w:uiPriority w:val="99"/>
  </w:style>
  <w:style w:type="paragraph" w:customStyle="1" w:styleId="839">
    <w:name w:val="Normal_file_718"/>
    <w:qFormat/>
    <w:uiPriority w:val="0"/>
    <w:pPr>
      <w:spacing w:before="100" w:beforeAutospacing="1" w:after="100" w:afterAutospacing="1"/>
    </w:pPr>
    <w:rPr>
      <w:rFonts w:ascii="宋体" w:hAnsi="宋体" w:eastAsia="宋体" w:cs="宋体"/>
      <w:sz w:val="24"/>
      <w:szCs w:val="24"/>
      <w:lang w:val="en-US" w:eastAsia="zh-CN" w:bidi="ar-SA"/>
    </w:rPr>
  </w:style>
  <w:style w:type="table" w:customStyle="1" w:styleId="840">
    <w:name w:val="Normal Table_file_369_file_420"/>
    <w:qFormat/>
    <w:uiPriority w:val="99"/>
    <w:tblPr>
      <w:tblCellMar>
        <w:top w:w="0" w:type="dxa"/>
        <w:left w:w="108" w:type="dxa"/>
        <w:bottom w:w="0" w:type="dxa"/>
        <w:right w:w="108" w:type="dxa"/>
      </w:tblCellMar>
    </w:tblPr>
  </w:style>
  <w:style w:type="paragraph" w:customStyle="1" w:styleId="841">
    <w:name w:val="Normal (Web)_file_1197"/>
    <w:basedOn w:val="842"/>
    <w:qFormat/>
    <w:uiPriority w:val="99"/>
  </w:style>
  <w:style w:type="paragraph" w:customStyle="1" w:styleId="842">
    <w:name w:val="Normal_file_119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43">
    <w:name w:val="Normal (Web)_file_1200"/>
    <w:basedOn w:val="844"/>
    <w:qFormat/>
    <w:uiPriority w:val="99"/>
  </w:style>
  <w:style w:type="paragraph" w:customStyle="1" w:styleId="844">
    <w:name w:val="Normal_file_120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45">
    <w:name w:val="Normal (Web)_file_1203"/>
    <w:basedOn w:val="846"/>
    <w:qFormat/>
    <w:uiPriority w:val="99"/>
  </w:style>
  <w:style w:type="paragraph" w:customStyle="1" w:styleId="846">
    <w:name w:val="Normal_file_120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47">
    <w:name w:val="Normal (Web)_file_1074_file_1084"/>
    <w:basedOn w:val="848"/>
    <w:qFormat/>
    <w:uiPriority w:val="99"/>
    <w:pPr>
      <w:spacing w:before="100" w:beforeAutospacing="1" w:after="100" w:afterAutospacing="1"/>
    </w:pPr>
  </w:style>
  <w:style w:type="paragraph" w:customStyle="1" w:styleId="848">
    <w:name w:val="Normal_file_1074_file_1084"/>
    <w:qFormat/>
    <w:uiPriority w:val="0"/>
    <w:rPr>
      <w:rFonts w:ascii="宋体" w:hAnsi="宋体" w:eastAsia="宋体" w:cs="宋体"/>
      <w:sz w:val="24"/>
      <w:szCs w:val="24"/>
      <w:lang w:val="en-US" w:eastAsia="zh-CN" w:bidi="ar-SA"/>
    </w:rPr>
  </w:style>
  <w:style w:type="paragraph" w:customStyle="1" w:styleId="849">
    <w:name w:val="Normal (Web)_file_1945_file_1954"/>
    <w:basedOn w:val="850"/>
    <w:qFormat/>
    <w:uiPriority w:val="99"/>
    <w:pPr>
      <w:spacing w:before="100" w:beforeAutospacing="1" w:after="100" w:afterAutospacing="1"/>
    </w:pPr>
  </w:style>
  <w:style w:type="paragraph" w:customStyle="1" w:styleId="850">
    <w:name w:val="Normal_file_1945_file_1954"/>
    <w:qFormat/>
    <w:uiPriority w:val="0"/>
    <w:rPr>
      <w:rFonts w:ascii="宋体" w:hAnsi="宋体" w:eastAsia="宋体" w:cs="宋体"/>
      <w:sz w:val="24"/>
      <w:szCs w:val="24"/>
      <w:lang w:val="en-US" w:eastAsia="zh-CN" w:bidi="ar-SA"/>
    </w:rPr>
  </w:style>
  <w:style w:type="character" w:customStyle="1" w:styleId="851">
    <w:name w:val="Default Paragraph Font_file_1199"/>
    <w:qFormat/>
    <w:uiPriority w:val="0"/>
  </w:style>
  <w:style w:type="table" w:customStyle="1" w:styleId="852">
    <w:name w:val="Normal Table_file_423_file_1199"/>
    <w:qFormat/>
    <w:uiPriority w:val="0"/>
    <w:tblPr>
      <w:tblCellMar>
        <w:top w:w="0" w:type="dxa"/>
        <w:left w:w="108" w:type="dxa"/>
        <w:bottom w:w="0" w:type="dxa"/>
        <w:right w:w="108" w:type="dxa"/>
      </w:tblCellMar>
    </w:tblPr>
  </w:style>
  <w:style w:type="paragraph" w:customStyle="1" w:styleId="853">
    <w:name w:val="Normal (Web)_file_1204"/>
    <w:basedOn w:val="854"/>
    <w:qFormat/>
    <w:uiPriority w:val="99"/>
  </w:style>
  <w:style w:type="paragraph" w:customStyle="1" w:styleId="854">
    <w:name w:val="Normal_file_1204"/>
    <w:qFormat/>
    <w:uiPriority w:val="0"/>
    <w:pPr>
      <w:spacing w:before="100" w:beforeAutospacing="1" w:after="100" w:afterAutospacing="1"/>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3ffd3e-735c-447c-8366-fe7f81377fa4}">
  <ds:schemaRefs/>
</ds:datastoreItem>
</file>

<file path=customXml/itemProps3.xml><?xml version="1.0" encoding="utf-8"?>
<ds:datastoreItem xmlns:ds="http://schemas.openxmlformats.org/officeDocument/2006/customXml" ds:itemID="{55116FFE-F001-4711-8B84-F690EEEE3DDD}">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170</Pages>
  <Words>24594</Words>
  <Characters>29020</Characters>
  <Paragraphs>5398</Paragraphs>
  <TotalTime>123</TotalTime>
  <ScaleCrop>false</ScaleCrop>
  <LinksUpToDate>false</LinksUpToDate>
  <CharactersWithSpaces>29067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2024-06-11T08:40:00Z</dcterms:created>
  <dc:creator>柳州市政府集中采购中心</dc:creator>
  <cp:lastModifiedBy>李群</cp:lastModifiedBy>
  <cp:lastPrinted>2018-11-29T07:27:00Z</cp:lastPrinted>
  <dcterms:modified xsi:type="dcterms:W3CDTF">2025-08-13T01:14:56Z</dcterms:modified>
  <dc:title>询价通知书</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b9f3943288e440408b58ab0532a6dd1f_23</vt:lpwstr>
  </property>
  <property fmtid="{D5CDD505-2E9C-101B-9397-08002B2CF9AE}" pid="4" name="KSOTemplateDocerSaveRecord">
    <vt:lpwstr>eyJoZGlkIjoiN2QzNTlhNzVkYmM4NGIxYzU1MDkwOWY0OTQyZjMyOWIiLCJ1c2VySWQiOiIzODgwMjgyNDgifQ==</vt:lpwstr>
  </property>
</Properties>
</file>