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9AA2C">
      <w:pPr>
        <w:spacing w:line="360" w:lineRule="auto"/>
        <w:jc w:val="center"/>
        <w:rPr>
          <w:rFonts w:hint="eastAsia" w:asciiTheme="majorEastAsia" w:hAnsiTheme="majorEastAsia" w:eastAsiaTheme="majorEastAsia" w:cstheme="majorEastAsia"/>
          <w:sz w:val="70"/>
          <w:szCs w:val="70"/>
          <w:lang w:eastAsia="zh-CN"/>
        </w:rPr>
      </w:pPr>
      <w:r>
        <w:rPr>
          <w:rFonts w:hint="eastAsia" w:asciiTheme="majorEastAsia" w:hAnsiTheme="majorEastAsia" w:eastAsiaTheme="majorEastAsia" w:cstheme="majorEastAsia"/>
          <w:b/>
          <w:bCs/>
          <w:sz w:val="70"/>
          <w:szCs w:val="70"/>
          <w:lang w:eastAsia="zh-CN"/>
        </w:rPr>
        <w:t>广西华盛工程咨询有限公司</w:t>
      </w:r>
    </w:p>
    <w:p w14:paraId="14396164">
      <w:pPr>
        <w:spacing w:before="120" w:beforeLines="50" w:line="360" w:lineRule="auto"/>
        <w:jc w:val="center"/>
        <w:rPr>
          <w:rFonts w:asciiTheme="majorEastAsia" w:hAnsiTheme="majorEastAsia" w:eastAsiaTheme="majorEastAsia" w:cstheme="majorEastAsia"/>
          <w:sz w:val="52"/>
          <w:szCs w:val="52"/>
        </w:rPr>
      </w:pPr>
    </w:p>
    <w:p w14:paraId="1D7444FF">
      <w:pPr>
        <w:spacing w:line="360" w:lineRule="auto"/>
        <w:rPr>
          <w:rFonts w:asciiTheme="majorEastAsia" w:hAnsiTheme="majorEastAsia" w:eastAsiaTheme="majorEastAsia" w:cstheme="majorEastAsia"/>
          <w:b/>
          <w:sz w:val="48"/>
          <w:szCs w:val="48"/>
        </w:rPr>
      </w:pPr>
    </w:p>
    <w:p w14:paraId="6B2C2927">
      <w:pPr>
        <w:snapToGrid w:val="0"/>
        <w:spacing w:before="120" w:beforeLines="50" w:line="360" w:lineRule="auto"/>
        <w:jc w:val="center"/>
        <w:rPr>
          <w:rFonts w:asciiTheme="majorEastAsia" w:hAnsiTheme="majorEastAsia" w:eastAsiaTheme="majorEastAsia" w:cstheme="majorEastAsia"/>
          <w:sz w:val="120"/>
          <w:szCs w:val="120"/>
        </w:rPr>
      </w:pPr>
      <w:r>
        <w:rPr>
          <w:rFonts w:hint="eastAsia" w:asciiTheme="majorEastAsia" w:hAnsiTheme="majorEastAsia" w:eastAsiaTheme="majorEastAsia" w:cstheme="majorEastAsia"/>
          <w:sz w:val="120"/>
          <w:szCs w:val="120"/>
        </w:rPr>
        <w:t>招 标 文 件</w:t>
      </w:r>
    </w:p>
    <w:p w14:paraId="33C9C18C">
      <w:pPr>
        <w:snapToGrid w:val="0"/>
        <w:spacing w:before="120" w:beforeLines="50" w:line="360" w:lineRule="auto"/>
        <w:jc w:val="center"/>
        <w:rPr>
          <w:rFonts w:ascii="仿宋_GB2312" w:hAnsi="宋体" w:eastAsia="仿宋_GB2312"/>
          <w:b/>
          <w:sz w:val="48"/>
          <w:szCs w:val="48"/>
        </w:rPr>
      </w:pPr>
      <w:r>
        <w:rPr>
          <w:rFonts w:hint="eastAsia" w:ascii="仿宋_GB2312" w:hAnsi="宋体" w:eastAsia="仿宋_GB2312"/>
          <w:b/>
          <w:sz w:val="48"/>
          <w:szCs w:val="48"/>
        </w:rPr>
        <w:t>（全流程电子化采购-远程异地评标）</w:t>
      </w:r>
    </w:p>
    <w:p w14:paraId="0726DE7C">
      <w:pPr>
        <w:snapToGrid w:val="0"/>
        <w:spacing w:line="360" w:lineRule="auto"/>
        <w:rPr>
          <w:rFonts w:asciiTheme="majorEastAsia" w:hAnsiTheme="majorEastAsia" w:eastAsiaTheme="majorEastAsia" w:cstheme="majorEastAsia"/>
          <w:sz w:val="30"/>
          <w:szCs w:val="72"/>
        </w:rPr>
      </w:pPr>
    </w:p>
    <w:p w14:paraId="1AAC4CA1">
      <w:pPr>
        <w:snapToGrid w:val="0"/>
        <w:spacing w:line="360" w:lineRule="auto"/>
        <w:ind w:left="2699" w:leftChars="568" w:hanging="1506" w:hangingChars="500"/>
        <w:rPr>
          <w:rFonts w:hint="eastAsia" w:asciiTheme="majorEastAsia" w:hAnsiTheme="majorEastAsia" w:eastAsiaTheme="majorEastAsia" w:cstheme="majorEastAsia"/>
          <w:b/>
          <w:bCs/>
          <w:sz w:val="30"/>
          <w:szCs w:val="30"/>
          <w:lang w:eastAsia="zh-CN"/>
        </w:rPr>
      </w:pPr>
      <w:r>
        <w:rPr>
          <w:rFonts w:hint="eastAsia" w:asciiTheme="majorEastAsia" w:hAnsiTheme="majorEastAsia" w:eastAsiaTheme="majorEastAsia" w:cstheme="majorEastAsia"/>
          <w:b/>
          <w:bCs/>
          <w:sz w:val="30"/>
          <w:szCs w:val="30"/>
        </w:rPr>
        <w:t>项目</w:t>
      </w:r>
      <w:r>
        <w:rPr>
          <w:rFonts w:hint="eastAsia" w:asciiTheme="majorEastAsia" w:hAnsiTheme="majorEastAsia" w:eastAsiaTheme="majorEastAsia" w:cstheme="majorEastAsia"/>
          <w:b/>
          <w:bCs/>
          <w:w w:val="95"/>
          <w:sz w:val="30"/>
          <w:szCs w:val="30"/>
        </w:rPr>
        <w:t>名称</w:t>
      </w:r>
      <w:r>
        <w:rPr>
          <w:rFonts w:hint="eastAsia" w:asciiTheme="majorEastAsia" w:hAnsiTheme="majorEastAsia" w:eastAsiaTheme="majorEastAsia" w:cstheme="majorEastAsia"/>
          <w:b/>
          <w:bCs/>
          <w:sz w:val="30"/>
          <w:szCs w:val="30"/>
        </w:rPr>
        <w:t>：</w:t>
      </w:r>
      <w:r>
        <w:rPr>
          <w:rFonts w:hint="eastAsia" w:asciiTheme="majorEastAsia" w:hAnsiTheme="majorEastAsia" w:eastAsiaTheme="majorEastAsia" w:cstheme="majorEastAsia"/>
          <w:b/>
          <w:bCs/>
          <w:sz w:val="30"/>
          <w:szCs w:val="30"/>
          <w:lang w:eastAsia="zh-CN"/>
        </w:rPr>
        <w:t>岑溪市人民医院采购眩晕治疗仪等医疗设备项目</w:t>
      </w:r>
    </w:p>
    <w:p w14:paraId="1A17A1AA">
      <w:pPr>
        <w:snapToGrid w:val="0"/>
        <w:spacing w:line="360" w:lineRule="auto"/>
        <w:ind w:firstLine="1145" w:firstLineChars="400"/>
        <w:rPr>
          <w:rFonts w:hint="eastAsia" w:asciiTheme="majorEastAsia" w:hAnsiTheme="majorEastAsia" w:eastAsiaTheme="majorEastAsia" w:cstheme="majorEastAsia"/>
          <w:sz w:val="30"/>
          <w:szCs w:val="72"/>
          <w:lang w:eastAsia="zh-CN"/>
        </w:rPr>
      </w:pPr>
      <w:r>
        <w:rPr>
          <w:rFonts w:hint="eastAsia" w:asciiTheme="majorEastAsia" w:hAnsiTheme="majorEastAsia" w:eastAsiaTheme="majorEastAsia" w:cstheme="majorEastAsia"/>
          <w:b/>
          <w:bCs/>
          <w:w w:val="95"/>
          <w:sz w:val="30"/>
          <w:szCs w:val="30"/>
        </w:rPr>
        <w:t>项目</w:t>
      </w:r>
      <w:r>
        <w:rPr>
          <w:rFonts w:hint="eastAsia" w:asciiTheme="majorEastAsia" w:hAnsiTheme="majorEastAsia" w:eastAsiaTheme="majorEastAsia" w:cstheme="majorEastAsia"/>
          <w:b/>
          <w:bCs/>
          <w:sz w:val="30"/>
          <w:szCs w:val="30"/>
        </w:rPr>
        <w:t>编号</w:t>
      </w:r>
      <w:r>
        <w:rPr>
          <w:rFonts w:hint="eastAsia" w:asciiTheme="majorEastAsia" w:hAnsiTheme="majorEastAsia" w:eastAsiaTheme="majorEastAsia" w:cstheme="majorEastAsia"/>
          <w:b/>
          <w:bCs/>
          <w:w w:val="95"/>
          <w:sz w:val="30"/>
          <w:szCs w:val="30"/>
        </w:rPr>
        <w:t>：</w:t>
      </w:r>
      <w:r>
        <w:rPr>
          <w:rFonts w:hint="eastAsia" w:asciiTheme="majorEastAsia" w:hAnsiTheme="majorEastAsia" w:eastAsiaTheme="majorEastAsia" w:cstheme="majorEastAsia"/>
          <w:b/>
          <w:sz w:val="30"/>
          <w:szCs w:val="48"/>
        </w:rPr>
        <w:t xml:space="preserve"> </w:t>
      </w:r>
      <w:r>
        <w:rPr>
          <w:rFonts w:hint="eastAsia" w:asciiTheme="majorEastAsia" w:hAnsiTheme="majorEastAsia" w:eastAsiaTheme="majorEastAsia" w:cstheme="majorEastAsia"/>
          <w:b/>
          <w:sz w:val="30"/>
          <w:szCs w:val="48"/>
          <w:lang w:eastAsia="zh-CN"/>
        </w:rPr>
        <w:t>WZZC2025-G1-810159-GXHS</w:t>
      </w:r>
    </w:p>
    <w:p w14:paraId="0F9A5244">
      <w:pPr>
        <w:pStyle w:val="25"/>
        <w:snapToGrid w:val="0"/>
        <w:spacing w:line="360" w:lineRule="auto"/>
        <w:ind w:firstLine="1125" w:firstLineChars="393"/>
        <w:rPr>
          <w:rFonts w:asciiTheme="majorEastAsia" w:hAnsiTheme="majorEastAsia" w:eastAsiaTheme="majorEastAsia" w:cstheme="majorEastAsia"/>
          <w:b/>
          <w:bCs/>
          <w:w w:val="95"/>
          <w:sz w:val="30"/>
          <w:szCs w:val="30"/>
        </w:rPr>
      </w:pPr>
      <w:r>
        <w:rPr>
          <w:rFonts w:hint="eastAsia" w:asciiTheme="majorEastAsia" w:hAnsiTheme="majorEastAsia" w:eastAsiaTheme="majorEastAsia" w:cstheme="majorEastAsia"/>
          <w:b/>
          <w:bCs/>
          <w:w w:val="95"/>
          <w:sz w:val="30"/>
          <w:szCs w:val="30"/>
        </w:rPr>
        <w:t>采 购 人： 岑溪市人民医院</w:t>
      </w:r>
    </w:p>
    <w:p w14:paraId="50CB10FD">
      <w:pPr>
        <w:pStyle w:val="25"/>
        <w:snapToGrid w:val="0"/>
        <w:spacing w:line="360" w:lineRule="auto"/>
        <w:ind w:firstLine="1125" w:firstLineChars="393"/>
        <w:rPr>
          <w:rFonts w:hint="eastAsia" w:asciiTheme="majorEastAsia" w:hAnsiTheme="majorEastAsia" w:eastAsiaTheme="majorEastAsia" w:cstheme="majorEastAsia"/>
          <w:b/>
          <w:bCs/>
          <w:w w:val="95"/>
          <w:sz w:val="30"/>
          <w:szCs w:val="30"/>
          <w:lang w:eastAsia="zh-CN"/>
        </w:rPr>
      </w:pPr>
      <w:r>
        <w:rPr>
          <w:rFonts w:hint="eastAsia" w:asciiTheme="majorEastAsia" w:hAnsiTheme="majorEastAsia" w:eastAsiaTheme="majorEastAsia" w:cstheme="majorEastAsia"/>
          <w:b/>
          <w:bCs/>
          <w:w w:val="95"/>
          <w:sz w:val="30"/>
          <w:szCs w:val="30"/>
        </w:rPr>
        <w:t>采购代理机构：</w:t>
      </w:r>
      <w:r>
        <w:rPr>
          <w:rFonts w:hint="eastAsia" w:asciiTheme="majorEastAsia" w:hAnsiTheme="majorEastAsia" w:eastAsiaTheme="majorEastAsia" w:cstheme="majorEastAsia"/>
          <w:b/>
          <w:bCs/>
          <w:w w:val="95"/>
          <w:sz w:val="30"/>
          <w:szCs w:val="30"/>
          <w:lang w:eastAsia="zh-CN"/>
        </w:rPr>
        <w:t>广西华盛工程咨询有限公司</w:t>
      </w:r>
    </w:p>
    <w:p w14:paraId="3CA4CB9E">
      <w:pPr>
        <w:pStyle w:val="25"/>
        <w:snapToGrid w:val="0"/>
        <w:spacing w:line="360" w:lineRule="auto"/>
        <w:ind w:firstLine="1125" w:firstLineChars="393"/>
        <w:rPr>
          <w:rFonts w:asciiTheme="majorEastAsia" w:hAnsiTheme="majorEastAsia" w:eastAsiaTheme="majorEastAsia" w:cstheme="majorEastAsia"/>
          <w:b/>
          <w:bCs/>
          <w:w w:val="95"/>
          <w:sz w:val="30"/>
          <w:szCs w:val="30"/>
        </w:rPr>
      </w:pPr>
    </w:p>
    <w:p w14:paraId="015F8111">
      <w:pPr>
        <w:pStyle w:val="25"/>
        <w:snapToGrid w:val="0"/>
        <w:spacing w:line="360" w:lineRule="auto"/>
        <w:ind w:firstLine="1125" w:firstLineChars="393"/>
        <w:rPr>
          <w:rFonts w:asciiTheme="majorEastAsia" w:hAnsiTheme="majorEastAsia" w:eastAsiaTheme="majorEastAsia" w:cstheme="majorEastAsia"/>
          <w:b/>
          <w:bCs/>
          <w:w w:val="95"/>
          <w:sz w:val="30"/>
          <w:szCs w:val="30"/>
        </w:rPr>
      </w:pPr>
    </w:p>
    <w:p w14:paraId="5E3D3483">
      <w:pPr>
        <w:pStyle w:val="25"/>
        <w:snapToGrid w:val="0"/>
        <w:spacing w:line="360" w:lineRule="auto"/>
        <w:ind w:firstLine="841" w:firstLineChars="294"/>
        <w:rPr>
          <w:rFonts w:asciiTheme="majorEastAsia" w:hAnsiTheme="majorEastAsia" w:eastAsiaTheme="majorEastAsia" w:cstheme="majorEastAsia"/>
          <w:szCs w:val="20"/>
        </w:rPr>
      </w:pPr>
      <w:r>
        <w:rPr>
          <w:rFonts w:hint="eastAsia" w:asciiTheme="majorEastAsia" w:hAnsiTheme="majorEastAsia" w:eastAsiaTheme="majorEastAsia" w:cstheme="majorEastAsia"/>
          <w:b/>
          <w:bCs/>
          <w:w w:val="95"/>
          <w:sz w:val="30"/>
          <w:szCs w:val="30"/>
        </w:rPr>
        <w:t xml:space="preserve">               202</w:t>
      </w:r>
      <w:r>
        <w:rPr>
          <w:rFonts w:hint="eastAsia" w:asciiTheme="majorEastAsia" w:hAnsiTheme="majorEastAsia" w:eastAsiaTheme="majorEastAsia" w:cstheme="majorEastAsia"/>
          <w:b/>
          <w:bCs/>
          <w:w w:val="95"/>
          <w:sz w:val="30"/>
          <w:szCs w:val="30"/>
          <w:lang w:val="en-US" w:eastAsia="zh-CN"/>
        </w:rPr>
        <w:t>5</w:t>
      </w:r>
      <w:r>
        <w:rPr>
          <w:rFonts w:hint="eastAsia" w:asciiTheme="majorEastAsia" w:hAnsiTheme="majorEastAsia" w:eastAsiaTheme="majorEastAsia" w:cstheme="majorEastAsia"/>
          <w:b/>
          <w:bCs/>
          <w:w w:val="95"/>
          <w:sz w:val="30"/>
          <w:szCs w:val="30"/>
        </w:rPr>
        <w:t>年</w:t>
      </w:r>
      <w:r>
        <w:rPr>
          <w:rFonts w:hint="eastAsia" w:asciiTheme="majorEastAsia" w:hAnsiTheme="majorEastAsia" w:eastAsiaTheme="majorEastAsia" w:cstheme="majorEastAsia"/>
          <w:b/>
          <w:bCs/>
          <w:w w:val="95"/>
          <w:sz w:val="30"/>
          <w:szCs w:val="30"/>
          <w:lang w:val="en-US" w:eastAsia="zh-CN"/>
        </w:rPr>
        <w:t>11</w:t>
      </w:r>
      <w:r>
        <w:rPr>
          <w:rFonts w:hint="eastAsia" w:asciiTheme="majorEastAsia" w:hAnsiTheme="majorEastAsia" w:eastAsiaTheme="majorEastAsia" w:cstheme="majorEastAsia"/>
          <w:b/>
          <w:bCs/>
          <w:w w:val="95"/>
          <w:sz w:val="30"/>
          <w:szCs w:val="30"/>
        </w:rPr>
        <w:t>月</w:t>
      </w:r>
    </w:p>
    <w:p w14:paraId="0595EDB5">
      <w:pPr>
        <w:spacing w:line="360" w:lineRule="auto"/>
        <w:ind w:firstLine="640" w:firstLineChars="200"/>
        <w:rPr>
          <w:rFonts w:asciiTheme="majorEastAsia" w:hAnsiTheme="majorEastAsia" w:eastAsiaTheme="majorEastAsia" w:cstheme="majorEastAsia"/>
        </w:rPr>
      </w:pPr>
      <w:r>
        <w:rPr>
          <w:rFonts w:hint="eastAsia" w:asciiTheme="majorEastAsia" w:hAnsiTheme="majorEastAsia" w:eastAsiaTheme="majorEastAsia" w:cstheme="majorEastAsia"/>
          <w:bCs/>
          <w:kern w:val="0"/>
          <w:sz w:val="32"/>
          <w:szCs w:val="32"/>
        </w:rPr>
        <w:br w:type="page"/>
      </w:r>
    </w:p>
    <w:p w14:paraId="5FBD3AEA">
      <w:pPr>
        <w:spacing w:line="360" w:lineRule="auto"/>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目  录</w:t>
      </w:r>
    </w:p>
    <w:p w14:paraId="74ECFCC2">
      <w:pPr>
        <w:pStyle w:val="26"/>
        <w:rPr>
          <w:rFonts w:asciiTheme="majorEastAsia" w:hAnsiTheme="majorEastAsia" w:eastAsiaTheme="majorEastAsia" w:cstheme="majorEastAsia"/>
          <w:b w:val="0"/>
          <w:bCs w:val="0"/>
          <w:caps w:val="0"/>
          <w:sz w:val="21"/>
          <w:szCs w:val="22"/>
        </w:rPr>
      </w:pPr>
      <w:r>
        <w:rPr>
          <w:rFonts w:hint="eastAsia" w:asciiTheme="majorEastAsia" w:hAnsiTheme="majorEastAsia" w:eastAsiaTheme="majorEastAsia" w:cstheme="majorEastAsia"/>
          <w:b w:val="0"/>
        </w:rPr>
        <w:fldChar w:fldCharType="begin"/>
      </w:r>
      <w:r>
        <w:rPr>
          <w:rFonts w:hint="eastAsia" w:asciiTheme="majorEastAsia" w:hAnsiTheme="majorEastAsia" w:eastAsiaTheme="majorEastAsia" w:cstheme="majorEastAsia"/>
          <w:b w:val="0"/>
        </w:rPr>
        <w:instrText xml:space="preserve"> TOC \o "1-2" \h \z \u </w:instrText>
      </w:r>
      <w:r>
        <w:rPr>
          <w:rFonts w:hint="eastAsia" w:asciiTheme="majorEastAsia" w:hAnsiTheme="majorEastAsia" w:eastAsiaTheme="majorEastAsia" w:cstheme="majorEastAsia"/>
          <w:b w:val="0"/>
        </w:rPr>
        <w:fldChar w:fldCharType="separate"/>
      </w:r>
      <w:r>
        <w:fldChar w:fldCharType="begin"/>
      </w:r>
      <w:r>
        <w:instrText xml:space="preserve"> HYPERLINK \l "_Toc74320800" </w:instrText>
      </w:r>
      <w:r>
        <w:fldChar w:fldCharType="separate"/>
      </w:r>
      <w:r>
        <w:rPr>
          <w:rStyle w:val="53"/>
          <w:rFonts w:hint="eastAsia" w:asciiTheme="majorEastAsia" w:hAnsiTheme="majorEastAsia" w:eastAsiaTheme="majorEastAsia" w:cstheme="majorEastAsia"/>
          <w:color w:val="auto"/>
        </w:rPr>
        <w:t>第一章  招标公告</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134B99B4">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"_Toc74320801" </w:instrText>
      </w:r>
      <w:r>
        <w:fldChar w:fldCharType="separate"/>
      </w:r>
      <w:r>
        <w:rPr>
          <w:rStyle w:val="53"/>
          <w:rFonts w:hint="eastAsia" w:asciiTheme="majorEastAsia" w:hAnsiTheme="majorEastAsia" w:eastAsiaTheme="majorEastAsia" w:cstheme="majorEastAsia"/>
          <w:color w:val="auto"/>
        </w:rPr>
        <w:t>第二章  采购需求</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_Toc74320801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6</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2C8F0554">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"_Toc74320802" </w:instrText>
      </w:r>
      <w:r>
        <w:fldChar w:fldCharType="separate"/>
      </w:r>
      <w:r>
        <w:rPr>
          <w:rStyle w:val="53"/>
          <w:rFonts w:hint="eastAsia" w:asciiTheme="majorEastAsia" w:hAnsiTheme="majorEastAsia" w:eastAsiaTheme="majorEastAsia" w:cstheme="majorEastAsia"/>
          <w:color w:val="auto"/>
        </w:rPr>
        <w:t>第三章  投标人须</w:t>
      </w:r>
      <w:bookmarkStart w:id="0" w:name="_Hlt79572745"/>
      <w:bookmarkStart w:id="1" w:name="_Hlt79572744"/>
      <w:r>
        <w:rPr>
          <w:rStyle w:val="53"/>
          <w:rFonts w:hint="eastAsia" w:asciiTheme="majorEastAsia" w:hAnsiTheme="majorEastAsia" w:eastAsiaTheme="majorEastAsia" w:cstheme="majorEastAsia"/>
          <w:color w:val="auto"/>
        </w:rPr>
        <w:t>知</w:t>
      </w:r>
      <w:bookmarkEnd w:id="0"/>
      <w:bookmarkEnd w:id="1"/>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_Toc74320802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32</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25672A82">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"_Toc74320803" </w:instrText>
      </w:r>
      <w:r>
        <w:fldChar w:fldCharType="separate"/>
      </w:r>
      <w:r>
        <w:rPr>
          <w:rStyle w:val="53"/>
          <w:rFonts w:hint="eastAsia" w:asciiTheme="majorEastAsia" w:hAnsiTheme="majorEastAsia" w:eastAsiaTheme="majorEastAsia" w:cstheme="majorEastAsia"/>
          <w:color w:val="auto"/>
        </w:rPr>
        <w:t>第四章  评标方</w:t>
      </w:r>
      <w:bookmarkStart w:id="2" w:name="_Hlt82186274"/>
      <w:bookmarkStart w:id="3" w:name="_Hlt82186273"/>
      <w:r>
        <w:rPr>
          <w:rStyle w:val="53"/>
          <w:rFonts w:hint="eastAsia" w:asciiTheme="majorEastAsia" w:hAnsiTheme="majorEastAsia" w:eastAsiaTheme="majorEastAsia" w:cstheme="majorEastAsia"/>
          <w:color w:val="auto"/>
        </w:rPr>
        <w:t>法</w:t>
      </w:r>
      <w:bookmarkEnd w:id="2"/>
      <w:bookmarkEnd w:id="3"/>
      <w:r>
        <w:rPr>
          <w:rStyle w:val="53"/>
          <w:rFonts w:hint="eastAsia" w:asciiTheme="majorEastAsia" w:hAnsiTheme="majorEastAsia" w:eastAsiaTheme="majorEastAsia" w:cstheme="majorEastAsia"/>
          <w:color w:val="auto"/>
        </w:rPr>
        <w:t>及评标标准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54</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36C79C8C">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"_Toc74320804" </w:instrText>
      </w:r>
      <w:r>
        <w:fldChar w:fldCharType="separate"/>
      </w:r>
      <w:r>
        <w:rPr>
          <w:rStyle w:val="53"/>
          <w:rFonts w:hint="eastAsia" w:asciiTheme="majorEastAsia" w:hAnsiTheme="majorEastAsia" w:eastAsiaTheme="majorEastAsia" w:cstheme="majorEastAsia"/>
          <w:color w:val="auto"/>
        </w:rPr>
        <w:t>第五章  拟签订的合同文本</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63</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2D59FE7C">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"_Toc74320805" </w:instrText>
      </w:r>
      <w:r>
        <w:fldChar w:fldCharType="separate"/>
      </w:r>
      <w:r>
        <w:rPr>
          <w:rStyle w:val="53"/>
          <w:rFonts w:hint="eastAsia" w:asciiTheme="majorEastAsia" w:hAnsiTheme="majorEastAsia" w:eastAsiaTheme="majorEastAsia" w:cstheme="majorEastAsia"/>
          <w:color w:val="auto"/>
        </w:rPr>
        <w:t>第六章　投标文件格式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73</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6790C45B">
      <w:pPr>
        <w:spacing w:before="120" w:beforeLines="50" w:line="48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b/>
          <w:sz w:val="24"/>
        </w:rPr>
        <w:fldChar w:fldCharType="end"/>
      </w:r>
    </w:p>
    <w:p w14:paraId="68D3E933">
      <w:pPr>
        <w:spacing w:before="120" w:beforeLines="50" w:line="480" w:lineRule="exact"/>
        <w:rPr>
          <w:rFonts w:asciiTheme="majorEastAsia" w:hAnsiTheme="majorEastAsia" w:eastAsiaTheme="majorEastAsia" w:cstheme="majorEastAsia"/>
          <w:sz w:val="30"/>
        </w:rPr>
      </w:pPr>
      <w:r>
        <w:rPr>
          <w:rFonts w:hint="eastAsia" w:asciiTheme="majorEastAsia" w:hAnsiTheme="majorEastAsia" w:eastAsiaTheme="majorEastAsia" w:cstheme="majorEastAsia"/>
          <w:sz w:val="30"/>
        </w:rPr>
        <w:t xml:space="preserve">                                                                                                                                                                                                                                                                                                                                                                                                                                                                                                                                                                                                                                                                                                                                                                                                                                                                                                                                                                                                                                                                                                                                                                                                                                                                                                                                                                                                                                                                                                                                                                                                                                                                                                                                   </w:t>
      </w:r>
    </w:p>
    <w:p w14:paraId="274FE364">
      <w:pPr>
        <w:rPr>
          <w:rFonts w:asciiTheme="majorEastAsia" w:hAnsiTheme="majorEastAsia" w:eastAsiaTheme="majorEastAsia" w:cstheme="majorEastAsia"/>
        </w:rPr>
      </w:pPr>
    </w:p>
    <w:p w14:paraId="00FF5708">
      <w:pPr>
        <w:spacing w:before="120" w:beforeLines="50" w:line="480" w:lineRule="exact"/>
        <w:rPr>
          <w:rFonts w:asciiTheme="majorEastAsia" w:hAnsiTheme="majorEastAsia" w:eastAsiaTheme="majorEastAsia" w:cstheme="majorEastAsia"/>
          <w:sz w:val="30"/>
        </w:rPr>
      </w:pPr>
    </w:p>
    <w:p w14:paraId="06EE5D8E">
      <w:pPr>
        <w:spacing w:before="120" w:beforeLines="50" w:line="480" w:lineRule="exact"/>
        <w:rPr>
          <w:rFonts w:asciiTheme="majorEastAsia" w:hAnsiTheme="majorEastAsia" w:eastAsiaTheme="majorEastAsia" w:cstheme="majorEastAsia"/>
          <w:sz w:val="30"/>
        </w:rPr>
      </w:pPr>
    </w:p>
    <w:p w14:paraId="64998842">
      <w:pPr>
        <w:pStyle w:val="17"/>
        <w:rPr>
          <w:rFonts w:asciiTheme="majorEastAsia" w:hAnsiTheme="majorEastAsia" w:eastAsiaTheme="majorEastAsia" w:cstheme="majorEastAsia"/>
          <w:b/>
          <w:bCs/>
        </w:rPr>
      </w:pPr>
      <w:bookmarkStart w:id="4" w:name="_Toc254970489"/>
      <w:bookmarkStart w:id="5" w:name="_Toc254970630"/>
    </w:p>
    <w:p w14:paraId="69AEEFD2">
      <w:pPr>
        <w:pStyle w:val="2"/>
        <w:keepNext w:val="0"/>
        <w:keepLines w:val="0"/>
        <w:tabs>
          <w:tab w:val="left" w:pos="0"/>
          <w:tab w:val="left" w:pos="3165"/>
          <w:tab w:val="center" w:pos="4153"/>
        </w:tabs>
        <w:autoSpaceDE w:val="0"/>
        <w:autoSpaceDN w:val="0"/>
        <w:adjustRightInd w:val="0"/>
        <w:spacing w:before="0" w:after="0"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b w:val="0"/>
          <w:bCs w:val="0"/>
        </w:rPr>
        <w:br w:type="page"/>
      </w:r>
      <w:bookmarkStart w:id="6" w:name="_Toc74320800"/>
      <w:r>
        <w:rPr>
          <w:rFonts w:hint="eastAsia" w:asciiTheme="majorEastAsia" w:hAnsiTheme="majorEastAsia" w:eastAsiaTheme="majorEastAsia" w:cstheme="majorEastAsia"/>
        </w:rPr>
        <w:t>第一章</w:t>
      </w:r>
      <w:bookmarkEnd w:id="4"/>
      <w:bookmarkEnd w:id="5"/>
      <w:bookmarkStart w:id="7" w:name="_Toc35393789"/>
      <w:bookmarkStart w:id="8" w:name="_Toc28359001"/>
      <w:r>
        <w:rPr>
          <w:rFonts w:hint="eastAsia" w:asciiTheme="majorEastAsia" w:hAnsiTheme="majorEastAsia" w:eastAsiaTheme="majorEastAsia" w:cstheme="majorEastAsia"/>
        </w:rPr>
        <w:t xml:space="preserve"> 招标公告</w:t>
      </w:r>
      <w:bookmarkEnd w:id="6"/>
      <w:bookmarkEnd w:id="7"/>
      <w:bookmarkEnd w:id="8"/>
      <w:r>
        <w:rPr>
          <w:rFonts w:hint="eastAsia"/>
        </w:rPr>
        <w:t>（远程异地评标）</w:t>
      </w:r>
    </w:p>
    <w:p w14:paraId="2DB68F01">
      <w:pPr>
        <w:spacing w:line="360" w:lineRule="auto"/>
        <w:rPr>
          <w:rFonts w:asciiTheme="majorEastAsia" w:hAnsiTheme="majorEastAsia" w:eastAsiaTheme="majorEastAsia" w:cstheme="majorEastAsia"/>
          <w:szCs w:val="21"/>
        </w:rPr>
      </w:pPr>
    </w:p>
    <w:p w14:paraId="5370680D">
      <w:pPr>
        <w:pBdr>
          <w:top w:val="single" w:color="auto" w:sz="4" w:space="1"/>
          <w:left w:val="single" w:color="auto" w:sz="4" w:space="4"/>
          <w:bottom w:val="single" w:color="auto" w:sz="4" w:space="1"/>
          <w:right w:val="single" w:color="auto" w:sz="4" w:space="4"/>
        </w:pBd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项目概况</w:t>
      </w:r>
    </w:p>
    <w:p w14:paraId="699A034E">
      <w:pPr>
        <w:pBdr>
          <w:top w:val="single" w:color="auto" w:sz="4" w:space="1"/>
          <w:left w:val="single" w:color="auto" w:sz="4" w:space="4"/>
          <w:bottom w:val="single" w:color="auto" w:sz="4" w:space="1"/>
          <w:right w:val="single" w:color="auto" w:sz="4" w:space="4"/>
        </w:pBd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u w:val="single"/>
          <w:lang w:eastAsia="zh-CN"/>
        </w:rPr>
        <w:t>岑溪市人民医院采购眩晕治疗仪等医疗设备项目</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 xml:space="preserve"> 招标项目的潜在投标人应在广西政府采购云平台（https://www.gcy.zfcg.gxzf.gov.cn/）获取（下载）招标文件，并于</w:t>
      </w:r>
      <w:r>
        <w:rPr>
          <w:rFonts w:hint="eastAsia" w:asciiTheme="majorEastAsia" w:hAnsiTheme="majorEastAsia" w:eastAsiaTheme="majorEastAsia" w:cstheme="majorEastAsia"/>
          <w:szCs w:val="21"/>
          <w:u w:val="single"/>
        </w:rPr>
        <w:t>202</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bCs/>
          <w:szCs w:val="21"/>
          <w:u w:val="single"/>
        </w:rPr>
        <w:t>年</w:t>
      </w:r>
      <w:r>
        <w:rPr>
          <w:rFonts w:hint="eastAsia" w:asciiTheme="majorEastAsia" w:hAnsiTheme="majorEastAsia" w:eastAsiaTheme="majorEastAsia" w:cstheme="majorEastAsia"/>
          <w:bCs/>
          <w:szCs w:val="21"/>
          <w:u w:val="single"/>
          <w:lang w:val="en-US" w:eastAsia="zh-CN"/>
        </w:rPr>
        <w:t xml:space="preserve"> 12 </w:t>
      </w:r>
      <w:r>
        <w:rPr>
          <w:rFonts w:hint="eastAsia" w:asciiTheme="majorEastAsia" w:hAnsiTheme="majorEastAsia" w:eastAsiaTheme="majorEastAsia" w:cstheme="majorEastAsia"/>
          <w:bCs/>
          <w:szCs w:val="21"/>
          <w:u w:val="single"/>
        </w:rPr>
        <w:t>月</w:t>
      </w:r>
      <w:r>
        <w:rPr>
          <w:rFonts w:hint="eastAsia" w:asciiTheme="majorEastAsia" w:hAnsiTheme="majorEastAsia" w:eastAsiaTheme="majorEastAsia" w:cstheme="majorEastAsia"/>
          <w:bCs/>
          <w:szCs w:val="21"/>
          <w:u w:val="single"/>
          <w:lang w:val="en-US" w:eastAsia="zh-CN"/>
        </w:rPr>
        <w:t xml:space="preserve"> 22 </w:t>
      </w:r>
      <w:r>
        <w:rPr>
          <w:rFonts w:hint="eastAsia" w:asciiTheme="majorEastAsia" w:hAnsiTheme="majorEastAsia" w:eastAsiaTheme="majorEastAsia" w:cstheme="majorEastAsia"/>
          <w:bCs/>
          <w:szCs w:val="21"/>
          <w:u w:val="single"/>
        </w:rPr>
        <w:t>日9时00分（</w:t>
      </w:r>
      <w:r>
        <w:rPr>
          <w:rFonts w:hint="eastAsia" w:asciiTheme="majorEastAsia" w:hAnsiTheme="majorEastAsia" w:eastAsiaTheme="majorEastAsia" w:cstheme="majorEastAsia"/>
          <w:bCs/>
          <w:szCs w:val="21"/>
        </w:rPr>
        <w:t>北京时间）前按要求递交（上传）投标文件</w:t>
      </w:r>
      <w:r>
        <w:rPr>
          <w:rFonts w:hint="eastAsia" w:asciiTheme="majorEastAsia" w:hAnsiTheme="majorEastAsia" w:eastAsiaTheme="majorEastAsia" w:cstheme="majorEastAsia"/>
          <w:szCs w:val="21"/>
        </w:rPr>
        <w:t>。</w:t>
      </w:r>
    </w:p>
    <w:p w14:paraId="07CE5A81">
      <w:pPr>
        <w:spacing w:line="360" w:lineRule="auto"/>
        <w:rPr>
          <w:rFonts w:asciiTheme="majorEastAsia" w:hAnsiTheme="majorEastAsia" w:eastAsiaTheme="majorEastAsia" w:cstheme="majorEastAsia"/>
          <w:szCs w:val="21"/>
        </w:rPr>
      </w:pPr>
    </w:p>
    <w:p w14:paraId="2310BD0F">
      <w:pPr>
        <w:spacing w:line="360" w:lineRule="auto"/>
        <w:rPr>
          <w:rFonts w:asciiTheme="majorEastAsia" w:hAnsiTheme="majorEastAsia" w:eastAsiaTheme="majorEastAsia" w:cstheme="majorEastAsia"/>
          <w:b/>
          <w:bCs/>
          <w:sz w:val="24"/>
        </w:rPr>
      </w:pPr>
      <w:bookmarkStart w:id="9" w:name="_Toc35393790"/>
      <w:bookmarkStart w:id="10" w:name="_Toc28359002"/>
      <w:bookmarkStart w:id="11" w:name="_Toc35393621"/>
      <w:bookmarkStart w:id="12" w:name="_Toc28359079"/>
      <w:bookmarkStart w:id="13" w:name="_Hlk24379207"/>
      <w:r>
        <w:rPr>
          <w:rFonts w:hint="eastAsia" w:asciiTheme="majorEastAsia" w:hAnsiTheme="majorEastAsia" w:eastAsiaTheme="majorEastAsia" w:cstheme="majorEastAsia"/>
          <w:b/>
          <w:bCs/>
          <w:sz w:val="24"/>
        </w:rPr>
        <w:t>一、项目基本情况</w:t>
      </w:r>
      <w:bookmarkEnd w:id="9"/>
      <w:bookmarkEnd w:id="10"/>
      <w:bookmarkEnd w:id="11"/>
      <w:bookmarkEnd w:id="12"/>
    </w:p>
    <w:p w14:paraId="613534DD">
      <w:pPr>
        <w:spacing w:line="360" w:lineRule="auto"/>
        <w:ind w:firstLine="420" w:firstLineChars="20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项目编号：</w:t>
      </w:r>
      <w:r>
        <w:rPr>
          <w:rFonts w:hint="eastAsia" w:asciiTheme="majorEastAsia" w:hAnsiTheme="majorEastAsia" w:eastAsiaTheme="majorEastAsia" w:cstheme="majorEastAsia"/>
          <w:szCs w:val="21"/>
          <w:lang w:eastAsia="zh-CN"/>
        </w:rPr>
        <w:t>WZZC2025-G1-810159-GXHS</w:t>
      </w:r>
    </w:p>
    <w:p w14:paraId="35612DAA">
      <w:pPr>
        <w:spacing w:line="360" w:lineRule="auto"/>
        <w:ind w:firstLine="420" w:firstLineChars="20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项目名称：</w:t>
      </w:r>
      <w:r>
        <w:rPr>
          <w:rFonts w:hint="eastAsia" w:asciiTheme="majorEastAsia" w:hAnsiTheme="majorEastAsia" w:eastAsiaTheme="majorEastAsia" w:cstheme="majorEastAsia"/>
          <w:szCs w:val="21"/>
          <w:lang w:eastAsia="zh-CN"/>
        </w:rPr>
        <w:t>岑溪市人民医院采购眩晕治疗仪等医疗设备项目</w:t>
      </w:r>
    </w:p>
    <w:bookmarkEnd w:id="13"/>
    <w:p w14:paraId="73FC8D41">
      <w:pPr>
        <w:spacing w:line="360" w:lineRule="auto"/>
        <w:ind w:firstLine="420" w:firstLineChars="200"/>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rPr>
        <w:t>预算总金额（元）</w:t>
      </w:r>
      <w:r>
        <w:rPr>
          <w:rFonts w:hint="eastAsia" w:asciiTheme="majorEastAsia" w:hAnsiTheme="majorEastAsia" w:eastAsiaTheme="majorEastAsia" w:cstheme="majorEastAsia"/>
          <w:szCs w:val="21"/>
        </w:rPr>
        <w:t>：3619950</w:t>
      </w:r>
      <w:r>
        <w:rPr>
          <w:rFonts w:hint="eastAsia" w:asciiTheme="majorEastAsia" w:hAnsiTheme="majorEastAsia" w:eastAsiaTheme="majorEastAsia" w:cstheme="majorEastAsia"/>
          <w:szCs w:val="21"/>
          <w:lang w:val="en-US" w:eastAsia="zh-CN"/>
        </w:rPr>
        <w:t>.</w:t>
      </w:r>
      <w:r>
        <w:rPr>
          <w:rFonts w:hint="eastAsia" w:asciiTheme="majorEastAsia" w:hAnsiTheme="majorEastAsia" w:eastAsiaTheme="majorEastAsia" w:cstheme="majorEastAsia"/>
          <w:szCs w:val="21"/>
        </w:rPr>
        <w:t>5</w:t>
      </w:r>
      <w:r>
        <w:rPr>
          <w:rFonts w:hint="eastAsia" w:asciiTheme="majorEastAsia" w:hAnsiTheme="majorEastAsia" w:eastAsiaTheme="majorEastAsia" w:cstheme="majorEastAsia"/>
          <w:szCs w:val="21"/>
          <w:lang w:val="en-US" w:eastAsia="zh-CN"/>
        </w:rPr>
        <w:t>0</w:t>
      </w:r>
      <w:r>
        <w:rPr>
          <w:rFonts w:hint="eastAsia" w:asciiTheme="majorEastAsia" w:hAnsiTheme="majorEastAsia" w:eastAsiaTheme="majorEastAsia" w:cstheme="majorEastAsia"/>
          <w:szCs w:val="21"/>
        </w:rPr>
        <w:t>元</w:t>
      </w:r>
    </w:p>
    <w:p w14:paraId="14F8F937">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最高限价</w:t>
      </w:r>
      <w:r>
        <w:rPr>
          <w:rFonts w:hint="eastAsia" w:ascii="宋体" w:hAnsi="宋体"/>
          <w:szCs w:val="21"/>
        </w:rPr>
        <w:t>（如有）</w:t>
      </w:r>
      <w:r>
        <w:rPr>
          <w:rFonts w:hint="eastAsia" w:asciiTheme="majorEastAsia" w:hAnsiTheme="majorEastAsia" w:eastAsiaTheme="majorEastAsia" w:cstheme="majorEastAsia"/>
          <w:szCs w:val="21"/>
        </w:rPr>
        <w:t>：3619950</w:t>
      </w:r>
      <w:r>
        <w:rPr>
          <w:rFonts w:hint="eastAsia" w:asciiTheme="majorEastAsia" w:hAnsiTheme="majorEastAsia" w:eastAsiaTheme="majorEastAsia" w:cstheme="majorEastAsia"/>
          <w:szCs w:val="21"/>
          <w:lang w:val="en-US" w:eastAsia="zh-CN"/>
        </w:rPr>
        <w:t>.</w:t>
      </w:r>
      <w:r>
        <w:rPr>
          <w:rFonts w:hint="eastAsia" w:asciiTheme="majorEastAsia" w:hAnsiTheme="majorEastAsia" w:eastAsiaTheme="majorEastAsia" w:cstheme="majorEastAsia"/>
          <w:szCs w:val="21"/>
        </w:rPr>
        <w:t>5</w:t>
      </w:r>
      <w:r>
        <w:rPr>
          <w:rFonts w:hint="eastAsia" w:asciiTheme="majorEastAsia" w:hAnsiTheme="majorEastAsia" w:eastAsiaTheme="majorEastAsia" w:cstheme="majorEastAsia"/>
          <w:szCs w:val="21"/>
          <w:lang w:val="en-US" w:eastAsia="zh-CN"/>
        </w:rPr>
        <w:t>0</w:t>
      </w:r>
      <w:r>
        <w:rPr>
          <w:rFonts w:hint="eastAsia" w:asciiTheme="majorEastAsia" w:hAnsiTheme="majorEastAsia" w:eastAsiaTheme="majorEastAsia" w:cstheme="majorEastAsia"/>
          <w:szCs w:val="21"/>
        </w:rPr>
        <w:t>元</w:t>
      </w:r>
    </w:p>
    <w:p w14:paraId="70064D68">
      <w:pPr>
        <w:spacing w:line="40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采购需求： </w:t>
      </w:r>
    </w:p>
    <w:p w14:paraId="122C17B2">
      <w:pPr>
        <w:spacing w:line="400" w:lineRule="exact"/>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1分标</w:t>
      </w:r>
      <w:r>
        <w:rPr>
          <w:rFonts w:hint="eastAsia" w:ascii="宋体" w:hAnsi="宋体" w:eastAsia="宋体" w:cs="宋体"/>
          <w:b/>
          <w:bCs/>
          <w:color w:val="auto"/>
          <w:szCs w:val="21"/>
          <w:highlight w:val="none"/>
        </w:rPr>
        <w:t>名称：</w:t>
      </w:r>
      <w:r>
        <w:rPr>
          <w:rFonts w:hint="eastAsia" w:asciiTheme="majorEastAsia" w:hAnsiTheme="majorEastAsia" w:eastAsiaTheme="majorEastAsia" w:cstheme="majorEastAsia"/>
          <w:szCs w:val="21"/>
          <w:lang w:eastAsia="zh-CN"/>
        </w:rPr>
        <w:t>岑溪市人民医院采购眩晕治疗仪等医疗设备项目</w:t>
      </w:r>
      <w:r>
        <w:rPr>
          <w:rFonts w:hint="eastAsia" w:asciiTheme="majorEastAsia" w:hAnsiTheme="majorEastAsia" w:eastAsiaTheme="majorEastAsia" w:cstheme="majorEastAsia"/>
          <w:szCs w:val="21"/>
          <w:lang w:val="en-US" w:eastAsia="zh-CN"/>
        </w:rPr>
        <w:t>-1</w:t>
      </w:r>
      <w:r>
        <w:rPr>
          <w:rFonts w:hint="eastAsia" w:ascii="宋体" w:hAnsi="宋体" w:eastAsia="宋体" w:cs="宋体"/>
          <w:bCs/>
          <w:color w:val="auto"/>
          <w:szCs w:val="21"/>
          <w:highlight w:val="none"/>
          <w:lang w:val="en-US" w:eastAsia="zh-CN"/>
        </w:rPr>
        <w:t>分标</w:t>
      </w:r>
    </w:p>
    <w:p w14:paraId="0E66BEEF">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数量：1</w:t>
      </w:r>
      <w:r>
        <w:rPr>
          <w:rFonts w:hint="eastAsia" w:ascii="宋体" w:hAnsi="宋体" w:cs="宋体"/>
          <w:color w:val="auto"/>
          <w:szCs w:val="21"/>
          <w:highlight w:val="none"/>
          <w:lang w:val="en-US" w:eastAsia="zh-CN"/>
        </w:rPr>
        <w:t xml:space="preserve">套 </w:t>
      </w:r>
    </w:p>
    <w:p w14:paraId="156863F3">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预算金额（元）：253655</w:t>
      </w:r>
      <w:r>
        <w:rPr>
          <w:rFonts w:hint="eastAsia" w:ascii="宋体" w:hAnsi="宋体" w:eastAsia="宋体" w:cs="宋体"/>
          <w:color w:val="auto"/>
          <w:szCs w:val="21"/>
          <w:highlight w:val="none"/>
          <w:lang w:val="en-US" w:eastAsia="zh-CN"/>
        </w:rPr>
        <w:t>0.00元</w:t>
      </w:r>
    </w:p>
    <w:p w14:paraId="6514702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简要规格描述或项目基本概况介绍、用途：良性阵发性位置位眩晕治疗仪、前庭诱发肌源性电位、甩头试验仪、前庭功能检查系统、脑电图；具体内容详见招标文件。</w:t>
      </w:r>
    </w:p>
    <w:p w14:paraId="5A5D1BE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最高限价（如有）：253655</w:t>
      </w:r>
      <w:r>
        <w:rPr>
          <w:rFonts w:hint="eastAsia" w:ascii="宋体" w:hAnsi="宋体" w:eastAsia="宋体" w:cs="宋体"/>
          <w:color w:val="auto"/>
          <w:szCs w:val="21"/>
          <w:highlight w:val="none"/>
          <w:lang w:val="en-US" w:eastAsia="zh-CN"/>
        </w:rPr>
        <w:t>0.00元</w:t>
      </w:r>
    </w:p>
    <w:p w14:paraId="36D5343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合同履行期限：自签订合同之日起30个日历日内，安装调试完毕并交付使用。</w:t>
      </w:r>
    </w:p>
    <w:p w14:paraId="5E58460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本项目（否）接受联合体投标。</w:t>
      </w:r>
    </w:p>
    <w:p w14:paraId="067FE4C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AD8257C">
      <w:pPr>
        <w:spacing w:line="400" w:lineRule="exact"/>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2分标</w:t>
      </w:r>
      <w:r>
        <w:rPr>
          <w:rFonts w:hint="eastAsia" w:ascii="宋体" w:hAnsi="宋体" w:eastAsia="宋体" w:cs="宋体"/>
          <w:b/>
          <w:bCs/>
          <w:color w:val="auto"/>
          <w:szCs w:val="21"/>
          <w:highlight w:val="none"/>
        </w:rPr>
        <w:t>名称：</w:t>
      </w:r>
      <w:r>
        <w:rPr>
          <w:rFonts w:hint="eastAsia" w:asciiTheme="majorEastAsia" w:hAnsiTheme="majorEastAsia" w:eastAsiaTheme="majorEastAsia" w:cstheme="majorEastAsia"/>
          <w:color w:val="auto"/>
          <w:szCs w:val="21"/>
          <w:lang w:eastAsia="zh-CN"/>
        </w:rPr>
        <w:t>岑溪市人</w:t>
      </w:r>
      <w:r>
        <w:rPr>
          <w:rFonts w:hint="eastAsia" w:asciiTheme="majorEastAsia" w:hAnsiTheme="majorEastAsia" w:eastAsiaTheme="majorEastAsia" w:cstheme="majorEastAsia"/>
          <w:szCs w:val="21"/>
          <w:lang w:eastAsia="zh-CN"/>
        </w:rPr>
        <w:t>民医院采购眩晕治疗仪等医疗设备项目</w:t>
      </w:r>
      <w:r>
        <w:rPr>
          <w:rFonts w:hint="eastAsia" w:asciiTheme="majorEastAsia" w:hAnsiTheme="majorEastAsia" w:eastAsiaTheme="majorEastAsia" w:cstheme="majorEastAsia"/>
          <w:szCs w:val="21"/>
          <w:lang w:val="en-US" w:eastAsia="zh-CN"/>
        </w:rPr>
        <w:t>-2</w:t>
      </w:r>
      <w:r>
        <w:rPr>
          <w:rFonts w:hint="eastAsia" w:ascii="宋体" w:hAnsi="宋体" w:eastAsia="宋体" w:cs="宋体"/>
          <w:bCs/>
          <w:color w:val="auto"/>
          <w:szCs w:val="21"/>
          <w:highlight w:val="none"/>
          <w:lang w:val="en-US" w:eastAsia="zh-CN"/>
        </w:rPr>
        <w:t>分标</w:t>
      </w:r>
    </w:p>
    <w:p w14:paraId="6FC3544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数量：1批</w:t>
      </w:r>
    </w:p>
    <w:p w14:paraId="430ABF50">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预算金额（元）：1083400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0元</w:t>
      </w:r>
    </w:p>
    <w:p w14:paraId="2D7B335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简要规格描述或项目基本概况介绍、用途：</w:t>
      </w:r>
      <w:r>
        <w:rPr>
          <w:rFonts w:hint="eastAsia" w:ascii="宋体" w:hAnsi="宋体" w:eastAsia="宋体" w:cs="宋体"/>
          <w:color w:val="auto"/>
          <w:szCs w:val="21"/>
          <w:highlight w:val="none"/>
          <w:lang w:val="en-US" w:eastAsia="zh-CN"/>
        </w:rPr>
        <w:t xml:space="preserve"> 包埋机、新生儿吸痰机、血氧饱和防范监护仪、国产隔音室、耳鼻咽喉科综合诊疗台、平板探测器、电动流产吸引器、超声多普勒胎心监测仪、轮椅、牙科手术动力系统、口腔数字印模仪、无线根管治疗仪、根管热充系统、上颌窦内提升工具盒、多功能电离子手术治疗机、紫外线消毒车、手术照明灯、轮椅、双通道微量泵、单通道微量泵、医用升温毯、多功能检查床、输液泵、空气压力波治疗仪、视力筛查仪</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具体内容详见招标文件。</w:t>
      </w:r>
    </w:p>
    <w:p w14:paraId="5ADB615D">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最高限价（如有）：1083400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0元</w:t>
      </w:r>
    </w:p>
    <w:p w14:paraId="4DFE080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合同履行期限：自签订合同之日起</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日内交货并安装调试、交付使用。</w:t>
      </w:r>
    </w:p>
    <w:p w14:paraId="5A09780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本项目（否）接受联合体投标。</w:t>
      </w:r>
    </w:p>
    <w:p w14:paraId="57FB882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308F01D8">
      <w:pPr>
        <w:spacing w:line="360" w:lineRule="auto"/>
        <w:rPr>
          <w:rFonts w:asciiTheme="majorEastAsia" w:hAnsiTheme="majorEastAsia" w:eastAsiaTheme="majorEastAsia" w:cstheme="majorEastAsia"/>
          <w:b/>
          <w:bCs/>
          <w:sz w:val="24"/>
        </w:rPr>
      </w:pPr>
      <w:bookmarkStart w:id="14" w:name="_Toc28359080"/>
      <w:bookmarkStart w:id="15" w:name="_Toc35393791"/>
      <w:bookmarkStart w:id="16" w:name="_Toc35393622"/>
      <w:bookmarkStart w:id="17" w:name="_Toc28359003"/>
      <w:r>
        <w:rPr>
          <w:rFonts w:hint="eastAsia" w:asciiTheme="majorEastAsia" w:hAnsiTheme="majorEastAsia" w:eastAsiaTheme="majorEastAsia" w:cstheme="majorEastAsia"/>
          <w:b/>
          <w:bCs/>
          <w:sz w:val="24"/>
        </w:rPr>
        <w:t>二、申请人的资格要求：</w:t>
      </w:r>
      <w:bookmarkEnd w:id="14"/>
      <w:bookmarkEnd w:id="15"/>
      <w:bookmarkEnd w:id="16"/>
      <w:bookmarkEnd w:id="17"/>
    </w:p>
    <w:p w14:paraId="0BB4DEC8">
      <w:pPr>
        <w:spacing w:line="360" w:lineRule="auto"/>
        <w:ind w:firstLine="420" w:firstLineChars="200"/>
        <w:rPr>
          <w:rFonts w:asciiTheme="majorEastAsia" w:hAnsiTheme="majorEastAsia" w:eastAsiaTheme="majorEastAsia" w:cstheme="majorEastAsia"/>
          <w:szCs w:val="21"/>
        </w:rPr>
      </w:pPr>
      <w:bookmarkStart w:id="18" w:name="_Hlk51746371"/>
      <w:r>
        <w:rPr>
          <w:rFonts w:hint="eastAsia" w:asciiTheme="majorEastAsia" w:hAnsiTheme="majorEastAsia" w:eastAsiaTheme="majorEastAsia" w:cstheme="majorEastAsia"/>
          <w:szCs w:val="21"/>
        </w:rPr>
        <w:t>1.满足《中华人民共和国政府采购法》第二十二条规定；</w:t>
      </w:r>
    </w:p>
    <w:p w14:paraId="3E82AD25">
      <w:pPr>
        <w:spacing w:line="360" w:lineRule="auto"/>
        <w:ind w:firstLine="420" w:firstLineChars="200"/>
        <w:rPr>
          <w:rFonts w:asciiTheme="majorEastAsia" w:hAnsiTheme="majorEastAsia" w:eastAsiaTheme="majorEastAsia" w:cstheme="majorEastAsia"/>
          <w:szCs w:val="21"/>
        </w:rPr>
      </w:pPr>
      <w:bookmarkStart w:id="19" w:name="_Toc28359081"/>
      <w:bookmarkStart w:id="20" w:name="_Toc28359004"/>
      <w:r>
        <w:rPr>
          <w:rFonts w:hint="eastAsia" w:asciiTheme="majorEastAsia" w:hAnsiTheme="majorEastAsia" w:eastAsiaTheme="majorEastAsia" w:cstheme="majorEastAsia"/>
          <w:szCs w:val="21"/>
        </w:rPr>
        <w:t>2.落实政府采购政策需满足的资格要求：无。</w:t>
      </w:r>
    </w:p>
    <w:p w14:paraId="507714EB">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3.本项目的特定资格要求：</w:t>
      </w:r>
      <w:bookmarkEnd w:id="18"/>
      <w:bookmarkStart w:id="21" w:name="_Toc35393623"/>
      <w:bookmarkStart w:id="22" w:name="_Toc35393792"/>
      <w:r>
        <w:rPr>
          <w:rFonts w:hint="eastAsia" w:asciiTheme="majorEastAsia" w:hAnsiTheme="majorEastAsia" w:eastAsiaTheme="majorEastAsia" w:cstheme="majorEastAsia"/>
          <w:szCs w:val="21"/>
        </w:rPr>
        <w:t>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0F9F6375">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三、获取招标文件</w:t>
      </w:r>
      <w:bookmarkEnd w:id="19"/>
      <w:bookmarkEnd w:id="20"/>
      <w:bookmarkEnd w:id="21"/>
      <w:bookmarkEnd w:id="22"/>
    </w:p>
    <w:p w14:paraId="4B59F6E8">
      <w:pPr>
        <w:spacing w:line="360" w:lineRule="auto"/>
        <w:ind w:firstLine="54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时间：</w:t>
      </w:r>
      <w:r>
        <w:rPr>
          <w:rFonts w:hint="eastAsia" w:asciiTheme="majorEastAsia" w:hAnsiTheme="majorEastAsia" w:eastAsiaTheme="majorEastAsia" w:cstheme="majorEastAsia"/>
          <w:bCs/>
          <w:kern w:val="0"/>
          <w:szCs w:val="21"/>
          <w:u w:val="single"/>
        </w:rPr>
        <w:t>202</w:t>
      </w:r>
      <w:r>
        <w:rPr>
          <w:rFonts w:hint="eastAsia" w:asciiTheme="majorEastAsia" w:hAnsiTheme="majorEastAsia" w:eastAsiaTheme="majorEastAsia" w:cstheme="majorEastAsia"/>
          <w:bCs/>
          <w:kern w:val="0"/>
          <w:szCs w:val="21"/>
          <w:u w:val="single"/>
          <w:lang w:val="en-US" w:eastAsia="zh-CN"/>
        </w:rPr>
        <w:t>5</w:t>
      </w:r>
      <w:r>
        <w:rPr>
          <w:rFonts w:hint="eastAsia" w:asciiTheme="majorEastAsia" w:hAnsiTheme="majorEastAsia" w:eastAsiaTheme="majorEastAsia" w:cstheme="majorEastAsia"/>
          <w:bCs/>
          <w:kern w:val="0"/>
          <w:szCs w:val="21"/>
          <w:u w:val="single"/>
        </w:rPr>
        <w:t>年</w:t>
      </w:r>
      <w:r>
        <w:rPr>
          <w:rFonts w:hint="eastAsia" w:asciiTheme="majorEastAsia" w:hAnsiTheme="majorEastAsia" w:eastAsiaTheme="majorEastAsia" w:cstheme="majorEastAsia"/>
          <w:bCs/>
          <w:kern w:val="0"/>
          <w:szCs w:val="21"/>
          <w:u w:val="single"/>
          <w:lang w:val="en-US" w:eastAsia="zh-CN"/>
        </w:rPr>
        <w:t xml:space="preserve"> 12 </w:t>
      </w:r>
      <w:r>
        <w:rPr>
          <w:rFonts w:hint="eastAsia" w:asciiTheme="majorEastAsia" w:hAnsiTheme="majorEastAsia" w:eastAsiaTheme="majorEastAsia" w:cstheme="majorEastAsia"/>
          <w:bCs/>
          <w:kern w:val="0"/>
          <w:szCs w:val="21"/>
          <w:u w:val="single"/>
        </w:rPr>
        <w:t>月</w:t>
      </w:r>
      <w:r>
        <w:rPr>
          <w:rFonts w:hint="eastAsia" w:asciiTheme="majorEastAsia" w:hAnsiTheme="majorEastAsia" w:eastAsiaTheme="majorEastAsia" w:cstheme="majorEastAsia"/>
          <w:bCs/>
          <w:kern w:val="0"/>
          <w:szCs w:val="21"/>
          <w:u w:val="single"/>
          <w:lang w:val="en-US" w:eastAsia="zh-CN"/>
        </w:rPr>
        <w:t xml:space="preserve"> 1 </w:t>
      </w:r>
      <w:r>
        <w:rPr>
          <w:rFonts w:hint="eastAsia" w:asciiTheme="majorEastAsia" w:hAnsiTheme="majorEastAsia" w:eastAsiaTheme="majorEastAsia" w:cstheme="majorEastAsia"/>
          <w:bCs/>
          <w:kern w:val="0"/>
          <w:szCs w:val="21"/>
          <w:u w:val="single"/>
        </w:rPr>
        <w:t>日</w:t>
      </w:r>
      <w:r>
        <w:rPr>
          <w:rFonts w:hint="eastAsia" w:asciiTheme="majorEastAsia" w:hAnsiTheme="majorEastAsia" w:eastAsiaTheme="majorEastAsia" w:cstheme="majorEastAsia"/>
          <w:bCs/>
          <w:kern w:val="0"/>
          <w:szCs w:val="21"/>
        </w:rPr>
        <w:t>至</w:t>
      </w:r>
      <w:r>
        <w:rPr>
          <w:rFonts w:hint="eastAsia" w:asciiTheme="majorEastAsia" w:hAnsiTheme="majorEastAsia" w:eastAsiaTheme="majorEastAsia" w:cstheme="majorEastAsia"/>
          <w:bCs/>
          <w:kern w:val="0"/>
          <w:szCs w:val="21"/>
          <w:u w:val="single"/>
        </w:rPr>
        <w:t>202</w:t>
      </w:r>
      <w:r>
        <w:rPr>
          <w:rFonts w:hint="eastAsia" w:asciiTheme="majorEastAsia" w:hAnsiTheme="majorEastAsia" w:eastAsiaTheme="majorEastAsia" w:cstheme="majorEastAsia"/>
          <w:bCs/>
          <w:kern w:val="0"/>
          <w:szCs w:val="21"/>
          <w:u w:val="single"/>
          <w:lang w:val="en-US" w:eastAsia="zh-CN"/>
        </w:rPr>
        <w:t>5</w:t>
      </w:r>
      <w:r>
        <w:rPr>
          <w:rFonts w:hint="eastAsia" w:asciiTheme="majorEastAsia" w:hAnsiTheme="majorEastAsia" w:eastAsiaTheme="majorEastAsia" w:cstheme="majorEastAsia"/>
          <w:bCs/>
          <w:kern w:val="0"/>
          <w:szCs w:val="21"/>
          <w:u w:val="single"/>
        </w:rPr>
        <w:t>年</w:t>
      </w:r>
      <w:r>
        <w:rPr>
          <w:rFonts w:hint="eastAsia" w:asciiTheme="majorEastAsia" w:hAnsiTheme="majorEastAsia" w:eastAsiaTheme="majorEastAsia" w:cstheme="majorEastAsia"/>
          <w:bCs/>
          <w:kern w:val="0"/>
          <w:szCs w:val="21"/>
          <w:u w:val="single"/>
          <w:lang w:val="en-US" w:eastAsia="zh-CN"/>
        </w:rPr>
        <w:t xml:space="preserve"> 12 </w:t>
      </w:r>
      <w:r>
        <w:rPr>
          <w:rFonts w:hint="eastAsia" w:asciiTheme="majorEastAsia" w:hAnsiTheme="majorEastAsia" w:eastAsiaTheme="majorEastAsia" w:cstheme="majorEastAsia"/>
          <w:bCs/>
          <w:kern w:val="0"/>
          <w:szCs w:val="21"/>
          <w:u w:val="single"/>
        </w:rPr>
        <w:t>月</w:t>
      </w:r>
      <w:r>
        <w:rPr>
          <w:rFonts w:hint="eastAsia" w:asciiTheme="majorEastAsia" w:hAnsiTheme="majorEastAsia" w:eastAsiaTheme="majorEastAsia" w:cstheme="majorEastAsia"/>
          <w:bCs/>
          <w:kern w:val="0"/>
          <w:szCs w:val="21"/>
          <w:u w:val="single"/>
          <w:lang w:val="en-US" w:eastAsia="zh-CN"/>
        </w:rPr>
        <w:t xml:space="preserve"> 8 </w:t>
      </w:r>
      <w:r>
        <w:rPr>
          <w:rFonts w:hint="eastAsia" w:asciiTheme="majorEastAsia" w:hAnsiTheme="majorEastAsia" w:eastAsiaTheme="majorEastAsia" w:cstheme="majorEastAsia"/>
          <w:bCs/>
          <w:kern w:val="0"/>
          <w:szCs w:val="21"/>
          <w:u w:val="single"/>
        </w:rPr>
        <w:t>日</w:t>
      </w:r>
      <w:r>
        <w:rPr>
          <w:rFonts w:hint="eastAsia" w:asciiTheme="majorEastAsia" w:hAnsiTheme="majorEastAsia" w:eastAsiaTheme="majorEastAsia" w:cstheme="majorEastAsia"/>
          <w:bCs/>
          <w:kern w:val="0"/>
          <w:szCs w:val="21"/>
        </w:rPr>
        <w:t>，每天上午</w:t>
      </w:r>
      <w:r>
        <w:rPr>
          <w:rFonts w:hint="eastAsia" w:asciiTheme="majorEastAsia" w:hAnsiTheme="majorEastAsia" w:eastAsiaTheme="majorEastAsia" w:cstheme="majorEastAsia"/>
          <w:bCs/>
          <w:szCs w:val="21"/>
          <w:u w:val="single"/>
        </w:rPr>
        <w:t>08时00分</w:t>
      </w:r>
      <w:r>
        <w:rPr>
          <w:rFonts w:hint="eastAsia" w:asciiTheme="majorEastAsia" w:hAnsiTheme="majorEastAsia" w:eastAsiaTheme="majorEastAsia" w:cstheme="majorEastAsia"/>
          <w:bCs/>
          <w:kern w:val="0"/>
          <w:szCs w:val="21"/>
          <w:u w:val="single"/>
        </w:rPr>
        <w:t>至</w:t>
      </w:r>
      <w:r>
        <w:rPr>
          <w:rFonts w:hint="eastAsia" w:asciiTheme="majorEastAsia" w:hAnsiTheme="majorEastAsia" w:eastAsiaTheme="majorEastAsia" w:cstheme="majorEastAsia"/>
          <w:bCs/>
          <w:szCs w:val="21"/>
          <w:u w:val="single"/>
        </w:rPr>
        <w:t>12时00分</w:t>
      </w:r>
      <w:r>
        <w:rPr>
          <w:rFonts w:hint="eastAsia" w:asciiTheme="majorEastAsia" w:hAnsiTheme="majorEastAsia" w:eastAsiaTheme="majorEastAsia" w:cstheme="majorEastAsia"/>
          <w:bCs/>
          <w:kern w:val="0"/>
          <w:szCs w:val="21"/>
        </w:rPr>
        <w:t>，</w:t>
      </w:r>
      <w:r>
        <w:rPr>
          <w:rFonts w:hint="eastAsia" w:asciiTheme="majorEastAsia" w:hAnsiTheme="majorEastAsia" w:eastAsiaTheme="majorEastAsia" w:cstheme="majorEastAsia"/>
          <w:bCs/>
          <w:kern w:val="0"/>
          <w:szCs w:val="21"/>
          <w:u w:val="single"/>
        </w:rPr>
        <w:t>下午</w:t>
      </w:r>
      <w:r>
        <w:rPr>
          <w:rFonts w:hint="eastAsia" w:asciiTheme="majorEastAsia" w:hAnsiTheme="majorEastAsia" w:eastAsiaTheme="majorEastAsia" w:cstheme="majorEastAsia"/>
          <w:bCs/>
          <w:szCs w:val="21"/>
          <w:u w:val="single"/>
        </w:rPr>
        <w:t>03时00分</w:t>
      </w:r>
      <w:r>
        <w:rPr>
          <w:rFonts w:hint="eastAsia" w:asciiTheme="majorEastAsia" w:hAnsiTheme="majorEastAsia" w:eastAsiaTheme="majorEastAsia" w:cstheme="majorEastAsia"/>
          <w:bCs/>
          <w:kern w:val="0"/>
          <w:szCs w:val="21"/>
          <w:u w:val="single"/>
        </w:rPr>
        <w:t>至</w:t>
      </w:r>
      <w:r>
        <w:rPr>
          <w:rFonts w:hint="eastAsia" w:asciiTheme="majorEastAsia" w:hAnsiTheme="majorEastAsia" w:eastAsiaTheme="majorEastAsia" w:cstheme="majorEastAsia"/>
          <w:bCs/>
          <w:szCs w:val="21"/>
          <w:u w:val="single"/>
        </w:rPr>
        <w:t>06时00分</w:t>
      </w:r>
      <w:r>
        <w:rPr>
          <w:rFonts w:hint="eastAsia" w:asciiTheme="majorEastAsia" w:hAnsiTheme="majorEastAsia" w:eastAsiaTheme="majorEastAsia" w:cstheme="majorEastAsia"/>
          <w:bCs/>
          <w:kern w:val="0"/>
          <w:szCs w:val="21"/>
        </w:rPr>
        <w:t>（北京时间，法定节假日除外）</w:t>
      </w:r>
    </w:p>
    <w:p w14:paraId="510E68EE">
      <w:pPr>
        <w:spacing w:line="360" w:lineRule="auto"/>
        <w:ind w:firstLine="54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地点：广西政府采购云平台（https://www.gcy.zfcg.gxzf.gov.cn/）</w:t>
      </w:r>
    </w:p>
    <w:p w14:paraId="4847888A">
      <w:pPr>
        <w:spacing w:line="360" w:lineRule="auto"/>
        <w:ind w:firstLine="54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39C32225">
      <w:pPr>
        <w:spacing w:line="360" w:lineRule="auto"/>
        <w:ind w:firstLine="540"/>
        <w:rPr>
          <w:rFonts w:asciiTheme="majorEastAsia" w:hAnsiTheme="majorEastAsia" w:eastAsiaTheme="majorEastAsia" w:cstheme="majorEastAsia"/>
          <w:szCs w:val="21"/>
        </w:rPr>
      </w:pPr>
      <w:r>
        <w:rPr>
          <w:rFonts w:hint="eastAsia" w:asciiTheme="majorEastAsia" w:hAnsiTheme="majorEastAsia" w:eastAsiaTheme="majorEastAsia" w:cstheme="majorEastAsia"/>
          <w:bCs/>
          <w:kern w:val="0"/>
          <w:szCs w:val="21"/>
        </w:rPr>
        <w:t>售价：</w:t>
      </w:r>
      <w:r>
        <w:rPr>
          <w:rFonts w:hint="eastAsia" w:asciiTheme="majorEastAsia" w:hAnsiTheme="majorEastAsia" w:eastAsiaTheme="majorEastAsia" w:cstheme="majorEastAsia"/>
          <w:iCs/>
          <w:szCs w:val="21"/>
          <w:u w:val="single"/>
        </w:rPr>
        <w:t>0</w:t>
      </w:r>
      <w:r>
        <w:rPr>
          <w:rFonts w:hint="eastAsia" w:asciiTheme="majorEastAsia" w:hAnsiTheme="majorEastAsia" w:eastAsiaTheme="majorEastAsia" w:cstheme="majorEastAsia"/>
          <w:szCs w:val="21"/>
        </w:rPr>
        <w:t>元</w:t>
      </w:r>
    </w:p>
    <w:p w14:paraId="36EF42D0">
      <w:pPr>
        <w:spacing w:line="360" w:lineRule="auto"/>
        <w:rPr>
          <w:rFonts w:asciiTheme="majorEastAsia" w:hAnsiTheme="majorEastAsia" w:eastAsiaTheme="majorEastAsia" w:cstheme="majorEastAsia"/>
          <w:b/>
          <w:bCs/>
          <w:sz w:val="24"/>
        </w:rPr>
      </w:pPr>
      <w:bookmarkStart w:id="23" w:name="_Toc28359005"/>
      <w:bookmarkStart w:id="24" w:name="_Toc28359082"/>
      <w:bookmarkStart w:id="25" w:name="_Toc35393793"/>
      <w:bookmarkStart w:id="26" w:name="_Toc35393624"/>
      <w:r>
        <w:rPr>
          <w:rFonts w:hint="eastAsia" w:asciiTheme="majorEastAsia" w:hAnsiTheme="majorEastAsia" w:eastAsiaTheme="majorEastAsia" w:cstheme="majorEastAsia"/>
          <w:b/>
          <w:bCs/>
          <w:sz w:val="24"/>
        </w:rPr>
        <w:t>四、提交投标文件</w:t>
      </w:r>
      <w:bookmarkEnd w:id="23"/>
      <w:bookmarkEnd w:id="24"/>
      <w:r>
        <w:rPr>
          <w:rFonts w:hint="eastAsia" w:asciiTheme="majorEastAsia" w:hAnsiTheme="majorEastAsia" w:eastAsiaTheme="majorEastAsia" w:cstheme="majorEastAsia"/>
          <w:b/>
          <w:bCs/>
          <w:sz w:val="24"/>
        </w:rPr>
        <w:t>截止时间、开标时间和地点</w:t>
      </w:r>
      <w:bookmarkEnd w:id="25"/>
      <w:bookmarkEnd w:id="26"/>
    </w:p>
    <w:p w14:paraId="44F9105C">
      <w:pPr>
        <w:spacing w:line="360" w:lineRule="auto"/>
        <w:ind w:firstLine="420" w:firstLineChars="200"/>
        <w:rPr>
          <w:rFonts w:asciiTheme="majorEastAsia" w:hAnsiTheme="majorEastAsia" w:eastAsiaTheme="majorEastAsia" w:cstheme="majorEastAsia"/>
          <w:bCs/>
          <w:kern w:val="0"/>
          <w:szCs w:val="21"/>
        </w:rPr>
      </w:pPr>
      <w:bookmarkStart w:id="27" w:name="_Toc28359084"/>
      <w:bookmarkStart w:id="28" w:name="_Toc35393625"/>
      <w:bookmarkStart w:id="29" w:name="_Toc35393794"/>
      <w:bookmarkStart w:id="30" w:name="_Toc28359007"/>
      <w:r>
        <w:rPr>
          <w:rFonts w:hint="eastAsia" w:asciiTheme="majorEastAsia" w:hAnsiTheme="majorEastAsia" w:eastAsiaTheme="majorEastAsia" w:cstheme="majorEastAsia"/>
          <w:bCs/>
          <w:kern w:val="0"/>
          <w:szCs w:val="21"/>
        </w:rPr>
        <w:t>提交投标文件截止时间：</w:t>
      </w:r>
      <w:r>
        <w:rPr>
          <w:rFonts w:hint="eastAsia" w:asciiTheme="majorEastAsia" w:hAnsiTheme="majorEastAsia" w:eastAsiaTheme="majorEastAsia" w:cstheme="majorEastAsia"/>
          <w:bCs/>
          <w:kern w:val="0"/>
          <w:szCs w:val="21"/>
          <w:u w:val="single"/>
        </w:rPr>
        <w:t>202</w:t>
      </w:r>
      <w:r>
        <w:rPr>
          <w:rFonts w:hint="eastAsia" w:asciiTheme="majorEastAsia" w:hAnsiTheme="majorEastAsia" w:eastAsiaTheme="majorEastAsia" w:cstheme="majorEastAsia"/>
          <w:bCs/>
          <w:kern w:val="0"/>
          <w:szCs w:val="21"/>
          <w:u w:val="single"/>
          <w:lang w:val="en-US" w:eastAsia="zh-CN"/>
        </w:rPr>
        <w:t>5</w:t>
      </w:r>
      <w:r>
        <w:rPr>
          <w:rFonts w:hint="eastAsia" w:asciiTheme="majorEastAsia" w:hAnsiTheme="majorEastAsia" w:eastAsiaTheme="majorEastAsia" w:cstheme="majorEastAsia"/>
          <w:bCs/>
          <w:kern w:val="0"/>
          <w:szCs w:val="21"/>
          <w:u w:val="single"/>
        </w:rPr>
        <w:t>年</w:t>
      </w:r>
      <w:r>
        <w:rPr>
          <w:rFonts w:hint="eastAsia" w:asciiTheme="majorEastAsia" w:hAnsiTheme="majorEastAsia" w:eastAsiaTheme="majorEastAsia" w:cstheme="majorEastAsia"/>
          <w:bCs/>
          <w:kern w:val="0"/>
          <w:szCs w:val="21"/>
          <w:u w:val="single"/>
          <w:lang w:val="en-US" w:eastAsia="zh-CN"/>
        </w:rPr>
        <w:t xml:space="preserve"> 12 </w:t>
      </w:r>
      <w:r>
        <w:rPr>
          <w:rFonts w:hint="eastAsia" w:asciiTheme="majorEastAsia" w:hAnsiTheme="majorEastAsia" w:eastAsiaTheme="majorEastAsia" w:cstheme="majorEastAsia"/>
          <w:bCs/>
          <w:kern w:val="0"/>
          <w:szCs w:val="21"/>
          <w:u w:val="single"/>
        </w:rPr>
        <w:t>月</w:t>
      </w:r>
      <w:r>
        <w:rPr>
          <w:rFonts w:hint="eastAsia" w:asciiTheme="majorEastAsia" w:hAnsiTheme="majorEastAsia" w:eastAsiaTheme="majorEastAsia" w:cstheme="majorEastAsia"/>
          <w:bCs/>
          <w:kern w:val="0"/>
          <w:szCs w:val="21"/>
          <w:u w:val="single"/>
          <w:lang w:val="en-US" w:eastAsia="zh-CN"/>
        </w:rPr>
        <w:t xml:space="preserve"> 22 </w:t>
      </w:r>
      <w:r>
        <w:rPr>
          <w:rFonts w:hint="eastAsia" w:asciiTheme="majorEastAsia" w:hAnsiTheme="majorEastAsia" w:eastAsiaTheme="majorEastAsia" w:cstheme="majorEastAsia"/>
          <w:bCs/>
          <w:kern w:val="0"/>
          <w:szCs w:val="21"/>
          <w:u w:val="single"/>
        </w:rPr>
        <w:t>日09:00（北京时间）</w:t>
      </w:r>
    </w:p>
    <w:p w14:paraId="1A83A0A7">
      <w:pPr>
        <w:spacing w:line="360" w:lineRule="auto"/>
        <w:ind w:firstLine="420" w:firstLineChars="20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投标地点（网址）：请登录广西政府采购云平台投标客户端投标 </w:t>
      </w:r>
    </w:p>
    <w:p w14:paraId="577568F9">
      <w:pPr>
        <w:spacing w:line="360" w:lineRule="auto"/>
        <w:ind w:firstLine="420" w:firstLineChars="20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开标时间：</w:t>
      </w:r>
      <w:r>
        <w:rPr>
          <w:rFonts w:hint="eastAsia" w:asciiTheme="majorEastAsia" w:hAnsiTheme="majorEastAsia" w:eastAsiaTheme="majorEastAsia" w:cstheme="majorEastAsia"/>
          <w:bCs/>
          <w:kern w:val="0"/>
          <w:szCs w:val="21"/>
          <w:u w:val="single"/>
        </w:rPr>
        <w:t>202</w:t>
      </w:r>
      <w:r>
        <w:rPr>
          <w:rFonts w:hint="eastAsia" w:asciiTheme="majorEastAsia" w:hAnsiTheme="majorEastAsia" w:eastAsiaTheme="majorEastAsia" w:cstheme="majorEastAsia"/>
          <w:bCs/>
          <w:kern w:val="0"/>
          <w:szCs w:val="21"/>
          <w:u w:val="single"/>
          <w:lang w:val="en-US" w:eastAsia="zh-CN"/>
        </w:rPr>
        <w:t>5</w:t>
      </w:r>
      <w:r>
        <w:rPr>
          <w:rFonts w:hint="eastAsia" w:asciiTheme="majorEastAsia" w:hAnsiTheme="majorEastAsia" w:eastAsiaTheme="majorEastAsia" w:cstheme="majorEastAsia"/>
          <w:bCs/>
          <w:kern w:val="0"/>
          <w:szCs w:val="21"/>
          <w:u w:val="single"/>
        </w:rPr>
        <w:t>年</w:t>
      </w:r>
      <w:r>
        <w:rPr>
          <w:rFonts w:hint="eastAsia" w:asciiTheme="majorEastAsia" w:hAnsiTheme="majorEastAsia" w:eastAsiaTheme="majorEastAsia" w:cstheme="majorEastAsia"/>
          <w:bCs/>
          <w:kern w:val="0"/>
          <w:szCs w:val="21"/>
          <w:u w:val="single"/>
          <w:lang w:val="en-US" w:eastAsia="zh-CN"/>
        </w:rPr>
        <w:t xml:space="preserve"> 12 </w:t>
      </w:r>
      <w:r>
        <w:rPr>
          <w:rFonts w:hint="eastAsia" w:asciiTheme="majorEastAsia" w:hAnsiTheme="majorEastAsia" w:eastAsiaTheme="majorEastAsia" w:cstheme="majorEastAsia"/>
          <w:bCs/>
          <w:kern w:val="0"/>
          <w:szCs w:val="21"/>
          <w:u w:val="single"/>
        </w:rPr>
        <w:t>月</w:t>
      </w:r>
      <w:r>
        <w:rPr>
          <w:rFonts w:hint="eastAsia" w:asciiTheme="majorEastAsia" w:hAnsiTheme="majorEastAsia" w:eastAsiaTheme="majorEastAsia" w:cstheme="majorEastAsia"/>
          <w:bCs/>
          <w:kern w:val="0"/>
          <w:szCs w:val="21"/>
          <w:u w:val="single"/>
          <w:lang w:val="en-US" w:eastAsia="zh-CN"/>
        </w:rPr>
        <w:t xml:space="preserve"> 22 </w:t>
      </w:r>
      <w:r>
        <w:rPr>
          <w:rFonts w:hint="eastAsia" w:asciiTheme="majorEastAsia" w:hAnsiTheme="majorEastAsia" w:eastAsiaTheme="majorEastAsia" w:cstheme="majorEastAsia"/>
          <w:bCs/>
          <w:kern w:val="0"/>
          <w:szCs w:val="21"/>
          <w:u w:val="single"/>
        </w:rPr>
        <w:t>日09:00（北京时间）</w:t>
      </w:r>
      <w:r>
        <w:rPr>
          <w:rFonts w:hint="eastAsia" w:asciiTheme="majorEastAsia" w:hAnsiTheme="majorEastAsia" w:eastAsiaTheme="majorEastAsia" w:cstheme="majorEastAsia"/>
          <w:bCs/>
          <w:kern w:val="0"/>
          <w:szCs w:val="21"/>
        </w:rPr>
        <w:t> </w:t>
      </w:r>
    </w:p>
    <w:p w14:paraId="72B33D40">
      <w:pPr>
        <w:spacing w:line="360" w:lineRule="auto"/>
        <w:ind w:firstLine="420" w:firstLineChars="20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开标地点：广西政府采购云平台（https://www.gcy.zfcg.gxzf.gov.cn/） </w:t>
      </w:r>
    </w:p>
    <w:p w14:paraId="6E8EB21C">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五、公告期限</w:t>
      </w:r>
      <w:bookmarkEnd w:id="27"/>
      <w:bookmarkEnd w:id="28"/>
      <w:bookmarkEnd w:id="29"/>
      <w:bookmarkEnd w:id="30"/>
    </w:p>
    <w:p w14:paraId="559BE330">
      <w:pPr>
        <w:spacing w:line="360" w:lineRule="auto"/>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自本公告发布之日起5个工作日。</w:t>
      </w:r>
    </w:p>
    <w:p w14:paraId="79446982">
      <w:pPr>
        <w:spacing w:line="360" w:lineRule="auto"/>
        <w:rPr>
          <w:rFonts w:asciiTheme="majorEastAsia" w:hAnsiTheme="majorEastAsia" w:eastAsiaTheme="majorEastAsia" w:cstheme="majorEastAsia"/>
          <w:b/>
          <w:bCs/>
          <w:sz w:val="24"/>
        </w:rPr>
      </w:pPr>
      <w:bookmarkStart w:id="31" w:name="_Toc35393626"/>
      <w:bookmarkStart w:id="32" w:name="_Toc35393795"/>
      <w:r>
        <w:rPr>
          <w:rFonts w:hint="eastAsia" w:asciiTheme="majorEastAsia" w:hAnsiTheme="majorEastAsia" w:eastAsiaTheme="majorEastAsia" w:cstheme="majorEastAsia"/>
          <w:b/>
          <w:bCs/>
          <w:sz w:val="24"/>
        </w:rPr>
        <w:t>六、其他补充事宜</w:t>
      </w:r>
      <w:bookmarkEnd w:id="31"/>
      <w:bookmarkEnd w:id="32"/>
    </w:p>
    <w:p w14:paraId="26ED9566">
      <w:pPr>
        <w:spacing w:line="360" w:lineRule="auto"/>
        <w:ind w:firstLine="420" w:firstLineChars="200"/>
        <w:rPr>
          <w:rFonts w:asciiTheme="majorEastAsia" w:hAnsiTheme="majorEastAsia" w:eastAsiaTheme="majorEastAsia" w:cstheme="majorEastAsia"/>
          <w:kern w:val="0"/>
          <w:szCs w:val="21"/>
        </w:rPr>
      </w:pPr>
      <w:bookmarkStart w:id="33" w:name="_Hlk37429595"/>
      <w:bookmarkStart w:id="34" w:name="_Hlk37429585"/>
      <w:r>
        <w:rPr>
          <w:rFonts w:hint="eastAsia" w:asciiTheme="majorEastAsia" w:hAnsiTheme="majorEastAsia" w:eastAsiaTheme="majorEastAsia" w:cstheme="majorEastAsia"/>
          <w:kern w:val="0"/>
          <w:szCs w:val="21"/>
        </w:rPr>
        <w:t>1.网上查询地址</w:t>
      </w:r>
    </w:p>
    <w:bookmarkEnd w:id="33"/>
    <w:bookmarkEnd w:id="34"/>
    <w:p w14:paraId="06BD401E">
      <w:pPr>
        <w:keepNext/>
        <w:wordWrap w:val="0"/>
        <w:spacing w:line="360" w:lineRule="auto"/>
        <w:ind w:firstLine="424" w:firstLineChars="202"/>
        <w:rPr>
          <w:rFonts w:asciiTheme="majorEastAsia" w:hAnsiTheme="majorEastAsia" w:eastAsiaTheme="majorEastAsia" w:cstheme="majorEastAsia"/>
          <w:szCs w:val="21"/>
        </w:rPr>
      </w:pPr>
      <w:bookmarkStart w:id="35" w:name="_Hlk37429674"/>
      <w:r>
        <w:rPr>
          <w:rFonts w:hint="eastAsia" w:asciiTheme="majorEastAsia" w:hAnsiTheme="majorEastAsia" w:eastAsiaTheme="majorEastAsia" w:cstheme="majorEastAsia"/>
          <w:color w:val="000000"/>
          <w:szCs w:val="21"/>
        </w:rPr>
        <w:t>中国政府采购网（www.ccgp.gov.cn）、广西壮族自治区政府采购网（zfcg.gxzf.gov.cn）、梧州市政府采购网（http://117.141.250.58:10030/web/cgw/index.ptl）</w:t>
      </w:r>
      <w:r>
        <w:rPr>
          <w:rFonts w:hint="eastAsia" w:asciiTheme="majorEastAsia" w:hAnsiTheme="majorEastAsia" w:eastAsiaTheme="majorEastAsia" w:cstheme="majorEastAsia"/>
          <w:szCs w:val="21"/>
        </w:rPr>
        <w:t>。</w:t>
      </w:r>
    </w:p>
    <w:p w14:paraId="51740D5B">
      <w:pPr>
        <w:spacing w:line="360" w:lineRule="auto"/>
        <w:ind w:firstLine="420" w:firstLineChars="200"/>
        <w:jc w:val="left"/>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szCs w:val="21"/>
        </w:rPr>
        <w:t>2.</w:t>
      </w:r>
      <w:r>
        <w:rPr>
          <w:rFonts w:hint="eastAsia" w:asciiTheme="majorEastAsia" w:hAnsiTheme="majorEastAsia" w:eastAsiaTheme="majorEastAsia" w:cstheme="majorEastAsia"/>
          <w:kern w:val="0"/>
          <w:szCs w:val="21"/>
        </w:rPr>
        <w:t>本项目需要落实的政府采购政策</w:t>
      </w:r>
    </w:p>
    <w:p w14:paraId="30974824">
      <w:pPr>
        <w:spacing w:line="360" w:lineRule="auto"/>
        <w:ind w:firstLine="420" w:firstLineChars="200"/>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iCs/>
          <w:kern w:val="0"/>
          <w:szCs w:val="21"/>
        </w:rPr>
        <w:t>（1）政府采购促进中小企业发展。</w:t>
      </w:r>
    </w:p>
    <w:p w14:paraId="0A82D46D">
      <w:pPr>
        <w:spacing w:line="360" w:lineRule="auto"/>
        <w:ind w:firstLine="420" w:firstLineChars="200"/>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iCs/>
          <w:kern w:val="0"/>
          <w:szCs w:val="21"/>
        </w:rPr>
        <w:t>（2）政府采购支持采用本国产品的政策。</w:t>
      </w:r>
    </w:p>
    <w:p w14:paraId="7EF51DD0">
      <w:pPr>
        <w:spacing w:line="360" w:lineRule="auto"/>
        <w:ind w:firstLine="420" w:firstLineChars="200"/>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iCs/>
          <w:kern w:val="0"/>
          <w:szCs w:val="21"/>
        </w:rPr>
        <w:t>（3）强制采购节能产品；优先采购节能产品、环境标志产品。</w:t>
      </w:r>
    </w:p>
    <w:p w14:paraId="73C37BB3">
      <w:pPr>
        <w:spacing w:line="360" w:lineRule="auto"/>
        <w:ind w:firstLine="420" w:firstLineChars="200"/>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iCs/>
          <w:kern w:val="0"/>
          <w:szCs w:val="21"/>
        </w:rPr>
        <w:t>（4）政府采购促进残疾人就业政策。</w:t>
      </w:r>
    </w:p>
    <w:p w14:paraId="1A94B5D9">
      <w:pPr>
        <w:spacing w:line="360" w:lineRule="auto"/>
        <w:ind w:firstLine="420" w:firstLineChars="200"/>
        <w:rPr>
          <w:rFonts w:asciiTheme="majorEastAsia" w:hAnsiTheme="majorEastAsia" w:eastAsiaTheme="majorEastAsia" w:cstheme="majorEastAsia"/>
          <w:i/>
          <w:iCs/>
          <w:kern w:val="0"/>
          <w:szCs w:val="21"/>
        </w:rPr>
      </w:pPr>
      <w:r>
        <w:rPr>
          <w:rFonts w:hint="eastAsia" w:asciiTheme="majorEastAsia" w:hAnsiTheme="majorEastAsia" w:eastAsiaTheme="majorEastAsia" w:cstheme="majorEastAsia"/>
          <w:iCs/>
          <w:kern w:val="0"/>
          <w:szCs w:val="21"/>
        </w:rPr>
        <w:t>（5）政府采购支持监狱企业发展。</w:t>
      </w:r>
    </w:p>
    <w:bookmarkEnd w:id="35"/>
    <w:p w14:paraId="1E0111C8">
      <w:pPr>
        <w:spacing w:line="360" w:lineRule="auto"/>
        <w:ind w:firstLine="424" w:firstLineChars="202"/>
        <w:rPr>
          <w:rFonts w:ascii="宋体" w:hAnsi="宋体" w:cs="宋体"/>
          <w:iCs/>
          <w:kern w:val="0"/>
          <w:szCs w:val="21"/>
        </w:rPr>
      </w:pPr>
      <w:bookmarkStart w:id="36" w:name="_Toc35393796"/>
      <w:bookmarkStart w:id="37" w:name="_Toc28359008"/>
      <w:bookmarkStart w:id="38" w:name="_Toc35393627"/>
      <w:bookmarkStart w:id="39" w:name="_Toc28359085"/>
      <w:r>
        <w:rPr>
          <w:rFonts w:hint="eastAsia" w:ascii="宋体" w:hAnsi="宋体" w:cs="宋体"/>
          <w:iCs/>
          <w:kern w:val="0"/>
          <w:szCs w:val="21"/>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14:paraId="1551DF7C">
      <w:pPr>
        <w:spacing w:line="360" w:lineRule="auto"/>
        <w:ind w:firstLine="424" w:firstLineChars="202"/>
        <w:rPr>
          <w:rFonts w:ascii="宋体" w:hAnsi="宋体" w:cs="宋体"/>
          <w:iCs/>
          <w:kern w:val="0"/>
          <w:szCs w:val="21"/>
        </w:rPr>
      </w:pPr>
      <w:r>
        <w:rPr>
          <w:rFonts w:hint="eastAsia" w:ascii="宋体" w:hAnsi="宋体" w:cs="宋体"/>
          <w:iCs/>
          <w:kern w:val="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19125723">
      <w:pPr>
        <w:spacing w:line="360" w:lineRule="auto"/>
        <w:ind w:firstLine="424" w:firstLineChars="202"/>
        <w:rPr>
          <w:rFonts w:ascii="宋体" w:hAnsi="宋体" w:cs="宋体"/>
          <w:iCs/>
          <w:kern w:val="0"/>
          <w:szCs w:val="21"/>
        </w:rPr>
      </w:pPr>
      <w:r>
        <w:rPr>
          <w:rFonts w:hint="eastAsia" w:ascii="宋体" w:hAnsi="宋体" w:cs="宋体"/>
          <w:iCs/>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38A9CB20">
      <w:pPr>
        <w:widowControl/>
        <w:spacing w:line="360" w:lineRule="auto"/>
        <w:ind w:firstLine="420" w:firstLineChars="200"/>
        <w:jc w:val="left"/>
        <w:rPr>
          <w:rFonts w:ascii="宋体" w:hAnsi="宋体"/>
          <w:bCs/>
          <w:szCs w:val="21"/>
        </w:rPr>
      </w:pPr>
      <w:r>
        <w:rPr>
          <w:rFonts w:hint="eastAsia" w:ascii="宋体" w:hAnsi="宋体" w:cs="宋体"/>
          <w:iCs/>
          <w:kern w:val="0"/>
          <w:szCs w:val="21"/>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73BCA729">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七、对本次招标提出询问，请按以下方式联系。</w:t>
      </w:r>
      <w:bookmarkEnd w:id="36"/>
      <w:bookmarkEnd w:id="37"/>
      <w:bookmarkEnd w:id="38"/>
      <w:bookmarkEnd w:id="39"/>
    </w:p>
    <w:p w14:paraId="0FA715DC">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1.采购人信息</w:t>
      </w:r>
    </w:p>
    <w:p w14:paraId="27C33625">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名    称：岑溪市人民医院</w:t>
      </w:r>
    </w:p>
    <w:p w14:paraId="5F50307E">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地    址：岑溪市北山路2号</w:t>
      </w:r>
    </w:p>
    <w:p w14:paraId="6C798E2D">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联系方式：李迪，0774-8201058</w:t>
      </w:r>
    </w:p>
    <w:p w14:paraId="187826F4">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2.采购代理机构信息</w:t>
      </w:r>
    </w:p>
    <w:p w14:paraId="201B863C">
      <w:pPr>
        <w:spacing w:line="360" w:lineRule="auto"/>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名    称：</w:t>
      </w:r>
      <w:r>
        <w:rPr>
          <w:rFonts w:hint="eastAsia" w:asciiTheme="majorEastAsia" w:hAnsiTheme="majorEastAsia" w:eastAsiaTheme="majorEastAsia" w:cstheme="majorEastAsia"/>
          <w:szCs w:val="21"/>
          <w:lang w:eastAsia="zh-CN"/>
        </w:rPr>
        <w:t>广西华盛工程咨询有限公司</w:t>
      </w:r>
    </w:p>
    <w:p w14:paraId="544FADA1">
      <w:pPr>
        <w:spacing w:line="360" w:lineRule="auto"/>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地　　址：</w:t>
      </w:r>
      <w:r>
        <w:rPr>
          <w:rFonts w:hint="eastAsia" w:asciiTheme="majorEastAsia" w:hAnsiTheme="majorEastAsia" w:eastAsiaTheme="majorEastAsia" w:cstheme="majorEastAsia"/>
          <w:szCs w:val="21"/>
          <w:lang w:eastAsia="zh-CN"/>
        </w:rPr>
        <w:t>岑溪市明都新城永安街163号三楼</w:t>
      </w:r>
    </w:p>
    <w:p w14:paraId="1C4C716A">
      <w:pPr>
        <w:spacing w:line="360" w:lineRule="auto"/>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联系方式：卢</w:t>
      </w:r>
      <w:r>
        <w:rPr>
          <w:rFonts w:hint="eastAsia" w:asciiTheme="majorEastAsia" w:hAnsiTheme="majorEastAsia" w:eastAsiaTheme="majorEastAsia" w:cstheme="majorEastAsia"/>
          <w:szCs w:val="21"/>
          <w:lang w:val="en-US" w:eastAsia="zh-CN"/>
        </w:rPr>
        <w:t>铎仁</w:t>
      </w:r>
      <w:r>
        <w:rPr>
          <w:rFonts w:hint="eastAsia" w:asciiTheme="majorEastAsia" w:hAnsiTheme="majorEastAsia" w:eastAsiaTheme="majorEastAsia" w:cstheme="majorEastAsia"/>
          <w:szCs w:val="21"/>
        </w:rPr>
        <w:t>，0774-82</w:t>
      </w:r>
      <w:r>
        <w:rPr>
          <w:rFonts w:hint="eastAsia" w:asciiTheme="majorEastAsia" w:hAnsiTheme="majorEastAsia" w:eastAsiaTheme="majorEastAsia" w:cstheme="majorEastAsia"/>
          <w:szCs w:val="21"/>
          <w:lang w:val="en-US" w:eastAsia="zh-CN"/>
        </w:rPr>
        <w:t>35967</w:t>
      </w:r>
    </w:p>
    <w:p w14:paraId="3325C8A1">
      <w:pPr>
        <w:spacing w:line="360" w:lineRule="auto"/>
        <w:jc w:val="left"/>
        <w:rPr>
          <w:rFonts w:asciiTheme="majorEastAsia" w:hAnsiTheme="majorEastAsia" w:eastAsiaTheme="majorEastAsia" w:cstheme="majorEastAsia"/>
          <w:szCs w:val="21"/>
        </w:rPr>
      </w:pPr>
      <w:bookmarkStart w:id="40" w:name="_Toc28359098"/>
      <w:bookmarkStart w:id="41" w:name="_Toc35393639"/>
      <w:bookmarkStart w:id="42" w:name="_Toc28359021"/>
      <w:bookmarkStart w:id="43" w:name="_Toc35393808"/>
      <w:r>
        <w:rPr>
          <w:rFonts w:hint="eastAsia" w:asciiTheme="majorEastAsia" w:hAnsiTheme="majorEastAsia" w:eastAsiaTheme="majorEastAsia" w:cstheme="majorEastAsia"/>
          <w:szCs w:val="21"/>
        </w:rPr>
        <w:t>3.项目联系方式</w:t>
      </w:r>
      <w:bookmarkEnd w:id="40"/>
      <w:bookmarkEnd w:id="41"/>
      <w:bookmarkEnd w:id="42"/>
      <w:bookmarkEnd w:id="43"/>
    </w:p>
    <w:p w14:paraId="79D712C5">
      <w:pPr>
        <w:spacing w:line="360" w:lineRule="auto"/>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项目联系人：卢</w:t>
      </w:r>
      <w:r>
        <w:rPr>
          <w:rFonts w:hint="eastAsia" w:asciiTheme="majorEastAsia" w:hAnsiTheme="majorEastAsia" w:eastAsiaTheme="majorEastAsia" w:cstheme="majorEastAsia"/>
          <w:szCs w:val="21"/>
          <w:lang w:val="en-US" w:eastAsia="zh-CN"/>
        </w:rPr>
        <w:t>铎仁</w:t>
      </w:r>
    </w:p>
    <w:p w14:paraId="6C90200A">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电　　话：0774-82</w:t>
      </w:r>
      <w:r>
        <w:rPr>
          <w:rFonts w:hint="eastAsia" w:asciiTheme="majorEastAsia" w:hAnsiTheme="majorEastAsia" w:eastAsiaTheme="majorEastAsia" w:cstheme="majorEastAsia"/>
          <w:szCs w:val="21"/>
          <w:lang w:val="en-US" w:eastAsia="zh-CN"/>
        </w:rPr>
        <w:t>35967</w:t>
      </w:r>
    </w:p>
    <w:p w14:paraId="78E66FC7">
      <w:pPr>
        <w:spacing w:line="360" w:lineRule="auto"/>
        <w:jc w:val="left"/>
        <w:rPr>
          <w:rFonts w:hint="eastAsia" w:asciiTheme="majorEastAsia" w:hAnsiTheme="majorEastAsia" w:eastAsiaTheme="majorEastAsia" w:cstheme="majorEastAsia"/>
          <w:szCs w:val="21"/>
          <w:lang w:eastAsia="zh-CN"/>
        </w:rPr>
      </w:pPr>
      <w:bookmarkStart w:id="44" w:name="_Toc74320801"/>
    </w:p>
    <w:p w14:paraId="6268B3BD">
      <w:pPr>
        <w:spacing w:line="360" w:lineRule="auto"/>
        <w:jc w:val="left"/>
        <w:rPr>
          <w:rFonts w:hint="eastAsia" w:asciiTheme="majorEastAsia" w:hAnsiTheme="majorEastAsia" w:eastAsiaTheme="majorEastAsia" w:cstheme="majorEastAsia"/>
          <w:szCs w:val="21"/>
          <w:lang w:eastAsia="zh-CN"/>
        </w:rPr>
      </w:pPr>
    </w:p>
    <w:p w14:paraId="637C3A67">
      <w:pPr>
        <w:spacing w:line="360" w:lineRule="auto"/>
        <w:jc w:val="righ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广西华盛工程咨询有限公司</w:t>
      </w:r>
    </w:p>
    <w:p w14:paraId="6A053864">
      <w:pPr>
        <w:spacing w:line="360" w:lineRule="auto"/>
        <w:jc w:val="righ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2025年 12月 1 日</w:t>
      </w:r>
    </w:p>
    <w:p w14:paraId="1311C584">
      <w:pPr>
        <w:pStyle w:val="2"/>
        <w:jc w:val="center"/>
        <w:rPr>
          <w:rFonts w:asciiTheme="majorEastAsia" w:hAnsiTheme="majorEastAsia" w:eastAsiaTheme="majorEastAsia" w:cstheme="majorEastAsia"/>
        </w:rPr>
      </w:pPr>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rPr>
        <w:t>第二章  采购需求</w:t>
      </w:r>
      <w:bookmarkEnd w:id="44"/>
    </w:p>
    <w:p w14:paraId="4A9B6550">
      <w:pPr>
        <w:spacing w:line="360" w:lineRule="auto"/>
        <w:jc w:val="left"/>
        <w:rPr>
          <w:rFonts w:asciiTheme="majorEastAsia" w:hAnsiTheme="majorEastAsia" w:eastAsiaTheme="majorEastAsia" w:cstheme="majorEastAsia"/>
          <w:szCs w:val="21"/>
        </w:rPr>
      </w:pPr>
      <w:bookmarkStart w:id="45" w:name="_Toc254970631"/>
      <w:bookmarkStart w:id="46" w:name="_Toc254970490"/>
      <w:r>
        <w:rPr>
          <w:rFonts w:hint="eastAsia" w:asciiTheme="majorEastAsia" w:hAnsiTheme="majorEastAsia" w:eastAsiaTheme="majorEastAsia" w:cstheme="majorEastAsia"/>
          <w:szCs w:val="21"/>
        </w:rPr>
        <w:t>说明：</w:t>
      </w:r>
    </w:p>
    <w:p w14:paraId="6C63DBE5">
      <w:pPr>
        <w:numPr>
          <w:ilvl w:val="0"/>
          <w:numId w:val="3"/>
        </w:numPr>
        <w:spacing w:line="360" w:lineRule="auto"/>
        <w:ind w:firstLine="420" w:firstLineChars="200"/>
        <w:jc w:val="left"/>
        <w:rPr>
          <w:rFonts w:asciiTheme="majorEastAsia" w:hAnsiTheme="majorEastAsia" w:eastAsiaTheme="majorEastAsia" w:cstheme="majorEastAsia"/>
        </w:rPr>
      </w:pPr>
      <w:r>
        <w:rPr>
          <w:rFonts w:hint="eastAsia" w:asciiTheme="majorEastAsia" w:hAnsiTheme="majorEastAsia" w:eastAsiaTheme="majorEastAsia" w:cstheme="majorEastAsia"/>
        </w:rPr>
        <w:t>为落实政府采购政策需满足的要求</w:t>
      </w:r>
    </w:p>
    <w:p w14:paraId="4CAB707A">
      <w:pPr>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（1）本招标文件所称中小企业必须符合《政府采购促进中小企业发展管理办法》（财库〔2020〕46号）的规定。</w:t>
      </w:r>
    </w:p>
    <w:p w14:paraId="29FF7494">
      <w:pPr>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Theme="majorEastAsia" w:hAnsiTheme="majorEastAsia" w:eastAsiaTheme="majorEastAsia" w:cstheme="majorEastAsia"/>
          <w:b/>
          <w:bCs/>
          <w:szCs w:val="21"/>
        </w:rPr>
        <w:t>否则按无效投标处理</w:t>
      </w:r>
      <w:r>
        <w:rPr>
          <w:rFonts w:hint="eastAsia" w:asciiTheme="majorEastAsia" w:hAnsiTheme="majorEastAsia" w:eastAsiaTheme="majorEastAsia" w:cstheme="majorEastAsia"/>
          <w:szCs w:val="21"/>
        </w:rPr>
        <w:t>。如本项目包含的货物属于品目清单内非标注“★”的产品时，应优先采购，具体详见“第四章 评标方法及评标标准”。</w:t>
      </w:r>
    </w:p>
    <w:p w14:paraId="11D3F52A">
      <w:pPr>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r>
        <w:rPr>
          <w:rFonts w:hint="eastAsia" w:asciiTheme="majorEastAsia" w:hAnsiTheme="majorEastAsia" w:eastAsiaTheme="majorEastAsia" w:cstheme="majorEastAsia"/>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rFonts w:hint="eastAsia" w:asciiTheme="majorEastAsia" w:hAnsiTheme="majorEastAsia" w:eastAsiaTheme="majorEastAsia" w:cstheme="majorEastAsia"/>
          <w:b/>
        </w:rPr>
        <w:t>不在《网络关键设备和网络安全专用产品安全认证和安全检测结果》中或不在有效期内或未提供有效的《计算机信息系统安全专用产品销售许可证》的，按无效投标处理</w:t>
      </w:r>
      <w:r>
        <w:rPr>
          <w:rFonts w:hint="eastAsia" w:asciiTheme="majorEastAsia" w:hAnsiTheme="majorEastAsia" w:eastAsiaTheme="majorEastAsia" w:cstheme="majorEastAsia"/>
        </w:rPr>
        <w:t>。如属于《网络关键设备和网络安全专用产品目录》中“二、网络安全专用产品”内“产品类别”中的所描述的产品，但不属于所列“产品描述”情形的，应提供相应的说明及证明材料。</w:t>
      </w:r>
    </w:p>
    <w:p w14:paraId="6FF83910">
      <w:pPr>
        <w:spacing w:line="360" w:lineRule="auto"/>
        <w:ind w:firstLine="426" w:firstLineChars="202"/>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2.“实质性要求”是指招标文件中已经指明不满足则投标无效的条款，或者不能负偏离的条款，或者采购需求中带“▲”的条款。</w:t>
      </w:r>
    </w:p>
    <w:p w14:paraId="4DCDF555">
      <w:pPr>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37F60133">
      <w:pPr>
        <w:spacing w:line="360" w:lineRule="auto"/>
        <w:ind w:firstLine="426" w:firstLineChars="202"/>
        <w:jc w:val="left"/>
      </w:pPr>
      <w:bookmarkStart w:id="47" w:name="_Hlk65055179"/>
      <w:r>
        <w:rPr>
          <w:rFonts w:hint="eastAsia" w:ascii="宋体" w:hAnsi="宋体" w:cs="宋体"/>
          <w:b/>
          <w:bCs/>
          <w:szCs w:val="21"/>
        </w:rPr>
        <w:t>4. 投标人应根据自身实际情况如实响应招标文件</w:t>
      </w:r>
      <w:r>
        <w:rPr>
          <w:rFonts w:hint="eastAsia" w:ascii="宋体" w:hAnsi="宋体"/>
          <w:b/>
          <w:bCs/>
          <w:szCs w:val="21"/>
        </w:rPr>
        <w:t>，</w:t>
      </w:r>
      <w:r>
        <w:rPr>
          <w:rFonts w:hint="eastAsia" w:ascii="宋体" w:hAnsi="宋体"/>
          <w:b/>
          <w:bCs/>
          <w:sz w:val="22"/>
          <w:szCs w:val="22"/>
        </w:rPr>
        <w:t>对招标文件提出的要求和条件作出明确响应</w:t>
      </w:r>
      <w:r>
        <w:rPr>
          <w:rFonts w:hint="eastAsia" w:ascii="宋体" w:hAnsi="宋体"/>
          <w:b/>
          <w:bCs/>
          <w:szCs w:val="21"/>
        </w:rPr>
        <w:t>，采购需求中以范围值表述的技术要求，投标人须按照自身产品的实际技术参数如实响应招标文件</w:t>
      </w:r>
      <w:r>
        <w:rPr>
          <w:rFonts w:hint="eastAsia" w:ascii="宋体" w:hAnsi="宋体"/>
          <w:szCs w:val="21"/>
        </w:rPr>
        <w:t>，</w:t>
      </w:r>
      <w:r>
        <w:rPr>
          <w:rFonts w:hint="eastAsia" w:ascii="宋体" w:hAnsi="宋体"/>
          <w:b/>
          <w:bCs/>
          <w:szCs w:val="21"/>
        </w:rPr>
        <w:t>否则将作无效投标处理</w:t>
      </w:r>
      <w:r>
        <w:rPr>
          <w:rFonts w:hint="eastAsia" w:ascii="宋体" w:hAnsi="宋体"/>
          <w:szCs w:val="21"/>
        </w:rPr>
        <w:t>。</w:t>
      </w:r>
      <w:r>
        <w:rPr>
          <w:rFonts w:hint="eastAsia"/>
        </w:rPr>
        <w:t>对于重要技术条款或技术参数如要求在投标文件中提供技术支持资料的，技术支持资料以招标文件中规定的形式为准，</w:t>
      </w:r>
      <w:r>
        <w:rPr>
          <w:rFonts w:hint="eastAsia"/>
          <w:b/>
          <w:bCs/>
        </w:rPr>
        <w:t>否则将视为无效技术支持资料</w:t>
      </w:r>
      <w:r>
        <w:rPr>
          <w:rFonts w:hint="eastAsia"/>
        </w:rPr>
        <w:t>。</w:t>
      </w:r>
    </w:p>
    <w:p w14:paraId="1A24FAEE">
      <w:pPr>
        <w:spacing w:line="360" w:lineRule="auto"/>
        <w:ind w:firstLine="424" w:firstLineChars="202"/>
        <w:jc w:val="left"/>
        <w:rPr>
          <w:rFonts w:asciiTheme="majorEastAsia" w:hAnsiTheme="majorEastAsia" w:eastAsiaTheme="majorEastAsia" w:cstheme="majorEastAsia"/>
        </w:rPr>
      </w:pPr>
      <w:r>
        <w:rPr>
          <w:rFonts w:hint="eastAsia" w:asciiTheme="majorEastAsia" w:hAnsiTheme="majorEastAsia" w:eastAsiaTheme="majorEastAsia" w:cstheme="majorEastAsia"/>
          <w:szCs w:val="21"/>
        </w:rPr>
        <w:t>5.</w:t>
      </w:r>
      <w:r>
        <w:rPr>
          <w:rFonts w:hint="eastAsia" w:asciiTheme="majorEastAsia" w:hAnsiTheme="majorEastAsia" w:eastAsiaTheme="majorEastAsia" w:cstheme="majorEastAsia"/>
        </w:rPr>
        <w:t>投标人必须自行为其投标产品侵犯他人的知识产权或者专利成果的行为承担相应法律责任。</w:t>
      </w:r>
    </w:p>
    <w:p w14:paraId="4EA71176">
      <w:pPr>
        <w:spacing w:line="360" w:lineRule="auto"/>
        <w:ind w:firstLine="424" w:firstLineChars="202"/>
        <w:jc w:val="left"/>
        <w:rPr>
          <w:rFonts w:asciiTheme="majorEastAsia" w:hAnsiTheme="majorEastAsia" w:eastAsiaTheme="majorEastAsia" w:cstheme="majorEastAsia"/>
        </w:rPr>
      </w:pPr>
      <w:r>
        <w:rPr>
          <w:rFonts w:hint="eastAsia" w:asciiTheme="majorEastAsia" w:hAnsiTheme="majorEastAsia" w:eastAsiaTheme="majorEastAsia" w:cstheme="majorEastAsia"/>
        </w:rPr>
        <w:t xml:space="preserve">6.所属行业依照《中小企业划型标准规定》（工信部联企业〔2011〕300号）及《国民经济行业分类》（ GB/T 4754—2017）的有关规定执行，本项目1、2分标标的所属行业均为“工业”。 </w:t>
      </w:r>
    </w:p>
    <w:p w14:paraId="5D736AB2">
      <w:pPr>
        <w:spacing w:line="360" w:lineRule="auto"/>
        <w:ind w:firstLine="487"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b/>
          <w:sz w:val="24"/>
          <w:u w:val="single"/>
        </w:rPr>
        <w:t xml:space="preserve">  </w:t>
      </w:r>
      <w:r>
        <w:rPr>
          <w:rFonts w:hint="eastAsia" w:asciiTheme="majorEastAsia" w:hAnsiTheme="majorEastAsia" w:eastAsiaTheme="majorEastAsia" w:cstheme="majorEastAsia"/>
          <w:b/>
          <w:sz w:val="24"/>
          <w:u w:val="single"/>
          <w:lang w:val="en-US" w:eastAsia="zh-CN"/>
        </w:rPr>
        <w:t>1</w:t>
      </w:r>
      <w:r>
        <w:rPr>
          <w:rFonts w:hint="eastAsia" w:asciiTheme="majorEastAsia" w:hAnsiTheme="majorEastAsia" w:eastAsiaTheme="majorEastAsia" w:cstheme="majorEastAsia"/>
          <w:b/>
          <w:sz w:val="24"/>
          <w:u w:val="single"/>
        </w:rPr>
        <w:t xml:space="preserve">  </w:t>
      </w:r>
      <w:r>
        <w:rPr>
          <w:rFonts w:hint="eastAsia" w:asciiTheme="majorEastAsia" w:hAnsiTheme="majorEastAsia" w:eastAsiaTheme="majorEastAsia" w:cstheme="majorEastAsia"/>
          <w:b/>
          <w:sz w:val="24"/>
        </w:rPr>
        <w:t>分标   采购预算：</w:t>
      </w:r>
      <w:r>
        <w:rPr>
          <w:rFonts w:hint="eastAsia" w:ascii="宋体" w:hAnsi="宋体" w:eastAsia="宋体" w:cs="宋体"/>
          <w:b/>
          <w:bCs/>
          <w:color w:val="000000"/>
          <w:kern w:val="0"/>
          <w:sz w:val="22"/>
          <w:szCs w:val="22"/>
          <w:u w:val="single"/>
          <w:lang w:val="en-US" w:eastAsia="zh-CN" w:bidi="ar"/>
        </w:rPr>
        <w:t>2536550.00</w:t>
      </w:r>
      <w:r>
        <w:rPr>
          <w:rFonts w:hint="eastAsia" w:ascii="宋体" w:hAnsi="宋体" w:eastAsia="宋体" w:cs="宋体"/>
          <w:b/>
          <w:bCs/>
          <w:color w:val="000000"/>
          <w:kern w:val="0"/>
          <w:sz w:val="22"/>
          <w:szCs w:val="22"/>
          <w:lang w:val="en-US" w:eastAsia="zh-CN" w:bidi="ar"/>
        </w:rPr>
        <w:t>（元）</w:t>
      </w:r>
    </w:p>
    <w:bookmarkEnd w:id="45"/>
    <w:bookmarkEnd w:id="46"/>
    <w:bookmarkEnd w:id="47"/>
    <w:tbl>
      <w:tblPr>
        <w:tblStyle w:val="4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3"/>
        <w:gridCol w:w="1486"/>
        <w:gridCol w:w="894"/>
        <w:gridCol w:w="5612"/>
      </w:tblGrid>
      <w:tr w14:paraId="2911F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763" w:type="dxa"/>
            <w:tcBorders>
              <w:top w:val="single" w:color="auto" w:sz="4" w:space="0"/>
              <w:left w:val="single" w:color="auto" w:sz="4" w:space="0"/>
              <w:bottom w:val="single" w:color="auto" w:sz="4" w:space="0"/>
              <w:right w:val="single" w:color="auto" w:sz="4" w:space="0"/>
            </w:tcBorders>
            <w:vAlign w:val="center"/>
          </w:tcPr>
          <w:p w14:paraId="1CBFB3DE">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序号</w:t>
            </w:r>
          </w:p>
        </w:tc>
        <w:tc>
          <w:tcPr>
            <w:tcW w:w="1486" w:type="dxa"/>
            <w:tcBorders>
              <w:top w:val="single" w:color="auto" w:sz="4" w:space="0"/>
              <w:left w:val="single" w:color="auto" w:sz="4" w:space="0"/>
              <w:bottom w:val="single" w:color="auto" w:sz="4" w:space="0"/>
              <w:right w:val="single" w:color="auto" w:sz="4" w:space="0"/>
            </w:tcBorders>
            <w:vAlign w:val="center"/>
          </w:tcPr>
          <w:p w14:paraId="3FC2F104">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标的的名称</w:t>
            </w:r>
          </w:p>
        </w:tc>
        <w:tc>
          <w:tcPr>
            <w:tcW w:w="894" w:type="dxa"/>
            <w:tcBorders>
              <w:top w:val="single" w:color="auto" w:sz="4" w:space="0"/>
              <w:left w:val="single" w:color="auto" w:sz="4" w:space="0"/>
              <w:bottom w:val="single" w:color="auto" w:sz="4" w:space="0"/>
              <w:right w:val="single" w:color="auto" w:sz="4" w:space="0"/>
            </w:tcBorders>
            <w:vAlign w:val="center"/>
          </w:tcPr>
          <w:p w14:paraId="216A1DE8">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数量及</w:t>
            </w:r>
          </w:p>
          <w:p w14:paraId="5ED8F009">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单位</w:t>
            </w:r>
          </w:p>
        </w:tc>
        <w:tc>
          <w:tcPr>
            <w:tcW w:w="5612" w:type="dxa"/>
            <w:tcBorders>
              <w:top w:val="single" w:color="auto" w:sz="4" w:space="0"/>
              <w:left w:val="single" w:color="auto" w:sz="4" w:space="0"/>
              <w:bottom w:val="single" w:color="auto" w:sz="4" w:space="0"/>
              <w:right w:val="single" w:color="auto" w:sz="4" w:space="0"/>
            </w:tcBorders>
            <w:vAlign w:val="center"/>
          </w:tcPr>
          <w:p w14:paraId="2227383B">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简要技术要求或者服务要求</w:t>
            </w:r>
          </w:p>
        </w:tc>
      </w:tr>
      <w:tr w14:paraId="1BB8D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67D6EF99">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486" w:type="dxa"/>
            <w:tcBorders>
              <w:top w:val="single" w:color="auto" w:sz="4" w:space="0"/>
              <w:left w:val="single" w:color="auto" w:sz="4" w:space="0"/>
              <w:bottom w:val="single" w:color="auto" w:sz="4" w:space="0"/>
              <w:right w:val="single" w:color="auto" w:sz="4" w:space="0"/>
            </w:tcBorders>
            <w:vAlign w:val="center"/>
          </w:tcPr>
          <w:p w14:paraId="7C4791B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良性阵发性位置位眩晕治疗仪</w:t>
            </w:r>
          </w:p>
        </w:tc>
        <w:tc>
          <w:tcPr>
            <w:tcW w:w="894" w:type="dxa"/>
            <w:tcBorders>
              <w:top w:val="single" w:color="auto" w:sz="4" w:space="0"/>
              <w:left w:val="single" w:color="auto" w:sz="4" w:space="0"/>
              <w:bottom w:val="single" w:color="auto" w:sz="4" w:space="0"/>
              <w:right w:val="single" w:color="auto" w:sz="4" w:space="0"/>
            </w:tcBorders>
            <w:vAlign w:val="center"/>
          </w:tcPr>
          <w:p w14:paraId="20E39DBE">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1套</w:t>
            </w:r>
          </w:p>
        </w:tc>
        <w:tc>
          <w:tcPr>
            <w:tcW w:w="5612" w:type="dxa"/>
            <w:tcBorders>
              <w:top w:val="single" w:color="auto" w:sz="4" w:space="0"/>
              <w:left w:val="single" w:color="auto" w:sz="4" w:space="0"/>
              <w:bottom w:val="single" w:color="auto" w:sz="4" w:space="0"/>
              <w:right w:val="single" w:color="auto" w:sz="4" w:space="0"/>
            </w:tcBorders>
            <w:vAlign w:val="center"/>
          </w:tcPr>
          <w:p w14:paraId="2EF9EC7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一、基本要求</w:t>
            </w:r>
          </w:p>
          <w:p w14:paraId="57202F3A">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产品注册证范围适用于良性阵发性位置性眩晕症的辅助诊断，以及治疗水平及后半规管良性阵发性位置性眩晕症。</w:t>
            </w:r>
          </w:p>
          <w:p w14:paraId="50F2BD7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二、眼罩</w:t>
            </w:r>
          </w:p>
          <w:p w14:paraId="71E5688B">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2.1 采集图像分辨率≥1080P（设备验收时提供检测报告）</w:t>
            </w:r>
          </w:p>
          <w:p w14:paraId="37FB31D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2.2 重量≤150g</w:t>
            </w:r>
          </w:p>
          <w:p w14:paraId="285F30A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2.3 摄像头焦距可调节</w:t>
            </w:r>
          </w:p>
          <w:p w14:paraId="1051560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2.4 图像采集装置摄像头红外峰值波长 960nm ± 10nm</w:t>
            </w:r>
          </w:p>
          <w:p w14:paraId="5ED49D45">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2.5 图像采集装置摄像头红外波长 800nm～1000nm</w:t>
            </w:r>
          </w:p>
          <w:p w14:paraId="517C6643">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2.6 可拆卸，作为诊断仪单独使用</w:t>
            </w:r>
          </w:p>
          <w:p w14:paraId="792328F7">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2.7 无线传输距离≥5m（设备验收时提供检测报告）</w:t>
            </w:r>
          </w:p>
          <w:p w14:paraId="05F3990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三、 眩晕治疗仪基本信息</w:t>
            </w:r>
          </w:p>
          <w:p w14:paraId="020E35A5">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3.1 设备尺寸长*宽*高≧223cm*210cm*220cm</w:t>
            </w:r>
          </w:p>
          <w:p w14:paraId="7F41CA7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3.2 工作条件电源：AC380v±38v   50Hz±1 Hz 输入功率5000VA</w:t>
            </w:r>
          </w:p>
          <w:p w14:paraId="1A529589">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3.3 主转动轴处于水平方向</w:t>
            </w:r>
          </w:p>
          <w:p w14:paraId="0B2DACE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  转动角度：不限，误差≤±3°；</w:t>
            </w:r>
          </w:p>
          <w:p w14:paraId="672D3414">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b)  转速：5°/S -180°/S，误差≤±5%；</w:t>
            </w:r>
          </w:p>
          <w:p w14:paraId="09DA96E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3.4 辅转动轴处于与主转动轴垂直方向</w:t>
            </w:r>
          </w:p>
          <w:p w14:paraId="503E9FC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  转动角度：不限，误差≤±3°；</w:t>
            </w:r>
          </w:p>
          <w:p w14:paraId="492BB3DD">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b)  转速：5°/S -180°/S，误差≤±5%</w:t>
            </w:r>
          </w:p>
          <w:p w14:paraId="313D7D8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3.5 安全座椅至少在135Kg负载下，放置3小时，主轴位置偏差≤2mm（设备验收时提供检测报告）</w:t>
            </w:r>
          </w:p>
          <w:p w14:paraId="3013A91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4、眩晕诊断仪</w:t>
            </w:r>
          </w:p>
          <w:p w14:paraId="45864558">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4.1、采集图像分辨率≥1080P，高分辨率、红外视频摄像头；自动定标。</w:t>
            </w:r>
          </w:p>
          <w:p w14:paraId="5C4D5D5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4.2、有线传输，信号稳定。</w:t>
            </w:r>
          </w:p>
          <w:p w14:paraId="2FFA3A9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4.3、结构及组成：主机、眼罩、软件组成。</w:t>
            </w:r>
          </w:p>
          <w:p w14:paraId="1DE0A1FB">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4.4图像采集装置摄像头红外峰值波长 940nm ± 10nm</w:t>
            </w:r>
          </w:p>
          <w:p w14:paraId="03947AD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4.5图像采集装置摄像头红外波长 800nm～1000nm</w:t>
            </w:r>
          </w:p>
          <w:p w14:paraId="5B03677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4.6 眼罩重量不大于160g</w:t>
            </w:r>
          </w:p>
          <w:p w14:paraId="6198A45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5、医生工作站</w:t>
            </w:r>
          </w:p>
          <w:p w14:paraId="7CA2FF2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5.1、处理器4核及以上</w:t>
            </w:r>
          </w:p>
          <w:p w14:paraId="6E1A876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5.2、内存：≧16GB</w:t>
            </w:r>
          </w:p>
          <w:p w14:paraId="5345B2E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5.3、硬盘：≧1TB+128GB SSD</w:t>
            </w:r>
          </w:p>
          <w:p w14:paraId="7FC8AAD4">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5.4、显卡：≧4G独显，Windows 11</w:t>
            </w:r>
          </w:p>
          <w:p w14:paraId="35D6CF6D">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5.5、显示器32寸及以上，高清液晶品牌显示器，分辨率支持≥1920*1080。</w:t>
            </w:r>
          </w:p>
          <w:p w14:paraId="29F3EEC4">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6、应急装置</w:t>
            </w:r>
          </w:p>
          <w:p w14:paraId="2B64E90A">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6.1治疗仪具备急停按钮及应急开关，急停按钮≧4个。</w:t>
            </w:r>
          </w:p>
          <w:p w14:paraId="4435E46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6.2治疗仪主轴应有手动回位应急装置，使治疗仪座椅恢复初始初始位置</w:t>
            </w:r>
          </w:p>
          <w:p w14:paraId="3CE367F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6.3安全座椅需要提供前臂安全杠，以保证患者安全。</w:t>
            </w:r>
          </w:p>
          <w:p w14:paraId="5CF6B10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三、软件功能要求</w:t>
            </w:r>
          </w:p>
          <w:p w14:paraId="0DA9B0BB">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1、眼震曲线与运动轨迹（速度）、体位、耳蜗位置同步显示；</w:t>
            </w:r>
          </w:p>
          <w:p w14:paraId="1B8ED0AE">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2、可自动分析慢相、快相速度，个数、频率，可显示、打印对比图及各项数据、结论。</w:t>
            </w:r>
          </w:p>
          <w:p w14:paraId="30F965AB">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3、角度模式，控制转椅转动一定角度，方向、角度、时间、加速度可输入；</w:t>
            </w:r>
          </w:p>
          <w:p w14:paraId="3536A93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4、速度模式：控制转椅转动到一定速度再减速到静止，方向、加速度、最大速度、转动时间、减速度均可输入。</w:t>
            </w:r>
          </w:p>
          <w:p w14:paraId="4255342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5、用户可设计个性化治疗方案，诊疗操作过程中随时更改方案，可从其他用户处获得不同的治疗方案，视频图像清晰，包含视频储存及回放功能。</w:t>
            </w:r>
          </w:p>
          <w:p w14:paraId="438AD04A">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位置性眩晕变位试验诊断，按照设定的变位试验体位变换方案，患者座椅以角度模式沿主轴、辅轴旋转，调整患者体位，可自主调节速度，角度，及加速度。软件系统全程显示、分析、记录患者眼震。根据患者体位及出现的眼震进行位置性眩晕的诊断。</w:t>
            </w:r>
          </w:p>
          <w:p w14:paraId="29B8A81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耳石复位治疗，按照设定的耳石复位方案，患者座椅以角度模式沿主轴、辅轴旋转，以调整患者体位，进行耳石复位治疗。软件系统能够运动轨迹速度、体位、耳蜗位置显示、分析、记录患者眼震。可显示打印对比图及各项数据、结论。</w:t>
            </w:r>
          </w:p>
          <w:p w14:paraId="72AA1AB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前庭功能检查，患者座椅按速度模式旋转，给予患者的刺激量精确控制，通过分析刺激量与相应眼震的关系判断患者的前庭功能。如转椅旋转试验，可输入加速度、匀速速度及保持时间、急停时间，分析眼震慢相速度、时间常数、两侧对比等。</w:t>
            </w:r>
          </w:p>
        </w:tc>
      </w:tr>
      <w:tr w14:paraId="371A1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7B7D7F48">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1486" w:type="dxa"/>
            <w:tcBorders>
              <w:top w:val="single" w:color="auto" w:sz="4" w:space="0"/>
              <w:left w:val="single" w:color="auto" w:sz="4" w:space="0"/>
              <w:bottom w:val="single" w:color="auto" w:sz="4" w:space="0"/>
              <w:right w:val="single" w:color="auto" w:sz="4" w:space="0"/>
            </w:tcBorders>
            <w:vAlign w:val="center"/>
          </w:tcPr>
          <w:p w14:paraId="6D6D17F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前庭诱发肌源性电位</w:t>
            </w:r>
          </w:p>
        </w:tc>
        <w:tc>
          <w:tcPr>
            <w:tcW w:w="894" w:type="dxa"/>
            <w:tcBorders>
              <w:top w:val="single" w:color="auto" w:sz="4" w:space="0"/>
              <w:left w:val="single" w:color="auto" w:sz="4" w:space="0"/>
              <w:bottom w:val="single" w:color="auto" w:sz="4" w:space="0"/>
              <w:right w:val="single" w:color="auto" w:sz="4" w:space="0"/>
            </w:tcBorders>
            <w:vAlign w:val="center"/>
          </w:tcPr>
          <w:p w14:paraId="434709BC">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1套</w:t>
            </w:r>
          </w:p>
        </w:tc>
        <w:tc>
          <w:tcPr>
            <w:tcW w:w="5612" w:type="dxa"/>
            <w:tcBorders>
              <w:top w:val="single" w:color="auto" w:sz="4" w:space="0"/>
              <w:left w:val="single" w:color="auto" w:sz="4" w:space="0"/>
              <w:bottom w:val="single" w:color="auto" w:sz="4" w:space="0"/>
              <w:right w:val="single" w:color="auto" w:sz="4" w:space="0"/>
            </w:tcBorders>
            <w:vAlign w:val="center"/>
          </w:tcPr>
          <w:p w14:paraId="5E576B64">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（一）软件项目及功能：</w:t>
            </w:r>
          </w:p>
          <w:p w14:paraId="493798A6">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（1）前庭诱发项目（前庭诱发项目可用于评估前庭椭圆囊、球囊、前庭上神经、前庭下神经、脑干等通路的病损情况）：</w:t>
            </w:r>
          </w:p>
          <w:p w14:paraId="6A1927E7">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1.1 颈肌前庭肌源性诱发电位（cVEMP）</w:t>
            </w:r>
          </w:p>
          <w:p w14:paraId="1C39B46F">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1.2 眼肌前庭肌源性诱发电位（oVEMP）</w:t>
            </w:r>
          </w:p>
          <w:p w14:paraId="5F4EBE4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1.3 咬肌前庭肌源性诱发电位（mVEMP）</w:t>
            </w:r>
          </w:p>
          <w:p w14:paraId="0BD7677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1.4 可自定义检测项目</w:t>
            </w:r>
          </w:p>
          <w:p w14:paraId="56DC9F9C">
            <w:pP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1.5 前庭诱发项目可兼容气导、骨导、电刺激等多种刺激方式诱发。</w:t>
            </w:r>
          </w:p>
          <w:p w14:paraId="5691DB7D">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（二）信号通道参数</w:t>
            </w:r>
          </w:p>
          <w:p w14:paraId="285D3F3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1、信号通道数：二通道；</w:t>
            </w:r>
          </w:p>
          <w:p w14:paraId="53BE26C6">
            <w:pP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2、电压灵敏度：至少满足0.05uV/div到10mV/div分档控制</w:t>
            </w:r>
          </w:p>
          <w:p w14:paraId="22C4C2B9">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3、电压灵敏度误差：≤±5%</w:t>
            </w:r>
          </w:p>
          <w:p w14:paraId="0C0312EA">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4、频率范围：0.5Hz～10kHz，电压测量误差+5%～-15%</w:t>
            </w:r>
          </w:p>
          <w:p w14:paraId="55DEDB1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5、扫描时程：至少满足1ms/div到200ms/div分档控制</w:t>
            </w:r>
          </w:p>
          <w:p w14:paraId="6D8F7FF6">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6、共模信号抑制能力：100dB（患者电缆输入端，50Hz）</w:t>
            </w:r>
          </w:p>
          <w:p w14:paraId="48392DD7">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7、输入阻抗：≥500MΩ（患者电缆输入端，50Hz）</w:t>
            </w:r>
          </w:p>
          <w:p w14:paraId="4348EEF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8、采样率：≥200kHz</w:t>
            </w:r>
          </w:p>
          <w:p w14:paraId="5CE865E0">
            <w:pP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9、定标测试：设备可以通过定标信号的输入和输出进行设备信号通路的硬件诊断检测。</w:t>
            </w:r>
          </w:p>
          <w:p w14:paraId="76D429C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（三）声刺激参数：</w:t>
            </w:r>
          </w:p>
          <w:p w14:paraId="0CDDE7E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1、最大Click声强:125dB-135dB(SPL峰值)，声音包括Click声、交替声、短纯音等</w:t>
            </w:r>
          </w:p>
          <w:p w14:paraId="50404F2A">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2、刺激极性：疏波，密波，交替波</w:t>
            </w:r>
          </w:p>
          <w:p w14:paraId="1C34A7C7">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3、最大白噪声声强：105—115db(SPL峰值)</w:t>
            </w:r>
          </w:p>
          <w:p w14:paraId="0729C5D4">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（四）电流刺激参数：</w:t>
            </w:r>
          </w:p>
          <w:p w14:paraId="5FBAF7E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1、最大电流脉冲强度：100mA±5%</w:t>
            </w:r>
          </w:p>
          <w:p w14:paraId="3A6E513E">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2、脉冲强度误差≤±5%</w:t>
            </w:r>
          </w:p>
          <w:p w14:paraId="13AD8F80">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3、最大脉冲宽度：1ms±5%。</w:t>
            </w:r>
          </w:p>
          <w:p w14:paraId="1E0E413C">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4、脉冲宽度误差≤±5%</w:t>
            </w:r>
          </w:p>
          <w:p w14:paraId="7F2205E6">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（五）刺激触发参数：</w:t>
            </w:r>
          </w:p>
          <w:p w14:paraId="1CCC06DE">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1、最高触发频率：70Hz±5%</w:t>
            </w:r>
          </w:p>
          <w:p w14:paraId="075DC5DF">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2、频发频率误差：≤±5%</w:t>
            </w:r>
          </w:p>
          <w:p w14:paraId="0B155557">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（六） 肌力监测功能：前庭诱发电位具有实时肌力RMS监测和肌力AEMG监测选择功能，并可进行设置肌力触发阈值。</w:t>
            </w:r>
          </w:p>
          <w:p w14:paraId="02ADE994">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（七） 每条曲线点数600 点</w:t>
            </w:r>
          </w:p>
          <w:p w14:paraId="14163A30">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（八）自动标记标注功能：所有诱发项目具有自动标记功能。</w:t>
            </w:r>
          </w:p>
          <w:p w14:paraId="4F2C779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（九）频谱分析功能：所有诱发项目具有频谱分析功能。</w:t>
            </w:r>
          </w:p>
          <w:p w14:paraId="57E6AA3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（十）项目导航功能：软件具备检测项目导航功能。</w:t>
            </w:r>
          </w:p>
          <w:p w14:paraId="46FCF74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（十一）阻抗测试功能：软件具备阻抗测试功能。</w:t>
            </w:r>
          </w:p>
          <w:p w14:paraId="1C9CA19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（十二）优化叠加功能：听觉诱发在叠加结束后可对所有参与的波形再次进行不同算法的优化叠加功能。</w:t>
            </w:r>
          </w:p>
          <w:p w14:paraId="7E43C2A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（十三）干扰波去除功能：听觉诱发项目在叠加完成后，可以调出所有参与叠加的单次波形，并可以选择任意单次波形不参与叠加计算。</w:t>
            </w:r>
          </w:p>
          <w:p w14:paraId="3C2683E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（十四）配置要求及服务</w:t>
            </w:r>
          </w:p>
          <w:p w14:paraId="1565401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1、产品符合GB9706.15-2008《医用电气设备 第一部分：安全通用要求 1.并列标准：医用电气系统安全要求》的要求.</w:t>
            </w:r>
          </w:p>
          <w:p w14:paraId="4409925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2、产品的电磁兼容性要求符合YY0505-2012《医用电气设备 第1-2部分：安全通用要求 并列标准：电磁兼容 要求和试验》和YY0896-2013的要求。</w:t>
            </w:r>
          </w:p>
          <w:p w14:paraId="59153A3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3、系统的额定电压和频率：AC220V±10%/50±5%HZ；</w:t>
            </w:r>
          </w:p>
          <w:p w14:paraId="798D7751">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4、运行模式：连续运行；</w:t>
            </w:r>
          </w:p>
          <w:p w14:paraId="2765699E">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5、防电击的程度类型：BF型；</w:t>
            </w:r>
          </w:p>
          <w:p w14:paraId="45DF729E">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6、进液的防护程度类型：IPX0；</w:t>
            </w:r>
          </w:p>
          <w:p w14:paraId="2260D2FB">
            <w:pPr>
              <w:rPr>
                <w:rFonts w:ascii="宋体" w:hAnsi="宋体" w:cs="宋体"/>
                <w:color w:val="000000"/>
                <w:kern w:val="0"/>
                <w:sz w:val="22"/>
                <w:szCs w:val="22"/>
                <w:lang w:bidi="ar"/>
              </w:rPr>
            </w:pPr>
            <w:r>
              <w:rPr>
                <w:rFonts w:hint="eastAsia" w:ascii="宋体" w:hAnsi="宋体" w:cs="宋体"/>
                <w:color w:val="000000"/>
                <w:kern w:val="0"/>
                <w:sz w:val="22"/>
                <w:szCs w:val="22"/>
                <w:lang w:bidi="ar"/>
              </w:rPr>
              <w:t>7、整机配隔离电源。</w:t>
            </w:r>
          </w:p>
        </w:tc>
      </w:tr>
      <w:tr w14:paraId="4816B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2C38614C">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w:t>
            </w:r>
          </w:p>
        </w:tc>
        <w:tc>
          <w:tcPr>
            <w:tcW w:w="1486" w:type="dxa"/>
            <w:tcBorders>
              <w:top w:val="single" w:color="auto" w:sz="4" w:space="0"/>
              <w:left w:val="single" w:color="auto" w:sz="4" w:space="0"/>
              <w:bottom w:val="single" w:color="auto" w:sz="4" w:space="0"/>
              <w:right w:val="single" w:color="auto" w:sz="4" w:space="0"/>
            </w:tcBorders>
            <w:vAlign w:val="center"/>
          </w:tcPr>
          <w:p w14:paraId="573DEF0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甩头试验仪</w:t>
            </w:r>
          </w:p>
        </w:tc>
        <w:tc>
          <w:tcPr>
            <w:tcW w:w="894" w:type="dxa"/>
            <w:tcBorders>
              <w:top w:val="single" w:color="auto" w:sz="4" w:space="0"/>
              <w:left w:val="single" w:color="auto" w:sz="4" w:space="0"/>
              <w:bottom w:val="single" w:color="auto" w:sz="4" w:space="0"/>
              <w:right w:val="single" w:color="auto" w:sz="4" w:space="0"/>
            </w:tcBorders>
            <w:vAlign w:val="center"/>
          </w:tcPr>
          <w:p w14:paraId="21F6E060">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1项</w:t>
            </w:r>
          </w:p>
        </w:tc>
        <w:tc>
          <w:tcPr>
            <w:tcW w:w="5612" w:type="dxa"/>
            <w:tcBorders>
              <w:top w:val="single" w:color="auto" w:sz="4" w:space="0"/>
              <w:left w:val="single" w:color="auto" w:sz="4" w:space="0"/>
              <w:bottom w:val="single" w:color="auto" w:sz="4" w:space="0"/>
              <w:right w:val="single" w:color="auto" w:sz="4" w:space="0"/>
            </w:tcBorders>
            <w:vAlign w:val="center"/>
          </w:tcPr>
          <w:p w14:paraId="19867BB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一、用途：高频头脉冲针对三对前庭半规管功能检查，评估两侧前庭系统对称性，对异常或损伤进行定位。</w:t>
            </w:r>
          </w:p>
          <w:p w14:paraId="24C5EF0E">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二、技术参数</w:t>
            </w:r>
          </w:p>
          <w:p w14:paraId="6584FE5A">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1、眼罩：双摄像头，带遮光罩；</w:t>
            </w:r>
          </w:p>
          <w:p w14:paraId="6D0884D6">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2、双摄像头采集视频图像</w:t>
            </w:r>
          </w:p>
          <w:p w14:paraId="0AD17943">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3、软件可同时显示双眼的视频图像</w:t>
            </w:r>
          </w:p>
          <w:p w14:paraId="73F14E0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4、描记并分析水平、垂直曲线</w:t>
            </w:r>
          </w:p>
          <w:p w14:paraId="3445D644">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5、软件试验模块：HIMP甩头、SHIMP甩头抑制模块</w:t>
            </w:r>
          </w:p>
          <w:p w14:paraId="7EEECBC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6、接口：USB2.0或USB3.0连接</w:t>
            </w:r>
          </w:p>
          <w:p w14:paraId="5A19CA4E">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7、诊断报告：自动分析检查结果，单独打印每个实验的分析数据图以及医生的初诊结果</w:t>
            </w:r>
          </w:p>
          <w:p w14:paraId="446C787C">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8、与眼震视图仪并联后可进行新斯的明检查</w:t>
            </w:r>
          </w:p>
          <w:p w14:paraId="1390AED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9、定标自适应操作，将头动和眼动同时定标，无需分开操作，系统自动匹配。</w:t>
            </w:r>
          </w:p>
          <w:p w14:paraId="0D28E0D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10、计算机：品牌电脑，CPU i510 代以上，内存≥8G，固态硬盘≥512G  打印机： 彩色喷墨联供打印机 。</w:t>
            </w:r>
          </w:p>
        </w:tc>
      </w:tr>
      <w:tr w14:paraId="3EEEE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301AA7F7">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w:t>
            </w:r>
          </w:p>
        </w:tc>
        <w:tc>
          <w:tcPr>
            <w:tcW w:w="1486" w:type="dxa"/>
            <w:tcBorders>
              <w:top w:val="single" w:color="auto" w:sz="4" w:space="0"/>
              <w:left w:val="single" w:color="auto" w:sz="4" w:space="0"/>
              <w:bottom w:val="single" w:color="auto" w:sz="4" w:space="0"/>
              <w:right w:val="single" w:color="auto" w:sz="4" w:space="0"/>
            </w:tcBorders>
            <w:vAlign w:val="center"/>
          </w:tcPr>
          <w:p w14:paraId="27684AFF">
            <w:pPr>
              <w:widowControl/>
              <w:jc w:val="left"/>
              <w:textAlignment w:val="center"/>
              <w:rPr>
                <w:rFonts w:ascii="宋体" w:hAnsi="宋体" w:cs="宋体"/>
                <w:b/>
                <w:color w:val="000000"/>
                <w:kern w:val="0"/>
                <w:sz w:val="22"/>
                <w:szCs w:val="22"/>
                <w:lang w:bidi="ar"/>
              </w:rPr>
            </w:pPr>
            <w:r>
              <w:rPr>
                <w:rFonts w:hint="eastAsia" w:ascii="宋体" w:hAnsi="宋体" w:cs="宋体"/>
                <w:b/>
                <w:color w:val="000000"/>
                <w:kern w:val="0"/>
                <w:sz w:val="22"/>
                <w:szCs w:val="22"/>
                <w:lang w:bidi="ar"/>
              </w:rPr>
              <w:t>前庭功能检查系统</w:t>
            </w:r>
          </w:p>
        </w:tc>
        <w:tc>
          <w:tcPr>
            <w:tcW w:w="894" w:type="dxa"/>
            <w:tcBorders>
              <w:top w:val="single" w:color="auto" w:sz="4" w:space="0"/>
              <w:left w:val="single" w:color="auto" w:sz="4" w:space="0"/>
              <w:bottom w:val="single" w:color="auto" w:sz="4" w:space="0"/>
              <w:right w:val="single" w:color="auto" w:sz="4" w:space="0"/>
            </w:tcBorders>
            <w:vAlign w:val="center"/>
          </w:tcPr>
          <w:p w14:paraId="5EDE3ACB">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1项</w:t>
            </w:r>
          </w:p>
        </w:tc>
        <w:tc>
          <w:tcPr>
            <w:tcW w:w="5612" w:type="dxa"/>
            <w:tcBorders>
              <w:top w:val="single" w:color="auto" w:sz="4" w:space="0"/>
              <w:left w:val="single" w:color="auto" w:sz="4" w:space="0"/>
              <w:bottom w:val="single" w:color="auto" w:sz="4" w:space="0"/>
              <w:right w:val="single" w:color="auto" w:sz="4" w:space="0"/>
            </w:tcBorders>
            <w:vAlign w:val="center"/>
          </w:tcPr>
          <w:p w14:paraId="46954C7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一、系统性能：</w:t>
            </w:r>
          </w:p>
          <w:p w14:paraId="14CC1539">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（1）输入:双眼/四通道；完全双眼测试（同时采集双眼信号）</w:t>
            </w:r>
          </w:p>
          <w:p w14:paraId="43E32CD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（2）分辨率：±0.1o （水平和垂直）</w:t>
            </w:r>
          </w:p>
          <w:p w14:paraId="28B9461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（3）眼罩线性系数：±1%可测范围全角度</w:t>
            </w:r>
          </w:p>
          <w:p w14:paraId="056634C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（4）采样率：60Hz±10%所有测试</w:t>
            </w:r>
          </w:p>
          <w:p w14:paraId="1D93A94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（5）追踪眼球范围：±30 o   </w:t>
            </w:r>
          </w:p>
          <w:p w14:paraId="0981009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二、视靶参数：</w:t>
            </w:r>
          </w:p>
          <w:p w14:paraId="507DEE1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（1）视靶结构：圆弧形</w:t>
            </w:r>
          </w:p>
          <w:p w14:paraId="4C54F39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（2）视野：大视野，视角≥90°</w:t>
            </w:r>
          </w:p>
          <w:p w14:paraId="4CC1BD2F">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（3）旋转：≥90o （水平和垂直）</w:t>
            </w:r>
          </w:p>
          <w:p w14:paraId="6F48C8B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（4）测距：自动测量病人到视靶的距离</w:t>
            </w:r>
          </w:p>
          <w:p w14:paraId="11110B7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（5）目标物：≥8个目标物</w:t>
            </w:r>
          </w:p>
          <w:p w14:paraId="16781AF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（6）目标位置：凝视目标±30 o</w:t>
            </w:r>
          </w:p>
          <w:p w14:paraId="07C18019">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（7）安装：可移动</w:t>
            </w:r>
          </w:p>
          <w:p w14:paraId="16FC379F">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三、视频眼罩参数：</w:t>
            </w:r>
          </w:p>
          <w:p w14:paraId="06789FC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（1）结构：双眼贯通式，带遮光罩</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val="en-US" w:eastAsia="zh-CN" w:bidi="ar"/>
              </w:rPr>
              <w:t xml:space="preserve">     </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（2）视野： 大视野，视角≥90°</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p>
          <w:p w14:paraId="60A475DD">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（3）眼动采集：双红外CCD，位于眼睛的前下方（防眼睑下垂技术）；</w:t>
            </w:r>
          </w:p>
          <w:p w14:paraId="3843967E">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四、电源参数</w:t>
            </w:r>
          </w:p>
          <w:p w14:paraId="650906B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专业医疗隔离电源</w:t>
            </w:r>
          </w:p>
          <w:p w14:paraId="4683DE9F">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五、电脑配置：</w:t>
            </w:r>
          </w:p>
          <w:p w14:paraId="48D448C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处理器：pentium 双核， ≥2GB内存，≥500G硬盘，USB2.0接口 </w:t>
            </w:r>
          </w:p>
          <w:p w14:paraId="1E30261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六、系统检查功能：</w:t>
            </w:r>
          </w:p>
          <w:p w14:paraId="233A0FE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（1）自发性眼震检查</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w:t>
            </w:r>
          </w:p>
          <w:p w14:paraId="1EE1DCD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（2）变位性眼震检查</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w:t>
            </w:r>
          </w:p>
          <w:p w14:paraId="7A33684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（3）转颈性眼震检查</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w:t>
            </w:r>
            <w:r>
              <w:rPr>
                <w:rFonts w:hint="eastAsia" w:ascii="宋体" w:hAnsi="宋体" w:cs="宋体"/>
                <w:color w:val="000000"/>
                <w:kern w:val="0"/>
                <w:sz w:val="22"/>
                <w:szCs w:val="22"/>
                <w:lang w:bidi="ar"/>
              </w:rPr>
              <w:tab/>
            </w:r>
          </w:p>
          <w:p w14:paraId="56B11CD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（4）凝视性眼震检查</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w:t>
            </w:r>
          </w:p>
          <w:p w14:paraId="0EC5FB7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（5）位置性眼震检查                </w:t>
            </w:r>
          </w:p>
          <w:p w14:paraId="50230F0D">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（6）扫视检查                      </w:t>
            </w:r>
          </w:p>
          <w:p w14:paraId="709E46A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（7）跟踪检查</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w:t>
            </w:r>
          </w:p>
          <w:p w14:paraId="1DBAD63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（8）视动性眼震检查</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w:t>
            </w:r>
          </w:p>
          <w:p w14:paraId="269C750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（9）温度性眼震检查                </w:t>
            </w:r>
          </w:p>
          <w:p w14:paraId="74E7D56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（10）记忆扫视检查                  </w:t>
            </w:r>
          </w:p>
          <w:p w14:paraId="12F0AD0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（11）动态视力检查（DVA）         </w:t>
            </w:r>
          </w:p>
          <w:p w14:paraId="5B1FA70A">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（12）凝视稳定性检查（GST）       </w:t>
            </w:r>
          </w:p>
          <w:p w14:paraId="19923404">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 xml:space="preserve">（13）主观垂直线检查（SVV）      </w:t>
            </w:r>
          </w:p>
          <w:p w14:paraId="4A29DFFC">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（14）瞳孔测量检查</w:t>
            </w:r>
          </w:p>
          <w:p w14:paraId="20C48336">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 xml:space="preserve">（15）新斯的明检查                 </w:t>
            </w:r>
          </w:p>
          <w:p w14:paraId="6D3B924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（16）预扫视（大脑皮层功能检查）</w:t>
            </w:r>
          </w:p>
          <w:p w14:paraId="77B02EE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（17）正记忆扫视</w:t>
            </w:r>
          </w:p>
          <w:p w14:paraId="716E2DD4">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（18）反记忆扫视    </w:t>
            </w:r>
          </w:p>
          <w:p w14:paraId="1BFAA5C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七、软件要求：</w:t>
            </w:r>
          </w:p>
          <w:p w14:paraId="3ABBA06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（1）视频影像处理技术：</w:t>
            </w:r>
          </w:p>
          <w:p w14:paraId="199B290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双眼影像显示、存储、回放，双眼眼动数据分析，资料可永久保存。</w:t>
            </w:r>
          </w:p>
          <w:p w14:paraId="6A7CD0F9">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（2）联合检索技术：任意组合检索或单独检索</w:t>
            </w:r>
          </w:p>
          <w:p w14:paraId="7DBA8392">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      各种条件的联合检索，快速找到所要的病历，有利于整理和科研。</w:t>
            </w:r>
          </w:p>
        </w:tc>
      </w:tr>
      <w:tr w14:paraId="7F3E8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65A786C4">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w:t>
            </w:r>
          </w:p>
        </w:tc>
        <w:tc>
          <w:tcPr>
            <w:tcW w:w="1486" w:type="dxa"/>
            <w:tcBorders>
              <w:top w:val="single" w:color="auto" w:sz="4" w:space="0"/>
              <w:left w:val="single" w:color="auto" w:sz="4" w:space="0"/>
              <w:bottom w:val="single" w:color="auto" w:sz="4" w:space="0"/>
              <w:right w:val="single" w:color="auto" w:sz="4" w:space="0"/>
            </w:tcBorders>
            <w:vAlign w:val="center"/>
          </w:tcPr>
          <w:p w14:paraId="3A01B5C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脑电图</w:t>
            </w:r>
          </w:p>
        </w:tc>
        <w:tc>
          <w:tcPr>
            <w:tcW w:w="894" w:type="dxa"/>
            <w:tcBorders>
              <w:top w:val="single" w:color="auto" w:sz="4" w:space="0"/>
              <w:left w:val="single" w:color="auto" w:sz="4" w:space="0"/>
              <w:bottom w:val="single" w:color="auto" w:sz="4" w:space="0"/>
              <w:right w:val="single" w:color="auto" w:sz="4" w:space="0"/>
            </w:tcBorders>
            <w:vAlign w:val="center"/>
          </w:tcPr>
          <w:p w14:paraId="17279382">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1项</w:t>
            </w:r>
          </w:p>
        </w:tc>
        <w:tc>
          <w:tcPr>
            <w:tcW w:w="5612" w:type="dxa"/>
            <w:tcBorders>
              <w:top w:val="single" w:color="auto" w:sz="4" w:space="0"/>
              <w:left w:val="single" w:color="auto" w:sz="4" w:space="0"/>
              <w:bottom w:val="single" w:color="auto" w:sz="4" w:space="0"/>
              <w:right w:val="single" w:color="auto" w:sz="4" w:space="0"/>
            </w:tcBorders>
            <w:vAlign w:val="center"/>
          </w:tcPr>
          <w:p w14:paraId="62DB6EF8">
            <w:pPr>
              <w:widowControl/>
              <w:numPr>
                <w:ilvl w:val="0"/>
                <w:numId w:val="4"/>
              </w:numPr>
              <w:spacing w:line="240" w:lineRule="auto"/>
              <w:ind w:left="432" w:leftChars="0" w:hanging="420" w:firstLineChars="0"/>
              <w:jc w:val="left"/>
              <w:textAlignment w:val="center"/>
              <w:rPr>
                <w:rFonts w:hint="default" w:ascii="宋体" w:hAnsi="宋体" w:eastAsia="宋体" w:cs="宋体"/>
                <w:b w:val="0"/>
                <w:bCs w:val="0"/>
                <w:i w:val="0"/>
                <w:iCs w:val="0"/>
                <w:color w:val="000000"/>
                <w:kern w:val="0"/>
                <w:sz w:val="22"/>
                <w:szCs w:val="22"/>
                <w:highlight w:val="none"/>
                <w:vertAlign w:val="baseline"/>
                <w:lang w:val="en-US" w:eastAsia="zh-CN" w:bidi="ar-SA"/>
              </w:rPr>
            </w:pPr>
            <w:r>
              <w:rPr>
                <w:rFonts w:hint="default" w:ascii="宋体" w:hAnsi="宋体" w:eastAsia="宋体" w:cs="宋体"/>
                <w:b w:val="0"/>
                <w:bCs w:val="0"/>
                <w:i w:val="0"/>
                <w:iCs w:val="0"/>
                <w:color w:val="000000"/>
                <w:kern w:val="0"/>
                <w:sz w:val="22"/>
                <w:szCs w:val="22"/>
                <w:highlight w:val="none"/>
                <w:vertAlign w:val="baseline"/>
                <w:lang w:val="en-US" w:eastAsia="zh-CN" w:bidi="ar-SA"/>
              </w:rPr>
              <w:t>技术参数指标：</w:t>
            </w:r>
          </w:p>
          <w:p w14:paraId="58B7BDD3">
            <w:pPr>
              <w:widowControl/>
              <w:numPr>
                <w:ilvl w:val="0"/>
                <w:numId w:val="0"/>
              </w:numPr>
              <w:spacing w:line="240" w:lineRule="auto"/>
              <w:ind w:left="12" w:leftChars="0"/>
              <w:jc w:val="left"/>
              <w:textAlignment w:val="center"/>
            </w:pPr>
            <w:r>
              <w:rPr>
                <w:rFonts w:hint="default" w:ascii="宋体" w:hAnsi="宋体" w:eastAsia="宋体" w:cs="宋体"/>
                <w:b w:val="0"/>
                <w:bCs w:val="0"/>
                <w:i w:val="0"/>
                <w:iCs w:val="0"/>
                <w:color w:val="000000"/>
                <w:kern w:val="0"/>
                <w:sz w:val="22"/>
                <w:szCs w:val="22"/>
                <w:highlight w:val="none"/>
                <w:vertAlign w:val="baseline"/>
                <w:lang w:val="en-US" w:eastAsia="zh-CN" w:bidi="ar-SA"/>
              </w:rPr>
              <w:t>1.脑电32通道放大器：24导EEG+8导双极自定义；</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2.高精度A/D采样分辨率：24bit；</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3.噪声电平：≤0.3μVrms，共模：≥105dB，输入阻抗：≥3000MΩ；</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4.功率谱频谱：误差≤±5%，功率谱幅度：偏差≤±10%；5.灵敏度：10、20、25、30、40、50、70、80、100、120、150、200、300、500、800、1000、1600（单位μV/cm），当10μV/cm时，误差≤±5％；</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6.时间常数/低频滤波：None、0.01s（16Hz）、0.02s(8Hz)、0.03s(5.3Hz)、0.1s(1.6Hz)、0.2s(0.8Hz)、0.3s（0.53Hz）、1s(0.16Hz)、2s(0.08Hz)、3s(0.053Hz)；7.低通/高频滤波：None、5HZ、10HZ、15Hz、20HZ、30Hz、40Hz、60Hz、70Hz、100Hz、120Hz；</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8.回放模式：手动翻页、逐秒、快捷键盘翻页、自动播放、自动翻页播放，指定时间和事件跳转；</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eastAsia" w:ascii="宋体" w:hAnsi="宋体" w:cs="宋体"/>
                <w:b w:val="0"/>
                <w:bCs w:val="0"/>
                <w:i w:val="0"/>
                <w:iCs w:val="0"/>
                <w:color w:val="000000"/>
                <w:kern w:val="0"/>
                <w:sz w:val="22"/>
                <w:szCs w:val="22"/>
                <w:highlight w:val="none"/>
                <w:vertAlign w:val="baseline"/>
                <w:lang w:val="en-US" w:eastAsia="zh-CN" w:bidi="ar-SA"/>
              </w:rPr>
              <w:t>9</w:t>
            </w:r>
            <w:r>
              <w:rPr>
                <w:rFonts w:hint="default" w:ascii="宋体" w:hAnsi="宋体" w:eastAsia="宋体" w:cs="宋体"/>
                <w:b w:val="0"/>
                <w:bCs w:val="0"/>
                <w:i w:val="0"/>
                <w:iCs w:val="0"/>
                <w:color w:val="000000"/>
                <w:kern w:val="0"/>
                <w:sz w:val="22"/>
                <w:szCs w:val="22"/>
                <w:highlight w:val="none"/>
                <w:vertAlign w:val="baseline"/>
                <w:lang w:val="en-US" w:eastAsia="zh-CN" w:bidi="ar-SA"/>
              </w:rPr>
              <w:t>.波形回放速度：1、2、5、10、20、40、50、70、120、150倍速；</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二、功能要求：</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eastAsia" w:ascii="宋体" w:hAnsi="宋体" w:eastAsia="宋体" w:cs="宋体"/>
                <w:kern w:val="0"/>
                <w:sz w:val="24"/>
              </w:rPr>
              <w:t>▲</w:t>
            </w:r>
            <w:r>
              <w:rPr>
                <w:rFonts w:hint="default" w:ascii="宋体" w:hAnsi="宋体" w:eastAsia="宋体" w:cs="宋体"/>
                <w:b w:val="0"/>
                <w:bCs w:val="0"/>
                <w:i w:val="0"/>
                <w:iCs w:val="0"/>
                <w:color w:val="000000"/>
                <w:kern w:val="0"/>
                <w:sz w:val="22"/>
                <w:szCs w:val="22"/>
                <w:highlight w:val="none"/>
                <w:vertAlign w:val="baseline"/>
                <w:lang w:val="en-US" w:eastAsia="zh-CN" w:bidi="ar-SA"/>
              </w:rPr>
              <w:t>1.抗干扰：放大器采用无线数据传输通讯协议，全直流供电模式</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eastAsia" w:ascii="宋体" w:hAnsi="宋体" w:cs="宋体"/>
                <w:vanish/>
                <w:kern w:val="0"/>
                <w:sz w:val="24"/>
              </w:rPr>
              <w:tab/>
            </w:r>
            <w:r>
              <w:rPr>
                <w:rFonts w:hint="eastAsia" w:ascii="宋体" w:hAnsi="宋体" w:cs="宋体"/>
                <w:vanish/>
                <w:kern w:val="0"/>
                <w:sz w:val="24"/>
              </w:rPr>
              <w:tab/>
            </w:r>
            <w:r>
              <w:rPr>
                <w:rFonts w:hint="eastAsia" w:ascii="宋体" w:hAnsi="宋体" w:cs="宋体"/>
                <w:vanish/>
                <w:kern w:val="0"/>
                <w:sz w:val="24"/>
              </w:rPr>
              <w:t>12</w:t>
            </w:r>
            <w:r>
              <w:rPr>
                <w:rFonts w:hint="eastAsia" w:ascii="宋体" w:hAnsi="宋体" w:cs="宋体"/>
                <w:vanish/>
                <w:kern w:val="0"/>
                <w:sz w:val="24"/>
              </w:rPr>
              <w:tab/>
            </w:r>
            <w:r>
              <w:rPr>
                <w:rFonts w:hint="eastAsia" w:ascii="宋体" w:hAnsi="宋体" w:eastAsia="宋体" w:cs="宋体"/>
                <w:kern w:val="0"/>
                <w:sz w:val="24"/>
              </w:rPr>
              <w:t>▲</w:t>
            </w:r>
            <w:r>
              <w:rPr>
                <w:rFonts w:hint="default" w:ascii="宋体" w:hAnsi="宋体" w:eastAsia="宋体" w:cs="宋体"/>
                <w:b w:val="0"/>
                <w:bCs w:val="0"/>
                <w:i w:val="0"/>
                <w:iCs w:val="0"/>
                <w:color w:val="000000"/>
                <w:kern w:val="0"/>
                <w:sz w:val="22"/>
                <w:szCs w:val="22"/>
                <w:highlight w:val="none"/>
                <w:vertAlign w:val="baseline"/>
                <w:lang w:val="en-US" w:eastAsia="zh-CN" w:bidi="ar-SA"/>
              </w:rPr>
              <w:t>2.动态32通道放大器：采用可充电锂电池供电，内存16G；放大器内置液晶屏，可以显示放大器连接状态、日期、动态记录时长、电池电量、查看每一导波形，设有按钮进行动态事件标记；</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eastAsia" w:ascii="宋体" w:hAnsi="宋体" w:eastAsia="宋体" w:cs="宋体"/>
                <w:kern w:val="0"/>
                <w:sz w:val="24"/>
              </w:rPr>
              <w:t>▲</w:t>
            </w:r>
            <w:r>
              <w:rPr>
                <w:rFonts w:hint="default" w:ascii="宋体" w:hAnsi="宋体" w:eastAsia="宋体" w:cs="宋体"/>
                <w:b w:val="0"/>
                <w:bCs w:val="0"/>
                <w:i w:val="0"/>
                <w:iCs w:val="0"/>
                <w:color w:val="000000"/>
                <w:kern w:val="0"/>
                <w:sz w:val="22"/>
                <w:szCs w:val="22"/>
                <w:highlight w:val="none"/>
                <w:vertAlign w:val="baseline"/>
                <w:lang w:val="en-US" w:eastAsia="zh-CN" w:bidi="ar-SA"/>
              </w:rPr>
              <w:t>3.放大器可自定义设置通道，如：24导EEG+8导双极（ECG/SEMG任设，如1导ECG+7导SEMG等导联）；</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4.阻抗检测功能：软件界面上启动阻抗检测，数值实时现实，并能设定阈值提醒；</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5.具有电极脱落实时监测功能：采集/记录过程中，电极脱落报警；</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6.功能概述：视频脑电图、常规脑电图、脑电地形图、振幅整合aEEG、qEEG脑功能定量分析实时监护等；</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7.地形图图谱：对任意波形分析显示脑地形图，可转换曲线/百分比/直方图/数字地形图等能量频谱；</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8.实时回放：在检测记录同时，可对之前的患者病历进行回访/分析/报告；</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9.导联方式：记录或回放，任意切换，任意编辑，如：单/双/平均/自定义任意导联模式编辑；</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10.棘波分析：棘波分析功能，可自动识别并标记出癫痫病理波，方便医生判断；</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11.高清视频控制：通过软件控制视频角度、远近、放大；波形与视频同步记录同步回放；</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12.闪光刺激器：刺激频率1Hz～30Hz,30个频段；单一频率刺激时间5s～60s,56个时长；刺激时间间隔0s～10s,超过10种时间段选择；最多可设置成50个阶段刺激方案；</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13.脑功能监护报警功能：可设置开启后，根据患者实时情况自动声音、图示报警；</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14.具备aEEG振幅整合幅度图实时显示：监测是否存在脑缺氧、缺血的情况，监测/记录持续癫痫状态；</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15.振幅整合：经（振幅整合、半对数压缩），实时反映病人大脑功能状态，aEEG的参考标线可同时显示1、2、3、4、5、10、25、50、100、200，并有包络图功能可供选择；</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16.具备qEEG（定量脑电图）10种定量分析参数：能量曲线、相对能量、中频指数、边频指数、爆发抑制比、快慢波比、肌电指数、双谱指数、近似熵/样本熵、状态熵/反应熵( RE/SE)；</w:t>
            </w:r>
          </w:p>
          <w:p w14:paraId="49110445">
            <w:pPr>
              <w:widowControl/>
              <w:spacing w:line="240" w:lineRule="auto"/>
              <w:jc w:val="left"/>
              <w:textAlignment w:val="center"/>
            </w:pPr>
            <w:r>
              <w:rPr>
                <w:rFonts w:hint="eastAsia" w:ascii="宋体" w:hAnsi="宋体" w:eastAsia="宋体" w:cs="宋体"/>
                <w:kern w:val="0"/>
                <w:sz w:val="24"/>
              </w:rPr>
              <w:t>▲</w:t>
            </w:r>
            <w:r>
              <w:rPr>
                <w:rFonts w:hint="default" w:ascii="宋体" w:hAnsi="宋体" w:eastAsia="宋体" w:cs="宋体"/>
                <w:b w:val="0"/>
                <w:bCs w:val="0"/>
                <w:i w:val="0"/>
                <w:iCs w:val="0"/>
                <w:color w:val="000000"/>
                <w:kern w:val="0"/>
                <w:sz w:val="22"/>
                <w:szCs w:val="22"/>
                <w:highlight w:val="none"/>
                <w:vertAlign w:val="baseline"/>
                <w:lang w:val="en-US" w:eastAsia="zh-CN" w:bidi="ar-SA"/>
              </w:rPr>
              <w:t>17.能与本院原有脑电图组成网络化脑电，支持远程脑电</w:t>
            </w:r>
          </w:p>
          <w:p w14:paraId="06A78123">
            <w:pPr>
              <w:pStyle w:val="99"/>
              <w:widowControl/>
              <w:numPr>
                <w:ilvl w:val="0"/>
                <w:numId w:val="0"/>
              </w:numPr>
              <w:ind w:left="432" w:leftChars="0" w:hanging="432" w:firstLineChars="0"/>
              <w:jc w:val="left"/>
              <w:textAlignment w:val="center"/>
              <w:rPr>
                <w:rFonts w:ascii="宋体" w:hAnsi="宋体" w:cs="宋体"/>
                <w:color w:val="000000"/>
                <w:kern w:val="0"/>
                <w:sz w:val="22"/>
                <w:szCs w:val="22"/>
                <w:lang w:bidi="ar"/>
              </w:rPr>
            </w:pPr>
            <w:r>
              <w:rPr>
                <w:rFonts w:hint="default" w:ascii="宋体" w:hAnsi="宋体" w:eastAsia="宋体" w:cs="宋体"/>
                <w:b w:val="0"/>
                <w:bCs w:val="0"/>
                <w:i w:val="0"/>
                <w:iCs w:val="0"/>
                <w:color w:val="000000"/>
                <w:kern w:val="0"/>
                <w:sz w:val="22"/>
                <w:szCs w:val="22"/>
                <w:highlight w:val="none"/>
                <w:vertAlign w:val="baseline"/>
                <w:lang w:val="en-US" w:eastAsia="zh-CN" w:bidi="ar-SA"/>
              </w:rPr>
              <w:t>三.数字化视频脑电图仪配置清单主要组成部分 品名 数量工作站部分 电脑主机 1套打印机 1套脑电图软件系统 1台移动台车 1辆放大器及支持部分 32导动态脑电放大盒 1个放大盒背包 1个无线脑电接收器 1个网线 1套移动电源 1个视频系统 1套闪光刺激器 1套盘状电极导联线 1套自定义双极导线 1套支架电极导联线 1套围脖 1个心电电极片 10片导电膏 1盒资料 保修卡 1张脑电图仪合格证 1张脑电图说明书 1套</w:t>
            </w:r>
          </w:p>
        </w:tc>
      </w:tr>
    </w:tbl>
    <w:p w14:paraId="794E5031">
      <w:pPr>
        <w:rPr>
          <w:rFonts w:asciiTheme="majorEastAsia" w:hAnsiTheme="majorEastAsia" w:eastAsiaTheme="majorEastAsia" w:cstheme="majorEastAsia"/>
          <w:b/>
          <w:sz w:val="24"/>
          <w:u w:val="single"/>
        </w:rPr>
      </w:pPr>
    </w:p>
    <w:p w14:paraId="5A8230A7">
      <w:pPr>
        <w:rPr>
          <w:rFonts w:asciiTheme="majorEastAsia" w:hAnsiTheme="majorEastAsia" w:eastAsiaTheme="majorEastAsia" w:cstheme="majorEastAsia"/>
          <w:b/>
          <w:sz w:val="24"/>
          <w:u w:val="single"/>
        </w:rPr>
      </w:pPr>
    </w:p>
    <w:p w14:paraId="5742DF06">
      <w:pPr>
        <w:rPr>
          <w:rFonts w:asciiTheme="majorEastAsia" w:hAnsiTheme="majorEastAsia" w:eastAsiaTheme="majorEastAsia" w:cstheme="majorEastAsia"/>
          <w:b/>
          <w:sz w:val="24"/>
          <w:u w:val="single"/>
        </w:rPr>
      </w:pPr>
    </w:p>
    <w:p w14:paraId="66E3D1D6">
      <w:pPr>
        <w:rPr>
          <w:rFonts w:asciiTheme="majorEastAsia" w:hAnsiTheme="majorEastAsia" w:eastAsiaTheme="majorEastAsia" w:cstheme="majorEastAsia"/>
          <w:b/>
          <w:sz w:val="24"/>
          <w:u w:val="single"/>
        </w:rPr>
      </w:pPr>
    </w:p>
    <w:p w14:paraId="669131E8">
      <w:pPr>
        <w:rPr>
          <w:rFonts w:asciiTheme="majorEastAsia" w:hAnsiTheme="majorEastAsia" w:eastAsiaTheme="majorEastAsia" w:cstheme="majorEastAsia"/>
          <w:b/>
          <w:sz w:val="24"/>
          <w:u w:val="single"/>
        </w:rPr>
      </w:pPr>
    </w:p>
    <w:p w14:paraId="4A351502">
      <w:pPr>
        <w:rPr>
          <w:rFonts w:asciiTheme="majorEastAsia" w:hAnsiTheme="majorEastAsia" w:eastAsiaTheme="majorEastAsia" w:cstheme="majorEastAsia"/>
          <w:b/>
          <w:sz w:val="24"/>
          <w:u w:val="single"/>
        </w:rPr>
      </w:pPr>
    </w:p>
    <w:p w14:paraId="56F32B08">
      <w:pPr>
        <w:rPr>
          <w:rFonts w:asciiTheme="majorEastAsia" w:hAnsiTheme="majorEastAsia" w:eastAsiaTheme="majorEastAsia" w:cstheme="majorEastAsia"/>
          <w:b/>
          <w:sz w:val="24"/>
          <w:u w:val="single"/>
        </w:rPr>
      </w:pPr>
    </w:p>
    <w:p w14:paraId="5D14309E">
      <w:pPr>
        <w:rPr>
          <w:rFonts w:asciiTheme="majorEastAsia" w:hAnsiTheme="majorEastAsia" w:eastAsiaTheme="majorEastAsia" w:cstheme="majorEastAsia"/>
          <w:b/>
          <w:sz w:val="24"/>
          <w:u w:val="single"/>
        </w:rPr>
      </w:pPr>
    </w:p>
    <w:p w14:paraId="7A31079A">
      <w:pPr>
        <w:rPr>
          <w:rFonts w:asciiTheme="majorEastAsia" w:hAnsiTheme="majorEastAsia" w:eastAsiaTheme="majorEastAsia" w:cstheme="majorEastAsia"/>
          <w:b/>
          <w:sz w:val="24"/>
          <w:u w:val="single"/>
        </w:rPr>
      </w:pPr>
    </w:p>
    <w:p w14:paraId="3884116B">
      <w:pPr>
        <w:rPr>
          <w:rFonts w:asciiTheme="majorEastAsia" w:hAnsiTheme="majorEastAsia" w:eastAsiaTheme="majorEastAsia" w:cstheme="majorEastAsia"/>
          <w:b/>
          <w:sz w:val="24"/>
          <w:u w:val="single"/>
        </w:rPr>
      </w:pPr>
    </w:p>
    <w:p w14:paraId="3FF91248">
      <w:pPr>
        <w:rPr>
          <w:rFonts w:asciiTheme="majorEastAsia" w:hAnsiTheme="majorEastAsia" w:eastAsiaTheme="majorEastAsia" w:cstheme="majorEastAsia"/>
          <w:b/>
          <w:sz w:val="24"/>
          <w:u w:val="single"/>
        </w:rPr>
      </w:pPr>
    </w:p>
    <w:p w14:paraId="2B505EF2">
      <w:pPr>
        <w:rPr>
          <w:rFonts w:asciiTheme="majorEastAsia" w:hAnsiTheme="majorEastAsia" w:eastAsiaTheme="majorEastAsia" w:cstheme="majorEastAsia"/>
          <w:b/>
          <w:sz w:val="24"/>
          <w:u w:val="single"/>
        </w:rPr>
      </w:pPr>
    </w:p>
    <w:p w14:paraId="69016272">
      <w:pPr>
        <w:rPr>
          <w:rFonts w:asciiTheme="majorEastAsia" w:hAnsiTheme="majorEastAsia" w:eastAsiaTheme="majorEastAsia" w:cstheme="majorEastAsia"/>
          <w:b/>
          <w:sz w:val="24"/>
          <w:u w:val="single"/>
        </w:rPr>
      </w:pPr>
    </w:p>
    <w:p w14:paraId="7C5E25F7">
      <w:pPr>
        <w:rPr>
          <w:rFonts w:asciiTheme="majorEastAsia" w:hAnsiTheme="majorEastAsia" w:eastAsiaTheme="majorEastAsia" w:cstheme="majorEastAsia"/>
          <w:b/>
          <w:sz w:val="24"/>
          <w:u w:val="single"/>
        </w:rPr>
      </w:pPr>
    </w:p>
    <w:p w14:paraId="29161112">
      <w:pPr>
        <w:rPr>
          <w:rFonts w:asciiTheme="majorEastAsia" w:hAnsiTheme="majorEastAsia" w:eastAsiaTheme="majorEastAsia" w:cstheme="majorEastAsia"/>
          <w:b/>
          <w:sz w:val="24"/>
          <w:u w:val="single"/>
        </w:rPr>
      </w:pPr>
    </w:p>
    <w:p w14:paraId="25488ECB">
      <w:pPr>
        <w:rPr>
          <w:rFonts w:asciiTheme="majorEastAsia" w:hAnsiTheme="majorEastAsia" w:eastAsiaTheme="majorEastAsia" w:cstheme="majorEastAsia"/>
          <w:b/>
          <w:sz w:val="24"/>
          <w:u w:val="single"/>
        </w:rPr>
      </w:pPr>
    </w:p>
    <w:p w14:paraId="57C4F995">
      <w:pPr>
        <w:rPr>
          <w:rFonts w:asciiTheme="majorEastAsia" w:hAnsiTheme="majorEastAsia" w:eastAsiaTheme="majorEastAsia" w:cstheme="majorEastAsia"/>
          <w:b/>
          <w:sz w:val="24"/>
          <w:u w:val="single"/>
        </w:rPr>
      </w:pPr>
    </w:p>
    <w:p w14:paraId="2618D795">
      <w:pPr>
        <w:rPr>
          <w:rFonts w:asciiTheme="majorEastAsia" w:hAnsiTheme="majorEastAsia" w:eastAsiaTheme="majorEastAsia" w:cstheme="majorEastAsia"/>
          <w:b/>
          <w:sz w:val="24"/>
          <w:u w:val="single"/>
        </w:rPr>
      </w:pPr>
    </w:p>
    <w:p w14:paraId="467EA406">
      <w:pPr>
        <w:rPr>
          <w:rFonts w:asciiTheme="majorEastAsia" w:hAnsiTheme="majorEastAsia" w:eastAsiaTheme="majorEastAsia" w:cstheme="majorEastAsia"/>
          <w:b/>
          <w:sz w:val="24"/>
          <w:u w:val="single"/>
        </w:rPr>
      </w:pPr>
    </w:p>
    <w:p w14:paraId="0139FABF">
      <w:pPr>
        <w:rPr>
          <w:rFonts w:asciiTheme="majorEastAsia" w:hAnsiTheme="majorEastAsia" w:eastAsiaTheme="majorEastAsia" w:cstheme="majorEastAsia"/>
          <w:b/>
          <w:sz w:val="24"/>
          <w:u w:val="single"/>
        </w:rPr>
      </w:pPr>
    </w:p>
    <w:p w14:paraId="4FECBACC">
      <w:pPr>
        <w:rPr>
          <w:rFonts w:asciiTheme="majorEastAsia" w:hAnsiTheme="majorEastAsia" w:eastAsiaTheme="majorEastAsia" w:cstheme="majorEastAsia"/>
          <w:b/>
          <w:sz w:val="24"/>
          <w:u w:val="single"/>
        </w:rPr>
      </w:pPr>
    </w:p>
    <w:p w14:paraId="2CB8D21E">
      <w:pPr>
        <w:rPr>
          <w:rFonts w:asciiTheme="majorEastAsia" w:hAnsiTheme="majorEastAsia" w:eastAsiaTheme="majorEastAsia" w:cstheme="majorEastAsia"/>
          <w:b/>
          <w:sz w:val="24"/>
          <w:u w:val="single"/>
        </w:rPr>
      </w:pPr>
    </w:p>
    <w:p w14:paraId="127B117F">
      <w:pPr>
        <w:rPr>
          <w:rFonts w:asciiTheme="majorEastAsia" w:hAnsiTheme="majorEastAsia" w:eastAsiaTheme="majorEastAsia" w:cstheme="majorEastAsia"/>
          <w:b/>
          <w:sz w:val="24"/>
          <w:u w:val="single"/>
        </w:rPr>
      </w:pPr>
    </w:p>
    <w:p w14:paraId="14BE92CB">
      <w:pPr>
        <w:rPr>
          <w:rFonts w:asciiTheme="majorEastAsia" w:hAnsiTheme="majorEastAsia" w:eastAsiaTheme="majorEastAsia" w:cstheme="majorEastAsia"/>
          <w:b/>
          <w:sz w:val="24"/>
          <w:u w:val="single"/>
        </w:rPr>
      </w:pPr>
    </w:p>
    <w:p w14:paraId="12483F75">
      <w:pPr>
        <w:rPr>
          <w:rFonts w:asciiTheme="majorEastAsia" w:hAnsiTheme="majorEastAsia" w:eastAsiaTheme="majorEastAsia" w:cstheme="majorEastAsia"/>
          <w:b/>
          <w:sz w:val="24"/>
          <w:u w:val="single"/>
        </w:rPr>
      </w:pPr>
    </w:p>
    <w:p w14:paraId="46534CEF">
      <w:pPr>
        <w:rPr>
          <w:rFonts w:asciiTheme="majorEastAsia" w:hAnsiTheme="majorEastAsia" w:eastAsiaTheme="majorEastAsia" w:cstheme="majorEastAsia"/>
          <w:b/>
          <w:sz w:val="24"/>
          <w:u w:val="single"/>
        </w:rPr>
      </w:pPr>
    </w:p>
    <w:p w14:paraId="0387F913">
      <w:pPr>
        <w:rPr>
          <w:rFonts w:asciiTheme="majorEastAsia" w:hAnsiTheme="majorEastAsia" w:eastAsiaTheme="majorEastAsia" w:cstheme="majorEastAsia"/>
          <w:b/>
          <w:sz w:val="24"/>
          <w:u w:val="single"/>
        </w:rPr>
      </w:pPr>
    </w:p>
    <w:p w14:paraId="73204132">
      <w:pPr>
        <w:rPr>
          <w:rFonts w:asciiTheme="majorEastAsia" w:hAnsiTheme="majorEastAsia" w:eastAsiaTheme="majorEastAsia" w:cstheme="majorEastAsia"/>
          <w:b/>
          <w:sz w:val="24"/>
          <w:u w:val="single"/>
        </w:rPr>
      </w:pPr>
    </w:p>
    <w:p w14:paraId="3EB05CFE">
      <w:pPr>
        <w:rPr>
          <w:rFonts w:asciiTheme="majorEastAsia" w:hAnsiTheme="majorEastAsia" w:eastAsiaTheme="majorEastAsia" w:cstheme="majorEastAsia"/>
          <w:b/>
          <w:sz w:val="24"/>
          <w:u w:val="single"/>
        </w:rPr>
      </w:pPr>
    </w:p>
    <w:p w14:paraId="57D27D42">
      <w:pPr>
        <w:rPr>
          <w:rFonts w:asciiTheme="majorEastAsia" w:hAnsiTheme="majorEastAsia" w:eastAsiaTheme="majorEastAsia" w:cstheme="majorEastAsia"/>
          <w:b/>
          <w:sz w:val="24"/>
          <w:u w:val="single"/>
        </w:rPr>
      </w:pPr>
    </w:p>
    <w:p w14:paraId="43496EA6">
      <w:pPr>
        <w:rPr>
          <w:rFonts w:asciiTheme="majorEastAsia" w:hAnsiTheme="majorEastAsia" w:eastAsiaTheme="majorEastAsia" w:cstheme="majorEastAsia"/>
          <w:b/>
          <w:sz w:val="24"/>
          <w:u w:val="single"/>
        </w:rPr>
      </w:pPr>
    </w:p>
    <w:p w14:paraId="101EE322">
      <w:pPr>
        <w:rPr>
          <w:rFonts w:asciiTheme="majorEastAsia" w:hAnsiTheme="majorEastAsia" w:eastAsiaTheme="majorEastAsia" w:cstheme="majorEastAsia"/>
          <w:b/>
          <w:sz w:val="24"/>
          <w:u w:val="single"/>
        </w:rPr>
      </w:pPr>
    </w:p>
    <w:p w14:paraId="7B923DE0">
      <w:pPr>
        <w:rPr>
          <w:rFonts w:asciiTheme="majorEastAsia" w:hAnsiTheme="majorEastAsia" w:eastAsiaTheme="majorEastAsia" w:cstheme="majorEastAsia"/>
          <w:b/>
          <w:sz w:val="24"/>
          <w:u w:val="single"/>
        </w:rPr>
      </w:pPr>
    </w:p>
    <w:p w14:paraId="5A11263C">
      <w:pPr>
        <w:rPr>
          <w:rFonts w:asciiTheme="majorEastAsia" w:hAnsiTheme="majorEastAsia" w:eastAsiaTheme="majorEastAsia" w:cstheme="majorEastAsia"/>
          <w:b/>
          <w:sz w:val="24"/>
          <w:u w:val="single"/>
        </w:rPr>
      </w:pPr>
    </w:p>
    <w:p w14:paraId="71B892AF">
      <w:pPr>
        <w:rPr>
          <w:rFonts w:asciiTheme="majorEastAsia" w:hAnsiTheme="majorEastAsia" w:eastAsiaTheme="majorEastAsia" w:cstheme="majorEastAsia"/>
          <w:b/>
          <w:sz w:val="24"/>
          <w:u w:val="single"/>
        </w:rPr>
      </w:pPr>
    </w:p>
    <w:p w14:paraId="7C6BD623">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b/>
          <w:sz w:val="24"/>
          <w:u w:val="single"/>
        </w:rPr>
        <w:t xml:space="preserve">  2  </w:t>
      </w:r>
      <w:r>
        <w:rPr>
          <w:rFonts w:hint="eastAsia" w:asciiTheme="majorEastAsia" w:hAnsiTheme="majorEastAsia" w:eastAsiaTheme="majorEastAsia" w:cstheme="majorEastAsia"/>
          <w:b/>
          <w:sz w:val="24"/>
        </w:rPr>
        <w:t>分标   采购预算：1083400.50元</w:t>
      </w:r>
    </w:p>
    <w:tbl>
      <w:tblPr>
        <w:tblStyle w:val="46"/>
        <w:tblW w:w="82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558"/>
        <w:gridCol w:w="742"/>
        <w:gridCol w:w="5415"/>
      </w:tblGrid>
      <w:tr w14:paraId="3FA81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67" w:type="dxa"/>
            <w:vAlign w:val="center"/>
          </w:tcPr>
          <w:p w14:paraId="6DC86B97">
            <w:pPr>
              <w:tabs>
                <w:tab w:val="left" w:pos="180"/>
                <w:tab w:val="left" w:pos="1620"/>
              </w:tabs>
              <w:spacing w:line="4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序号</w:t>
            </w:r>
          </w:p>
        </w:tc>
        <w:tc>
          <w:tcPr>
            <w:tcW w:w="1558" w:type="dxa"/>
            <w:vAlign w:val="center"/>
          </w:tcPr>
          <w:p w14:paraId="6376AA3F">
            <w:pPr>
              <w:tabs>
                <w:tab w:val="left" w:pos="180"/>
                <w:tab w:val="left" w:pos="1620"/>
              </w:tabs>
              <w:spacing w:line="4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标的名称</w:t>
            </w:r>
          </w:p>
        </w:tc>
        <w:tc>
          <w:tcPr>
            <w:tcW w:w="742" w:type="dxa"/>
            <w:vAlign w:val="center"/>
          </w:tcPr>
          <w:p w14:paraId="702EE5DF">
            <w:pPr>
              <w:tabs>
                <w:tab w:val="left" w:pos="180"/>
                <w:tab w:val="left" w:pos="1620"/>
              </w:tabs>
              <w:spacing w:line="4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数量单位</w:t>
            </w:r>
          </w:p>
        </w:tc>
        <w:tc>
          <w:tcPr>
            <w:tcW w:w="5415" w:type="dxa"/>
            <w:vAlign w:val="center"/>
          </w:tcPr>
          <w:p w14:paraId="63B35A4F">
            <w:pPr>
              <w:tabs>
                <w:tab w:val="left" w:pos="180"/>
                <w:tab w:val="left" w:pos="1620"/>
              </w:tabs>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技术要求</w:t>
            </w:r>
          </w:p>
        </w:tc>
      </w:tr>
      <w:tr w14:paraId="30367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D8BC2AB">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w:t>
            </w:r>
          </w:p>
        </w:tc>
        <w:tc>
          <w:tcPr>
            <w:tcW w:w="1558" w:type="dxa"/>
            <w:vAlign w:val="center"/>
          </w:tcPr>
          <w:p w14:paraId="3DBDF1BA">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包埋机</w:t>
            </w:r>
          </w:p>
        </w:tc>
        <w:tc>
          <w:tcPr>
            <w:tcW w:w="742" w:type="dxa"/>
            <w:vAlign w:val="center"/>
          </w:tcPr>
          <w:p w14:paraId="46544FA7">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260C27E8">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一、包埋机要求：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1.加热器温度设定范围:室温-99℃；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2.温度显示误差:≤士1℃；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3.蜡缸容积:≥5L；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4.功率:≤1500W；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5.有定时开(关)机的功能，全自动程序控制，1周每天开关机时间可预设。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6.彩色显示屏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二、冷台要求：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1.台面可调温度:等于或优于-20℃至-5℃；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2.工作环境温度范围至少满足0℃至+30℃；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3.功率:≤250W。</w:t>
            </w:r>
          </w:p>
        </w:tc>
      </w:tr>
      <w:tr w14:paraId="0FF0E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801B4AD">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w:t>
            </w:r>
          </w:p>
        </w:tc>
        <w:tc>
          <w:tcPr>
            <w:tcW w:w="1558" w:type="dxa"/>
            <w:vAlign w:val="center"/>
          </w:tcPr>
          <w:p w14:paraId="79373A65">
            <w:pPr>
              <w:keepNext w:val="0"/>
              <w:keepLines w:val="0"/>
              <w:widowControl/>
              <w:suppressLineNumbers w:val="0"/>
              <w:jc w:val="center"/>
              <w:textAlignment w:val="center"/>
              <w:rPr>
                <w:rFonts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新生儿吸痰机</w:t>
            </w:r>
          </w:p>
        </w:tc>
        <w:tc>
          <w:tcPr>
            <w:tcW w:w="742" w:type="dxa"/>
            <w:vAlign w:val="center"/>
          </w:tcPr>
          <w:p w14:paraId="1385DBA8">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79448E8E">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1.电源电压:AC220V±10% 50Hz±2%； 2.调节范围：等于或优于0.02MPa - 0.07MPa；3.输入功率:≥75VA；4.极限负压值:≥0.06MPa；5.抽气速率:≥10L/min；6.贮液瓶:≥800mL。</w:t>
            </w:r>
          </w:p>
        </w:tc>
      </w:tr>
      <w:tr w14:paraId="2EED1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3344AE66">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w:t>
            </w:r>
          </w:p>
        </w:tc>
        <w:tc>
          <w:tcPr>
            <w:tcW w:w="1558" w:type="dxa"/>
            <w:vAlign w:val="center"/>
          </w:tcPr>
          <w:p w14:paraId="780D3973">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血氧饱和防范监护仪</w:t>
            </w:r>
          </w:p>
        </w:tc>
        <w:tc>
          <w:tcPr>
            <w:tcW w:w="742" w:type="dxa"/>
            <w:vAlign w:val="center"/>
          </w:tcPr>
          <w:p w14:paraId="2ECA91B9">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74A6209B">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1.显示屏：≥2.2寸显示屏；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2.监测模式：至少包含成人模式；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3.血氧饱和度测量精确度：等于或优于70%-100%（成人，非运动状态）；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4.脉率测量范围：等于或优于30-250bpm；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5.脉率精度：等于或优于±3bpm；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6.数据存储：≥72h。</w:t>
            </w:r>
          </w:p>
        </w:tc>
      </w:tr>
      <w:tr w14:paraId="46F2A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E53FF2D">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4</w:t>
            </w:r>
          </w:p>
        </w:tc>
        <w:tc>
          <w:tcPr>
            <w:tcW w:w="1558" w:type="dxa"/>
            <w:vAlign w:val="center"/>
          </w:tcPr>
          <w:p w14:paraId="2F21887F">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国产隔音室</w:t>
            </w:r>
          </w:p>
        </w:tc>
        <w:tc>
          <w:tcPr>
            <w:tcW w:w="742" w:type="dxa"/>
            <w:vAlign w:val="center"/>
          </w:tcPr>
          <w:p w14:paraId="5655425C">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6B59D65E">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1.隔声量：环境噪声≤55dB（A）时，室内本底噪声≤50dB（A)；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2.隔声室主体尺寸（单位：mm）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外尺寸： ≥1200×1200×2470（长×宽×高）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内尺寸： ≥970×970×2100（长×宽×高）；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3.隔声室主体墙体：多层复合隔、吸声墙体。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4.墙体结构：至少是隔音层+阻尼层+吸音层+复合隔音层+吸音层；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5.内饰：聚酯纤维吸音板；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6.钢制磁控隔声门（单位：mm）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采用无孔安装及磁吸技术(冷轧钢板+吸音材料+磁吸材料)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隔声门门板尺寸： ≥828×1918（宽×高）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隔声门门框内尺寸： ≥700×1790（宽×高）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隔声量≥50dB(A)；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7.标准隔声窗（单位：mm）钢制外框+双层钢化玻璃；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隔声窗套尺寸： ≥665×865（宽×高）；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隔声窗可视尺寸： ≥560×760（宽×高）；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8.主动式有源通风系统：主动换风，换风量≥90m³/小时 做消音处理，消音量≥30dB(A)。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9.减振器耐高温、耐潮湿；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10.地面：石塑地板。</w:t>
            </w:r>
          </w:p>
        </w:tc>
      </w:tr>
      <w:tr w14:paraId="46659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18E888AD">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5</w:t>
            </w:r>
          </w:p>
        </w:tc>
        <w:tc>
          <w:tcPr>
            <w:tcW w:w="1558" w:type="dxa"/>
            <w:vAlign w:val="center"/>
          </w:tcPr>
          <w:p w14:paraId="35477DB8">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耳鼻咽喉科综合诊疗台</w:t>
            </w:r>
          </w:p>
        </w:tc>
        <w:tc>
          <w:tcPr>
            <w:tcW w:w="742" w:type="dxa"/>
            <w:vAlign w:val="center"/>
          </w:tcPr>
          <w:p w14:paraId="490E8269">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3CC9BACA">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1.尺寸≥1700*600*10(mm)。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2.正压泵：正压值≤0.4MPa；正压工作范围等于或优于0.05Mpa～0.15Mpa，正压流量≥5mL/min。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3.负压泵：负压值：等于或优于0MPa～-0.09MPa；极限负压值不低于0.09MPa；吸引流量≥1.8L/min，吸引泵的温升≤40℃。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4.吸枪：枪头可拆卸、更换不同规格外径的吸枪杆。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5.喷枪：直头不少于2把，弯头不少于1把，全自动电路控制，压力等于或优于0.1MPa～0.15MPa 可调，喷枪嘴管、手柄可高温高压蒸气灭菌或消毒。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6.台面上具有触屏式操作面板；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7.坐垫升降范围：≥120mm。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8.诊疗椅旋转角度：≥300°。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9.具有患者用脚踏板。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10.最大负荷能力：≥135kg。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11.医生椅可升降。</w:t>
            </w:r>
          </w:p>
        </w:tc>
      </w:tr>
      <w:tr w14:paraId="34216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5084FAA7">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6</w:t>
            </w:r>
          </w:p>
        </w:tc>
        <w:tc>
          <w:tcPr>
            <w:tcW w:w="1558" w:type="dxa"/>
            <w:vAlign w:val="center"/>
          </w:tcPr>
          <w:p w14:paraId="226DBCF4">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平板探测器</w:t>
            </w:r>
          </w:p>
        </w:tc>
        <w:tc>
          <w:tcPr>
            <w:tcW w:w="742" w:type="dxa"/>
            <w:vAlign w:val="center"/>
          </w:tcPr>
          <w:p w14:paraId="7EA8A99C">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28213703">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1.输出功率：≥3.0kW。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2.焦点尺寸：≤1.8mm。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3.管电压：40kV～110kV；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4.摄影mAs：等于或优于1.0mAs～180mAs。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5.X射线管焦点中心距地面最大距离：≥1750mm。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6.X射线管绕摇臂转动范围：≥180°（±90°）。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7.电源条件：220V±22V、50Hz±1Hz；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8.曝光方式：采用手控、遥控双控制摄影功能；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9.设有≥50个拍片程序，用户可自行修改和保存。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10.平板类型：整版、无拼。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11.像素尺寸：≤150μm。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12.有效面积：优于或等于14″×17″。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13.模拟/数字转换：≥14bits。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14.图像显示时间：≤8S；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15.空间分辨率：≥3.0p/mm。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16.电池续航时间：≥4小时。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17.数据接口：无线。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18.命令接口：无线。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19.支持独立病患登记, 或从医院信息系统读取病患信息。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20.可独立采集图像,无需X射线机的电器同步信号。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21.可根据检查部位自动选择参数增强图像。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22.正负像、水平/垂直镜像、旋转、快速标注处理等采集处理工具。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23.可连接胶片打印机进行多尺寸图像打印。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24.数字图像处理系统一套（12 inch LCD monitor 一套）。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25.4M LED彩色显示器1个，显示器≥27英寸，分辨率≥2560×1440，最大亮度≥550cd/㎡,对比度≥1000，响应时间≤16ms。</w:t>
            </w:r>
          </w:p>
        </w:tc>
      </w:tr>
      <w:tr w14:paraId="4F938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FAA403E">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7</w:t>
            </w:r>
          </w:p>
        </w:tc>
        <w:tc>
          <w:tcPr>
            <w:tcW w:w="1558" w:type="dxa"/>
            <w:vAlign w:val="center"/>
          </w:tcPr>
          <w:p w14:paraId="3CF3CC2A">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电动流产吸引器</w:t>
            </w:r>
          </w:p>
        </w:tc>
        <w:tc>
          <w:tcPr>
            <w:tcW w:w="742" w:type="dxa"/>
            <w:vAlign w:val="center"/>
          </w:tcPr>
          <w:p w14:paraId="3D767539">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588ED4C5">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 xml:space="preserve">1.电 源：220V±10%、50Hz±2%；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2.输入功率：不小于120VA；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3.抽气速率：≥15L/min；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4.负压调节范围：等于或优于0.02~0.09MPa；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5.噪音：≤65dB；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6.贮液瓶：≥500ml；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7.贮气瓶：≥2500ml。</w:t>
            </w:r>
          </w:p>
        </w:tc>
      </w:tr>
      <w:tr w14:paraId="71233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D4E760F">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8</w:t>
            </w:r>
          </w:p>
        </w:tc>
        <w:tc>
          <w:tcPr>
            <w:tcW w:w="1558" w:type="dxa"/>
            <w:vAlign w:val="center"/>
          </w:tcPr>
          <w:p w14:paraId="7FE2855F">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超声多普勒胎心监测仪</w:t>
            </w:r>
          </w:p>
        </w:tc>
        <w:tc>
          <w:tcPr>
            <w:tcW w:w="742" w:type="dxa"/>
            <w:vAlign w:val="center"/>
          </w:tcPr>
          <w:p w14:paraId="5113AFBB">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2D7C6F71">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1.充电器电源：交流电压220V±22V; 频率50Hz±1Hz；                                                2.大气压力：优于或等于86-106kPa；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3.含内部电源，可充电；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4.在正常交流电压情况下，连续工作时间≥8h；                                        5.综合灵敏度：在距探头表面200mm 距离处，综合灵敏度≥90dB；                                     6.探头有效面积：≥1.57cm²；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7.输出超声功率：≤15mW。</w:t>
            </w:r>
          </w:p>
        </w:tc>
      </w:tr>
      <w:tr w14:paraId="6D682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17102111">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9</w:t>
            </w:r>
          </w:p>
        </w:tc>
        <w:tc>
          <w:tcPr>
            <w:tcW w:w="1558" w:type="dxa"/>
            <w:vAlign w:val="center"/>
          </w:tcPr>
          <w:p w14:paraId="2606B678">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轮椅</w:t>
            </w:r>
          </w:p>
        </w:tc>
        <w:tc>
          <w:tcPr>
            <w:tcW w:w="742" w:type="dxa"/>
            <w:vAlign w:val="center"/>
          </w:tcPr>
          <w:p w14:paraId="5FCA5380">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5024AC5A">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1.轮椅总宽：≤80cm；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2.轮椅座宽：≤55cm；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3.轮椅座高：≤50cm；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4.前轮：≤8寸；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5.后轮：≤24寸。</w:t>
            </w:r>
          </w:p>
        </w:tc>
      </w:tr>
      <w:tr w14:paraId="49839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3B534864">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c>
          <w:tcPr>
            <w:tcW w:w="1558" w:type="dxa"/>
            <w:vAlign w:val="center"/>
          </w:tcPr>
          <w:p w14:paraId="33FCEAB1">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牙科手术动力系统</w:t>
            </w:r>
          </w:p>
        </w:tc>
        <w:tc>
          <w:tcPr>
            <w:tcW w:w="742" w:type="dxa"/>
            <w:vAlign w:val="center"/>
          </w:tcPr>
          <w:p w14:paraId="3A21431B">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120ADFBE">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1.输入电压：100V~240V±10% 50Hz/60Hz±10%；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2.光源类型： LED; 色温：≥5000K；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3.触控显示屏；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4.马达动力: ≥扭矩2N.CM，等于或优于转速2000---40000转/分钟可调；                             5.马达可拆卸高温消毒；                                      6.脚踏开关；                                       7.配置内循环冷却系统。</w:t>
            </w:r>
          </w:p>
        </w:tc>
      </w:tr>
      <w:tr w14:paraId="483E7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3932717C">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11</w:t>
            </w:r>
          </w:p>
        </w:tc>
        <w:tc>
          <w:tcPr>
            <w:tcW w:w="1558" w:type="dxa"/>
            <w:vAlign w:val="center"/>
          </w:tcPr>
          <w:p w14:paraId="5E7B9478">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口腔数字印模仪</w:t>
            </w:r>
          </w:p>
        </w:tc>
        <w:tc>
          <w:tcPr>
            <w:tcW w:w="742" w:type="dxa"/>
            <w:vAlign w:val="center"/>
          </w:tcPr>
          <w:p w14:paraId="431E9112">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2866F29D">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1.扫描分辨率&lt;0.15mm；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2.扫描光源：LED；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3.扫描精度：≤20 μm；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4.扫描景深:等于或优于0-15mm；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5.扫描头可高温高压消毒；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6.具备倒凹/咬合检测；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7.支持种植体扫描。</w:t>
            </w:r>
          </w:p>
        </w:tc>
      </w:tr>
      <w:tr w14:paraId="0F55F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634006D9">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12</w:t>
            </w:r>
          </w:p>
        </w:tc>
        <w:tc>
          <w:tcPr>
            <w:tcW w:w="1558" w:type="dxa"/>
            <w:vAlign w:val="center"/>
          </w:tcPr>
          <w:p w14:paraId="3B2485F8">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无线根管治疗仪</w:t>
            </w:r>
          </w:p>
        </w:tc>
        <w:tc>
          <w:tcPr>
            <w:tcW w:w="742" w:type="dxa"/>
            <w:vAlign w:val="center"/>
          </w:tcPr>
          <w:p w14:paraId="4C97555C">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3</w:t>
            </w:r>
          </w:p>
        </w:tc>
        <w:tc>
          <w:tcPr>
            <w:tcW w:w="5415" w:type="dxa"/>
            <w:vAlign w:val="center"/>
          </w:tcPr>
          <w:p w14:paraId="10A486DF">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1.电源适配器输入：AC等于或优于110-240V,50/60Hz；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2.可充电使用，电池容量：≥1500 mAh；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3.转速调节范围：等于或优于150-600rpm；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4.扭力调节范围：等于或优于0.6-3.9Ncm。</w:t>
            </w:r>
          </w:p>
        </w:tc>
      </w:tr>
      <w:tr w14:paraId="1996F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5C0CA6DB">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13</w:t>
            </w:r>
          </w:p>
        </w:tc>
        <w:tc>
          <w:tcPr>
            <w:tcW w:w="1558" w:type="dxa"/>
            <w:vAlign w:val="center"/>
          </w:tcPr>
          <w:p w14:paraId="33950391">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根管热充系统</w:t>
            </w:r>
          </w:p>
        </w:tc>
        <w:tc>
          <w:tcPr>
            <w:tcW w:w="742" w:type="dxa"/>
            <w:vAlign w:val="center"/>
          </w:tcPr>
          <w:p w14:paraId="440FA8FB">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0DFD9B49">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1.适配器：100-240V 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2.可充电，电池容量：≥2000mAh；                                                               3.可选择工作温度：等于或优于140℃-200℃。</w:t>
            </w:r>
          </w:p>
        </w:tc>
      </w:tr>
      <w:tr w14:paraId="0DCFA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62AF2FF5">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14</w:t>
            </w:r>
          </w:p>
        </w:tc>
        <w:tc>
          <w:tcPr>
            <w:tcW w:w="1558" w:type="dxa"/>
            <w:vAlign w:val="center"/>
          </w:tcPr>
          <w:p w14:paraId="5543B839">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上颌窦内提升工具盒</w:t>
            </w:r>
          </w:p>
        </w:tc>
        <w:tc>
          <w:tcPr>
            <w:tcW w:w="742" w:type="dxa"/>
            <w:vAlign w:val="center"/>
          </w:tcPr>
          <w:p w14:paraId="1A6280BB">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5F62D727">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1.用于口腔种植手术过程中，制备与所用型号种植体相匹配的种植窝洞；                  2.精准备洞，不易出现偏斜；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3.工具盒内包含手术钻头≥8支。</w:t>
            </w:r>
          </w:p>
        </w:tc>
      </w:tr>
      <w:tr w14:paraId="6B682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566184F">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p>
        </w:tc>
        <w:tc>
          <w:tcPr>
            <w:tcW w:w="1558" w:type="dxa"/>
            <w:vAlign w:val="center"/>
          </w:tcPr>
          <w:p w14:paraId="6CF4D5D7">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多功能电离子手术治疗机</w:t>
            </w:r>
          </w:p>
        </w:tc>
        <w:tc>
          <w:tcPr>
            <w:tcW w:w="742" w:type="dxa"/>
            <w:vAlign w:val="center"/>
          </w:tcPr>
          <w:p w14:paraId="08E384AC">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497F14AF">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1.电源电压：220V±10% ，频率：50Hz±1Hz；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2.主载频率：≥1.2MHz；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3.工作模式：长火、短火；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4.操作方式：长短火切换，可气化、切割、凝固；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5.单极治疗手柄：≥1支，各种治疗头：≥20支；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6.配备有各科专用的双极凝固工具。</w:t>
            </w:r>
          </w:p>
        </w:tc>
      </w:tr>
      <w:tr w14:paraId="54CE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57A5B5C8">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16</w:t>
            </w:r>
          </w:p>
        </w:tc>
        <w:tc>
          <w:tcPr>
            <w:tcW w:w="1558" w:type="dxa"/>
            <w:vAlign w:val="center"/>
          </w:tcPr>
          <w:p w14:paraId="7C375D5B">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紫外线消毒车</w:t>
            </w:r>
          </w:p>
        </w:tc>
        <w:tc>
          <w:tcPr>
            <w:tcW w:w="742" w:type="dxa"/>
            <w:vAlign w:val="center"/>
          </w:tcPr>
          <w:p w14:paraId="6758F1F4">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268C6C3D">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1.紫外线消毒车为手推移动式消毒车；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2.双灯管结构；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3.灯管功率：30W*2；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4.电源：220V±22V,50Hz±1Hz；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5.灯臂角度可以调节；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6.单支紫外线灯管的强度：≥120uw/cm²。</w:t>
            </w:r>
          </w:p>
        </w:tc>
      </w:tr>
      <w:tr w14:paraId="1297D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2633FD8">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17</w:t>
            </w:r>
          </w:p>
        </w:tc>
        <w:tc>
          <w:tcPr>
            <w:tcW w:w="1558" w:type="dxa"/>
            <w:vAlign w:val="center"/>
          </w:tcPr>
          <w:p w14:paraId="5942363B">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手术照明灯</w:t>
            </w:r>
          </w:p>
        </w:tc>
        <w:tc>
          <w:tcPr>
            <w:tcW w:w="742" w:type="dxa"/>
            <w:vAlign w:val="center"/>
          </w:tcPr>
          <w:p w14:paraId="4A7AC8BA">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098796A0">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 xml:space="preserve">1.额定电压：AC90~240V±10% 50/60Hz±10%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2.灯泡寿命：≥1500h；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3.照明深度（mm）：≥700 ；                          4.色温：3800K~5100K ；                      5.亮度可调节。</w:t>
            </w:r>
          </w:p>
        </w:tc>
      </w:tr>
      <w:tr w14:paraId="1211F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3F0A3530">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18</w:t>
            </w:r>
          </w:p>
        </w:tc>
        <w:tc>
          <w:tcPr>
            <w:tcW w:w="1558" w:type="dxa"/>
            <w:vAlign w:val="center"/>
          </w:tcPr>
          <w:p w14:paraId="494BC34D">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轮椅</w:t>
            </w:r>
          </w:p>
        </w:tc>
        <w:tc>
          <w:tcPr>
            <w:tcW w:w="742" w:type="dxa"/>
            <w:vAlign w:val="center"/>
          </w:tcPr>
          <w:p w14:paraId="2B9F402A">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66F1F42E">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1.轮椅总宽：≤80cm；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2.轮椅座宽：≤55cm；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3.轮椅座高：≤50cm；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4.前轮：≤8寸；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5.后轮：≤24寸。</w:t>
            </w:r>
          </w:p>
        </w:tc>
      </w:tr>
      <w:tr w14:paraId="13C2E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00B49BF">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19</w:t>
            </w:r>
          </w:p>
        </w:tc>
        <w:tc>
          <w:tcPr>
            <w:tcW w:w="1558" w:type="dxa"/>
            <w:vAlign w:val="center"/>
          </w:tcPr>
          <w:p w14:paraId="6DE9676B">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双通道微量泵</w:t>
            </w:r>
          </w:p>
        </w:tc>
        <w:tc>
          <w:tcPr>
            <w:tcW w:w="742" w:type="dxa"/>
            <w:vAlign w:val="center"/>
          </w:tcPr>
          <w:p w14:paraId="37FC8338">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72566027">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 xml:space="preserve">1.电源类型：220V±22V/50Hz±1Hz；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2.注射精度：等于或优于±2%；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3.速率范围：等于或优于0.01-1500ml/h。步进0.1-100ml等于或优于0.01ml/h，100ml以上等于或优于1ml/h；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4.快进速度范围：等于或优于0.1-1500ml/h；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5.至少支持注射器规格：10ml、20ml、30ml、50ml；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6.配彩色显示屏；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7.具备阻塞等报警功能；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8.电池工作时间：≥5小时（5ml/h）；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9.整机使用期限≥10年。</w:t>
            </w:r>
          </w:p>
        </w:tc>
      </w:tr>
      <w:tr w14:paraId="52766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4140730F">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c>
          <w:tcPr>
            <w:tcW w:w="1558" w:type="dxa"/>
            <w:vAlign w:val="center"/>
          </w:tcPr>
          <w:p w14:paraId="5FBD5337">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单通道微量泵</w:t>
            </w:r>
          </w:p>
        </w:tc>
        <w:tc>
          <w:tcPr>
            <w:tcW w:w="742" w:type="dxa"/>
            <w:vAlign w:val="center"/>
          </w:tcPr>
          <w:p w14:paraId="441B8655">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6D1EC568">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1.电源类型：220V±22V/50Hz±1Hz；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2.整机使用期限≥10年；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3.注射速度范围：等于或优于0.01 - 2000ml/h，步进0.1-100ml等于或优于0.01ml/h，100ml以上等于或优于1ml/h；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4.快推速度范围：等于或优于0.01 - 1300ml/h；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5.至少支持注射器规格：10ml、20ml、30ml、50ml；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6.彩色显示屏；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7.具备阻塞等报警功能；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8.具有历史记录存储功能；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9.电池工作时间≥6小时（5ml/h）。</w:t>
            </w:r>
          </w:p>
        </w:tc>
      </w:tr>
      <w:tr w14:paraId="0893A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5E0E6C6">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21</w:t>
            </w:r>
          </w:p>
        </w:tc>
        <w:tc>
          <w:tcPr>
            <w:tcW w:w="1558" w:type="dxa"/>
            <w:vAlign w:val="center"/>
          </w:tcPr>
          <w:p w14:paraId="140175F6">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医用升温毯</w:t>
            </w:r>
          </w:p>
        </w:tc>
        <w:tc>
          <w:tcPr>
            <w:tcW w:w="742" w:type="dxa"/>
            <w:vAlign w:val="center"/>
          </w:tcPr>
          <w:p w14:paraId="612713BF">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415" w:type="dxa"/>
            <w:vAlign w:val="center"/>
          </w:tcPr>
          <w:p w14:paraId="5B19DAF2">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1.显示屏显示热空气实时温度、显示当前设定的温度、显示当前风量等级等工作状态信息；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2.温度调节范围等于或优于 33-43℃、最小调整步进≤1℃；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3.多种声、光、图文报警提示；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4.设备超温情况下，主机会报警、自动停止工作；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5.可调节风量；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6.彩色显示屏。</w:t>
            </w:r>
          </w:p>
        </w:tc>
      </w:tr>
      <w:tr w14:paraId="600A6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82717B4">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22</w:t>
            </w:r>
          </w:p>
        </w:tc>
        <w:tc>
          <w:tcPr>
            <w:tcW w:w="1558" w:type="dxa"/>
            <w:vAlign w:val="center"/>
          </w:tcPr>
          <w:p w14:paraId="492C4699">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多功能检查床</w:t>
            </w:r>
          </w:p>
        </w:tc>
        <w:tc>
          <w:tcPr>
            <w:tcW w:w="742" w:type="dxa"/>
            <w:vAlign w:val="center"/>
          </w:tcPr>
          <w:p w14:paraId="4E439D5B">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415" w:type="dxa"/>
            <w:vAlign w:val="center"/>
          </w:tcPr>
          <w:p w14:paraId="59E57291">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1.规格：≥长1920*宽 640*高（520-757）mm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2.床面为两折两块组合，壁厚≥3.5mm；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3.摇手可折叠；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4.螺管壁厚度≥1.2mm；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5.床头床尾至少各1个点滴架插座；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6.护栏：两片式可隐藏塑料护栏；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7.一脚式中央控制刹车；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8.床头柜尺寸≥480*480*750mm；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9.背板调节范围≥0-70 度，整体升降范围≥0-280mm。</w:t>
            </w:r>
          </w:p>
        </w:tc>
      </w:tr>
      <w:tr w14:paraId="1B2BD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567" w:type="dxa"/>
            <w:vAlign w:val="center"/>
          </w:tcPr>
          <w:p w14:paraId="3EA0EFCB">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23</w:t>
            </w:r>
          </w:p>
        </w:tc>
        <w:tc>
          <w:tcPr>
            <w:tcW w:w="1558" w:type="dxa"/>
            <w:vAlign w:val="center"/>
          </w:tcPr>
          <w:p w14:paraId="24049244">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输液泵</w:t>
            </w:r>
          </w:p>
        </w:tc>
        <w:tc>
          <w:tcPr>
            <w:tcW w:w="742" w:type="dxa"/>
            <w:vAlign w:val="center"/>
          </w:tcPr>
          <w:p w14:paraId="241E86AB">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42458CBA">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 xml:space="preserve">1.电源电压AC:220V±22V/50Hz±1Hz；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2.输液精度≤±5%；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3.输液速度范围：等于或优于1 - 1100ml/h；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4.具备阻塞、气泡等报警功能；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5.电池工作时间≥3小时（25ml/h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6.有加热功能；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7.整机使用期限≥10年。</w:t>
            </w:r>
          </w:p>
        </w:tc>
      </w:tr>
      <w:tr w14:paraId="547A0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757BA47">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24</w:t>
            </w:r>
          </w:p>
        </w:tc>
        <w:tc>
          <w:tcPr>
            <w:tcW w:w="1558" w:type="dxa"/>
            <w:vAlign w:val="center"/>
          </w:tcPr>
          <w:p w14:paraId="78A8D92E">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空气压力波治疗仪</w:t>
            </w:r>
          </w:p>
        </w:tc>
        <w:tc>
          <w:tcPr>
            <w:tcW w:w="742" w:type="dxa"/>
            <w:vAlign w:val="center"/>
          </w:tcPr>
          <w:p w14:paraId="0529AE21">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4BC8EE60">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电源电压：AC220v/50HZ±5%，功率：65VA±5%;                                2.≥4寸彩色触摸屏                         </w:t>
            </w:r>
          </w:p>
          <w:p w14:paraId="051B6513">
            <w:pPr>
              <w:keepNext w:val="0"/>
              <w:keepLines w:val="0"/>
              <w:widowControl/>
              <w:numPr>
                <w:numId w:val="0"/>
              </w:numPr>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3.支持多种气囊种类。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4.可支持至少2路独立气囊；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5.血液回盈侦测功能由机器自动调节，无需手动调节。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6.屏保、锁屏功能支持屏幕锁屏功能；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7.屏幕显示主界面可显示实时显示治疗进度；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8.压力范围 ：≥0-280mmHg。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9.充气速度；最快充满单腔的时间 ≤10s；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10.治疗时间：治疗时间可调，支持不间断治疗。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11.治疗方案≥8种。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12.提示及报警、安全防护具有超压、欠压、脱落等安全提示功能；</w:t>
            </w:r>
            <w:bookmarkStart w:id="151" w:name="_GoBack"/>
            <w:bookmarkEnd w:id="151"/>
          </w:p>
        </w:tc>
      </w:tr>
      <w:tr w14:paraId="6D887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6562A4C4">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25</w:t>
            </w:r>
          </w:p>
        </w:tc>
        <w:tc>
          <w:tcPr>
            <w:tcW w:w="1558" w:type="dxa"/>
            <w:vAlign w:val="center"/>
          </w:tcPr>
          <w:p w14:paraId="7A364A14">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视力筛查仪</w:t>
            </w:r>
          </w:p>
        </w:tc>
        <w:tc>
          <w:tcPr>
            <w:tcW w:w="742" w:type="dxa"/>
            <w:vAlign w:val="center"/>
          </w:tcPr>
          <w:p w14:paraId="6E105273">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552E6306">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 xml:space="preserve">1.双眼同时测量、左/右眼单独测量。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2.具备个体筛查和批量筛查模式。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3.测量距离：等于或优于85cm±5cm，测量时间≤1.5s。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4.柱镜度可测范围：等于或优于-3.00D - +3.00D。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5.柱镜轴位范围：等于或优于1°-180°。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6.瞳孔直径可测范围：等于或优于3.0mm-9.0mm。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7.瞳距可测范围：等于或优于30mm-85mm。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8.球镜度可测范围：等于或优于-7.50D～+7.50D；                                        9.可充电使用，续航≥4小时。</w:t>
            </w:r>
          </w:p>
        </w:tc>
      </w:tr>
    </w:tbl>
    <w:p w14:paraId="7DFAEFCB">
      <w:pPr>
        <w:rPr>
          <w:rFonts w:asciiTheme="majorEastAsia" w:hAnsiTheme="majorEastAsia" w:eastAsiaTheme="majorEastAsia" w:cstheme="majorEastAsia"/>
        </w:rPr>
      </w:pPr>
      <w:r>
        <w:rPr>
          <w:rFonts w:hint="eastAsia" w:asciiTheme="majorEastAsia" w:hAnsiTheme="majorEastAsia" w:eastAsiaTheme="majorEastAsia" w:cstheme="majorEastAsia"/>
        </w:rPr>
        <w:br w:type="page"/>
      </w:r>
    </w:p>
    <w:tbl>
      <w:tblPr>
        <w:tblStyle w:val="46"/>
        <w:tblW w:w="9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8"/>
        <w:gridCol w:w="524"/>
        <w:gridCol w:w="7054"/>
      </w:tblGrid>
      <w:tr w14:paraId="51C9D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tcPr>
          <w:p w14:paraId="64DDDE4A">
            <w:pPr>
              <w:rPr>
                <w:rFonts w:asciiTheme="majorEastAsia" w:hAnsiTheme="majorEastAsia" w:eastAsiaTheme="majorEastAsia" w:cstheme="majorEastAsia"/>
                <w:szCs w:val="21"/>
              </w:rPr>
            </w:pPr>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szCs w:val="21"/>
              </w:rPr>
              <w:t>▲一、</w:t>
            </w:r>
            <w:r>
              <w:rPr>
                <w:rFonts w:hint="eastAsia" w:asciiTheme="majorEastAsia" w:hAnsiTheme="majorEastAsia" w:eastAsiaTheme="majorEastAsia" w:cstheme="majorEastAsia"/>
                <w:b/>
                <w:szCs w:val="21"/>
              </w:rPr>
              <w:t>商务要求（1、2分标通用）</w:t>
            </w:r>
          </w:p>
        </w:tc>
      </w:tr>
      <w:tr w14:paraId="5C245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4AE97BA0">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交付时间和地点</w:t>
            </w:r>
          </w:p>
        </w:tc>
        <w:tc>
          <w:tcPr>
            <w:tcW w:w="7054" w:type="dxa"/>
            <w:tcBorders>
              <w:top w:val="single" w:color="auto" w:sz="4" w:space="0"/>
              <w:left w:val="single" w:color="auto" w:sz="4" w:space="0"/>
              <w:bottom w:val="single" w:color="auto" w:sz="4" w:space="0"/>
              <w:right w:val="single" w:color="auto" w:sz="4" w:space="0"/>
            </w:tcBorders>
            <w:vAlign w:val="center"/>
          </w:tcPr>
          <w:p w14:paraId="34809764">
            <w:pPr>
              <w:numPr>
                <w:ilvl w:val="0"/>
                <w:numId w:val="6"/>
              </w:numPr>
              <w:spacing w:line="440" w:lineRule="exact"/>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szCs w:val="21"/>
              </w:rPr>
              <w:t>交付</w:t>
            </w:r>
            <w:r>
              <w:rPr>
                <w:rFonts w:hint="eastAsia" w:asciiTheme="majorEastAsia" w:hAnsiTheme="majorEastAsia" w:eastAsiaTheme="majorEastAsia" w:cstheme="majorEastAsia"/>
                <w:color w:val="auto"/>
                <w:szCs w:val="21"/>
              </w:rPr>
              <w:t>时间：</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分标：自签订合同之日起</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0日历日内交货，并安装调试完毕且通过验收；</w:t>
            </w:r>
            <w:r>
              <w:rPr>
                <w:rFonts w:hint="eastAsia" w:asciiTheme="majorEastAsia" w:hAnsiTheme="majorEastAsia" w:eastAsiaTheme="majorEastAsia" w:cstheme="majorEastAsia"/>
                <w:color w:val="auto"/>
                <w:szCs w:val="21"/>
                <w:lang w:val="en-US" w:eastAsia="zh-CN"/>
              </w:rPr>
              <w:t>2</w:t>
            </w:r>
            <w:r>
              <w:rPr>
                <w:rFonts w:hint="eastAsia" w:asciiTheme="majorEastAsia" w:hAnsiTheme="majorEastAsia" w:eastAsiaTheme="majorEastAsia" w:cstheme="majorEastAsia"/>
                <w:color w:val="auto"/>
                <w:szCs w:val="21"/>
              </w:rPr>
              <w:t>分标：自签订合同之日起</w:t>
            </w:r>
            <w:r>
              <w:rPr>
                <w:rFonts w:hint="eastAsia" w:asciiTheme="majorEastAsia" w:hAnsiTheme="majorEastAsia" w:eastAsiaTheme="majorEastAsia" w:cstheme="majorEastAsia"/>
                <w:color w:val="auto"/>
                <w:szCs w:val="21"/>
                <w:lang w:val="en-US" w:eastAsia="zh-CN"/>
              </w:rPr>
              <w:t>30</w:t>
            </w:r>
            <w:r>
              <w:rPr>
                <w:rFonts w:hint="eastAsia" w:asciiTheme="majorEastAsia" w:hAnsiTheme="majorEastAsia" w:eastAsiaTheme="majorEastAsia" w:cstheme="majorEastAsia"/>
                <w:color w:val="auto"/>
                <w:szCs w:val="21"/>
              </w:rPr>
              <w:t>日历日内交货，并安装调试完毕且通过验收。</w:t>
            </w:r>
          </w:p>
          <w:p w14:paraId="6F1751D7">
            <w:pPr>
              <w:pStyle w:val="122"/>
              <w:autoSpaceDE/>
              <w:autoSpaceDN/>
              <w:adjustRightInd/>
              <w:spacing w:line="440" w:lineRule="exact"/>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2.交付地点：广西岑溪市内采购人指定地点。</w:t>
            </w:r>
          </w:p>
        </w:tc>
      </w:tr>
      <w:tr w14:paraId="07164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249A2A61">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合同签订时间</w:t>
            </w:r>
          </w:p>
        </w:tc>
        <w:tc>
          <w:tcPr>
            <w:tcW w:w="7054" w:type="dxa"/>
            <w:tcBorders>
              <w:top w:val="single" w:color="auto" w:sz="4" w:space="0"/>
              <w:left w:val="single" w:color="auto" w:sz="4" w:space="0"/>
              <w:bottom w:val="single" w:color="auto" w:sz="4" w:space="0"/>
              <w:right w:val="single" w:color="auto" w:sz="4" w:space="0"/>
            </w:tcBorders>
            <w:vAlign w:val="center"/>
          </w:tcPr>
          <w:p w14:paraId="27361346">
            <w:pPr>
              <w:pStyle w:val="17"/>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自中标通知书发出之日起25日内</w:t>
            </w:r>
          </w:p>
        </w:tc>
      </w:tr>
      <w:tr w14:paraId="5660E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7548D1BF">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付款方式</w:t>
            </w:r>
          </w:p>
        </w:tc>
        <w:tc>
          <w:tcPr>
            <w:tcW w:w="7054" w:type="dxa"/>
            <w:tcBorders>
              <w:top w:val="single" w:color="auto" w:sz="4" w:space="0"/>
              <w:left w:val="single" w:color="auto" w:sz="4" w:space="0"/>
              <w:bottom w:val="single" w:color="auto" w:sz="4" w:space="0"/>
              <w:right w:val="single" w:color="auto" w:sz="4" w:space="0"/>
            </w:tcBorders>
            <w:vAlign w:val="center"/>
          </w:tcPr>
          <w:p w14:paraId="61C23523">
            <w:pPr>
              <w:widowControl/>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双方签订合同后，中标供应商在采购人指定地点交货、安装、调试，经采购人验收合格后，支付至合同总价款的50%；验收合格后一年内，采购人支付至合同总金额的100%。</w:t>
            </w:r>
          </w:p>
          <w:p w14:paraId="44C6049F">
            <w:pPr>
              <w:widowControl/>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注：中标供应商应在采购人付款前，向采购人提供相应金额增值税发票，采购人自收到发票后10个工作日内将资金支付到合同约定的供应商账户。</w:t>
            </w:r>
          </w:p>
        </w:tc>
      </w:tr>
      <w:tr w14:paraId="1E645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7C3F24D6">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质保期</w:t>
            </w:r>
          </w:p>
        </w:tc>
        <w:tc>
          <w:tcPr>
            <w:tcW w:w="7054" w:type="dxa"/>
            <w:tcBorders>
              <w:top w:val="single" w:color="auto" w:sz="4" w:space="0"/>
              <w:left w:val="single" w:color="auto" w:sz="4" w:space="0"/>
              <w:bottom w:val="single" w:color="auto" w:sz="4" w:space="0"/>
              <w:right w:val="single" w:color="auto" w:sz="4" w:space="0"/>
            </w:tcBorders>
            <w:vAlign w:val="center"/>
          </w:tcPr>
          <w:p w14:paraId="01F42571">
            <w:pPr>
              <w:widowControl/>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1.供应商应明确承诺：质保期自验收合格之日起不少于1年（含一年）。质保期内无条件负责上门维修、更换零部件。</w:t>
            </w:r>
          </w:p>
          <w:p w14:paraId="2615D5F3">
            <w:pPr>
              <w:widowControl/>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2.属于国家规定“三包”范围的，其质保期不得低于“三包”规定。中标供应商承诺质保期优于国家“三包”规定的，或优于招标文件规定的，按中标供应商实际承诺执行。</w:t>
            </w:r>
          </w:p>
        </w:tc>
      </w:tr>
      <w:tr w14:paraId="7AE5A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624667B0">
            <w:pPr>
              <w:widowControl/>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kern w:val="0"/>
                <w:szCs w:val="21"/>
              </w:rPr>
              <w:t>售后服务要求</w:t>
            </w:r>
          </w:p>
        </w:tc>
        <w:tc>
          <w:tcPr>
            <w:tcW w:w="7054" w:type="dxa"/>
            <w:tcBorders>
              <w:top w:val="single" w:color="auto" w:sz="4" w:space="0"/>
              <w:left w:val="single" w:color="auto" w:sz="4" w:space="0"/>
              <w:bottom w:val="single" w:color="auto" w:sz="4" w:space="0"/>
              <w:right w:val="single" w:color="auto" w:sz="4" w:space="0"/>
            </w:tcBorders>
            <w:vAlign w:val="center"/>
          </w:tcPr>
          <w:p w14:paraId="482349F1">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1.</w:t>
            </w:r>
            <w:r>
              <w:rPr>
                <w:rFonts w:hint="eastAsia" w:asciiTheme="majorEastAsia" w:hAnsiTheme="majorEastAsia" w:eastAsiaTheme="majorEastAsia" w:cstheme="majorEastAsia"/>
                <w:bCs/>
                <w:szCs w:val="21"/>
              </w:rPr>
              <w:t>供应商负责办理运输和保险，将货物运抵交货地点。与运输、保险相关的费用由供应商承担。</w:t>
            </w:r>
          </w:p>
          <w:p w14:paraId="734D7034">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2.</w:t>
            </w:r>
            <w:r>
              <w:rPr>
                <w:rFonts w:hint="eastAsia" w:asciiTheme="majorEastAsia" w:hAnsiTheme="majorEastAsia" w:eastAsiaTheme="majorEastAsia" w:cstheme="majorEastAsia"/>
                <w:bCs/>
                <w:szCs w:val="21"/>
              </w:rPr>
              <w:t>负责送货上门，负责安装调试合格，须派出有相应资格的技术工程师到现场负责设备安装调试，直至正常使用；</w:t>
            </w:r>
          </w:p>
          <w:p w14:paraId="198A09B2">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3.</w:t>
            </w:r>
            <w:r>
              <w:rPr>
                <w:rFonts w:hint="eastAsia" w:asciiTheme="majorEastAsia" w:hAnsiTheme="majorEastAsia" w:eastAsiaTheme="majorEastAsia" w:cstheme="majorEastAsia"/>
                <w:bCs/>
                <w:szCs w:val="21"/>
              </w:rPr>
              <w:t>负责培训,包含但不限于现场技术培训、操作应用培训等;保证使用人员正常操作设备的各种功能，培训时间不限于新装机环节，同时提供质保期内每年不少于1次(每次时长不少于3个工作日)的培训;培训内容须包括设备日常操作、工作原理、注意事项、简单故障排除、维护保养等。装机使用培训≥2天，维护保养培训：1天。培训人数不少于2人。</w:t>
            </w:r>
          </w:p>
          <w:p w14:paraId="79A89973">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4.</w:t>
            </w:r>
            <w:r>
              <w:rPr>
                <w:rFonts w:hint="eastAsia" w:asciiTheme="majorEastAsia" w:hAnsiTheme="majorEastAsia" w:eastAsiaTheme="majorEastAsia" w:cstheme="majorEastAsia"/>
                <w:bCs/>
                <w:szCs w:val="21"/>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运输要求详见招标文件合同主要条款格式部分。</w:t>
            </w:r>
          </w:p>
          <w:p w14:paraId="17A907AE">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5.</w:t>
            </w:r>
            <w:r>
              <w:rPr>
                <w:rFonts w:hint="eastAsia" w:asciiTheme="majorEastAsia" w:hAnsiTheme="majorEastAsia" w:eastAsiaTheme="majorEastAsia" w:cstheme="majorEastAsia"/>
                <w:bCs/>
                <w:szCs w:val="21"/>
              </w:rPr>
              <w:t>故障响应时间：设备出现故障或技术问题，中标供应商应在接到通知后30分钟内响应，电话咨询不能解决的，中标供应商应在12小时内到达现场进行处理，到达现场后4小时内排除故障，恢复正常使用。中标供应商到达现场后超过72小时不能修复故障的，采购人有权选聘有相应资质的第三方提供服务，全部费用由中标供应商承担，保证采购人正常使用。因特殊情况无法修复的须提前与使用科室或设备管理科室沟通，产生的一切费用由中标供应商承担。</w:t>
            </w:r>
          </w:p>
          <w:p w14:paraId="3E3D9AD2">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00379792">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7.中标供应商售后服务中，维修使用的备品备件及易损件应为原厂配件，未经采购人同意不得使用非原厂配件，质保期内维修使用的备品备件及易损件的费用，由中标供应商承担。</w:t>
            </w:r>
            <w:r>
              <w:rPr>
                <w:rFonts w:hint="eastAsia"/>
              </w:rPr>
              <w:t>质保期</w:t>
            </w:r>
            <w:r>
              <w:rPr>
                <w:rFonts w:hint="eastAsia" w:asciiTheme="majorEastAsia" w:hAnsiTheme="majorEastAsia" w:eastAsiaTheme="majorEastAsia" w:cstheme="majorEastAsia"/>
                <w:bCs/>
                <w:szCs w:val="21"/>
              </w:rPr>
              <w:t>过后，采购人需要继续由原中标供应商提供售后服务的，该中标供应商应以优惠价格提供售后服务，常用的、容易损坏的备品备件及易损件的优患价格清单须在投标文件中列出。</w:t>
            </w:r>
          </w:p>
          <w:p w14:paraId="7302C1B2">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8.</w:t>
            </w:r>
            <w:r>
              <w:rPr>
                <w:rFonts w:hint="eastAsia"/>
              </w:rPr>
              <w:t>质保期</w:t>
            </w:r>
            <w:r>
              <w:rPr>
                <w:rFonts w:hint="eastAsia" w:asciiTheme="majorEastAsia" w:hAnsiTheme="majorEastAsia" w:eastAsiaTheme="majorEastAsia" w:cstheme="majorEastAsia"/>
                <w:bCs/>
                <w:szCs w:val="21"/>
              </w:rPr>
              <w:t>内供应商为采购人所提供的所有技术支持和服务费用以及上门维修、更换零部件费用均包含在投标报价中，采购人不再另行支付。</w:t>
            </w:r>
          </w:p>
          <w:p w14:paraId="34CA1A21">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9.质保期过后的服务要求：产品质量保证期过后，中标供应商应当为采购人提供技术援助电话，解答采购人在使用中遇到的问题，及时为采购人提出解决问题的建议。</w:t>
            </w:r>
          </w:p>
          <w:p w14:paraId="298D6255">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8.</w:t>
            </w:r>
            <w:r>
              <w:rPr>
                <w:rFonts w:hint="eastAsia" w:asciiTheme="majorEastAsia" w:hAnsiTheme="majorEastAsia" w:eastAsiaTheme="majorEastAsia" w:cstheme="majorEastAsia"/>
                <w:bCs/>
                <w:szCs w:val="21"/>
              </w:rPr>
              <w:t>设备如属于政府部门有强制检定要求的，中标供应商应负责设备使用前的相关检定。</w:t>
            </w:r>
          </w:p>
        </w:tc>
      </w:tr>
      <w:tr w14:paraId="2993F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154A9568">
            <w:pPr>
              <w:widowControl/>
              <w:spacing w:line="44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b/>
                <w:bCs/>
                <w:kern w:val="0"/>
                <w:szCs w:val="21"/>
              </w:rPr>
              <w:t>投标报价要求</w:t>
            </w:r>
          </w:p>
        </w:tc>
        <w:tc>
          <w:tcPr>
            <w:tcW w:w="7054" w:type="dxa"/>
            <w:tcBorders>
              <w:top w:val="single" w:color="auto" w:sz="4" w:space="0"/>
              <w:left w:val="single" w:color="auto" w:sz="4" w:space="0"/>
              <w:bottom w:val="single" w:color="auto" w:sz="4" w:space="0"/>
              <w:right w:val="single" w:color="auto" w:sz="4" w:space="0"/>
            </w:tcBorders>
            <w:vAlign w:val="center"/>
          </w:tcPr>
          <w:p w14:paraId="4EACA90D">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本次报价须为人民币报价，报价必须包括该货物包含的一切设备、附件、备件、运输及运输保险、施工、安装调试、人员工资、 税费、计量检测费、验收、培训、技术服务、室内技术线路改造、系统接入服务、信息系统对接费用、后期维护服务等相关工作范围内的所有费用。</w:t>
            </w:r>
          </w:p>
        </w:tc>
      </w:tr>
      <w:tr w14:paraId="6458D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vAlign w:val="center"/>
          </w:tcPr>
          <w:p w14:paraId="3920C22C">
            <w:pPr>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
                <w:szCs w:val="21"/>
              </w:rPr>
              <w:t>二、与实现项目目标相关的其他要求</w:t>
            </w:r>
          </w:p>
        </w:tc>
      </w:tr>
      <w:tr w14:paraId="78263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vAlign w:val="center"/>
          </w:tcPr>
          <w:p w14:paraId="21AD36A9">
            <w:pPr>
              <w:tabs>
                <w:tab w:val="left" w:pos="180"/>
                <w:tab w:val="left" w:pos="1620"/>
              </w:tabs>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
                <w:szCs w:val="21"/>
              </w:rPr>
              <w:t>（一）验收标准</w:t>
            </w:r>
          </w:p>
        </w:tc>
      </w:tr>
      <w:tr w14:paraId="0439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vAlign w:val="center"/>
          </w:tcPr>
          <w:p w14:paraId="44A8E547">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1、验收标准：符合现行国家相关标准、行业标准、地方标准或者其他标准、规范。</w:t>
            </w:r>
          </w:p>
          <w:p w14:paraId="0FEAB292">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中标供应商在货物交付验收时，由采购人对照招标文件的项目要求及技术需求，全面核对检验。如不符合招标文件的技术需求及要求以及提供虚假承诺的，按相关规定做违约处理，中标供应商承担所有责任和费用，采购人保留进一步追究责任的权利。</w:t>
            </w:r>
          </w:p>
          <w:p w14:paraId="3EF1A882">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3、验收时间:采购人收到中标供应商验收申请之日起5个工作日进行验收（如有特殊情况，按采购人指定的时间，另行验收）。</w:t>
            </w:r>
          </w:p>
          <w:p w14:paraId="651FB69D">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4、验收地点：广西岑溪市内采购人指定交货地点。</w:t>
            </w:r>
          </w:p>
          <w:p w14:paraId="1D3D3547">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5、验收方式：</w:t>
            </w:r>
          </w:p>
          <w:p w14:paraId="407DECA1">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1）中标供应商完成货物安装调试和培训后，书面向采购人提交验收申请。</w:t>
            </w:r>
          </w:p>
          <w:p w14:paraId="70FCE0AB">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2）本项目验收由验收小组按照采购合同约定对每一项技术和商务要求的履约情况进行确认，作为验收依据；</w:t>
            </w:r>
          </w:p>
          <w:p w14:paraId="6063C18D">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3）验收结束后，验收小组出具采购验收书，验收书应当包括每一项技术和商务要求的履约情况，并列明项目总体评价，由验收小组、采购人和中标供应商共同签署。</w:t>
            </w:r>
          </w:p>
          <w:p w14:paraId="42C0BD6A">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4）验收过程中所产生的一切费用均由中标供应商承担。</w:t>
            </w:r>
          </w:p>
          <w:p w14:paraId="28127E13">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5）验收书一式肆份，双方各执两份。</w:t>
            </w:r>
          </w:p>
          <w:p w14:paraId="4089D7DA">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6）验收结论不合格的，中标供应商应自收到验收书后5日内及时予以解决。经中标供应商对验收结论不合格的货物进行整改后，仍然达不到要求的，经双方协商，可按以下办法处理：</w:t>
            </w:r>
          </w:p>
          <w:p w14:paraId="57021E70">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①更换：由中标供应商承担所发生的全部费用。</w:t>
            </w:r>
          </w:p>
          <w:p w14:paraId="4CDDE605">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②退货处理：如发生前述情况，采购人有权追究中标供应商法律责任，并向财政部门(政府采购监管部门)备案处理。中标供应商应退还采购人支付的合同款，同时应承担采购人的全部损失费用(包括但不限于该货物的检验、货款利息及银行手续费以及诉讼费、鉴定费、评估费、保全费、保险费、律师费、差旅费等)。</w:t>
            </w:r>
          </w:p>
        </w:tc>
      </w:tr>
      <w:tr w14:paraId="29283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tcPr>
          <w:p w14:paraId="47D913D7">
            <w:pPr>
              <w:spacing w:line="440" w:lineRule="exact"/>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（二）核心产品说明</w:t>
            </w:r>
          </w:p>
        </w:tc>
      </w:tr>
      <w:tr w14:paraId="42963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op w:val="single" w:color="auto" w:sz="4" w:space="0"/>
              <w:left w:val="single" w:color="auto" w:sz="4" w:space="0"/>
              <w:bottom w:val="single" w:color="auto" w:sz="4" w:space="0"/>
              <w:right w:val="single" w:color="auto" w:sz="4" w:space="0"/>
            </w:tcBorders>
          </w:tcPr>
          <w:p w14:paraId="58FE88CB">
            <w:pPr>
              <w:spacing w:line="44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1分标核心产品</w:t>
            </w:r>
          </w:p>
        </w:tc>
        <w:tc>
          <w:tcPr>
            <w:tcW w:w="7578" w:type="dxa"/>
            <w:gridSpan w:val="2"/>
            <w:tcBorders>
              <w:top w:val="single" w:color="auto" w:sz="4" w:space="0"/>
              <w:left w:val="single" w:color="auto" w:sz="4" w:space="0"/>
              <w:bottom w:val="single" w:color="auto" w:sz="4" w:space="0"/>
              <w:right w:val="single" w:color="auto" w:sz="4" w:space="0"/>
            </w:tcBorders>
          </w:tcPr>
          <w:p w14:paraId="6C984E89">
            <w:pPr>
              <w:spacing w:line="44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良性阵发性位置性眩晕治疗仪</w:t>
            </w:r>
          </w:p>
        </w:tc>
      </w:tr>
      <w:tr w14:paraId="3C59E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op w:val="single" w:color="auto" w:sz="4" w:space="0"/>
              <w:left w:val="single" w:color="auto" w:sz="4" w:space="0"/>
              <w:bottom w:val="single" w:color="auto" w:sz="4" w:space="0"/>
              <w:right w:val="single" w:color="auto" w:sz="4" w:space="0"/>
            </w:tcBorders>
          </w:tcPr>
          <w:p w14:paraId="5E5B6589">
            <w:pPr>
              <w:spacing w:line="44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2分标核心产品</w:t>
            </w:r>
          </w:p>
        </w:tc>
        <w:tc>
          <w:tcPr>
            <w:tcW w:w="7578" w:type="dxa"/>
            <w:gridSpan w:val="2"/>
            <w:tcBorders>
              <w:top w:val="single" w:color="auto" w:sz="4" w:space="0"/>
              <w:left w:val="single" w:color="auto" w:sz="4" w:space="0"/>
              <w:bottom w:val="single" w:color="auto" w:sz="4" w:space="0"/>
              <w:right w:val="single" w:color="auto" w:sz="4" w:space="0"/>
            </w:tcBorders>
          </w:tcPr>
          <w:p w14:paraId="43CBCFC9">
            <w:pPr>
              <w:spacing w:line="44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口腔数字印模仪</w:t>
            </w:r>
          </w:p>
        </w:tc>
      </w:tr>
    </w:tbl>
    <w:p w14:paraId="7F907C29">
      <w:pPr>
        <w:spacing w:line="440" w:lineRule="exact"/>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br w:type="page"/>
      </w:r>
    </w:p>
    <w:tbl>
      <w:tblPr>
        <w:tblStyle w:val="46"/>
        <w:tblW w:w="9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8"/>
        <w:gridCol w:w="7578"/>
      </w:tblGrid>
      <w:tr w14:paraId="348EC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2"/>
            <w:tcBorders>
              <w:top w:val="single" w:color="auto" w:sz="4" w:space="0"/>
              <w:left w:val="single" w:color="auto" w:sz="4" w:space="0"/>
              <w:bottom w:val="single" w:color="auto" w:sz="4" w:space="0"/>
              <w:right w:val="single" w:color="auto" w:sz="4" w:space="0"/>
            </w:tcBorders>
          </w:tcPr>
          <w:p w14:paraId="7E10F36A">
            <w:pPr>
              <w:spacing w:line="440" w:lineRule="exact"/>
              <w:rPr>
                <w:rFonts w:asciiTheme="majorEastAsia" w:hAnsiTheme="majorEastAsia" w:eastAsiaTheme="majorEastAsia" w:cstheme="majorEastAsia"/>
                <w:b/>
                <w:szCs w:val="21"/>
              </w:rPr>
            </w:pPr>
            <w:r>
              <w:rPr>
                <w:rFonts w:hint="eastAsia" w:asciiTheme="majorEastAsia" w:hAnsiTheme="majorEastAsia" w:eastAsiaTheme="majorEastAsia" w:cstheme="majorEastAsia"/>
                <w:b/>
                <w:bCs/>
                <w:kern w:val="0"/>
                <w:szCs w:val="21"/>
              </w:rPr>
              <w:t>（三）进口产品说明</w:t>
            </w:r>
          </w:p>
        </w:tc>
      </w:tr>
      <w:tr w14:paraId="59D68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0783E599">
            <w:pPr>
              <w:spacing w:line="440" w:lineRule="exac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进口产品说明</w:t>
            </w:r>
          </w:p>
        </w:tc>
        <w:tc>
          <w:tcPr>
            <w:tcW w:w="7578" w:type="dxa"/>
            <w:tcBorders>
              <w:top w:val="single" w:color="auto" w:sz="4" w:space="0"/>
              <w:left w:val="single" w:color="auto" w:sz="4" w:space="0"/>
              <w:bottom w:val="single" w:color="auto" w:sz="4" w:space="0"/>
              <w:right w:val="single" w:color="auto" w:sz="4" w:space="0"/>
            </w:tcBorders>
          </w:tcPr>
          <w:p w14:paraId="1B2F0BFB">
            <w:pPr>
              <w:spacing w:line="440" w:lineRule="exact"/>
              <w:rPr>
                <w:rFonts w:hint="eastAsia" w:ascii="宋体" w:hAnsi="宋体" w:eastAsia="宋体" w:cs="宋体"/>
                <w:szCs w:val="21"/>
                <w:lang w:val="en-US" w:eastAsia="zh-CN"/>
              </w:rPr>
            </w:pPr>
            <w:r>
              <w:rPr>
                <w:rFonts w:hint="eastAsia" w:ascii="宋体" w:hAnsi="宋体" w:cs="宋体"/>
                <w:szCs w:val="21"/>
                <w:lang w:val="en-US" w:eastAsia="zh-CN"/>
              </w:rPr>
              <w:t>无</w:t>
            </w:r>
          </w:p>
        </w:tc>
      </w:tr>
      <w:tr w14:paraId="3A5668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16" w:type="dxa"/>
            <w:gridSpan w:val="2"/>
            <w:tcBorders>
              <w:top w:val="single" w:color="auto" w:sz="4" w:space="0"/>
              <w:left w:val="single" w:color="auto" w:sz="4" w:space="0"/>
              <w:bottom w:val="single" w:color="auto" w:sz="4" w:space="0"/>
              <w:right w:val="single" w:color="auto" w:sz="4" w:space="0"/>
            </w:tcBorders>
            <w:vAlign w:val="center"/>
          </w:tcPr>
          <w:p w14:paraId="62F5241F">
            <w:pPr>
              <w:spacing w:line="440" w:lineRule="exac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（四）其他要求</w:t>
            </w:r>
          </w:p>
        </w:tc>
      </w:tr>
      <w:tr w14:paraId="0950E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3DC16469">
            <w:pPr>
              <w:widowControl/>
              <w:spacing w:line="44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其他要求</w:t>
            </w:r>
          </w:p>
        </w:tc>
        <w:tc>
          <w:tcPr>
            <w:tcW w:w="7578" w:type="dxa"/>
            <w:tcBorders>
              <w:top w:val="single" w:color="auto" w:sz="4" w:space="0"/>
              <w:left w:val="single" w:color="auto" w:sz="4" w:space="0"/>
              <w:bottom w:val="single" w:color="auto" w:sz="4" w:space="0"/>
              <w:right w:val="single" w:color="auto" w:sz="4" w:space="0"/>
            </w:tcBorders>
            <w:vAlign w:val="center"/>
          </w:tcPr>
          <w:p w14:paraId="42A106F9">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w:t>
            </w:r>
            <w:r>
              <w:rPr>
                <w:rFonts w:hint="eastAsia" w:eastAsiaTheme="majorEastAsia"/>
              </w:rPr>
              <w:t>投</w:t>
            </w:r>
            <w:r>
              <w:rPr>
                <w:rFonts w:hint="eastAsia"/>
              </w:rPr>
              <w:t>标人按《医疗器械监督管理条例》（国务院令第</w:t>
            </w:r>
            <w:r>
              <w:rPr>
                <w:rFonts w:hint="eastAsia" w:asciiTheme="majorEastAsia" w:hAnsiTheme="majorEastAsia" w:eastAsiaTheme="majorEastAsia" w:cstheme="majorEastAsia"/>
              </w:rPr>
              <w:t>739</w:t>
            </w:r>
            <w:r>
              <w:rPr>
                <w:rFonts w:hint="eastAsia"/>
              </w:rPr>
              <w:t>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14:paraId="0E20E914">
            <w:pPr>
              <w:widowControl/>
              <w:spacing w:line="44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bCs/>
                <w:szCs w:val="21"/>
              </w:rPr>
              <w:t>2.为保证项目顺利实施，投标人可根据自身情况在投标文件中提供项目实施方案、售后服务方案和技术培训方案等内容。</w:t>
            </w:r>
          </w:p>
        </w:tc>
      </w:tr>
    </w:tbl>
    <w:p w14:paraId="741C0D00">
      <w:pPr>
        <w:rPr>
          <w:rFonts w:asciiTheme="majorEastAsia" w:hAnsiTheme="majorEastAsia" w:eastAsiaTheme="majorEastAsia" w:cstheme="majorEastAsia"/>
        </w:rPr>
      </w:pPr>
      <w:r>
        <w:rPr>
          <w:rFonts w:hint="eastAsia" w:asciiTheme="majorEastAsia" w:hAnsiTheme="majorEastAsia" w:eastAsiaTheme="majorEastAsia" w:cstheme="majorEastAsia"/>
        </w:rPr>
        <w:br w:type="page"/>
      </w:r>
    </w:p>
    <w:p w14:paraId="4E70D107">
      <w:pPr>
        <w:spacing w:line="428" w:lineRule="exact"/>
        <w:ind w:left="119"/>
        <w:rPr>
          <w:rFonts w:asciiTheme="majorEastAsia" w:hAnsiTheme="majorEastAsia" w:eastAsiaTheme="majorEastAsia" w:cstheme="majorEastAsia"/>
          <w:sz w:val="36"/>
          <w:szCs w:val="36"/>
        </w:rPr>
      </w:pPr>
      <w:r>
        <w:rPr>
          <w:rFonts w:hint="eastAsia" w:asciiTheme="majorEastAsia" w:hAnsiTheme="majorEastAsia" w:eastAsiaTheme="majorEastAsia" w:cstheme="majorEastAsia"/>
          <w:kern w:val="0"/>
          <w:sz w:val="22"/>
          <w:szCs w:val="22"/>
        </w:rPr>
        <w:t>附件1：</w:t>
      </w:r>
    </w:p>
    <w:p w14:paraId="267C444E">
      <w:pPr>
        <w:spacing w:before="7"/>
        <w:rPr>
          <w:rFonts w:asciiTheme="majorEastAsia" w:hAnsiTheme="majorEastAsia" w:eastAsiaTheme="majorEastAsia" w:cstheme="majorEastAsia"/>
          <w:sz w:val="17"/>
          <w:szCs w:val="17"/>
        </w:rPr>
      </w:pPr>
    </w:p>
    <w:p w14:paraId="53A57729">
      <w:pPr>
        <w:spacing w:line="528" w:lineRule="exact"/>
        <w:ind w:left="1871"/>
        <w:rPr>
          <w:rFonts w:asciiTheme="majorEastAsia" w:hAnsiTheme="majorEastAsia" w:eastAsiaTheme="majorEastAsia" w:cstheme="majorEastAsia"/>
          <w:sz w:val="40"/>
          <w:szCs w:val="40"/>
        </w:rPr>
      </w:pPr>
      <w:r>
        <w:rPr>
          <w:rFonts w:hint="eastAsia" w:asciiTheme="majorEastAsia" w:hAnsiTheme="majorEastAsia" w:eastAsiaTheme="majorEastAsia" w:cstheme="majorEastAsia"/>
          <w:sz w:val="44"/>
          <w:szCs w:val="44"/>
        </w:rPr>
        <w:t>节能产品政府采购品目清单</w:t>
      </w:r>
    </w:p>
    <w:tbl>
      <w:tblPr>
        <w:tblStyle w:val="4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373"/>
        <w:gridCol w:w="3566"/>
      </w:tblGrid>
      <w:tr w14:paraId="0178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E467C3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w w:val="99"/>
                <w:szCs w:val="21"/>
              </w:rPr>
              <w:t>品目序号</w:t>
            </w:r>
          </w:p>
        </w:tc>
        <w:tc>
          <w:tcPr>
            <w:tcW w:w="4291" w:type="dxa"/>
            <w:gridSpan w:val="3"/>
            <w:tcBorders>
              <w:top w:val="single" w:color="000000" w:sz="4" w:space="0"/>
              <w:left w:val="single" w:color="000000" w:sz="4" w:space="0"/>
              <w:bottom w:val="single" w:color="000000" w:sz="4" w:space="0"/>
              <w:right w:val="single" w:color="000000" w:sz="4" w:space="0"/>
            </w:tcBorders>
            <w:vAlign w:val="center"/>
          </w:tcPr>
          <w:p w14:paraId="403EAF0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w w:val="99"/>
                <w:szCs w:val="21"/>
              </w:rPr>
              <w:t>名称</w:t>
            </w:r>
          </w:p>
        </w:tc>
        <w:tc>
          <w:tcPr>
            <w:tcW w:w="3566" w:type="dxa"/>
            <w:tcBorders>
              <w:top w:val="single" w:color="000000" w:sz="4" w:space="0"/>
              <w:left w:val="single" w:color="000000" w:sz="4" w:space="0"/>
              <w:bottom w:val="single" w:color="000000" w:sz="4" w:space="0"/>
              <w:right w:val="single" w:color="000000" w:sz="4" w:space="0"/>
            </w:tcBorders>
            <w:vAlign w:val="center"/>
          </w:tcPr>
          <w:p w14:paraId="6745F6B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w w:val="99"/>
                <w:szCs w:val="21"/>
              </w:rPr>
              <w:t>依据的标准</w:t>
            </w:r>
          </w:p>
        </w:tc>
      </w:tr>
      <w:tr w14:paraId="4C20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1F647E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CE0BA3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A02010100</w:t>
            </w:r>
            <w:r>
              <w:rPr>
                <w:rFonts w:hint="eastAsia" w:asciiTheme="majorEastAsia" w:hAnsiTheme="majorEastAsia" w:eastAsiaTheme="majorEastAsia" w:cstheme="majorEastAsia"/>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4D70FFD1">
            <w:pPr>
              <w:pStyle w:val="104"/>
              <w:spacing w:before="93"/>
              <w:ind w:left="7"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kern w:val="2"/>
                <w:sz w:val="21"/>
                <w:szCs w:val="21"/>
              </w:rPr>
              <w:t>A02010105</w:t>
            </w:r>
            <w:r>
              <w:rPr>
                <w:rFonts w:hint="eastAsia" w:asciiTheme="majorEastAsia" w:hAnsiTheme="majorEastAsia" w:eastAsiaTheme="majorEastAsia" w:cstheme="majorEastAsia"/>
                <w:w w:val="99"/>
                <w:kern w:val="2"/>
                <w:sz w:val="21"/>
                <w:szCs w:val="21"/>
              </w:rPr>
              <w:t>台式计算机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5C9209C2">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216B5712">
            <w:pPr>
              <w:pStyle w:val="104"/>
              <w:spacing w:before="93"/>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《微型计算机能效限定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及能</w:t>
            </w:r>
            <w:r>
              <w:rPr>
                <w:rFonts w:hint="eastAsia" w:asciiTheme="majorEastAsia" w:hAnsiTheme="majorEastAsia" w:eastAsiaTheme="majorEastAsia" w:cstheme="majorEastAsia"/>
                <w:w w:val="99"/>
                <w:kern w:val="2"/>
                <w:sz w:val="21"/>
                <w:szCs w:val="21"/>
                <w:lang w:eastAsia="zh-CN"/>
              </w:rPr>
              <w:t>效等级》（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28380</w:t>
            </w:r>
            <w:r>
              <w:rPr>
                <w:rFonts w:hint="eastAsia" w:asciiTheme="majorEastAsia" w:hAnsiTheme="majorEastAsia" w:eastAsiaTheme="majorEastAsia" w:cstheme="majorEastAsia"/>
                <w:w w:val="99"/>
                <w:kern w:val="2"/>
                <w:sz w:val="21"/>
                <w:szCs w:val="21"/>
                <w:lang w:eastAsia="zh-CN"/>
              </w:rPr>
              <w:t>）</w:t>
            </w:r>
          </w:p>
        </w:tc>
      </w:tr>
      <w:tr w14:paraId="332F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7CB5FBF">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01D0272">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94CD032">
            <w:pPr>
              <w:pStyle w:val="104"/>
              <w:spacing w:before="44"/>
              <w:ind w:left="7"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kern w:val="2"/>
                <w:sz w:val="21"/>
                <w:szCs w:val="21"/>
              </w:rPr>
              <w:t>A02010108</w:t>
            </w:r>
            <w:r>
              <w:rPr>
                <w:rFonts w:hint="eastAsia" w:asciiTheme="majorEastAsia" w:hAnsiTheme="majorEastAsia" w:eastAsiaTheme="majorEastAsia" w:cstheme="majorEastAsia"/>
                <w:w w:val="99"/>
                <w:kern w:val="2"/>
                <w:sz w:val="21"/>
                <w:szCs w:val="21"/>
              </w:rPr>
              <w:t>便携式计算机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45D00561">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5E385F4A">
            <w:pPr>
              <w:pStyle w:val="104"/>
              <w:spacing w:before="44"/>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《微型计算机能效限定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及能</w:t>
            </w:r>
            <w:r>
              <w:rPr>
                <w:rFonts w:hint="eastAsia" w:asciiTheme="majorEastAsia" w:hAnsiTheme="majorEastAsia" w:eastAsiaTheme="majorEastAsia" w:cstheme="majorEastAsia"/>
                <w:w w:val="99"/>
                <w:kern w:val="2"/>
                <w:sz w:val="21"/>
                <w:szCs w:val="21"/>
                <w:lang w:eastAsia="zh-CN"/>
              </w:rPr>
              <w:t>效等级》（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28380</w:t>
            </w:r>
            <w:r>
              <w:rPr>
                <w:rFonts w:hint="eastAsia" w:asciiTheme="majorEastAsia" w:hAnsiTheme="majorEastAsia" w:eastAsiaTheme="majorEastAsia" w:cstheme="majorEastAsia"/>
                <w:w w:val="99"/>
                <w:kern w:val="2"/>
                <w:sz w:val="21"/>
                <w:szCs w:val="21"/>
                <w:lang w:eastAsia="zh-CN"/>
              </w:rPr>
              <w:t>）</w:t>
            </w:r>
          </w:p>
        </w:tc>
      </w:tr>
      <w:tr w14:paraId="3F90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703A1B1">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2D4C384">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60CF565">
            <w:pPr>
              <w:pStyle w:val="104"/>
              <w:spacing w:before="64"/>
              <w:ind w:left="7" w:right="5"/>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kern w:val="2"/>
                <w:sz w:val="21"/>
                <w:szCs w:val="21"/>
                <w:lang w:eastAsia="zh-CN"/>
              </w:rPr>
              <w:t>A02010109平板式计算机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7964A854">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197CA79D">
            <w:pPr>
              <w:pStyle w:val="104"/>
              <w:spacing w:before="64"/>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《微型计算机能效限定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及能</w:t>
            </w:r>
            <w:r>
              <w:rPr>
                <w:rFonts w:hint="eastAsia" w:asciiTheme="majorEastAsia" w:hAnsiTheme="majorEastAsia" w:eastAsiaTheme="majorEastAsia" w:cstheme="majorEastAsia"/>
                <w:w w:val="99"/>
                <w:kern w:val="2"/>
                <w:sz w:val="21"/>
                <w:szCs w:val="21"/>
                <w:lang w:eastAsia="zh-CN"/>
              </w:rPr>
              <w:t>效等级》（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28380</w:t>
            </w:r>
            <w:r>
              <w:rPr>
                <w:rFonts w:hint="eastAsia" w:asciiTheme="majorEastAsia" w:hAnsiTheme="majorEastAsia" w:eastAsiaTheme="majorEastAsia" w:cstheme="majorEastAsia"/>
                <w:w w:val="99"/>
                <w:kern w:val="2"/>
                <w:sz w:val="21"/>
                <w:szCs w:val="21"/>
                <w:lang w:eastAsia="zh-CN"/>
              </w:rPr>
              <w:t>）</w:t>
            </w:r>
          </w:p>
        </w:tc>
      </w:tr>
      <w:tr w14:paraId="2365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C457D77">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3F4F923">
            <w:pPr>
              <w:pStyle w:val="104"/>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A02020000</w:t>
            </w:r>
            <w:r>
              <w:rPr>
                <w:rFonts w:hint="eastAsia" w:asciiTheme="majorEastAsia" w:hAnsiTheme="majorEastAsia" w:eastAsiaTheme="majorEastAsia" w:cstheme="majorEastAsia"/>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B7C9F6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A02021000</w:t>
            </w:r>
            <w:r>
              <w:rPr>
                <w:rFonts w:hint="eastAsia" w:asciiTheme="majorEastAsia" w:hAnsiTheme="majorEastAsia" w:eastAsiaTheme="majorEastAsia" w:cstheme="majorEastAsia"/>
                <w:szCs w:val="21"/>
                <w:shd w:val="clear" w:color="auto" w:fill="FFFFFF"/>
              </w:rPr>
              <w:t>打印机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76E2C8E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A02021001 A3黑白打印机</w:t>
            </w:r>
          </w:p>
        </w:tc>
        <w:tc>
          <w:tcPr>
            <w:tcW w:w="3566" w:type="dxa"/>
            <w:tcBorders>
              <w:top w:val="single" w:color="000000" w:sz="4" w:space="0"/>
              <w:left w:val="single" w:color="000000" w:sz="4" w:space="0"/>
              <w:bottom w:val="single" w:color="000000" w:sz="4" w:space="0"/>
              <w:right w:val="single" w:color="000000" w:sz="4" w:space="0"/>
            </w:tcBorders>
          </w:tcPr>
          <w:p w14:paraId="767A56C8">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11AF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97C4DD1">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709F32A">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6A69EAD">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4BD444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A02021002 A3彩色打印机</w:t>
            </w:r>
          </w:p>
        </w:tc>
        <w:tc>
          <w:tcPr>
            <w:tcW w:w="3566" w:type="dxa"/>
            <w:tcBorders>
              <w:top w:val="single" w:color="000000" w:sz="4" w:space="0"/>
              <w:left w:val="single" w:color="000000" w:sz="4" w:space="0"/>
              <w:bottom w:val="single" w:color="000000" w:sz="4" w:space="0"/>
              <w:right w:val="single" w:color="000000" w:sz="4" w:space="0"/>
            </w:tcBorders>
          </w:tcPr>
          <w:p w14:paraId="796A54AB">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19B8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D67CB7A">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F08A010">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51C3DDE">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73DE147">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A02021003 A4黑白打印机</w:t>
            </w:r>
          </w:p>
        </w:tc>
        <w:tc>
          <w:tcPr>
            <w:tcW w:w="3566" w:type="dxa"/>
            <w:tcBorders>
              <w:top w:val="single" w:color="000000" w:sz="4" w:space="0"/>
              <w:left w:val="single" w:color="000000" w:sz="4" w:space="0"/>
              <w:bottom w:val="single" w:color="000000" w:sz="4" w:space="0"/>
              <w:right w:val="single" w:color="000000" w:sz="4" w:space="0"/>
            </w:tcBorders>
          </w:tcPr>
          <w:p w14:paraId="52CCFBD5">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4A32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D1E168D">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E8F931C">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767803B">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649791B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A02021004 A4彩色打印机</w:t>
            </w:r>
          </w:p>
        </w:tc>
        <w:tc>
          <w:tcPr>
            <w:tcW w:w="3566" w:type="dxa"/>
            <w:tcBorders>
              <w:top w:val="single" w:color="000000" w:sz="4" w:space="0"/>
              <w:left w:val="single" w:color="000000" w:sz="4" w:space="0"/>
              <w:bottom w:val="single" w:color="000000" w:sz="4" w:space="0"/>
              <w:right w:val="single" w:color="000000" w:sz="4" w:space="0"/>
            </w:tcBorders>
          </w:tcPr>
          <w:p w14:paraId="4EE12C7F">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3ABE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3941BE4">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2199CA9">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E9ED427">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2551528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A02021005 3D打印机</w:t>
            </w:r>
          </w:p>
        </w:tc>
        <w:tc>
          <w:tcPr>
            <w:tcW w:w="3566" w:type="dxa"/>
            <w:tcBorders>
              <w:top w:val="single" w:color="000000" w:sz="4" w:space="0"/>
              <w:left w:val="single" w:color="000000" w:sz="4" w:space="0"/>
              <w:bottom w:val="single" w:color="000000" w:sz="4" w:space="0"/>
              <w:right w:val="single" w:color="000000" w:sz="4" w:space="0"/>
            </w:tcBorders>
          </w:tcPr>
          <w:p w14:paraId="22DA16F3">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0FEF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5786773">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9E2EB8F">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334DA0A">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F365E4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A02021006票据打印机</w:t>
            </w:r>
          </w:p>
        </w:tc>
        <w:tc>
          <w:tcPr>
            <w:tcW w:w="3566" w:type="dxa"/>
            <w:tcBorders>
              <w:top w:val="single" w:color="000000" w:sz="4" w:space="0"/>
              <w:left w:val="single" w:color="000000" w:sz="4" w:space="0"/>
              <w:bottom w:val="single" w:color="000000" w:sz="4" w:space="0"/>
              <w:right w:val="single" w:color="000000" w:sz="4" w:space="0"/>
            </w:tcBorders>
          </w:tcPr>
          <w:p w14:paraId="593EE016">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0E1D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E706597">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F7229E2">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79C21CD">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0D58273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A02021007条码打印机</w:t>
            </w:r>
          </w:p>
        </w:tc>
        <w:tc>
          <w:tcPr>
            <w:tcW w:w="3566" w:type="dxa"/>
            <w:tcBorders>
              <w:top w:val="single" w:color="000000" w:sz="4" w:space="0"/>
              <w:left w:val="single" w:color="000000" w:sz="4" w:space="0"/>
              <w:bottom w:val="single" w:color="000000" w:sz="4" w:space="0"/>
              <w:right w:val="single" w:color="000000" w:sz="4" w:space="0"/>
            </w:tcBorders>
          </w:tcPr>
          <w:p w14:paraId="5B879AE6">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63C6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A30CA11">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499B448">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909531D">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3875CF3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A02021008地址打印机</w:t>
            </w:r>
          </w:p>
        </w:tc>
        <w:tc>
          <w:tcPr>
            <w:tcW w:w="3566" w:type="dxa"/>
            <w:tcBorders>
              <w:top w:val="single" w:color="000000" w:sz="4" w:space="0"/>
              <w:left w:val="single" w:color="000000" w:sz="4" w:space="0"/>
              <w:bottom w:val="single" w:color="000000" w:sz="4" w:space="0"/>
              <w:right w:val="single" w:color="000000" w:sz="4" w:space="0"/>
            </w:tcBorders>
          </w:tcPr>
          <w:p w14:paraId="0C567F4C">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5E81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9990415">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885F4DB">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0566A4D">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E894FE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A02021099其他打印机</w:t>
            </w:r>
          </w:p>
        </w:tc>
        <w:tc>
          <w:tcPr>
            <w:tcW w:w="3566" w:type="dxa"/>
            <w:tcBorders>
              <w:top w:val="single" w:color="000000" w:sz="4" w:space="0"/>
              <w:left w:val="single" w:color="000000" w:sz="4" w:space="0"/>
              <w:bottom w:val="single" w:color="000000" w:sz="4" w:space="0"/>
              <w:right w:val="single" w:color="000000" w:sz="4" w:space="0"/>
            </w:tcBorders>
          </w:tcPr>
          <w:p w14:paraId="4E849BA4">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3B99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E34AC98">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727F71B">
            <w:pPr>
              <w:widowControl/>
              <w:jc w:val="left"/>
              <w:rPr>
                <w:rFonts w:asciiTheme="majorEastAsia" w:hAnsiTheme="majorEastAsia" w:eastAsiaTheme="majorEastAsia" w:cstheme="majorEastAsia"/>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552E3D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A02021100输入输出设备</w:t>
            </w:r>
          </w:p>
        </w:tc>
        <w:tc>
          <w:tcPr>
            <w:tcW w:w="1373" w:type="dxa"/>
            <w:tcBorders>
              <w:top w:val="single" w:color="000000" w:sz="4" w:space="0"/>
              <w:left w:val="single" w:color="000000" w:sz="4" w:space="0"/>
              <w:bottom w:val="single" w:color="000000" w:sz="4" w:space="0"/>
              <w:right w:val="single" w:color="000000" w:sz="4" w:space="0"/>
            </w:tcBorders>
            <w:vAlign w:val="center"/>
          </w:tcPr>
          <w:p w14:paraId="6305AE4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zCs w:val="21"/>
              </w:rPr>
              <w:t>A02021104液晶显示器</w:t>
            </w:r>
          </w:p>
        </w:tc>
        <w:tc>
          <w:tcPr>
            <w:tcW w:w="3566" w:type="dxa"/>
            <w:tcBorders>
              <w:top w:val="single" w:color="000000" w:sz="4" w:space="0"/>
              <w:left w:val="single" w:color="000000" w:sz="4" w:space="0"/>
              <w:bottom w:val="single" w:color="000000" w:sz="4" w:space="0"/>
              <w:right w:val="single" w:color="000000" w:sz="4" w:space="0"/>
            </w:tcBorders>
            <w:vAlign w:val="center"/>
          </w:tcPr>
          <w:p w14:paraId="7F428DA7">
            <w:pP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2"/>
                <w:w w:val="99"/>
                <w:szCs w:val="21"/>
              </w:rPr>
              <w:t>《计算机显示器能效限</w:t>
            </w:r>
            <w:r>
              <w:rPr>
                <w:rFonts w:hint="eastAsia" w:asciiTheme="majorEastAsia" w:hAnsiTheme="majorEastAsia" w:eastAsiaTheme="majorEastAsia" w:cstheme="majorEastAsia"/>
                <w:spacing w:val="9"/>
                <w:w w:val="99"/>
                <w:szCs w:val="21"/>
              </w:rPr>
              <w:t>定</w:t>
            </w:r>
            <w:r>
              <w:rPr>
                <w:rFonts w:hint="eastAsia" w:asciiTheme="majorEastAsia" w:hAnsiTheme="majorEastAsia" w:eastAsiaTheme="majorEastAsia" w:cstheme="majorEastAsia"/>
                <w:spacing w:val="12"/>
                <w:w w:val="99"/>
                <w:szCs w:val="21"/>
              </w:rPr>
              <w:t>值及</w:t>
            </w:r>
            <w:r>
              <w:rPr>
                <w:rFonts w:hint="eastAsia" w:asciiTheme="majorEastAsia" w:hAnsiTheme="majorEastAsia" w:eastAsiaTheme="majorEastAsia" w:cstheme="majorEastAsia"/>
                <w:w w:val="99"/>
                <w:szCs w:val="21"/>
              </w:rPr>
              <w:t>能效等级</w:t>
            </w:r>
            <w:r>
              <w:rPr>
                <w:rFonts w:hint="eastAsia" w:asciiTheme="majorEastAsia" w:hAnsiTheme="majorEastAsia" w:eastAsiaTheme="majorEastAsia" w:cstheme="majorEastAsia"/>
                <w:spacing w:val="2"/>
                <w:w w:val="99"/>
                <w:szCs w:val="21"/>
              </w:rPr>
              <w:t>》</w:t>
            </w: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pacing w:val="1"/>
                <w:w w:val="99"/>
                <w:szCs w:val="21"/>
              </w:rPr>
              <w:t>G</w:t>
            </w:r>
            <w:r>
              <w:rPr>
                <w:rFonts w:hint="eastAsia" w:asciiTheme="majorEastAsia" w:hAnsiTheme="majorEastAsia" w:eastAsiaTheme="majorEastAsia" w:cstheme="majorEastAsia"/>
                <w:w w:val="99"/>
                <w:szCs w:val="21"/>
              </w:rPr>
              <w:t>B</w:t>
            </w:r>
            <w:r>
              <w:rPr>
                <w:rFonts w:hint="eastAsia" w:asciiTheme="majorEastAsia" w:hAnsiTheme="majorEastAsia" w:eastAsiaTheme="majorEastAsia" w:cstheme="majorEastAsia"/>
                <w:spacing w:val="1"/>
                <w:w w:val="99"/>
                <w:szCs w:val="21"/>
              </w:rPr>
              <w:t>21</w:t>
            </w:r>
            <w:r>
              <w:rPr>
                <w:rFonts w:hint="eastAsia" w:asciiTheme="majorEastAsia" w:hAnsiTheme="majorEastAsia" w:eastAsiaTheme="majorEastAsia" w:cstheme="majorEastAsia"/>
                <w:w w:val="99"/>
                <w:szCs w:val="21"/>
              </w:rPr>
              <w:t>52</w:t>
            </w:r>
            <w:r>
              <w:rPr>
                <w:rFonts w:hint="eastAsia" w:asciiTheme="majorEastAsia" w:hAnsiTheme="majorEastAsia" w:eastAsiaTheme="majorEastAsia" w:cstheme="majorEastAsia"/>
                <w:spacing w:val="1"/>
                <w:w w:val="99"/>
                <w:szCs w:val="21"/>
              </w:rPr>
              <w:t>0</w:t>
            </w:r>
            <w:r>
              <w:rPr>
                <w:rFonts w:hint="eastAsia" w:asciiTheme="majorEastAsia" w:hAnsiTheme="majorEastAsia" w:eastAsiaTheme="majorEastAsia" w:cstheme="majorEastAsia"/>
                <w:w w:val="99"/>
                <w:szCs w:val="21"/>
              </w:rPr>
              <w:t>）</w:t>
            </w:r>
          </w:p>
        </w:tc>
      </w:tr>
      <w:tr w14:paraId="6381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CE27B58">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0AF8452">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78433C7">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5AE7113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A02021118扫描仪</w:t>
            </w:r>
          </w:p>
        </w:tc>
        <w:tc>
          <w:tcPr>
            <w:tcW w:w="3566" w:type="dxa"/>
            <w:tcBorders>
              <w:top w:val="single" w:color="000000" w:sz="4" w:space="0"/>
              <w:left w:val="single" w:color="000000" w:sz="4" w:space="0"/>
              <w:bottom w:val="single" w:color="000000" w:sz="4" w:space="0"/>
              <w:right w:val="single" w:color="000000" w:sz="4" w:space="0"/>
            </w:tcBorders>
            <w:vAlign w:val="center"/>
          </w:tcPr>
          <w:p w14:paraId="360C3E0F">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参</w:t>
            </w:r>
            <w:r>
              <w:rPr>
                <w:rFonts w:hint="eastAsia" w:asciiTheme="majorEastAsia" w:hAnsiTheme="majorEastAsia" w:eastAsiaTheme="majorEastAsia" w:cstheme="majorEastAsia"/>
                <w:spacing w:val="-29"/>
                <w:w w:val="99"/>
                <w:szCs w:val="21"/>
              </w:rPr>
              <w:t>照</w:t>
            </w: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pacing w:val="2"/>
                <w:w w:val="99"/>
                <w:szCs w:val="21"/>
              </w:rPr>
              <w:t>复</w:t>
            </w:r>
            <w:r>
              <w:rPr>
                <w:rFonts w:hint="eastAsia" w:asciiTheme="majorEastAsia" w:hAnsiTheme="majorEastAsia" w:eastAsiaTheme="majorEastAsia" w:cstheme="majorEastAsia"/>
                <w:w w:val="99"/>
                <w:szCs w:val="21"/>
              </w:rPr>
              <w:t>印</w:t>
            </w:r>
            <w:r>
              <w:rPr>
                <w:rFonts w:hint="eastAsia" w:asciiTheme="majorEastAsia" w:hAnsiTheme="majorEastAsia" w:eastAsiaTheme="majorEastAsia" w:cstheme="majorEastAsia"/>
                <w:spacing w:val="2"/>
                <w:w w:val="99"/>
                <w:szCs w:val="21"/>
              </w:rPr>
              <w:t>机</w:t>
            </w:r>
            <w:r>
              <w:rPr>
                <w:rFonts w:hint="eastAsia" w:asciiTheme="majorEastAsia" w:hAnsiTheme="majorEastAsia" w:eastAsiaTheme="majorEastAsia" w:cstheme="majorEastAsia"/>
                <w:spacing w:val="-29"/>
                <w:w w:val="99"/>
                <w:szCs w:val="21"/>
              </w:rPr>
              <w:t>、</w:t>
            </w:r>
            <w:r>
              <w:rPr>
                <w:rFonts w:hint="eastAsia" w:asciiTheme="majorEastAsia" w:hAnsiTheme="majorEastAsia" w:eastAsiaTheme="majorEastAsia" w:cstheme="majorEastAsia"/>
                <w:w w:val="99"/>
                <w:szCs w:val="21"/>
              </w:rPr>
              <w:t>打</w:t>
            </w:r>
            <w:r>
              <w:rPr>
                <w:rFonts w:hint="eastAsia" w:asciiTheme="majorEastAsia" w:hAnsiTheme="majorEastAsia" w:eastAsiaTheme="majorEastAsia" w:cstheme="majorEastAsia"/>
                <w:spacing w:val="2"/>
                <w:w w:val="99"/>
                <w:szCs w:val="21"/>
              </w:rPr>
              <w:t>印</w:t>
            </w:r>
            <w:r>
              <w:rPr>
                <w:rFonts w:hint="eastAsia" w:asciiTheme="majorEastAsia" w:hAnsiTheme="majorEastAsia" w:eastAsiaTheme="majorEastAsia" w:cstheme="majorEastAsia"/>
                <w:w w:val="99"/>
                <w:szCs w:val="21"/>
              </w:rPr>
              <w:t>机和</w:t>
            </w:r>
            <w:r>
              <w:rPr>
                <w:rFonts w:hint="eastAsia" w:asciiTheme="majorEastAsia" w:hAnsiTheme="majorEastAsia" w:eastAsiaTheme="majorEastAsia" w:cstheme="majorEastAsia"/>
                <w:spacing w:val="2"/>
                <w:w w:val="99"/>
                <w:szCs w:val="21"/>
              </w:rPr>
              <w:t>传</w:t>
            </w:r>
            <w:r>
              <w:rPr>
                <w:rFonts w:hint="eastAsia" w:asciiTheme="majorEastAsia" w:hAnsiTheme="majorEastAsia" w:eastAsiaTheme="majorEastAsia" w:cstheme="majorEastAsia"/>
                <w:w w:val="99"/>
                <w:szCs w:val="21"/>
              </w:rPr>
              <w:t>真机能效限定</w:t>
            </w:r>
            <w:r>
              <w:rPr>
                <w:rFonts w:hint="eastAsia" w:asciiTheme="majorEastAsia" w:hAnsiTheme="majorEastAsia" w:eastAsiaTheme="majorEastAsia" w:cstheme="majorEastAsia"/>
                <w:spacing w:val="2"/>
                <w:w w:val="99"/>
                <w:szCs w:val="21"/>
              </w:rPr>
              <w:t>值</w:t>
            </w:r>
            <w:r>
              <w:rPr>
                <w:rFonts w:hint="eastAsia" w:asciiTheme="majorEastAsia" w:hAnsiTheme="majorEastAsia" w:eastAsiaTheme="majorEastAsia" w:cstheme="majorEastAsia"/>
                <w:w w:val="99"/>
                <w:szCs w:val="21"/>
              </w:rPr>
              <w:t>及能</w:t>
            </w:r>
            <w:r>
              <w:rPr>
                <w:rFonts w:hint="eastAsia" w:asciiTheme="majorEastAsia" w:hAnsiTheme="majorEastAsia" w:eastAsiaTheme="majorEastAsia" w:cstheme="majorEastAsia"/>
                <w:spacing w:val="2"/>
                <w:w w:val="99"/>
                <w:szCs w:val="21"/>
              </w:rPr>
              <w:t>效</w:t>
            </w:r>
            <w:r>
              <w:rPr>
                <w:rFonts w:hint="eastAsia" w:asciiTheme="majorEastAsia" w:hAnsiTheme="majorEastAsia" w:eastAsiaTheme="majorEastAsia" w:cstheme="majorEastAsia"/>
                <w:w w:val="99"/>
                <w:szCs w:val="21"/>
              </w:rPr>
              <w:t>等级</w:t>
            </w:r>
            <w:r>
              <w:rPr>
                <w:rFonts w:hint="eastAsia" w:asciiTheme="majorEastAsia" w:hAnsiTheme="majorEastAsia" w:eastAsiaTheme="majorEastAsia" w:cstheme="majorEastAsia"/>
                <w:spacing w:val="-106"/>
                <w:w w:val="99"/>
                <w:szCs w:val="21"/>
              </w:rPr>
              <w:t>》</w:t>
            </w: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pacing w:val="1"/>
                <w:w w:val="99"/>
                <w:szCs w:val="21"/>
              </w:rPr>
              <w:t>G</w:t>
            </w:r>
            <w:r>
              <w:rPr>
                <w:rFonts w:hint="eastAsia" w:asciiTheme="majorEastAsia" w:hAnsiTheme="majorEastAsia" w:eastAsiaTheme="majorEastAsia" w:cstheme="majorEastAsia"/>
                <w:w w:val="99"/>
                <w:szCs w:val="21"/>
              </w:rPr>
              <w:t>B</w:t>
            </w:r>
            <w:r>
              <w:rPr>
                <w:rFonts w:hint="eastAsia" w:asciiTheme="majorEastAsia" w:hAnsiTheme="majorEastAsia" w:eastAsiaTheme="majorEastAsia" w:cstheme="majorEastAsia"/>
                <w:spacing w:val="1"/>
                <w:w w:val="99"/>
                <w:szCs w:val="21"/>
              </w:rPr>
              <w:t>2152</w:t>
            </w:r>
            <w:r>
              <w:rPr>
                <w:rFonts w:hint="eastAsia" w:asciiTheme="majorEastAsia" w:hAnsiTheme="majorEastAsia" w:eastAsiaTheme="majorEastAsia" w:cstheme="majorEastAsia"/>
                <w:w w:val="99"/>
                <w:szCs w:val="21"/>
              </w:rPr>
              <w:t>1）</w:t>
            </w:r>
            <w:r>
              <w:rPr>
                <w:rFonts w:hint="eastAsia" w:asciiTheme="majorEastAsia" w:hAnsiTheme="majorEastAsia" w:eastAsiaTheme="majorEastAsia" w:cstheme="majorEastAsia"/>
                <w:spacing w:val="2"/>
                <w:w w:val="99"/>
                <w:szCs w:val="21"/>
              </w:rPr>
              <w:t>中</w:t>
            </w:r>
            <w:r>
              <w:rPr>
                <w:rFonts w:hint="eastAsia" w:asciiTheme="majorEastAsia" w:hAnsiTheme="majorEastAsia" w:eastAsiaTheme="majorEastAsia" w:cstheme="majorEastAsia"/>
                <w:spacing w:val="4"/>
                <w:w w:val="99"/>
                <w:szCs w:val="21"/>
              </w:rPr>
              <w:t>打印速</w:t>
            </w:r>
            <w:r>
              <w:rPr>
                <w:rFonts w:hint="eastAsia" w:asciiTheme="majorEastAsia" w:hAnsiTheme="majorEastAsia" w:eastAsiaTheme="majorEastAsia" w:cstheme="majorEastAsia"/>
                <w:spacing w:val="2"/>
                <w:w w:val="99"/>
                <w:szCs w:val="21"/>
              </w:rPr>
              <w:t>度</w:t>
            </w:r>
            <w:r>
              <w:rPr>
                <w:rFonts w:hint="eastAsia" w:asciiTheme="majorEastAsia" w:hAnsiTheme="majorEastAsia" w:eastAsiaTheme="majorEastAsia" w:cstheme="majorEastAsia"/>
                <w:w w:val="99"/>
                <w:szCs w:val="21"/>
              </w:rPr>
              <w:t>为</w:t>
            </w:r>
            <w:r>
              <w:rPr>
                <w:rFonts w:hint="eastAsia" w:asciiTheme="majorEastAsia" w:hAnsiTheme="majorEastAsia" w:eastAsiaTheme="majorEastAsia" w:cstheme="majorEastAsia"/>
                <w:spacing w:val="1"/>
                <w:w w:val="99"/>
                <w:szCs w:val="21"/>
              </w:rPr>
              <w:t>1</w:t>
            </w:r>
            <w:r>
              <w:rPr>
                <w:rFonts w:hint="eastAsia" w:asciiTheme="majorEastAsia" w:hAnsiTheme="majorEastAsia" w:eastAsiaTheme="majorEastAsia" w:cstheme="majorEastAsia"/>
                <w:w w:val="99"/>
                <w:szCs w:val="21"/>
              </w:rPr>
              <w:t>5</w:t>
            </w:r>
            <w:r>
              <w:rPr>
                <w:rFonts w:hint="eastAsia" w:asciiTheme="majorEastAsia" w:hAnsiTheme="majorEastAsia" w:eastAsiaTheme="majorEastAsia" w:cstheme="majorEastAsia"/>
                <w:spacing w:val="2"/>
                <w:w w:val="99"/>
                <w:szCs w:val="21"/>
              </w:rPr>
              <w:t>页</w:t>
            </w:r>
            <w:r>
              <w:rPr>
                <w:rFonts w:hint="eastAsia" w:asciiTheme="majorEastAsia" w:hAnsiTheme="majorEastAsia" w:eastAsiaTheme="majorEastAsia" w:cstheme="majorEastAsia"/>
                <w:spacing w:val="5"/>
                <w:w w:val="99"/>
                <w:szCs w:val="21"/>
              </w:rPr>
              <w:t>/</w:t>
            </w:r>
            <w:r>
              <w:rPr>
                <w:rFonts w:hint="eastAsia" w:asciiTheme="majorEastAsia" w:hAnsiTheme="majorEastAsia" w:eastAsiaTheme="majorEastAsia" w:cstheme="majorEastAsia"/>
                <w:spacing w:val="4"/>
                <w:w w:val="99"/>
                <w:szCs w:val="21"/>
              </w:rPr>
              <w:t>分的</w:t>
            </w:r>
            <w:r>
              <w:rPr>
                <w:rFonts w:hint="eastAsia" w:asciiTheme="majorEastAsia" w:hAnsiTheme="majorEastAsia" w:eastAsiaTheme="majorEastAsia" w:cstheme="majorEastAsia"/>
                <w:spacing w:val="2"/>
                <w:w w:val="99"/>
                <w:szCs w:val="21"/>
              </w:rPr>
              <w:t>针</w:t>
            </w:r>
            <w:r>
              <w:rPr>
                <w:rFonts w:hint="eastAsia" w:asciiTheme="majorEastAsia" w:hAnsiTheme="majorEastAsia" w:eastAsiaTheme="majorEastAsia" w:cstheme="majorEastAsia"/>
                <w:spacing w:val="4"/>
                <w:w w:val="99"/>
                <w:szCs w:val="21"/>
              </w:rPr>
              <w:t>式</w:t>
            </w:r>
            <w:r>
              <w:rPr>
                <w:rFonts w:hint="eastAsia" w:asciiTheme="majorEastAsia" w:hAnsiTheme="majorEastAsia" w:eastAsiaTheme="majorEastAsia" w:cstheme="majorEastAsia"/>
                <w:w w:val="99"/>
                <w:szCs w:val="21"/>
              </w:rPr>
              <w:t>打印机相</w:t>
            </w:r>
            <w:r>
              <w:rPr>
                <w:rFonts w:hint="eastAsia" w:asciiTheme="majorEastAsia" w:hAnsiTheme="majorEastAsia" w:eastAsiaTheme="majorEastAsia" w:cstheme="majorEastAsia"/>
                <w:spacing w:val="2"/>
                <w:w w:val="99"/>
                <w:szCs w:val="21"/>
              </w:rPr>
              <w:t>关</w:t>
            </w:r>
            <w:r>
              <w:rPr>
                <w:rFonts w:hint="eastAsia" w:asciiTheme="majorEastAsia" w:hAnsiTheme="majorEastAsia" w:eastAsiaTheme="majorEastAsia" w:cstheme="majorEastAsia"/>
                <w:w w:val="99"/>
                <w:szCs w:val="21"/>
              </w:rPr>
              <w:t>要求</w:t>
            </w:r>
          </w:p>
        </w:tc>
      </w:tr>
      <w:tr w14:paraId="371F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E12C87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1301BAF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42F929DB">
            <w:pPr>
              <w:jc w:val="center"/>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B44DFDA">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vAlign w:val="center"/>
          </w:tcPr>
          <w:p w14:paraId="34F0B4C3">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《投影</w:t>
            </w:r>
            <w:r>
              <w:rPr>
                <w:rFonts w:hint="eastAsia" w:asciiTheme="majorEastAsia" w:hAnsiTheme="majorEastAsia" w:eastAsiaTheme="majorEastAsia" w:cstheme="majorEastAsia"/>
                <w:spacing w:val="2"/>
                <w:w w:val="99"/>
                <w:szCs w:val="21"/>
              </w:rPr>
              <w:t>机</w:t>
            </w:r>
            <w:r>
              <w:rPr>
                <w:rFonts w:hint="eastAsia" w:asciiTheme="majorEastAsia" w:hAnsiTheme="majorEastAsia" w:eastAsiaTheme="majorEastAsia" w:cstheme="majorEastAsia"/>
                <w:w w:val="99"/>
                <w:szCs w:val="21"/>
              </w:rPr>
              <w:t>能效</w:t>
            </w:r>
            <w:r>
              <w:rPr>
                <w:rFonts w:hint="eastAsia" w:asciiTheme="majorEastAsia" w:hAnsiTheme="majorEastAsia" w:eastAsiaTheme="majorEastAsia" w:cstheme="majorEastAsia"/>
                <w:spacing w:val="2"/>
                <w:w w:val="99"/>
                <w:szCs w:val="21"/>
              </w:rPr>
              <w:t>限</w:t>
            </w:r>
            <w:r>
              <w:rPr>
                <w:rFonts w:hint="eastAsia" w:asciiTheme="majorEastAsia" w:hAnsiTheme="majorEastAsia" w:eastAsiaTheme="majorEastAsia" w:cstheme="majorEastAsia"/>
                <w:w w:val="99"/>
                <w:szCs w:val="21"/>
              </w:rPr>
              <w:t>定值</w:t>
            </w:r>
            <w:r>
              <w:rPr>
                <w:rFonts w:hint="eastAsia" w:asciiTheme="majorEastAsia" w:hAnsiTheme="majorEastAsia" w:eastAsiaTheme="majorEastAsia" w:cstheme="majorEastAsia"/>
                <w:spacing w:val="2"/>
                <w:w w:val="99"/>
                <w:szCs w:val="21"/>
              </w:rPr>
              <w:t>及</w:t>
            </w:r>
            <w:r>
              <w:rPr>
                <w:rFonts w:hint="eastAsia" w:asciiTheme="majorEastAsia" w:hAnsiTheme="majorEastAsia" w:eastAsiaTheme="majorEastAsia" w:cstheme="majorEastAsia"/>
                <w:w w:val="99"/>
                <w:szCs w:val="21"/>
              </w:rPr>
              <w:t>能</w:t>
            </w:r>
            <w:r>
              <w:rPr>
                <w:rFonts w:hint="eastAsia" w:asciiTheme="majorEastAsia" w:hAnsiTheme="majorEastAsia" w:eastAsiaTheme="majorEastAsia" w:cstheme="majorEastAsia"/>
                <w:spacing w:val="2"/>
                <w:w w:val="99"/>
                <w:szCs w:val="21"/>
              </w:rPr>
              <w:t>效</w:t>
            </w:r>
            <w:r>
              <w:rPr>
                <w:rFonts w:hint="eastAsia" w:asciiTheme="majorEastAsia" w:hAnsiTheme="majorEastAsia" w:eastAsiaTheme="majorEastAsia" w:cstheme="majorEastAsia"/>
                <w:w w:val="99"/>
                <w:szCs w:val="21"/>
              </w:rPr>
              <w:t>等级》（</w:t>
            </w:r>
            <w:r>
              <w:rPr>
                <w:rFonts w:hint="eastAsia" w:asciiTheme="majorEastAsia" w:hAnsiTheme="majorEastAsia" w:eastAsiaTheme="majorEastAsia" w:cstheme="majorEastAsia"/>
                <w:spacing w:val="1"/>
                <w:w w:val="99"/>
                <w:szCs w:val="21"/>
              </w:rPr>
              <w:t>G</w:t>
            </w:r>
            <w:r>
              <w:rPr>
                <w:rFonts w:hint="eastAsia" w:asciiTheme="majorEastAsia" w:hAnsiTheme="majorEastAsia" w:eastAsiaTheme="majorEastAsia" w:cstheme="majorEastAsia"/>
                <w:w w:val="99"/>
                <w:szCs w:val="21"/>
              </w:rPr>
              <w:t>B</w:t>
            </w:r>
            <w:r>
              <w:rPr>
                <w:rFonts w:hint="eastAsia" w:asciiTheme="majorEastAsia" w:hAnsiTheme="majorEastAsia" w:eastAsiaTheme="majorEastAsia" w:cstheme="majorEastAsia"/>
                <w:spacing w:val="1"/>
                <w:w w:val="99"/>
                <w:szCs w:val="21"/>
              </w:rPr>
              <w:t>3</w:t>
            </w:r>
            <w:r>
              <w:rPr>
                <w:rFonts w:hint="eastAsia" w:asciiTheme="majorEastAsia" w:hAnsiTheme="majorEastAsia" w:eastAsiaTheme="majorEastAsia" w:cstheme="majorEastAsia"/>
                <w:w w:val="99"/>
                <w:szCs w:val="21"/>
              </w:rPr>
              <w:t>20</w:t>
            </w:r>
            <w:r>
              <w:rPr>
                <w:rFonts w:hint="eastAsia" w:asciiTheme="majorEastAsia" w:hAnsiTheme="majorEastAsia" w:eastAsiaTheme="majorEastAsia" w:cstheme="majorEastAsia"/>
                <w:spacing w:val="1"/>
                <w:w w:val="99"/>
                <w:szCs w:val="21"/>
              </w:rPr>
              <w:t>28</w:t>
            </w:r>
            <w:r>
              <w:rPr>
                <w:rFonts w:hint="eastAsia" w:asciiTheme="majorEastAsia" w:hAnsiTheme="majorEastAsia" w:eastAsiaTheme="majorEastAsia" w:cstheme="majorEastAsia"/>
                <w:w w:val="99"/>
                <w:szCs w:val="21"/>
              </w:rPr>
              <w:t>）</w:t>
            </w:r>
          </w:p>
        </w:tc>
      </w:tr>
      <w:tr w14:paraId="3446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23036A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377F5D9">
            <w:pPr>
              <w:pStyle w:val="104"/>
              <w:spacing w:before="66"/>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A02020400</w:t>
            </w:r>
            <w:r>
              <w:rPr>
                <w:rFonts w:hint="eastAsia" w:asciiTheme="majorEastAsia" w:hAnsiTheme="majorEastAsia" w:eastAsiaTheme="majorEastAsia" w:cstheme="majorEastAsia"/>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3120E0EE">
            <w:pPr>
              <w:jc w:val="center"/>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241E21F2">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vAlign w:val="center"/>
          </w:tcPr>
          <w:p w14:paraId="5C156026">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《复印</w:t>
            </w:r>
            <w:r>
              <w:rPr>
                <w:rFonts w:hint="eastAsia" w:asciiTheme="majorEastAsia" w:hAnsiTheme="majorEastAsia" w:eastAsiaTheme="majorEastAsia" w:cstheme="majorEastAsia"/>
                <w:spacing w:val="2"/>
                <w:w w:val="99"/>
                <w:szCs w:val="21"/>
              </w:rPr>
              <w:t>机</w:t>
            </w:r>
            <w:r>
              <w:rPr>
                <w:rFonts w:hint="eastAsia" w:asciiTheme="majorEastAsia" w:hAnsiTheme="majorEastAsia" w:eastAsiaTheme="majorEastAsia" w:cstheme="majorEastAsia"/>
                <w:spacing w:val="-58"/>
                <w:w w:val="99"/>
                <w:szCs w:val="21"/>
              </w:rPr>
              <w:t>、</w:t>
            </w:r>
            <w:r>
              <w:rPr>
                <w:rFonts w:hint="eastAsia" w:asciiTheme="majorEastAsia" w:hAnsiTheme="majorEastAsia" w:eastAsiaTheme="majorEastAsia" w:cstheme="majorEastAsia"/>
                <w:spacing w:val="2"/>
                <w:w w:val="99"/>
                <w:szCs w:val="21"/>
              </w:rPr>
              <w:t>打</w:t>
            </w:r>
            <w:r>
              <w:rPr>
                <w:rFonts w:hint="eastAsia" w:asciiTheme="majorEastAsia" w:hAnsiTheme="majorEastAsia" w:eastAsiaTheme="majorEastAsia" w:cstheme="majorEastAsia"/>
                <w:w w:val="99"/>
                <w:szCs w:val="21"/>
              </w:rPr>
              <w:t>印机</w:t>
            </w:r>
            <w:r>
              <w:rPr>
                <w:rFonts w:hint="eastAsia" w:asciiTheme="majorEastAsia" w:hAnsiTheme="majorEastAsia" w:eastAsiaTheme="majorEastAsia" w:cstheme="majorEastAsia"/>
                <w:spacing w:val="2"/>
                <w:w w:val="99"/>
                <w:szCs w:val="21"/>
              </w:rPr>
              <w:t>和</w:t>
            </w:r>
            <w:r>
              <w:rPr>
                <w:rFonts w:hint="eastAsia" w:asciiTheme="majorEastAsia" w:hAnsiTheme="majorEastAsia" w:eastAsiaTheme="majorEastAsia" w:cstheme="majorEastAsia"/>
                <w:w w:val="99"/>
                <w:szCs w:val="21"/>
              </w:rPr>
              <w:t>传真</w:t>
            </w:r>
            <w:r>
              <w:rPr>
                <w:rFonts w:hint="eastAsia" w:asciiTheme="majorEastAsia" w:hAnsiTheme="majorEastAsia" w:eastAsiaTheme="majorEastAsia" w:cstheme="majorEastAsia"/>
                <w:spacing w:val="2"/>
                <w:w w:val="99"/>
                <w:szCs w:val="21"/>
              </w:rPr>
              <w:t>机</w:t>
            </w:r>
            <w:r>
              <w:rPr>
                <w:rFonts w:hint="eastAsia" w:asciiTheme="majorEastAsia" w:hAnsiTheme="majorEastAsia" w:eastAsiaTheme="majorEastAsia" w:cstheme="majorEastAsia"/>
                <w:w w:val="99"/>
                <w:szCs w:val="21"/>
              </w:rPr>
              <w:t>能效限定值及</w:t>
            </w:r>
            <w:r>
              <w:rPr>
                <w:rFonts w:hint="eastAsia" w:asciiTheme="majorEastAsia" w:hAnsiTheme="majorEastAsia" w:eastAsiaTheme="majorEastAsia" w:cstheme="majorEastAsia"/>
                <w:spacing w:val="2"/>
                <w:w w:val="99"/>
                <w:szCs w:val="21"/>
              </w:rPr>
              <w:t>能</w:t>
            </w:r>
            <w:r>
              <w:rPr>
                <w:rFonts w:hint="eastAsia" w:asciiTheme="majorEastAsia" w:hAnsiTheme="majorEastAsia" w:eastAsiaTheme="majorEastAsia" w:cstheme="majorEastAsia"/>
                <w:w w:val="99"/>
                <w:szCs w:val="21"/>
              </w:rPr>
              <w:t>效等</w:t>
            </w:r>
            <w:r>
              <w:rPr>
                <w:rFonts w:hint="eastAsia" w:asciiTheme="majorEastAsia" w:hAnsiTheme="majorEastAsia" w:eastAsiaTheme="majorEastAsia" w:cstheme="majorEastAsia"/>
                <w:spacing w:val="2"/>
                <w:w w:val="99"/>
                <w:szCs w:val="21"/>
              </w:rPr>
              <w:t>级</w:t>
            </w: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pacing w:val="1"/>
                <w:w w:val="99"/>
                <w:szCs w:val="21"/>
              </w:rPr>
              <w:t>G</w:t>
            </w:r>
            <w:r>
              <w:rPr>
                <w:rFonts w:hint="eastAsia" w:asciiTheme="majorEastAsia" w:hAnsiTheme="majorEastAsia" w:eastAsiaTheme="majorEastAsia" w:cstheme="majorEastAsia"/>
                <w:w w:val="99"/>
                <w:szCs w:val="21"/>
              </w:rPr>
              <w:t>B</w:t>
            </w:r>
            <w:r>
              <w:rPr>
                <w:rFonts w:hint="eastAsia" w:asciiTheme="majorEastAsia" w:hAnsiTheme="majorEastAsia" w:eastAsiaTheme="majorEastAsia" w:cstheme="majorEastAsia"/>
                <w:spacing w:val="1"/>
                <w:w w:val="99"/>
                <w:szCs w:val="21"/>
              </w:rPr>
              <w:t>21</w:t>
            </w:r>
            <w:r>
              <w:rPr>
                <w:rFonts w:hint="eastAsia" w:asciiTheme="majorEastAsia" w:hAnsiTheme="majorEastAsia" w:eastAsiaTheme="majorEastAsia" w:cstheme="majorEastAsia"/>
                <w:w w:val="99"/>
                <w:szCs w:val="21"/>
              </w:rPr>
              <w:t>52</w:t>
            </w:r>
            <w:r>
              <w:rPr>
                <w:rFonts w:hint="eastAsia" w:asciiTheme="majorEastAsia" w:hAnsiTheme="majorEastAsia" w:eastAsiaTheme="majorEastAsia" w:cstheme="majorEastAsia"/>
                <w:spacing w:val="1"/>
                <w:w w:val="99"/>
                <w:szCs w:val="21"/>
              </w:rPr>
              <w:t>1</w:t>
            </w:r>
            <w:r>
              <w:rPr>
                <w:rFonts w:hint="eastAsia" w:asciiTheme="majorEastAsia" w:hAnsiTheme="majorEastAsia" w:eastAsiaTheme="majorEastAsia" w:cstheme="majorEastAsia"/>
                <w:w w:val="99"/>
                <w:szCs w:val="21"/>
              </w:rPr>
              <w:t>）</w:t>
            </w:r>
          </w:p>
        </w:tc>
      </w:tr>
      <w:tr w14:paraId="5186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ADF5E16">
            <w:pPr>
              <w:pStyle w:val="104"/>
              <w:spacing w:before="160"/>
              <w:ind w:right="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2D26F5C1">
            <w:pPr>
              <w:pStyle w:val="104"/>
              <w:spacing w:before="160"/>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A02051900</w:t>
            </w:r>
            <w:r>
              <w:rPr>
                <w:rFonts w:hint="eastAsia" w:asciiTheme="majorEastAsia" w:hAnsiTheme="majorEastAsia" w:eastAsiaTheme="majorEastAsia" w:cstheme="majorEastAsia"/>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3C69F712">
            <w:pPr>
              <w:pStyle w:val="104"/>
              <w:spacing w:before="160"/>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A02</w:t>
            </w:r>
            <w:r>
              <w:rPr>
                <w:rFonts w:hint="eastAsia" w:asciiTheme="majorEastAsia" w:hAnsiTheme="majorEastAsia" w:eastAsiaTheme="majorEastAsia" w:cstheme="majorEastAsia"/>
                <w:w w:val="99"/>
                <w:kern w:val="2"/>
                <w:sz w:val="21"/>
                <w:szCs w:val="21"/>
              </w:rPr>
              <w:t>05</w:t>
            </w: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901离心泵</w:t>
            </w:r>
          </w:p>
        </w:tc>
        <w:tc>
          <w:tcPr>
            <w:tcW w:w="1373" w:type="dxa"/>
            <w:tcBorders>
              <w:top w:val="single" w:color="000000" w:sz="4" w:space="0"/>
              <w:left w:val="single" w:color="000000" w:sz="4" w:space="0"/>
              <w:bottom w:val="single" w:color="000000" w:sz="4" w:space="0"/>
              <w:right w:val="single" w:color="000000" w:sz="4" w:space="0"/>
            </w:tcBorders>
            <w:vAlign w:val="center"/>
          </w:tcPr>
          <w:p w14:paraId="4286B2EF">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17A2B8FF">
            <w:pPr>
              <w:pStyle w:val="104"/>
              <w:spacing w:before="4"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《清水离心泵能效限定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及节</w:t>
            </w:r>
            <w:r>
              <w:rPr>
                <w:rFonts w:hint="eastAsia" w:asciiTheme="majorEastAsia" w:hAnsiTheme="majorEastAsia" w:eastAsiaTheme="majorEastAsia" w:cstheme="majorEastAsia"/>
                <w:w w:val="99"/>
                <w:kern w:val="2"/>
                <w:sz w:val="21"/>
                <w:szCs w:val="21"/>
                <w:lang w:eastAsia="zh-CN"/>
              </w:rPr>
              <w:t>能评价值</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19</w:t>
            </w:r>
            <w:r>
              <w:rPr>
                <w:rFonts w:hint="eastAsia" w:asciiTheme="majorEastAsia" w:hAnsiTheme="majorEastAsia" w:eastAsiaTheme="majorEastAsia" w:cstheme="majorEastAsia"/>
                <w:w w:val="99"/>
                <w:kern w:val="2"/>
                <w:sz w:val="21"/>
                <w:szCs w:val="21"/>
                <w:lang w:eastAsia="zh-CN"/>
              </w:rPr>
              <w:t>76</w:t>
            </w:r>
            <w:r>
              <w:rPr>
                <w:rFonts w:hint="eastAsia" w:asciiTheme="majorEastAsia" w:hAnsiTheme="majorEastAsia" w:eastAsiaTheme="majorEastAsia" w:cstheme="majorEastAsia"/>
                <w:spacing w:val="1"/>
                <w:w w:val="99"/>
                <w:kern w:val="2"/>
                <w:sz w:val="21"/>
                <w:szCs w:val="21"/>
                <w:lang w:eastAsia="zh-CN"/>
              </w:rPr>
              <w:t>2</w:t>
            </w:r>
            <w:r>
              <w:rPr>
                <w:rFonts w:hint="eastAsia" w:asciiTheme="majorEastAsia" w:hAnsiTheme="majorEastAsia" w:eastAsiaTheme="majorEastAsia" w:cstheme="majorEastAsia"/>
                <w:w w:val="99"/>
                <w:kern w:val="2"/>
                <w:sz w:val="21"/>
                <w:szCs w:val="21"/>
                <w:lang w:eastAsia="zh-CN"/>
              </w:rPr>
              <w:t>）</w:t>
            </w:r>
          </w:p>
        </w:tc>
      </w:tr>
      <w:tr w14:paraId="19F6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D95589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45BA3B3">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A02052300</w:t>
            </w:r>
            <w:r>
              <w:rPr>
                <w:rFonts w:hint="eastAsia" w:asciiTheme="majorEastAsia" w:hAnsiTheme="majorEastAsia" w:eastAsiaTheme="majorEastAsia" w:cstheme="majorEastAsia"/>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092C1E7">
            <w:pPr>
              <w:pStyle w:val="104"/>
              <w:spacing w:line="276" w:lineRule="auto"/>
              <w:ind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spacing w:val="1"/>
                <w:w w:val="99"/>
                <w:kern w:val="2"/>
                <w:sz w:val="21"/>
                <w:szCs w:val="21"/>
              </w:rPr>
              <w:t>A020</w:t>
            </w:r>
            <w:r>
              <w:rPr>
                <w:rFonts w:hint="eastAsia" w:asciiTheme="majorEastAsia" w:hAnsiTheme="majorEastAsia" w:eastAsiaTheme="majorEastAsia" w:cstheme="majorEastAsia"/>
                <w:w w:val="99"/>
                <w:kern w:val="2"/>
                <w:sz w:val="21"/>
                <w:szCs w:val="21"/>
              </w:rPr>
              <w:t>52</w:t>
            </w:r>
            <w:r>
              <w:rPr>
                <w:rFonts w:hint="eastAsia" w:asciiTheme="majorEastAsia" w:hAnsiTheme="majorEastAsia" w:eastAsiaTheme="majorEastAsia" w:cstheme="majorEastAsia"/>
                <w:spacing w:val="1"/>
                <w:w w:val="99"/>
                <w:kern w:val="2"/>
                <w:sz w:val="21"/>
                <w:szCs w:val="21"/>
              </w:rPr>
              <w:t>3</w:t>
            </w:r>
            <w:r>
              <w:rPr>
                <w:rFonts w:hint="eastAsia" w:asciiTheme="majorEastAsia" w:hAnsiTheme="majorEastAsia" w:eastAsiaTheme="majorEastAsia" w:cstheme="majorEastAsia"/>
                <w:w w:val="99"/>
                <w:kern w:val="2"/>
                <w:sz w:val="21"/>
                <w:szCs w:val="21"/>
              </w:rPr>
              <w:t>01制冷压缩机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0F24BF12">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冷水机组</w:t>
            </w:r>
          </w:p>
        </w:tc>
        <w:tc>
          <w:tcPr>
            <w:tcW w:w="3566" w:type="dxa"/>
            <w:tcBorders>
              <w:top w:val="single" w:color="000000" w:sz="4" w:space="0"/>
              <w:left w:val="single" w:color="000000" w:sz="4" w:space="0"/>
              <w:bottom w:val="single" w:color="000000" w:sz="4" w:space="0"/>
              <w:right w:val="single" w:color="000000" w:sz="4" w:space="0"/>
            </w:tcBorders>
          </w:tcPr>
          <w:p w14:paraId="51CD132B">
            <w:pPr>
              <w:pStyle w:val="104"/>
              <w:spacing w:before="30" w:line="276" w:lineRule="auto"/>
              <w:ind w:left="7" w:right="4"/>
              <w:jc w:val="both"/>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《冷水机组能效限定值</w:t>
            </w:r>
            <w:r>
              <w:rPr>
                <w:rFonts w:hint="eastAsia" w:asciiTheme="majorEastAsia" w:hAnsiTheme="majorEastAsia" w:eastAsiaTheme="majorEastAsia" w:cstheme="majorEastAsia"/>
                <w:spacing w:val="9"/>
                <w:w w:val="99"/>
                <w:kern w:val="2"/>
                <w:sz w:val="21"/>
                <w:szCs w:val="21"/>
                <w:lang w:eastAsia="zh-CN"/>
              </w:rPr>
              <w:t>及</w:t>
            </w:r>
            <w:r>
              <w:rPr>
                <w:rFonts w:hint="eastAsia" w:asciiTheme="majorEastAsia" w:hAnsiTheme="majorEastAsia" w:eastAsiaTheme="majorEastAsia" w:cstheme="majorEastAsia"/>
                <w:spacing w:val="12"/>
                <w:w w:val="99"/>
                <w:kern w:val="2"/>
                <w:sz w:val="21"/>
                <w:szCs w:val="21"/>
                <w:lang w:eastAsia="zh-CN"/>
              </w:rPr>
              <w:t>能效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3"/>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195</w:t>
            </w:r>
            <w:r>
              <w:rPr>
                <w:rFonts w:hint="eastAsia" w:asciiTheme="majorEastAsia" w:hAnsiTheme="majorEastAsia" w:eastAsiaTheme="majorEastAsia" w:cstheme="majorEastAsia"/>
                <w:w w:val="99"/>
                <w:kern w:val="2"/>
                <w:sz w:val="21"/>
                <w:szCs w:val="21"/>
                <w:lang w:eastAsia="zh-CN"/>
              </w:rPr>
              <w:t>77</w:t>
            </w:r>
            <w:r>
              <w:rPr>
                <w:rFonts w:hint="eastAsia" w:asciiTheme="majorEastAsia" w:hAnsiTheme="majorEastAsia" w:eastAsiaTheme="majorEastAsia" w:cstheme="majorEastAsia"/>
                <w:spacing w:val="-3"/>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《低</w:t>
            </w:r>
            <w:r>
              <w:rPr>
                <w:rFonts w:hint="eastAsia" w:asciiTheme="majorEastAsia" w:hAnsiTheme="majorEastAsia" w:eastAsiaTheme="majorEastAsia" w:cstheme="majorEastAsia"/>
                <w:spacing w:val="2"/>
                <w:w w:val="99"/>
                <w:kern w:val="2"/>
                <w:sz w:val="21"/>
                <w:szCs w:val="21"/>
                <w:lang w:eastAsia="zh-CN"/>
              </w:rPr>
              <w:t>环</w:t>
            </w:r>
            <w:r>
              <w:rPr>
                <w:rFonts w:hint="eastAsia" w:asciiTheme="majorEastAsia" w:hAnsiTheme="majorEastAsia" w:eastAsiaTheme="majorEastAsia" w:cstheme="majorEastAsia"/>
                <w:w w:val="99"/>
                <w:kern w:val="2"/>
                <w:sz w:val="21"/>
                <w:szCs w:val="21"/>
                <w:lang w:eastAsia="zh-CN"/>
              </w:rPr>
              <w:t>境温度空气源</w:t>
            </w:r>
            <w:r>
              <w:rPr>
                <w:rFonts w:hint="eastAsia" w:asciiTheme="majorEastAsia" w:hAnsiTheme="majorEastAsia" w:eastAsiaTheme="majorEastAsia" w:cstheme="majorEastAsia"/>
                <w:spacing w:val="2"/>
                <w:w w:val="99"/>
                <w:kern w:val="2"/>
                <w:sz w:val="21"/>
                <w:szCs w:val="21"/>
                <w:lang w:eastAsia="zh-CN"/>
              </w:rPr>
              <w:t>热</w:t>
            </w:r>
            <w:r>
              <w:rPr>
                <w:rFonts w:hint="eastAsia" w:asciiTheme="majorEastAsia" w:hAnsiTheme="majorEastAsia" w:eastAsiaTheme="majorEastAsia" w:cstheme="majorEastAsia"/>
                <w:spacing w:val="-29"/>
                <w:w w:val="99"/>
                <w:kern w:val="2"/>
                <w:sz w:val="21"/>
                <w:szCs w:val="21"/>
                <w:lang w:eastAsia="zh-CN"/>
              </w:rPr>
              <w:t>泵</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冷水</w:t>
            </w:r>
            <w:r>
              <w:rPr>
                <w:rFonts w:hint="eastAsia" w:asciiTheme="majorEastAsia" w:hAnsiTheme="majorEastAsia" w:eastAsiaTheme="majorEastAsia" w:cstheme="majorEastAsia"/>
                <w:spacing w:val="-27"/>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机组</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效限定值及能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37</w:t>
            </w:r>
            <w:r>
              <w:rPr>
                <w:rFonts w:hint="eastAsia" w:asciiTheme="majorEastAsia" w:hAnsiTheme="majorEastAsia" w:eastAsiaTheme="majorEastAsia" w:cstheme="majorEastAsia"/>
                <w:w w:val="99"/>
                <w:kern w:val="2"/>
                <w:sz w:val="21"/>
                <w:szCs w:val="21"/>
                <w:lang w:eastAsia="zh-CN"/>
              </w:rPr>
              <w:t>48</w:t>
            </w:r>
            <w:r>
              <w:rPr>
                <w:rFonts w:hint="eastAsia" w:asciiTheme="majorEastAsia" w:hAnsiTheme="majorEastAsia" w:eastAsiaTheme="majorEastAsia" w:cstheme="majorEastAsia"/>
                <w:spacing w:val="-2"/>
                <w:w w:val="99"/>
                <w:kern w:val="2"/>
                <w:sz w:val="21"/>
                <w:szCs w:val="21"/>
                <w:lang w:eastAsia="zh-CN"/>
              </w:rPr>
              <w:t>0</w:t>
            </w:r>
            <w:r>
              <w:rPr>
                <w:rFonts w:hint="eastAsia" w:asciiTheme="majorEastAsia" w:hAnsiTheme="majorEastAsia" w:eastAsiaTheme="majorEastAsia" w:cstheme="majorEastAsia"/>
                <w:w w:val="99"/>
                <w:kern w:val="2"/>
                <w:sz w:val="21"/>
                <w:szCs w:val="21"/>
                <w:lang w:eastAsia="zh-CN"/>
              </w:rPr>
              <w:t>）</w:t>
            </w:r>
          </w:p>
        </w:tc>
      </w:tr>
      <w:tr w14:paraId="0B7D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12B452D">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2DE279E">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3A0571D">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F36057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溴化锂吸收式冷水机组</w:t>
            </w:r>
          </w:p>
        </w:tc>
        <w:tc>
          <w:tcPr>
            <w:tcW w:w="3566" w:type="dxa"/>
            <w:tcBorders>
              <w:top w:val="single" w:color="000000" w:sz="4" w:space="0"/>
              <w:left w:val="single" w:color="000000" w:sz="4" w:space="0"/>
              <w:bottom w:val="single" w:color="000000" w:sz="4" w:space="0"/>
              <w:right w:val="single" w:color="000000" w:sz="4" w:space="0"/>
            </w:tcBorders>
            <w:vAlign w:val="center"/>
          </w:tcPr>
          <w:p w14:paraId="4BC0CA03">
            <w:pPr>
              <w:pStyle w:val="104"/>
              <w:spacing w:before="93"/>
              <w:ind w:left="7"/>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《溴化锂吸收式冷水机组能效限</w:t>
            </w:r>
          </w:p>
          <w:p w14:paraId="2C6FDCD2">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定值及能效等级》（GB29540）</w:t>
            </w:r>
          </w:p>
        </w:tc>
      </w:tr>
      <w:tr w14:paraId="5E91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E321A6A">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79C17AA">
            <w:pPr>
              <w:widowControl/>
              <w:jc w:val="left"/>
              <w:rPr>
                <w:rFonts w:asciiTheme="majorEastAsia" w:hAnsiTheme="majorEastAsia" w:eastAsiaTheme="majorEastAsia" w:cstheme="majorEastAsia"/>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A2C927B">
            <w:pPr>
              <w:pStyle w:val="104"/>
              <w:spacing w:line="276" w:lineRule="auto"/>
              <w:ind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★A02052305空调机组</w:t>
            </w:r>
          </w:p>
        </w:tc>
        <w:tc>
          <w:tcPr>
            <w:tcW w:w="1373" w:type="dxa"/>
            <w:tcBorders>
              <w:top w:val="single" w:color="000000" w:sz="4" w:space="0"/>
              <w:left w:val="single" w:color="000000" w:sz="4" w:space="0"/>
              <w:bottom w:val="single" w:color="000000" w:sz="4" w:space="0"/>
              <w:right w:val="single" w:color="000000" w:sz="4" w:space="0"/>
            </w:tcBorders>
            <w:vAlign w:val="center"/>
          </w:tcPr>
          <w:p w14:paraId="3256AADC">
            <w:pPr>
              <w:pStyle w:val="104"/>
              <w:spacing w:before="4" w:line="276" w:lineRule="auto"/>
              <w:ind w:left="7" w:right="7"/>
              <w:jc w:val="center"/>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多联式空调（热泵）机组（制冷量&gt;14000W）</w:t>
            </w:r>
          </w:p>
        </w:tc>
        <w:tc>
          <w:tcPr>
            <w:tcW w:w="3566" w:type="dxa"/>
            <w:tcBorders>
              <w:top w:val="single" w:color="000000" w:sz="4" w:space="0"/>
              <w:left w:val="single" w:color="000000" w:sz="4" w:space="0"/>
              <w:bottom w:val="single" w:color="000000" w:sz="4" w:space="0"/>
              <w:right w:val="single" w:color="000000" w:sz="4" w:space="0"/>
            </w:tcBorders>
          </w:tcPr>
          <w:p w14:paraId="6CF1EF01">
            <w:pPr>
              <w:pStyle w:val="104"/>
              <w:spacing w:before="160"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《多联式空调（热泵）机组能效限定值及能源效率等级》（GB21454）</w:t>
            </w:r>
          </w:p>
        </w:tc>
      </w:tr>
      <w:tr w14:paraId="6D84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AC9540F">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5358131">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50BC577">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5C324CC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单元式空气调节机</w:t>
            </w:r>
          </w:p>
        </w:tc>
        <w:tc>
          <w:tcPr>
            <w:tcW w:w="3566" w:type="dxa"/>
            <w:tcBorders>
              <w:top w:val="single" w:color="000000" w:sz="4" w:space="0"/>
              <w:left w:val="single" w:color="000000" w:sz="4" w:space="0"/>
              <w:bottom w:val="single" w:color="000000" w:sz="4" w:space="0"/>
              <w:right w:val="single" w:color="000000" w:sz="4" w:space="0"/>
            </w:tcBorders>
          </w:tcPr>
          <w:p w14:paraId="343D1C0F">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《单元式空气调节机能效限定值及能效等级》（GB19576）《风管送风式空调机组能效限定值及能效等级》（GB37479）</w:t>
            </w:r>
          </w:p>
        </w:tc>
      </w:tr>
      <w:tr w14:paraId="5CF1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5C334B5">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D0A3539">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E3F9FC9">
            <w:pPr>
              <w:pStyle w:val="104"/>
              <w:spacing w:before="83"/>
              <w:ind w:left="7"/>
              <w:jc w:val="center"/>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★A02052309专用制冷、空调设备</w:t>
            </w:r>
          </w:p>
        </w:tc>
        <w:tc>
          <w:tcPr>
            <w:tcW w:w="1373" w:type="dxa"/>
            <w:tcBorders>
              <w:top w:val="single" w:color="000000" w:sz="4" w:space="0"/>
              <w:left w:val="single" w:color="000000" w:sz="4" w:space="0"/>
              <w:bottom w:val="single" w:color="000000" w:sz="4" w:space="0"/>
              <w:right w:val="single" w:color="000000" w:sz="4" w:space="0"/>
            </w:tcBorders>
            <w:vAlign w:val="center"/>
          </w:tcPr>
          <w:p w14:paraId="24812E16">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机房空调</w:t>
            </w:r>
          </w:p>
        </w:tc>
        <w:tc>
          <w:tcPr>
            <w:tcW w:w="3566" w:type="dxa"/>
            <w:tcBorders>
              <w:top w:val="single" w:color="000000" w:sz="4" w:space="0"/>
              <w:left w:val="single" w:color="000000" w:sz="4" w:space="0"/>
              <w:bottom w:val="single" w:color="000000" w:sz="4" w:space="0"/>
              <w:right w:val="single" w:color="000000" w:sz="4" w:space="0"/>
            </w:tcBorders>
          </w:tcPr>
          <w:p w14:paraId="495B1B6C">
            <w:pPr>
              <w:pStyle w:val="104"/>
              <w:spacing w:before="83"/>
              <w:ind w:left="7"/>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《单元式空气调节机能效限定值</w:t>
            </w:r>
          </w:p>
          <w:p w14:paraId="40E0BF66">
            <w:pPr>
              <w:pStyle w:val="104"/>
              <w:spacing w:before="83"/>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及能效等级》（GB19576）</w:t>
            </w:r>
          </w:p>
        </w:tc>
      </w:tr>
      <w:tr w14:paraId="7790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F7C969F">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6F824A7">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09E68AC">
            <w:pPr>
              <w:pStyle w:val="104"/>
              <w:spacing w:line="254" w:lineRule="exact"/>
              <w:ind w:left="7"/>
              <w:jc w:val="center"/>
              <w:rPr>
                <w:rFonts w:asciiTheme="majorEastAsia" w:hAnsiTheme="majorEastAsia" w:eastAsiaTheme="majorEastAsia" w:cstheme="majorEastAsia"/>
                <w:w w:val="99"/>
                <w:kern w:val="2"/>
                <w:sz w:val="21"/>
                <w:szCs w:val="21"/>
              </w:rPr>
            </w:pPr>
            <w:r>
              <w:rPr>
                <w:rFonts w:hint="eastAsia" w:asciiTheme="majorEastAsia" w:hAnsiTheme="majorEastAsia" w:eastAsiaTheme="majorEastAsia" w:cstheme="majorEastAsia"/>
                <w:w w:val="99"/>
                <w:kern w:val="2"/>
                <w:sz w:val="21"/>
                <w:szCs w:val="21"/>
              </w:rPr>
              <w:t>A02052399其他制冷</w:t>
            </w:r>
          </w:p>
          <w:p w14:paraId="2A82F59F">
            <w:pPr>
              <w:pStyle w:val="104"/>
              <w:spacing w:line="254" w:lineRule="exact"/>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空调设备</w:t>
            </w:r>
          </w:p>
        </w:tc>
        <w:tc>
          <w:tcPr>
            <w:tcW w:w="1373" w:type="dxa"/>
            <w:tcBorders>
              <w:top w:val="single" w:color="000000" w:sz="4" w:space="0"/>
              <w:left w:val="single" w:color="000000" w:sz="4" w:space="0"/>
              <w:bottom w:val="single" w:color="000000" w:sz="4" w:space="0"/>
              <w:right w:val="single" w:color="000000" w:sz="4" w:space="0"/>
            </w:tcBorders>
            <w:vAlign w:val="center"/>
          </w:tcPr>
          <w:p w14:paraId="34750645">
            <w:pPr>
              <w:widowControl/>
              <w:jc w:val="center"/>
              <w:rPr>
                <w:rFonts w:asciiTheme="majorEastAsia" w:hAnsiTheme="majorEastAsia" w:eastAsiaTheme="majorEastAsia" w:cstheme="majorEastAsia"/>
                <w:szCs w:val="21"/>
                <w:lang w:eastAsia="en-US"/>
              </w:rPr>
            </w:pPr>
            <w:r>
              <w:rPr>
                <w:rFonts w:hint="eastAsia" w:asciiTheme="majorEastAsia" w:hAnsiTheme="majorEastAsia" w:eastAsiaTheme="majorEastAsia" w:cstheme="majorEastAsia"/>
                <w:w w:val="99"/>
                <w:szCs w:val="21"/>
              </w:rPr>
              <w:t>冷却塔</w:t>
            </w:r>
          </w:p>
        </w:tc>
        <w:tc>
          <w:tcPr>
            <w:tcW w:w="3566" w:type="dxa"/>
            <w:tcBorders>
              <w:top w:val="single" w:color="000000" w:sz="4" w:space="0"/>
              <w:left w:val="single" w:color="000000" w:sz="4" w:space="0"/>
              <w:bottom w:val="single" w:color="000000" w:sz="4" w:space="0"/>
              <w:right w:val="single" w:color="000000" w:sz="4" w:space="0"/>
            </w:tcBorders>
          </w:tcPr>
          <w:p w14:paraId="64D039AC">
            <w:pPr>
              <w:pStyle w:val="104"/>
              <w:spacing w:line="254" w:lineRule="exact"/>
              <w:ind w:left="7"/>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《机械通风冷却塔第1部分：中小型开式冷却塔》（GB/T7190.1）</w:t>
            </w:r>
          </w:p>
          <w:p w14:paraId="5A70DBB7">
            <w:pPr>
              <w:pStyle w:val="104"/>
              <w:spacing w:line="254" w:lineRule="exact"/>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《机械通风冷却塔第2部分：大型开式冷却塔》（GB/T7190.2）</w:t>
            </w:r>
          </w:p>
        </w:tc>
      </w:tr>
      <w:tr w14:paraId="572C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13950D4">
            <w:pPr>
              <w:pStyle w:val="104"/>
              <w:ind w:right="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78406AF0">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A02060100</w:t>
            </w:r>
            <w:r>
              <w:rPr>
                <w:rFonts w:hint="eastAsia" w:asciiTheme="majorEastAsia" w:hAnsiTheme="majorEastAsia" w:eastAsiaTheme="majorEastAsia" w:cstheme="majorEastAsia"/>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52C0826">
            <w:pPr>
              <w:jc w:val="center"/>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7A50AEE4">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6F1E2D04">
            <w:pPr>
              <w:pStyle w:val="104"/>
              <w:spacing w:before="52"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《中小型三相异步电动机能效限定值及能效等级》（GB18613）</w:t>
            </w:r>
          </w:p>
        </w:tc>
      </w:tr>
      <w:tr w14:paraId="3FB5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A5214F3">
            <w:pPr>
              <w:pStyle w:val="104"/>
              <w:ind w:right="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0A19BA3D">
            <w:pPr>
              <w:pStyle w:val="104"/>
              <w:spacing w:before="30"/>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A02060200</w:t>
            </w:r>
            <w:r>
              <w:rPr>
                <w:rFonts w:hint="eastAsia" w:asciiTheme="majorEastAsia" w:hAnsiTheme="majorEastAsia" w:eastAsiaTheme="majorEastAsia" w:cstheme="majorEastAsia"/>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67C1EFC6">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配电变压器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568E5B27">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10B18E34">
            <w:pPr>
              <w:pStyle w:val="104"/>
              <w:spacing w:before="30"/>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《三相配电变压器能效限定值及</w:t>
            </w:r>
          </w:p>
        </w:tc>
      </w:tr>
      <w:tr w14:paraId="41B7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41DACEF">
            <w:pPr>
              <w:pStyle w:val="104"/>
              <w:ind w:right="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4C5306EF">
            <w:pPr>
              <w:pStyle w:val="104"/>
              <w:spacing w:before="126"/>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D99FC2B">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管型荧光灯镇流器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6F7C594C">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3F682C27">
            <w:pPr>
              <w:pStyle w:val="104"/>
              <w:spacing w:before="126"/>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《管形荧光灯镇流器能效限定值及能效等级》（GB17896）</w:t>
            </w:r>
          </w:p>
        </w:tc>
      </w:tr>
      <w:tr w14:paraId="56FF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A7055B9">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D4DFAE5">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7DAC9A9">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A02061801电冰箱</w:t>
            </w:r>
          </w:p>
        </w:tc>
        <w:tc>
          <w:tcPr>
            <w:tcW w:w="1373" w:type="dxa"/>
            <w:tcBorders>
              <w:top w:val="single" w:color="000000" w:sz="4" w:space="0"/>
              <w:left w:val="single" w:color="000000" w:sz="4" w:space="0"/>
              <w:bottom w:val="single" w:color="000000" w:sz="4" w:space="0"/>
              <w:right w:val="single" w:color="000000" w:sz="4" w:space="0"/>
            </w:tcBorders>
            <w:vAlign w:val="center"/>
          </w:tcPr>
          <w:p w14:paraId="1A189747">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71E380AC">
            <w:pPr>
              <w:pStyle w:val="104"/>
              <w:spacing w:before="126"/>
              <w:ind w:left="7"/>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《家用电冰箱耗电量限定值及能效等级》（GB12021.2）</w:t>
            </w:r>
          </w:p>
        </w:tc>
      </w:tr>
      <w:tr w14:paraId="272A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9F46844">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D21DB2C">
            <w:pPr>
              <w:widowControl/>
              <w:jc w:val="left"/>
              <w:rPr>
                <w:rFonts w:asciiTheme="majorEastAsia" w:hAnsiTheme="majorEastAsia" w:eastAsiaTheme="majorEastAsia" w:cstheme="majorEastAsia"/>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2A79D19">
            <w:pPr>
              <w:pStyle w:val="104"/>
              <w:spacing w:before="17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kern w:val="2"/>
                <w:sz w:val="21"/>
                <w:szCs w:val="21"/>
              </w:rPr>
              <w:t>A02061804</w:t>
            </w:r>
            <w:r>
              <w:rPr>
                <w:rFonts w:hint="eastAsia" w:asciiTheme="majorEastAsia" w:hAnsiTheme="majorEastAsia" w:eastAsiaTheme="majorEastAsia" w:cstheme="majorEastAsia"/>
                <w:w w:val="99"/>
                <w:kern w:val="2"/>
                <w:sz w:val="21"/>
                <w:szCs w:val="21"/>
              </w:rPr>
              <w:t>空调机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0C66B1A7">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房间空气调节器</w:t>
            </w:r>
          </w:p>
        </w:tc>
        <w:tc>
          <w:tcPr>
            <w:tcW w:w="3566" w:type="dxa"/>
            <w:tcBorders>
              <w:top w:val="single" w:color="000000" w:sz="4" w:space="0"/>
              <w:left w:val="single" w:color="000000" w:sz="4" w:space="0"/>
              <w:bottom w:val="single" w:color="000000" w:sz="4" w:space="0"/>
              <w:right w:val="single" w:color="000000" w:sz="4" w:space="0"/>
            </w:tcBorders>
          </w:tcPr>
          <w:p w14:paraId="5E1E66FA">
            <w:pPr>
              <w:pStyle w:val="104"/>
              <w:spacing w:line="256" w:lineRule="exact"/>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《房间空气调节器能效限定值及能效等级》（GB21455-2019）</w:t>
            </w:r>
          </w:p>
        </w:tc>
      </w:tr>
      <w:tr w14:paraId="349B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E3102A1">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906E21B">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2FFECBA">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0955CCD8">
            <w:pPr>
              <w:pStyle w:val="104"/>
              <w:spacing w:before="4" w:line="276" w:lineRule="auto"/>
              <w:ind w:left="7" w:right="7"/>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多联式空调（热泵）机组（制冷量≤ 14000W）</w:t>
            </w:r>
          </w:p>
        </w:tc>
        <w:tc>
          <w:tcPr>
            <w:tcW w:w="3566" w:type="dxa"/>
            <w:tcBorders>
              <w:top w:val="single" w:color="000000" w:sz="4" w:space="0"/>
              <w:left w:val="single" w:color="000000" w:sz="4" w:space="0"/>
              <w:bottom w:val="single" w:color="000000" w:sz="4" w:space="0"/>
              <w:right w:val="single" w:color="000000" w:sz="4" w:space="0"/>
            </w:tcBorders>
          </w:tcPr>
          <w:p w14:paraId="07D72B9E">
            <w:pPr>
              <w:pStyle w:val="104"/>
              <w:spacing w:before="160"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《多联式空调（热泵）机组能效限定值及能源效率等级》（GB21454）</w:t>
            </w:r>
          </w:p>
        </w:tc>
      </w:tr>
      <w:tr w14:paraId="5833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250A443">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22F956B">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9D6360D">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0CC2C4B9">
            <w:pPr>
              <w:pStyle w:val="104"/>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单元式空气调节机（制冷量≤ 14000W）</w:t>
            </w:r>
          </w:p>
        </w:tc>
        <w:tc>
          <w:tcPr>
            <w:tcW w:w="3566" w:type="dxa"/>
            <w:tcBorders>
              <w:top w:val="single" w:color="000000" w:sz="4" w:space="0"/>
              <w:left w:val="single" w:color="000000" w:sz="4" w:space="0"/>
              <w:bottom w:val="single" w:color="000000" w:sz="4" w:space="0"/>
              <w:right w:val="single" w:color="000000" w:sz="4" w:space="0"/>
            </w:tcBorders>
          </w:tcPr>
          <w:p w14:paraId="5B503CC0">
            <w:pPr>
              <w:pStyle w:val="104"/>
              <w:spacing w:before="4"/>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《单元式空气调节机能效限定值及能源效率等级》（GB19576）《风管送风式空调机组能效限定值及能效等级》（GB37479）</w:t>
            </w:r>
          </w:p>
        </w:tc>
      </w:tr>
      <w:tr w14:paraId="5D98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AA970ED">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FE103F1">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262CECF">
            <w:pPr>
              <w:pStyle w:val="104"/>
              <w:spacing w:before="162"/>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A02061810</w:t>
            </w:r>
            <w:r>
              <w:rPr>
                <w:rFonts w:hint="eastAsia" w:asciiTheme="majorEastAsia" w:hAnsiTheme="majorEastAsia" w:eastAsiaTheme="majorEastAsia" w:cstheme="majorEastAsia"/>
                <w:w w:val="99"/>
                <w:kern w:val="2"/>
                <w:sz w:val="21"/>
                <w:szCs w:val="21"/>
              </w:rPr>
              <w:t>洗衣机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4FD89D01">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31AF761C">
            <w:pPr>
              <w:pStyle w:val="104"/>
              <w:spacing w:before="6"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《电动洗衣机能效水效限定值及等级》（GB12021.4）</w:t>
            </w:r>
          </w:p>
        </w:tc>
      </w:tr>
      <w:tr w14:paraId="584B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8928192">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D112453">
            <w:pPr>
              <w:widowControl/>
              <w:jc w:val="left"/>
              <w:rPr>
                <w:rFonts w:asciiTheme="majorEastAsia" w:hAnsiTheme="majorEastAsia" w:eastAsiaTheme="majorEastAsia" w:cstheme="majorEastAsia"/>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28F5D8D">
            <w:pPr>
              <w:pStyle w:val="104"/>
              <w:spacing w:before="16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A02061819</w:t>
            </w:r>
            <w:r>
              <w:rPr>
                <w:rFonts w:hint="eastAsia" w:asciiTheme="majorEastAsia" w:hAnsiTheme="majorEastAsia" w:eastAsiaTheme="majorEastAsia" w:cstheme="majorEastAsia"/>
                <w:w w:val="99"/>
                <w:kern w:val="2"/>
                <w:sz w:val="21"/>
                <w:szCs w:val="21"/>
              </w:rPr>
              <w:t>热水器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3C33071B">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★电热</w:t>
            </w:r>
            <w:r>
              <w:rPr>
                <w:rFonts w:hint="eastAsia" w:asciiTheme="majorEastAsia" w:hAnsiTheme="majorEastAsia" w:eastAsiaTheme="majorEastAsia" w:cstheme="majorEastAsia"/>
                <w:spacing w:val="2"/>
                <w:w w:val="99"/>
                <w:kern w:val="2"/>
                <w:sz w:val="21"/>
                <w:szCs w:val="21"/>
              </w:rPr>
              <w:t>水</w:t>
            </w:r>
            <w:r>
              <w:rPr>
                <w:rFonts w:hint="eastAsia" w:asciiTheme="majorEastAsia" w:hAnsiTheme="majorEastAsia" w:eastAsiaTheme="majorEastAsia" w:cstheme="majorEastAsia"/>
                <w:w w:val="99"/>
                <w:kern w:val="2"/>
                <w:sz w:val="21"/>
                <w:szCs w:val="21"/>
              </w:rPr>
              <w:t>器</w:t>
            </w:r>
          </w:p>
        </w:tc>
        <w:tc>
          <w:tcPr>
            <w:tcW w:w="3566" w:type="dxa"/>
            <w:tcBorders>
              <w:top w:val="single" w:color="000000" w:sz="4" w:space="0"/>
              <w:left w:val="single" w:color="000000" w:sz="4" w:space="0"/>
              <w:bottom w:val="single" w:color="000000" w:sz="4" w:space="0"/>
              <w:right w:val="single" w:color="000000" w:sz="4" w:space="0"/>
            </w:tcBorders>
          </w:tcPr>
          <w:p w14:paraId="66F5E307">
            <w:pPr>
              <w:pStyle w:val="104"/>
              <w:tabs>
                <w:tab w:val="left" w:pos="1608"/>
              </w:tabs>
              <w:spacing w:before="52"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《储水式电热水器能效</w:t>
            </w:r>
            <w:r>
              <w:rPr>
                <w:rFonts w:hint="eastAsia" w:asciiTheme="majorEastAsia" w:hAnsiTheme="majorEastAsia" w:eastAsiaTheme="majorEastAsia" w:cstheme="majorEastAsia"/>
                <w:spacing w:val="9"/>
                <w:w w:val="99"/>
                <w:kern w:val="2"/>
                <w:sz w:val="21"/>
                <w:szCs w:val="21"/>
                <w:lang w:eastAsia="zh-CN"/>
              </w:rPr>
              <w:t>限</w:t>
            </w:r>
            <w:r>
              <w:rPr>
                <w:rFonts w:hint="eastAsia" w:asciiTheme="majorEastAsia" w:hAnsiTheme="majorEastAsia" w:eastAsiaTheme="majorEastAsia" w:cstheme="majorEastAsia"/>
                <w:spacing w:val="12"/>
                <w:w w:val="99"/>
                <w:kern w:val="2"/>
                <w:sz w:val="21"/>
                <w:szCs w:val="21"/>
                <w:lang w:eastAsia="zh-CN"/>
              </w:rPr>
              <w:t>定值</w:t>
            </w:r>
            <w:r>
              <w:rPr>
                <w:rFonts w:hint="eastAsia" w:asciiTheme="majorEastAsia" w:hAnsiTheme="majorEastAsia" w:eastAsiaTheme="majorEastAsia" w:cstheme="majorEastAsia"/>
                <w:w w:val="99"/>
                <w:kern w:val="2"/>
                <w:sz w:val="21"/>
                <w:szCs w:val="21"/>
                <w:lang w:eastAsia="zh-CN"/>
              </w:rPr>
              <w:t>及能效等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51</w:t>
            </w:r>
            <w:r>
              <w:rPr>
                <w:rFonts w:hint="eastAsia" w:asciiTheme="majorEastAsia" w:hAnsiTheme="majorEastAsia" w:eastAsiaTheme="majorEastAsia" w:cstheme="majorEastAsia"/>
                <w:spacing w:val="1"/>
                <w:w w:val="99"/>
                <w:kern w:val="2"/>
                <w:sz w:val="21"/>
                <w:szCs w:val="21"/>
                <w:lang w:eastAsia="zh-CN"/>
              </w:rPr>
              <w:t>9</w:t>
            </w:r>
            <w:r>
              <w:rPr>
                <w:rFonts w:hint="eastAsia" w:asciiTheme="majorEastAsia" w:hAnsiTheme="majorEastAsia" w:eastAsiaTheme="majorEastAsia" w:cstheme="majorEastAsia"/>
                <w:w w:val="99"/>
                <w:kern w:val="2"/>
                <w:sz w:val="21"/>
                <w:szCs w:val="21"/>
                <w:lang w:eastAsia="zh-CN"/>
              </w:rPr>
              <w:t>）</w:t>
            </w:r>
          </w:p>
        </w:tc>
      </w:tr>
      <w:tr w14:paraId="2C72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327FB7C">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20EC77F">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0656B05">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515480D">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燃气热</w:t>
            </w:r>
            <w:r>
              <w:rPr>
                <w:rFonts w:hint="eastAsia" w:asciiTheme="majorEastAsia" w:hAnsiTheme="majorEastAsia" w:eastAsiaTheme="majorEastAsia" w:cstheme="majorEastAsia"/>
                <w:spacing w:val="2"/>
                <w:w w:val="99"/>
                <w:kern w:val="2"/>
                <w:sz w:val="21"/>
                <w:szCs w:val="21"/>
              </w:rPr>
              <w:t>水</w:t>
            </w:r>
            <w:r>
              <w:rPr>
                <w:rFonts w:hint="eastAsia" w:asciiTheme="majorEastAsia" w:hAnsiTheme="majorEastAsia" w:eastAsiaTheme="majorEastAsia" w:cstheme="majorEastAsia"/>
                <w:w w:val="99"/>
                <w:kern w:val="2"/>
                <w:sz w:val="21"/>
                <w:szCs w:val="21"/>
              </w:rPr>
              <w:t>器</w:t>
            </w:r>
          </w:p>
        </w:tc>
        <w:tc>
          <w:tcPr>
            <w:tcW w:w="3566" w:type="dxa"/>
            <w:tcBorders>
              <w:top w:val="single" w:color="000000" w:sz="4" w:space="0"/>
              <w:left w:val="single" w:color="000000" w:sz="4" w:space="0"/>
              <w:bottom w:val="single" w:color="000000" w:sz="4" w:space="0"/>
              <w:right w:val="single" w:color="000000" w:sz="4" w:space="0"/>
            </w:tcBorders>
          </w:tcPr>
          <w:p w14:paraId="18352847">
            <w:pPr>
              <w:pStyle w:val="104"/>
              <w:spacing w:before="4"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《家用燃气快速热水器</w:t>
            </w:r>
            <w:r>
              <w:rPr>
                <w:rFonts w:hint="eastAsia" w:asciiTheme="majorEastAsia" w:hAnsiTheme="majorEastAsia" w:eastAsiaTheme="majorEastAsia" w:cstheme="majorEastAsia"/>
                <w:spacing w:val="9"/>
                <w:w w:val="99"/>
                <w:kern w:val="2"/>
                <w:sz w:val="21"/>
                <w:szCs w:val="21"/>
                <w:lang w:eastAsia="zh-CN"/>
              </w:rPr>
              <w:t>和</w:t>
            </w:r>
            <w:r>
              <w:rPr>
                <w:rFonts w:hint="eastAsia" w:asciiTheme="majorEastAsia" w:hAnsiTheme="majorEastAsia" w:eastAsiaTheme="majorEastAsia" w:cstheme="majorEastAsia"/>
                <w:spacing w:val="12"/>
                <w:w w:val="99"/>
                <w:kern w:val="2"/>
                <w:sz w:val="21"/>
                <w:szCs w:val="21"/>
                <w:lang w:eastAsia="zh-CN"/>
              </w:rPr>
              <w:t>燃气</w:t>
            </w:r>
            <w:r>
              <w:rPr>
                <w:rFonts w:hint="eastAsia" w:asciiTheme="majorEastAsia" w:hAnsiTheme="majorEastAsia" w:eastAsiaTheme="majorEastAsia" w:cstheme="majorEastAsia"/>
                <w:w w:val="99"/>
                <w:kern w:val="2"/>
                <w:sz w:val="21"/>
                <w:szCs w:val="21"/>
                <w:lang w:eastAsia="zh-CN"/>
              </w:rPr>
              <w:t>采暖热水</w:t>
            </w:r>
            <w:r>
              <w:rPr>
                <w:rFonts w:hint="eastAsia" w:asciiTheme="majorEastAsia" w:hAnsiTheme="majorEastAsia" w:eastAsiaTheme="majorEastAsia" w:cstheme="majorEastAsia"/>
                <w:spacing w:val="2"/>
                <w:w w:val="99"/>
                <w:kern w:val="2"/>
                <w:sz w:val="21"/>
                <w:szCs w:val="21"/>
                <w:lang w:eastAsia="zh-CN"/>
              </w:rPr>
              <w:t>炉</w:t>
            </w:r>
            <w:r>
              <w:rPr>
                <w:rFonts w:hint="eastAsia" w:asciiTheme="majorEastAsia" w:hAnsiTheme="majorEastAsia" w:eastAsiaTheme="majorEastAsia" w:cstheme="majorEastAsia"/>
                <w:w w:val="99"/>
                <w:kern w:val="2"/>
                <w:sz w:val="21"/>
                <w:szCs w:val="21"/>
                <w:lang w:eastAsia="zh-CN"/>
              </w:rPr>
              <w:t>能效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w:t>
            </w:r>
            <w:r>
              <w:rPr>
                <w:rFonts w:hint="eastAsia" w:asciiTheme="majorEastAsia" w:hAnsiTheme="majorEastAsia" w:eastAsiaTheme="majorEastAsia" w:cstheme="majorEastAsia"/>
                <w:spacing w:val="2"/>
                <w:w w:val="99"/>
                <w:kern w:val="2"/>
                <w:sz w:val="21"/>
                <w:szCs w:val="21"/>
                <w:lang w:eastAsia="zh-CN"/>
              </w:rPr>
              <w:t>及</w:t>
            </w:r>
            <w:r>
              <w:rPr>
                <w:rFonts w:hint="eastAsia" w:asciiTheme="majorEastAsia" w:hAnsiTheme="majorEastAsia" w:eastAsiaTheme="majorEastAsia" w:cstheme="majorEastAsia"/>
                <w:w w:val="99"/>
                <w:kern w:val="2"/>
                <w:sz w:val="21"/>
                <w:szCs w:val="21"/>
                <w:lang w:eastAsia="zh-CN"/>
              </w:rPr>
              <w:t>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w:t>
            </w:r>
            <w:r>
              <w:rPr>
                <w:rFonts w:hint="eastAsia" w:asciiTheme="majorEastAsia" w:hAnsiTheme="majorEastAsia" w:eastAsiaTheme="majorEastAsia" w:cstheme="majorEastAsia"/>
                <w:w w:val="99"/>
                <w:kern w:val="2"/>
                <w:sz w:val="21"/>
                <w:szCs w:val="21"/>
                <w:lang w:eastAsia="zh-CN"/>
              </w:rPr>
              <w:t>06</w:t>
            </w:r>
            <w:r>
              <w:rPr>
                <w:rFonts w:hint="eastAsia" w:asciiTheme="majorEastAsia" w:hAnsiTheme="majorEastAsia" w:eastAsiaTheme="majorEastAsia" w:cstheme="majorEastAsia"/>
                <w:spacing w:val="1"/>
                <w:w w:val="99"/>
                <w:kern w:val="2"/>
                <w:sz w:val="21"/>
                <w:szCs w:val="21"/>
                <w:lang w:eastAsia="zh-CN"/>
              </w:rPr>
              <w:t>65</w:t>
            </w:r>
            <w:r>
              <w:rPr>
                <w:rFonts w:hint="eastAsia" w:asciiTheme="majorEastAsia" w:hAnsiTheme="majorEastAsia" w:eastAsiaTheme="majorEastAsia" w:cstheme="majorEastAsia"/>
                <w:w w:val="99"/>
                <w:kern w:val="2"/>
                <w:sz w:val="21"/>
                <w:szCs w:val="21"/>
                <w:lang w:eastAsia="zh-CN"/>
              </w:rPr>
              <w:t>）</w:t>
            </w:r>
          </w:p>
        </w:tc>
      </w:tr>
      <w:tr w14:paraId="1FBD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354369D">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BC198EB">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516E331">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6F1A7B6F">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热泵热</w:t>
            </w:r>
            <w:r>
              <w:rPr>
                <w:rFonts w:hint="eastAsia" w:asciiTheme="majorEastAsia" w:hAnsiTheme="majorEastAsia" w:eastAsiaTheme="majorEastAsia" w:cstheme="majorEastAsia"/>
                <w:spacing w:val="2"/>
                <w:w w:val="99"/>
                <w:kern w:val="2"/>
                <w:sz w:val="21"/>
                <w:szCs w:val="21"/>
              </w:rPr>
              <w:t>水</w:t>
            </w:r>
            <w:r>
              <w:rPr>
                <w:rFonts w:hint="eastAsia" w:asciiTheme="majorEastAsia" w:hAnsiTheme="majorEastAsia" w:eastAsiaTheme="majorEastAsia" w:cstheme="majorEastAsia"/>
                <w:w w:val="99"/>
                <w:kern w:val="2"/>
                <w:sz w:val="21"/>
                <w:szCs w:val="21"/>
              </w:rPr>
              <w:t>器</w:t>
            </w:r>
          </w:p>
        </w:tc>
        <w:tc>
          <w:tcPr>
            <w:tcW w:w="3566" w:type="dxa"/>
            <w:tcBorders>
              <w:top w:val="single" w:color="000000" w:sz="4" w:space="0"/>
              <w:left w:val="single" w:color="000000" w:sz="4" w:space="0"/>
              <w:bottom w:val="single" w:color="000000" w:sz="4" w:space="0"/>
              <w:right w:val="single" w:color="000000" w:sz="4" w:space="0"/>
            </w:tcBorders>
          </w:tcPr>
          <w:p w14:paraId="776840E8">
            <w:pPr>
              <w:pStyle w:val="104"/>
              <w:spacing w:before="93"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《热泵</w:t>
            </w:r>
            <w:r>
              <w:rPr>
                <w:rFonts w:hint="eastAsia" w:asciiTheme="majorEastAsia" w:hAnsiTheme="majorEastAsia" w:eastAsiaTheme="majorEastAsia" w:cstheme="majorEastAsia"/>
                <w:spacing w:val="2"/>
                <w:w w:val="99"/>
                <w:kern w:val="2"/>
                <w:sz w:val="21"/>
                <w:szCs w:val="21"/>
                <w:lang w:eastAsia="zh-CN"/>
              </w:rPr>
              <w:t>热</w:t>
            </w:r>
            <w:r>
              <w:rPr>
                <w:rFonts w:hint="eastAsia" w:asciiTheme="majorEastAsia" w:hAnsiTheme="majorEastAsia" w:eastAsiaTheme="majorEastAsia" w:cstheme="majorEastAsia"/>
                <w:w w:val="99"/>
                <w:kern w:val="2"/>
                <w:sz w:val="21"/>
                <w:szCs w:val="21"/>
                <w:lang w:eastAsia="zh-CN"/>
              </w:rPr>
              <w:t>水</w:t>
            </w:r>
            <w:r>
              <w:rPr>
                <w:rFonts w:hint="eastAsia" w:asciiTheme="majorEastAsia" w:hAnsiTheme="majorEastAsia" w:eastAsiaTheme="majorEastAsia" w:cstheme="majorEastAsia"/>
                <w:spacing w:val="-27"/>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（器</w:t>
            </w:r>
            <w:r>
              <w:rPr>
                <w:rFonts w:hint="eastAsia" w:asciiTheme="majorEastAsia" w:hAnsiTheme="majorEastAsia" w:eastAsiaTheme="majorEastAsia" w:cstheme="majorEastAsia"/>
                <w:spacing w:val="-27"/>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能效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定值及能效等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295</w:t>
            </w:r>
            <w:r>
              <w:rPr>
                <w:rFonts w:hint="eastAsia" w:asciiTheme="majorEastAsia" w:hAnsiTheme="majorEastAsia" w:eastAsiaTheme="majorEastAsia" w:cstheme="majorEastAsia"/>
                <w:w w:val="99"/>
                <w:kern w:val="2"/>
                <w:sz w:val="21"/>
                <w:szCs w:val="21"/>
                <w:lang w:eastAsia="zh-CN"/>
              </w:rPr>
              <w:t>4</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412B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DBCF63F">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F5CD66D">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B83A703">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ECE206E">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太阳能</w:t>
            </w:r>
            <w:r>
              <w:rPr>
                <w:rFonts w:hint="eastAsia" w:asciiTheme="majorEastAsia" w:hAnsiTheme="majorEastAsia" w:eastAsiaTheme="majorEastAsia" w:cstheme="majorEastAsia"/>
                <w:spacing w:val="2"/>
                <w:w w:val="99"/>
                <w:kern w:val="2"/>
                <w:sz w:val="21"/>
                <w:szCs w:val="21"/>
              </w:rPr>
              <w:t>热</w:t>
            </w:r>
            <w:r>
              <w:rPr>
                <w:rFonts w:hint="eastAsia" w:asciiTheme="majorEastAsia" w:hAnsiTheme="majorEastAsia" w:eastAsiaTheme="majorEastAsia" w:cstheme="majorEastAsia"/>
                <w:w w:val="99"/>
                <w:kern w:val="2"/>
                <w:sz w:val="21"/>
                <w:szCs w:val="21"/>
              </w:rPr>
              <w:t>水系统</w:t>
            </w:r>
          </w:p>
        </w:tc>
        <w:tc>
          <w:tcPr>
            <w:tcW w:w="3566" w:type="dxa"/>
            <w:tcBorders>
              <w:top w:val="single" w:color="000000" w:sz="4" w:space="0"/>
              <w:left w:val="single" w:color="000000" w:sz="4" w:space="0"/>
              <w:bottom w:val="single" w:color="000000" w:sz="4" w:space="0"/>
              <w:right w:val="single" w:color="000000" w:sz="4" w:space="0"/>
            </w:tcBorders>
          </w:tcPr>
          <w:p w14:paraId="49DBF58D">
            <w:pPr>
              <w:pStyle w:val="104"/>
              <w:spacing w:before="52"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《家用太阳能热水系统</w:t>
            </w:r>
            <w:r>
              <w:rPr>
                <w:rFonts w:hint="eastAsia" w:asciiTheme="majorEastAsia" w:hAnsiTheme="majorEastAsia" w:eastAsiaTheme="majorEastAsia" w:cstheme="majorEastAsia"/>
                <w:spacing w:val="9"/>
                <w:w w:val="99"/>
                <w:kern w:val="2"/>
                <w:sz w:val="21"/>
                <w:szCs w:val="21"/>
                <w:lang w:eastAsia="zh-CN"/>
              </w:rPr>
              <w:t>能</w:t>
            </w:r>
            <w:r>
              <w:rPr>
                <w:rFonts w:hint="eastAsia" w:asciiTheme="majorEastAsia" w:hAnsiTheme="majorEastAsia" w:eastAsiaTheme="majorEastAsia" w:cstheme="majorEastAsia"/>
                <w:spacing w:val="12"/>
                <w:w w:val="99"/>
                <w:kern w:val="2"/>
                <w:sz w:val="21"/>
                <w:szCs w:val="21"/>
                <w:lang w:eastAsia="zh-CN"/>
              </w:rPr>
              <w:t>效限</w:t>
            </w:r>
            <w:r>
              <w:rPr>
                <w:rFonts w:hint="eastAsia" w:asciiTheme="majorEastAsia" w:hAnsiTheme="majorEastAsia" w:eastAsiaTheme="majorEastAsia" w:cstheme="majorEastAsia"/>
                <w:w w:val="99"/>
                <w:kern w:val="2"/>
                <w:sz w:val="21"/>
                <w:szCs w:val="21"/>
                <w:lang w:eastAsia="zh-CN"/>
              </w:rPr>
              <w:t>定值及能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26</w:t>
            </w:r>
            <w:r>
              <w:rPr>
                <w:rFonts w:hint="eastAsia" w:asciiTheme="majorEastAsia" w:hAnsiTheme="majorEastAsia" w:eastAsiaTheme="majorEastAsia" w:cstheme="majorEastAsia"/>
                <w:w w:val="99"/>
                <w:kern w:val="2"/>
                <w:sz w:val="21"/>
                <w:szCs w:val="21"/>
                <w:lang w:eastAsia="zh-CN"/>
              </w:rPr>
              <w:t>96</w:t>
            </w:r>
            <w:r>
              <w:rPr>
                <w:rFonts w:hint="eastAsia" w:asciiTheme="majorEastAsia" w:hAnsiTheme="majorEastAsia" w:eastAsiaTheme="majorEastAsia" w:cstheme="majorEastAsia"/>
                <w:spacing w:val="-2"/>
                <w:w w:val="99"/>
                <w:kern w:val="2"/>
                <w:sz w:val="21"/>
                <w:szCs w:val="21"/>
                <w:lang w:eastAsia="zh-CN"/>
              </w:rPr>
              <w:t>9</w:t>
            </w:r>
            <w:r>
              <w:rPr>
                <w:rFonts w:hint="eastAsia" w:asciiTheme="majorEastAsia" w:hAnsiTheme="majorEastAsia" w:eastAsiaTheme="majorEastAsia" w:cstheme="majorEastAsia"/>
                <w:w w:val="99"/>
                <w:kern w:val="2"/>
                <w:sz w:val="21"/>
                <w:szCs w:val="21"/>
                <w:lang w:eastAsia="zh-CN"/>
              </w:rPr>
              <w:t>）</w:t>
            </w:r>
          </w:p>
        </w:tc>
      </w:tr>
      <w:tr w14:paraId="6D44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F13FAAB">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6272487">
            <w:pPr>
              <w:pStyle w:val="104"/>
              <w:spacing w:before="15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A02</w:t>
            </w:r>
            <w:r>
              <w:rPr>
                <w:rFonts w:hint="eastAsia" w:asciiTheme="majorEastAsia" w:hAnsiTheme="majorEastAsia" w:eastAsiaTheme="majorEastAsia" w:cstheme="majorEastAsia"/>
                <w:w w:val="99"/>
                <w:kern w:val="2"/>
                <w:sz w:val="21"/>
                <w:szCs w:val="21"/>
              </w:rPr>
              <w:t>06</w:t>
            </w: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EB860A8">
            <w:pPr>
              <w:pStyle w:val="104"/>
              <w:spacing w:before="133" w:line="276" w:lineRule="auto"/>
              <w:ind w:left="7" w:right="7"/>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★普通照明用双端荧光灯</w:t>
            </w:r>
          </w:p>
        </w:tc>
        <w:tc>
          <w:tcPr>
            <w:tcW w:w="1373" w:type="dxa"/>
            <w:tcBorders>
              <w:top w:val="single" w:color="000000" w:sz="4" w:space="0"/>
              <w:left w:val="single" w:color="000000" w:sz="4" w:space="0"/>
              <w:bottom w:val="single" w:color="000000" w:sz="4" w:space="0"/>
              <w:right w:val="single" w:color="000000" w:sz="4" w:space="0"/>
            </w:tcBorders>
            <w:vAlign w:val="center"/>
          </w:tcPr>
          <w:p w14:paraId="702740A6">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5BFF961D">
            <w:pPr>
              <w:pStyle w:val="104"/>
              <w:spacing w:before="133"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《普通照明用双端荧光</w:t>
            </w:r>
            <w:r>
              <w:rPr>
                <w:rFonts w:hint="eastAsia" w:asciiTheme="majorEastAsia" w:hAnsiTheme="majorEastAsia" w:eastAsiaTheme="majorEastAsia" w:cstheme="majorEastAsia"/>
                <w:spacing w:val="9"/>
                <w:w w:val="99"/>
                <w:kern w:val="2"/>
                <w:sz w:val="21"/>
                <w:szCs w:val="21"/>
                <w:lang w:eastAsia="zh-CN"/>
              </w:rPr>
              <w:t>灯</w:t>
            </w:r>
            <w:r>
              <w:rPr>
                <w:rFonts w:hint="eastAsia" w:asciiTheme="majorEastAsia" w:hAnsiTheme="majorEastAsia" w:eastAsiaTheme="majorEastAsia" w:cstheme="majorEastAsia"/>
                <w:spacing w:val="12"/>
                <w:w w:val="99"/>
                <w:kern w:val="2"/>
                <w:sz w:val="21"/>
                <w:szCs w:val="21"/>
                <w:lang w:eastAsia="zh-CN"/>
              </w:rPr>
              <w:t>能效</w:t>
            </w:r>
            <w:r>
              <w:rPr>
                <w:rFonts w:hint="eastAsia" w:asciiTheme="majorEastAsia" w:hAnsiTheme="majorEastAsia" w:eastAsiaTheme="majorEastAsia" w:cstheme="majorEastAsia"/>
                <w:w w:val="99"/>
                <w:kern w:val="2"/>
                <w:sz w:val="21"/>
                <w:szCs w:val="21"/>
                <w:lang w:eastAsia="zh-CN"/>
              </w:rPr>
              <w:t>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19</w:t>
            </w:r>
            <w:r>
              <w:rPr>
                <w:rFonts w:hint="eastAsia" w:asciiTheme="majorEastAsia" w:hAnsiTheme="majorEastAsia" w:eastAsiaTheme="majorEastAsia" w:cstheme="majorEastAsia"/>
                <w:w w:val="99"/>
                <w:kern w:val="2"/>
                <w:sz w:val="21"/>
                <w:szCs w:val="21"/>
                <w:lang w:eastAsia="zh-CN"/>
              </w:rPr>
              <w:t>04</w:t>
            </w:r>
            <w:r>
              <w:rPr>
                <w:rFonts w:hint="eastAsia" w:asciiTheme="majorEastAsia" w:hAnsiTheme="majorEastAsia" w:eastAsiaTheme="majorEastAsia" w:cstheme="majorEastAsia"/>
                <w:spacing w:val="1"/>
                <w:w w:val="99"/>
                <w:kern w:val="2"/>
                <w:sz w:val="21"/>
                <w:szCs w:val="21"/>
                <w:lang w:eastAsia="zh-CN"/>
              </w:rPr>
              <w:t>3</w:t>
            </w:r>
            <w:r>
              <w:rPr>
                <w:rFonts w:hint="eastAsia" w:asciiTheme="majorEastAsia" w:hAnsiTheme="majorEastAsia" w:eastAsiaTheme="majorEastAsia" w:cstheme="majorEastAsia"/>
                <w:w w:val="99"/>
                <w:kern w:val="2"/>
                <w:sz w:val="21"/>
                <w:szCs w:val="21"/>
                <w:lang w:eastAsia="zh-CN"/>
              </w:rPr>
              <w:t>）</w:t>
            </w:r>
          </w:p>
        </w:tc>
      </w:tr>
      <w:tr w14:paraId="3524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1D4D0C6">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B8FAA9C">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3E64767">
            <w:pPr>
              <w:pStyle w:val="104"/>
              <w:spacing w:before="92" w:line="276" w:lineRule="auto"/>
              <w:ind w:left="7" w:right="2"/>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LE</w:t>
            </w:r>
            <w:r>
              <w:rPr>
                <w:rFonts w:hint="eastAsia" w:asciiTheme="majorEastAsia" w:hAnsiTheme="majorEastAsia" w:eastAsiaTheme="majorEastAsia" w:cstheme="majorEastAsia"/>
                <w:w w:val="99"/>
                <w:kern w:val="2"/>
                <w:sz w:val="21"/>
                <w:szCs w:val="21"/>
              </w:rPr>
              <w:t>D</w:t>
            </w:r>
            <w:r>
              <w:rPr>
                <w:rFonts w:hint="eastAsia" w:asciiTheme="majorEastAsia" w:hAnsiTheme="majorEastAsia" w:eastAsiaTheme="majorEastAsia" w:cstheme="majorEastAsia"/>
                <w:spacing w:val="12"/>
                <w:w w:val="99"/>
                <w:kern w:val="2"/>
                <w:sz w:val="21"/>
                <w:szCs w:val="21"/>
              </w:rPr>
              <w:t>道</w:t>
            </w:r>
            <w:r>
              <w:rPr>
                <w:rFonts w:hint="eastAsia" w:asciiTheme="majorEastAsia" w:hAnsiTheme="majorEastAsia" w:eastAsiaTheme="majorEastAsia" w:cstheme="majorEastAsia"/>
                <w:spacing w:val="9"/>
                <w:w w:val="99"/>
                <w:kern w:val="2"/>
                <w:sz w:val="21"/>
                <w:szCs w:val="21"/>
              </w:rPr>
              <w:t>路</w:t>
            </w:r>
            <w:r>
              <w:rPr>
                <w:rFonts w:hint="eastAsia" w:asciiTheme="majorEastAsia" w:hAnsiTheme="majorEastAsia" w:eastAsiaTheme="majorEastAsia" w:cstheme="majorEastAsia"/>
                <w:spacing w:val="13"/>
                <w:w w:val="99"/>
                <w:kern w:val="2"/>
                <w:sz w:val="21"/>
                <w:szCs w:val="21"/>
              </w:rPr>
              <w:t>/</w:t>
            </w:r>
            <w:r>
              <w:rPr>
                <w:rFonts w:hint="eastAsia" w:asciiTheme="majorEastAsia" w:hAnsiTheme="majorEastAsia" w:eastAsiaTheme="majorEastAsia" w:cstheme="majorEastAsia"/>
                <w:spacing w:val="12"/>
                <w:w w:val="99"/>
                <w:kern w:val="2"/>
                <w:sz w:val="21"/>
                <w:szCs w:val="21"/>
              </w:rPr>
              <w:t>隧道照</w:t>
            </w:r>
            <w:r>
              <w:rPr>
                <w:rFonts w:hint="eastAsia" w:asciiTheme="majorEastAsia" w:hAnsiTheme="majorEastAsia" w:eastAsiaTheme="majorEastAsia" w:cstheme="majorEastAsia"/>
                <w:w w:val="99"/>
                <w:kern w:val="2"/>
                <w:sz w:val="21"/>
                <w:szCs w:val="21"/>
              </w:rPr>
              <w:t>明产品</w:t>
            </w:r>
          </w:p>
        </w:tc>
        <w:tc>
          <w:tcPr>
            <w:tcW w:w="1373" w:type="dxa"/>
            <w:tcBorders>
              <w:top w:val="single" w:color="000000" w:sz="4" w:space="0"/>
              <w:left w:val="single" w:color="000000" w:sz="4" w:space="0"/>
              <w:bottom w:val="single" w:color="000000" w:sz="4" w:space="0"/>
              <w:right w:val="single" w:color="000000" w:sz="4" w:space="0"/>
            </w:tcBorders>
            <w:vAlign w:val="center"/>
          </w:tcPr>
          <w:p w14:paraId="04B10107">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07CE3C6A">
            <w:pPr>
              <w:pStyle w:val="104"/>
              <w:spacing w:before="92"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4"/>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道</w:t>
            </w:r>
            <w:r>
              <w:rPr>
                <w:rFonts w:hint="eastAsia" w:asciiTheme="majorEastAsia" w:hAnsiTheme="majorEastAsia" w:eastAsiaTheme="majorEastAsia" w:cstheme="majorEastAsia"/>
                <w:spacing w:val="4"/>
                <w:w w:val="99"/>
                <w:kern w:val="2"/>
                <w:sz w:val="21"/>
                <w:szCs w:val="21"/>
                <w:lang w:eastAsia="zh-CN"/>
              </w:rPr>
              <w:t>路和隧道照</w:t>
            </w:r>
            <w:r>
              <w:rPr>
                <w:rFonts w:hint="eastAsia" w:asciiTheme="majorEastAsia" w:hAnsiTheme="majorEastAsia" w:eastAsiaTheme="majorEastAsia" w:cstheme="majorEastAsia"/>
                <w:spacing w:val="2"/>
                <w:w w:val="99"/>
                <w:kern w:val="2"/>
                <w:sz w:val="21"/>
                <w:szCs w:val="21"/>
                <w:lang w:eastAsia="zh-CN"/>
              </w:rPr>
              <w:t>明</w:t>
            </w:r>
            <w:r>
              <w:rPr>
                <w:rFonts w:hint="eastAsia" w:asciiTheme="majorEastAsia" w:hAnsiTheme="majorEastAsia" w:eastAsiaTheme="majorEastAsia" w:cstheme="majorEastAsia"/>
                <w:w w:val="99"/>
                <w:kern w:val="2"/>
                <w:sz w:val="21"/>
                <w:szCs w:val="21"/>
                <w:lang w:eastAsia="zh-CN"/>
              </w:rPr>
              <w:t>用</w:t>
            </w:r>
            <w:r>
              <w:rPr>
                <w:rFonts w:hint="eastAsia" w:asciiTheme="majorEastAsia" w:hAnsiTheme="majorEastAsia" w:eastAsiaTheme="majorEastAsia" w:cstheme="majorEastAsia"/>
                <w:spacing w:val="1"/>
                <w:w w:val="99"/>
                <w:kern w:val="2"/>
                <w:sz w:val="21"/>
                <w:szCs w:val="21"/>
                <w:lang w:eastAsia="zh-CN"/>
              </w:rPr>
              <w:t>LE</w:t>
            </w:r>
            <w:r>
              <w:rPr>
                <w:rFonts w:hint="eastAsia" w:asciiTheme="majorEastAsia" w:hAnsiTheme="majorEastAsia" w:eastAsiaTheme="majorEastAsia" w:cstheme="majorEastAsia"/>
                <w:w w:val="99"/>
                <w:kern w:val="2"/>
                <w:sz w:val="21"/>
                <w:szCs w:val="21"/>
                <w:lang w:eastAsia="zh-CN"/>
              </w:rPr>
              <w:t>D</w:t>
            </w:r>
            <w:r>
              <w:rPr>
                <w:rFonts w:hint="eastAsia" w:asciiTheme="majorEastAsia" w:hAnsiTheme="majorEastAsia" w:eastAsiaTheme="majorEastAsia" w:cstheme="majorEastAsia"/>
                <w:spacing w:val="4"/>
                <w:w w:val="99"/>
                <w:kern w:val="2"/>
                <w:sz w:val="21"/>
                <w:szCs w:val="21"/>
                <w:lang w:eastAsia="zh-CN"/>
              </w:rPr>
              <w:t>灯</w:t>
            </w:r>
            <w:r>
              <w:rPr>
                <w:rFonts w:hint="eastAsia" w:asciiTheme="majorEastAsia" w:hAnsiTheme="majorEastAsia" w:eastAsiaTheme="majorEastAsia" w:cstheme="majorEastAsia"/>
                <w:spacing w:val="2"/>
                <w:w w:val="99"/>
                <w:kern w:val="2"/>
                <w:sz w:val="21"/>
                <w:szCs w:val="21"/>
                <w:lang w:eastAsia="zh-CN"/>
              </w:rPr>
              <w:t>具</w:t>
            </w:r>
            <w:r>
              <w:rPr>
                <w:rFonts w:hint="eastAsia" w:asciiTheme="majorEastAsia" w:hAnsiTheme="majorEastAsia" w:eastAsiaTheme="majorEastAsia" w:cstheme="majorEastAsia"/>
                <w:w w:val="99"/>
                <w:kern w:val="2"/>
                <w:sz w:val="21"/>
                <w:szCs w:val="21"/>
                <w:lang w:eastAsia="zh-CN"/>
              </w:rPr>
              <w:t>能效限定</w:t>
            </w:r>
            <w:r>
              <w:rPr>
                <w:rFonts w:hint="eastAsia" w:asciiTheme="majorEastAsia" w:hAnsiTheme="majorEastAsia" w:eastAsiaTheme="majorEastAsia" w:cstheme="majorEastAsia"/>
                <w:spacing w:val="2"/>
                <w:w w:val="99"/>
                <w:kern w:val="2"/>
                <w:sz w:val="21"/>
                <w:szCs w:val="21"/>
                <w:lang w:eastAsia="zh-CN"/>
              </w:rPr>
              <w:t>值</w:t>
            </w:r>
            <w:r>
              <w:rPr>
                <w:rFonts w:hint="eastAsia" w:asciiTheme="majorEastAsia" w:hAnsiTheme="majorEastAsia" w:eastAsiaTheme="majorEastAsia" w:cstheme="majorEastAsia"/>
                <w:w w:val="99"/>
                <w:kern w:val="2"/>
                <w:sz w:val="21"/>
                <w:szCs w:val="21"/>
                <w:lang w:eastAsia="zh-CN"/>
              </w:rPr>
              <w:t>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106"/>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3747</w:t>
            </w:r>
            <w:r>
              <w:rPr>
                <w:rFonts w:hint="eastAsia" w:asciiTheme="majorEastAsia" w:hAnsiTheme="majorEastAsia" w:eastAsiaTheme="majorEastAsia" w:cstheme="majorEastAsia"/>
                <w:w w:val="99"/>
                <w:kern w:val="2"/>
                <w:sz w:val="21"/>
                <w:szCs w:val="21"/>
                <w:lang w:eastAsia="zh-CN"/>
              </w:rPr>
              <w:t>8</w:t>
            </w:r>
          </w:p>
        </w:tc>
      </w:tr>
      <w:tr w14:paraId="0B07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FC3D46D">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60DC34F">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310F7BA">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LE</w:t>
            </w:r>
            <w:r>
              <w:rPr>
                <w:rFonts w:hint="eastAsia" w:asciiTheme="majorEastAsia" w:hAnsiTheme="majorEastAsia" w:eastAsiaTheme="majorEastAsia" w:cstheme="majorEastAsia"/>
                <w:w w:val="99"/>
                <w:kern w:val="2"/>
                <w:sz w:val="21"/>
                <w:szCs w:val="21"/>
              </w:rPr>
              <w:t>D筒灯</w:t>
            </w:r>
          </w:p>
        </w:tc>
        <w:tc>
          <w:tcPr>
            <w:tcW w:w="1373" w:type="dxa"/>
            <w:tcBorders>
              <w:top w:val="single" w:color="000000" w:sz="4" w:space="0"/>
              <w:left w:val="single" w:color="000000" w:sz="4" w:space="0"/>
              <w:bottom w:val="single" w:color="000000" w:sz="4" w:space="0"/>
              <w:right w:val="single" w:color="000000" w:sz="4" w:space="0"/>
            </w:tcBorders>
            <w:vAlign w:val="center"/>
          </w:tcPr>
          <w:p w14:paraId="61B26D40">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6AB7C71E">
            <w:pPr>
              <w:pStyle w:val="104"/>
              <w:spacing w:before="83"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4"/>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室</w:t>
            </w:r>
            <w:r>
              <w:rPr>
                <w:rFonts w:hint="eastAsia" w:asciiTheme="majorEastAsia" w:hAnsiTheme="majorEastAsia" w:eastAsiaTheme="majorEastAsia" w:cstheme="majorEastAsia"/>
                <w:spacing w:val="4"/>
                <w:w w:val="99"/>
                <w:kern w:val="2"/>
                <w:sz w:val="21"/>
                <w:szCs w:val="21"/>
                <w:lang w:eastAsia="zh-CN"/>
              </w:rPr>
              <w:t>内照明</w:t>
            </w:r>
            <w:r>
              <w:rPr>
                <w:rFonts w:hint="eastAsia" w:asciiTheme="majorEastAsia" w:hAnsiTheme="majorEastAsia" w:eastAsiaTheme="majorEastAsia" w:cstheme="majorEastAsia"/>
                <w:w w:val="99"/>
                <w:kern w:val="2"/>
                <w:sz w:val="21"/>
                <w:szCs w:val="21"/>
                <w:lang w:eastAsia="zh-CN"/>
              </w:rPr>
              <w:t>用</w:t>
            </w:r>
            <w:r>
              <w:rPr>
                <w:rFonts w:hint="eastAsia" w:asciiTheme="majorEastAsia" w:hAnsiTheme="majorEastAsia" w:eastAsiaTheme="majorEastAsia" w:cstheme="majorEastAsia"/>
                <w:spacing w:val="1"/>
                <w:w w:val="99"/>
                <w:kern w:val="2"/>
                <w:sz w:val="21"/>
                <w:szCs w:val="21"/>
                <w:lang w:eastAsia="zh-CN"/>
              </w:rPr>
              <w:t>LE</w:t>
            </w:r>
            <w:r>
              <w:rPr>
                <w:rFonts w:hint="eastAsia" w:asciiTheme="majorEastAsia" w:hAnsiTheme="majorEastAsia" w:eastAsiaTheme="majorEastAsia" w:cstheme="majorEastAsia"/>
                <w:w w:val="99"/>
                <w:kern w:val="2"/>
                <w:sz w:val="21"/>
                <w:szCs w:val="21"/>
                <w:lang w:eastAsia="zh-CN"/>
              </w:rPr>
              <w:t>D</w:t>
            </w:r>
            <w:r>
              <w:rPr>
                <w:rFonts w:hint="eastAsia" w:asciiTheme="majorEastAsia" w:hAnsiTheme="majorEastAsia" w:eastAsiaTheme="majorEastAsia" w:cstheme="majorEastAsia"/>
                <w:spacing w:val="4"/>
                <w:w w:val="99"/>
                <w:kern w:val="2"/>
                <w:sz w:val="21"/>
                <w:szCs w:val="21"/>
                <w:lang w:eastAsia="zh-CN"/>
              </w:rPr>
              <w:t>产</w:t>
            </w:r>
            <w:r>
              <w:rPr>
                <w:rFonts w:hint="eastAsia" w:asciiTheme="majorEastAsia" w:hAnsiTheme="majorEastAsia" w:eastAsiaTheme="majorEastAsia" w:cstheme="majorEastAsia"/>
                <w:spacing w:val="2"/>
                <w:w w:val="99"/>
                <w:kern w:val="2"/>
                <w:sz w:val="21"/>
                <w:szCs w:val="21"/>
                <w:lang w:eastAsia="zh-CN"/>
              </w:rPr>
              <w:t>品</w:t>
            </w:r>
            <w:r>
              <w:rPr>
                <w:rFonts w:hint="eastAsia" w:asciiTheme="majorEastAsia" w:hAnsiTheme="majorEastAsia" w:eastAsiaTheme="majorEastAsia" w:cstheme="majorEastAsia"/>
                <w:spacing w:val="4"/>
                <w:w w:val="99"/>
                <w:kern w:val="2"/>
                <w:sz w:val="21"/>
                <w:szCs w:val="21"/>
                <w:lang w:eastAsia="zh-CN"/>
              </w:rPr>
              <w:t>能效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30</w:t>
            </w:r>
            <w:r>
              <w:rPr>
                <w:rFonts w:hint="eastAsia" w:asciiTheme="majorEastAsia" w:hAnsiTheme="majorEastAsia" w:eastAsiaTheme="majorEastAsia" w:cstheme="majorEastAsia"/>
                <w:w w:val="99"/>
                <w:kern w:val="2"/>
                <w:sz w:val="21"/>
                <w:szCs w:val="21"/>
                <w:lang w:eastAsia="zh-CN"/>
              </w:rPr>
              <w:t>25</w:t>
            </w:r>
            <w:r>
              <w:rPr>
                <w:rFonts w:hint="eastAsia" w:asciiTheme="majorEastAsia" w:hAnsiTheme="majorEastAsia" w:eastAsiaTheme="majorEastAsia" w:cstheme="majorEastAsia"/>
                <w:spacing w:val="-2"/>
                <w:w w:val="99"/>
                <w:kern w:val="2"/>
                <w:sz w:val="21"/>
                <w:szCs w:val="21"/>
                <w:lang w:eastAsia="zh-CN"/>
              </w:rPr>
              <w:t>5</w:t>
            </w:r>
            <w:r>
              <w:rPr>
                <w:rFonts w:hint="eastAsia" w:asciiTheme="majorEastAsia" w:hAnsiTheme="majorEastAsia" w:eastAsiaTheme="majorEastAsia" w:cstheme="majorEastAsia"/>
                <w:w w:val="99"/>
                <w:kern w:val="2"/>
                <w:sz w:val="21"/>
                <w:szCs w:val="21"/>
                <w:lang w:eastAsia="zh-CN"/>
              </w:rPr>
              <w:t>）</w:t>
            </w:r>
          </w:p>
        </w:tc>
      </w:tr>
      <w:tr w14:paraId="7C69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ED44B55">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8B7466B">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D91F3B6">
            <w:pPr>
              <w:pStyle w:val="104"/>
              <w:spacing w:line="276" w:lineRule="auto"/>
              <w:ind w:right="7"/>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普</w:t>
            </w:r>
            <w:r>
              <w:rPr>
                <w:rFonts w:hint="eastAsia" w:asciiTheme="majorEastAsia" w:hAnsiTheme="majorEastAsia" w:eastAsiaTheme="majorEastAsia" w:cstheme="majorEastAsia"/>
                <w:spacing w:val="24"/>
                <w:w w:val="99"/>
                <w:kern w:val="2"/>
                <w:sz w:val="21"/>
                <w:szCs w:val="21"/>
                <w:lang w:eastAsia="zh-CN"/>
              </w:rPr>
              <w:t>通</w:t>
            </w:r>
            <w:r>
              <w:rPr>
                <w:rFonts w:hint="eastAsia" w:asciiTheme="majorEastAsia" w:hAnsiTheme="majorEastAsia" w:eastAsiaTheme="majorEastAsia" w:cstheme="majorEastAsia"/>
                <w:w w:val="99"/>
                <w:kern w:val="2"/>
                <w:sz w:val="21"/>
                <w:szCs w:val="21"/>
                <w:lang w:eastAsia="zh-CN"/>
              </w:rPr>
              <w:t>照明用非</w:t>
            </w:r>
            <w:r>
              <w:rPr>
                <w:rFonts w:hint="eastAsia" w:asciiTheme="majorEastAsia" w:hAnsiTheme="majorEastAsia" w:eastAsiaTheme="majorEastAsia" w:cstheme="majorEastAsia"/>
                <w:spacing w:val="24"/>
                <w:w w:val="99"/>
                <w:kern w:val="2"/>
                <w:sz w:val="21"/>
                <w:szCs w:val="21"/>
                <w:lang w:eastAsia="zh-CN"/>
              </w:rPr>
              <w:t>定</w:t>
            </w:r>
            <w:r>
              <w:rPr>
                <w:rFonts w:hint="eastAsia" w:asciiTheme="majorEastAsia" w:hAnsiTheme="majorEastAsia" w:eastAsiaTheme="majorEastAsia" w:cstheme="majorEastAsia"/>
                <w:w w:val="99"/>
                <w:kern w:val="2"/>
                <w:sz w:val="21"/>
                <w:szCs w:val="21"/>
                <w:lang w:eastAsia="zh-CN"/>
              </w:rPr>
              <w:t>向自镇流</w:t>
            </w:r>
            <w:r>
              <w:rPr>
                <w:rFonts w:hint="eastAsia" w:asciiTheme="majorEastAsia" w:hAnsiTheme="majorEastAsia" w:eastAsiaTheme="majorEastAsia" w:cstheme="majorEastAsia"/>
                <w:spacing w:val="1"/>
                <w:w w:val="99"/>
                <w:kern w:val="2"/>
                <w:sz w:val="21"/>
                <w:szCs w:val="21"/>
                <w:lang w:eastAsia="zh-CN"/>
              </w:rPr>
              <w:t>LE</w:t>
            </w:r>
            <w:r>
              <w:rPr>
                <w:rFonts w:hint="eastAsia" w:asciiTheme="majorEastAsia" w:hAnsiTheme="majorEastAsia" w:eastAsiaTheme="majorEastAsia" w:cstheme="majorEastAsia"/>
                <w:w w:val="99"/>
                <w:kern w:val="2"/>
                <w:sz w:val="21"/>
                <w:szCs w:val="21"/>
                <w:lang w:eastAsia="zh-CN"/>
              </w:rPr>
              <w:t>D灯</w:t>
            </w:r>
          </w:p>
        </w:tc>
        <w:tc>
          <w:tcPr>
            <w:tcW w:w="1373" w:type="dxa"/>
            <w:tcBorders>
              <w:top w:val="single" w:color="000000" w:sz="4" w:space="0"/>
              <w:left w:val="single" w:color="000000" w:sz="4" w:space="0"/>
              <w:bottom w:val="single" w:color="000000" w:sz="4" w:space="0"/>
              <w:right w:val="single" w:color="000000" w:sz="4" w:space="0"/>
            </w:tcBorders>
            <w:vAlign w:val="center"/>
          </w:tcPr>
          <w:p w14:paraId="69DF9DCE">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0B4726F9">
            <w:pPr>
              <w:pStyle w:val="104"/>
              <w:spacing w:before="5"/>
              <w:rPr>
                <w:rFonts w:asciiTheme="majorEastAsia" w:hAnsiTheme="majorEastAsia" w:eastAsiaTheme="majorEastAsia" w:cstheme="majorEastAsia"/>
                <w:kern w:val="2"/>
                <w:sz w:val="21"/>
                <w:szCs w:val="21"/>
                <w:lang w:eastAsia="zh-CN"/>
              </w:rPr>
            </w:pPr>
          </w:p>
          <w:p w14:paraId="2A79A73D">
            <w:pPr>
              <w:pStyle w:val="104"/>
              <w:spacing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4"/>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室</w:t>
            </w:r>
            <w:r>
              <w:rPr>
                <w:rFonts w:hint="eastAsia" w:asciiTheme="majorEastAsia" w:hAnsiTheme="majorEastAsia" w:eastAsiaTheme="majorEastAsia" w:cstheme="majorEastAsia"/>
                <w:spacing w:val="4"/>
                <w:w w:val="99"/>
                <w:kern w:val="2"/>
                <w:sz w:val="21"/>
                <w:szCs w:val="21"/>
                <w:lang w:eastAsia="zh-CN"/>
              </w:rPr>
              <w:t>内照明</w:t>
            </w:r>
            <w:r>
              <w:rPr>
                <w:rFonts w:hint="eastAsia" w:asciiTheme="majorEastAsia" w:hAnsiTheme="majorEastAsia" w:eastAsiaTheme="majorEastAsia" w:cstheme="majorEastAsia"/>
                <w:w w:val="99"/>
                <w:kern w:val="2"/>
                <w:sz w:val="21"/>
                <w:szCs w:val="21"/>
                <w:lang w:eastAsia="zh-CN"/>
              </w:rPr>
              <w:t>用</w:t>
            </w:r>
            <w:r>
              <w:rPr>
                <w:rFonts w:hint="eastAsia" w:asciiTheme="majorEastAsia" w:hAnsiTheme="majorEastAsia" w:eastAsiaTheme="majorEastAsia" w:cstheme="majorEastAsia"/>
                <w:spacing w:val="1"/>
                <w:w w:val="99"/>
                <w:kern w:val="2"/>
                <w:sz w:val="21"/>
                <w:szCs w:val="21"/>
                <w:lang w:eastAsia="zh-CN"/>
              </w:rPr>
              <w:t>LE</w:t>
            </w:r>
            <w:r>
              <w:rPr>
                <w:rFonts w:hint="eastAsia" w:asciiTheme="majorEastAsia" w:hAnsiTheme="majorEastAsia" w:eastAsiaTheme="majorEastAsia" w:cstheme="majorEastAsia"/>
                <w:w w:val="99"/>
                <w:kern w:val="2"/>
                <w:sz w:val="21"/>
                <w:szCs w:val="21"/>
                <w:lang w:eastAsia="zh-CN"/>
              </w:rPr>
              <w:t>D</w:t>
            </w:r>
            <w:r>
              <w:rPr>
                <w:rFonts w:hint="eastAsia" w:asciiTheme="majorEastAsia" w:hAnsiTheme="majorEastAsia" w:eastAsiaTheme="majorEastAsia" w:cstheme="majorEastAsia"/>
                <w:spacing w:val="4"/>
                <w:w w:val="99"/>
                <w:kern w:val="2"/>
                <w:sz w:val="21"/>
                <w:szCs w:val="21"/>
                <w:lang w:eastAsia="zh-CN"/>
              </w:rPr>
              <w:t>产</w:t>
            </w:r>
            <w:r>
              <w:rPr>
                <w:rFonts w:hint="eastAsia" w:asciiTheme="majorEastAsia" w:hAnsiTheme="majorEastAsia" w:eastAsiaTheme="majorEastAsia" w:cstheme="majorEastAsia"/>
                <w:spacing w:val="2"/>
                <w:w w:val="99"/>
                <w:kern w:val="2"/>
                <w:sz w:val="21"/>
                <w:szCs w:val="21"/>
                <w:lang w:eastAsia="zh-CN"/>
              </w:rPr>
              <w:t>品</w:t>
            </w:r>
            <w:r>
              <w:rPr>
                <w:rFonts w:hint="eastAsia" w:asciiTheme="majorEastAsia" w:hAnsiTheme="majorEastAsia" w:eastAsiaTheme="majorEastAsia" w:cstheme="majorEastAsia"/>
                <w:spacing w:val="4"/>
                <w:w w:val="99"/>
                <w:kern w:val="2"/>
                <w:sz w:val="21"/>
                <w:szCs w:val="21"/>
                <w:lang w:eastAsia="zh-CN"/>
              </w:rPr>
              <w:t>能效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30</w:t>
            </w:r>
            <w:r>
              <w:rPr>
                <w:rFonts w:hint="eastAsia" w:asciiTheme="majorEastAsia" w:hAnsiTheme="majorEastAsia" w:eastAsiaTheme="majorEastAsia" w:cstheme="majorEastAsia"/>
                <w:w w:val="99"/>
                <w:kern w:val="2"/>
                <w:sz w:val="21"/>
                <w:szCs w:val="21"/>
                <w:lang w:eastAsia="zh-CN"/>
              </w:rPr>
              <w:t>25</w:t>
            </w:r>
            <w:r>
              <w:rPr>
                <w:rFonts w:hint="eastAsia" w:asciiTheme="majorEastAsia" w:hAnsiTheme="majorEastAsia" w:eastAsiaTheme="majorEastAsia" w:cstheme="majorEastAsia"/>
                <w:spacing w:val="-2"/>
                <w:w w:val="99"/>
                <w:kern w:val="2"/>
                <w:sz w:val="21"/>
                <w:szCs w:val="21"/>
                <w:lang w:eastAsia="zh-CN"/>
              </w:rPr>
              <w:t>5</w:t>
            </w:r>
            <w:r>
              <w:rPr>
                <w:rFonts w:hint="eastAsia" w:asciiTheme="majorEastAsia" w:hAnsiTheme="majorEastAsia" w:eastAsiaTheme="majorEastAsia" w:cstheme="majorEastAsia"/>
                <w:w w:val="99"/>
                <w:kern w:val="2"/>
                <w:sz w:val="21"/>
                <w:szCs w:val="21"/>
                <w:lang w:eastAsia="zh-CN"/>
              </w:rPr>
              <w:t>）</w:t>
            </w:r>
          </w:p>
        </w:tc>
      </w:tr>
      <w:tr w14:paraId="73EC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9D93F19">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3BAB6F0F">
            <w:pPr>
              <w:pStyle w:val="104"/>
              <w:spacing w:before="81"/>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spacing w:val="1"/>
                <w:w w:val="99"/>
                <w:kern w:val="2"/>
                <w:sz w:val="21"/>
                <w:szCs w:val="21"/>
              </w:rPr>
              <w:t>A020</w:t>
            </w:r>
            <w:r>
              <w:rPr>
                <w:rFonts w:hint="eastAsia" w:asciiTheme="majorEastAsia" w:hAnsiTheme="majorEastAsia" w:eastAsiaTheme="majorEastAsia" w:cstheme="majorEastAsia"/>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0B410DA8">
            <w:pPr>
              <w:pStyle w:val="104"/>
              <w:spacing w:before="81" w:line="276" w:lineRule="auto"/>
              <w:ind w:left="7" w:right="5"/>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
                <w:w w:val="99"/>
                <w:kern w:val="2"/>
                <w:sz w:val="21"/>
                <w:szCs w:val="21"/>
                <w:lang w:eastAsia="zh-CN"/>
              </w:rPr>
              <w:t>A02</w:t>
            </w:r>
            <w:r>
              <w:rPr>
                <w:rFonts w:hint="eastAsia" w:asciiTheme="majorEastAsia" w:hAnsiTheme="majorEastAsia" w:eastAsiaTheme="majorEastAsia" w:cstheme="majorEastAsia"/>
                <w:w w:val="99"/>
                <w:kern w:val="2"/>
                <w:sz w:val="21"/>
                <w:szCs w:val="21"/>
                <w:lang w:eastAsia="zh-CN"/>
              </w:rPr>
              <w:t>09</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001普通电视设备（</w:t>
            </w:r>
            <w:r>
              <w:rPr>
                <w:rFonts w:hint="eastAsia" w:asciiTheme="majorEastAsia" w:hAnsiTheme="majorEastAsia" w:eastAsiaTheme="majorEastAsia" w:cstheme="majorEastAsia"/>
                <w:spacing w:val="2"/>
                <w:w w:val="99"/>
                <w:kern w:val="2"/>
                <w:sz w:val="21"/>
                <w:szCs w:val="21"/>
                <w:lang w:eastAsia="zh-CN"/>
              </w:rPr>
              <w:t>电</w:t>
            </w:r>
            <w:r>
              <w:rPr>
                <w:rFonts w:hint="eastAsia" w:asciiTheme="majorEastAsia" w:hAnsiTheme="majorEastAsia" w:eastAsiaTheme="majorEastAsia" w:cstheme="majorEastAsia"/>
                <w:w w:val="99"/>
                <w:kern w:val="2"/>
                <w:sz w:val="21"/>
                <w:szCs w:val="21"/>
                <w:lang w:eastAsia="zh-CN"/>
              </w:rPr>
              <w:t>视机）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1BBF5D9B">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6B3F825F">
            <w:pPr>
              <w:pStyle w:val="104"/>
              <w:spacing w:before="81"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《平板电视能效限定值</w:t>
            </w:r>
            <w:r>
              <w:rPr>
                <w:rFonts w:hint="eastAsia" w:asciiTheme="majorEastAsia" w:hAnsiTheme="majorEastAsia" w:eastAsiaTheme="majorEastAsia" w:cstheme="majorEastAsia"/>
                <w:spacing w:val="9"/>
                <w:w w:val="99"/>
                <w:kern w:val="2"/>
                <w:sz w:val="21"/>
                <w:szCs w:val="21"/>
                <w:lang w:eastAsia="zh-CN"/>
              </w:rPr>
              <w:t>及</w:t>
            </w:r>
            <w:r>
              <w:rPr>
                <w:rFonts w:hint="eastAsia" w:asciiTheme="majorEastAsia" w:hAnsiTheme="majorEastAsia" w:eastAsiaTheme="majorEastAsia" w:cstheme="majorEastAsia"/>
                <w:spacing w:val="12"/>
                <w:w w:val="99"/>
                <w:kern w:val="2"/>
                <w:sz w:val="21"/>
                <w:szCs w:val="21"/>
                <w:lang w:eastAsia="zh-CN"/>
              </w:rPr>
              <w:t>能效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248</w:t>
            </w:r>
            <w:r>
              <w:rPr>
                <w:rFonts w:hint="eastAsia" w:asciiTheme="majorEastAsia" w:hAnsiTheme="majorEastAsia" w:eastAsiaTheme="majorEastAsia" w:cstheme="majorEastAsia"/>
                <w:w w:val="99"/>
                <w:kern w:val="2"/>
                <w:sz w:val="21"/>
                <w:szCs w:val="21"/>
                <w:lang w:eastAsia="zh-CN"/>
              </w:rPr>
              <w:t>50）</w:t>
            </w:r>
          </w:p>
        </w:tc>
      </w:tr>
      <w:tr w14:paraId="5B4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8B3D580">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196E7793">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spacing w:val="1"/>
                <w:w w:val="99"/>
                <w:kern w:val="2"/>
                <w:sz w:val="21"/>
                <w:szCs w:val="21"/>
              </w:rPr>
              <w:t>A020</w:t>
            </w:r>
            <w:r>
              <w:rPr>
                <w:rFonts w:hint="eastAsia" w:asciiTheme="majorEastAsia" w:hAnsiTheme="majorEastAsia" w:eastAsiaTheme="majorEastAsia" w:cstheme="majorEastAsia"/>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3960A4E2">
            <w:pPr>
              <w:pStyle w:val="104"/>
              <w:spacing w:line="276" w:lineRule="auto"/>
              <w:ind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A02</w:t>
            </w:r>
            <w:r>
              <w:rPr>
                <w:rFonts w:hint="eastAsia" w:asciiTheme="majorEastAsia" w:hAnsiTheme="majorEastAsia" w:eastAsiaTheme="majorEastAsia" w:cstheme="majorEastAsia"/>
                <w:w w:val="99"/>
                <w:kern w:val="2"/>
                <w:sz w:val="21"/>
                <w:szCs w:val="21"/>
              </w:rPr>
              <w:t>09</w:t>
            </w: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107视频监控设备</w:t>
            </w:r>
          </w:p>
        </w:tc>
        <w:tc>
          <w:tcPr>
            <w:tcW w:w="1373" w:type="dxa"/>
            <w:tcBorders>
              <w:top w:val="single" w:color="000000" w:sz="4" w:space="0"/>
              <w:left w:val="single" w:color="000000" w:sz="4" w:space="0"/>
              <w:bottom w:val="single" w:color="000000" w:sz="4" w:space="0"/>
              <w:right w:val="single" w:color="000000" w:sz="4" w:space="0"/>
            </w:tcBorders>
            <w:vAlign w:val="center"/>
          </w:tcPr>
          <w:p w14:paraId="51CD74DC">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监视器</w:t>
            </w:r>
          </w:p>
        </w:tc>
        <w:tc>
          <w:tcPr>
            <w:tcW w:w="3566" w:type="dxa"/>
            <w:tcBorders>
              <w:top w:val="single" w:color="000000" w:sz="4" w:space="0"/>
              <w:left w:val="single" w:color="000000" w:sz="4" w:space="0"/>
              <w:bottom w:val="single" w:color="000000" w:sz="4" w:space="0"/>
              <w:right w:val="single" w:color="000000" w:sz="4" w:space="0"/>
            </w:tcBorders>
          </w:tcPr>
          <w:p w14:paraId="4E3D4242">
            <w:pPr>
              <w:pStyle w:val="104"/>
              <w:spacing w:before="28" w:line="276" w:lineRule="auto"/>
              <w:ind w:left="7" w:right="5"/>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以射频信号为主要信号</w:t>
            </w:r>
            <w:r>
              <w:rPr>
                <w:rFonts w:hint="eastAsia" w:asciiTheme="majorEastAsia" w:hAnsiTheme="majorEastAsia" w:eastAsiaTheme="majorEastAsia" w:cstheme="majorEastAsia"/>
                <w:spacing w:val="9"/>
                <w:w w:val="99"/>
                <w:kern w:val="2"/>
                <w:sz w:val="21"/>
                <w:szCs w:val="21"/>
                <w:lang w:eastAsia="zh-CN"/>
              </w:rPr>
              <w:t>输</w:t>
            </w:r>
            <w:r>
              <w:rPr>
                <w:rFonts w:hint="eastAsia" w:asciiTheme="majorEastAsia" w:hAnsiTheme="majorEastAsia" w:eastAsiaTheme="majorEastAsia" w:cstheme="majorEastAsia"/>
                <w:spacing w:val="12"/>
                <w:w w:val="99"/>
                <w:kern w:val="2"/>
                <w:sz w:val="21"/>
                <w:szCs w:val="21"/>
                <w:lang w:eastAsia="zh-CN"/>
              </w:rPr>
              <w:t>入的</w:t>
            </w:r>
            <w:r>
              <w:rPr>
                <w:rFonts w:hint="eastAsia" w:asciiTheme="majorEastAsia" w:hAnsiTheme="majorEastAsia" w:eastAsiaTheme="majorEastAsia" w:cstheme="majorEastAsia"/>
                <w:w w:val="99"/>
                <w:kern w:val="2"/>
                <w:sz w:val="21"/>
                <w:szCs w:val="21"/>
                <w:lang w:eastAsia="zh-CN"/>
              </w:rPr>
              <w:t>监视器应</w:t>
            </w:r>
            <w:r>
              <w:rPr>
                <w:rFonts w:hint="eastAsia" w:asciiTheme="majorEastAsia" w:hAnsiTheme="majorEastAsia" w:eastAsiaTheme="majorEastAsia" w:cstheme="majorEastAsia"/>
                <w:spacing w:val="2"/>
                <w:w w:val="99"/>
                <w:kern w:val="2"/>
                <w:sz w:val="21"/>
                <w:szCs w:val="21"/>
                <w:lang w:eastAsia="zh-CN"/>
              </w:rPr>
              <w:t>符</w:t>
            </w:r>
            <w:r>
              <w:rPr>
                <w:rFonts w:hint="eastAsia" w:asciiTheme="majorEastAsia" w:hAnsiTheme="majorEastAsia" w:eastAsiaTheme="majorEastAsia" w:cstheme="majorEastAsia"/>
                <w:spacing w:val="-58"/>
                <w:w w:val="99"/>
                <w:kern w:val="2"/>
                <w:sz w:val="21"/>
                <w:szCs w:val="21"/>
                <w:lang w:eastAsia="zh-CN"/>
              </w:rPr>
              <w:t>合</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平板</w:t>
            </w:r>
            <w:r>
              <w:rPr>
                <w:rFonts w:hint="eastAsia" w:asciiTheme="majorEastAsia" w:hAnsiTheme="majorEastAsia" w:eastAsiaTheme="majorEastAsia" w:cstheme="majorEastAsia"/>
                <w:spacing w:val="2"/>
                <w:w w:val="99"/>
                <w:kern w:val="2"/>
                <w:sz w:val="21"/>
                <w:szCs w:val="21"/>
                <w:lang w:eastAsia="zh-CN"/>
              </w:rPr>
              <w:t>电</w:t>
            </w:r>
            <w:r>
              <w:rPr>
                <w:rFonts w:hint="eastAsia" w:asciiTheme="majorEastAsia" w:hAnsiTheme="majorEastAsia" w:eastAsiaTheme="majorEastAsia" w:cstheme="majorEastAsia"/>
                <w:w w:val="99"/>
                <w:kern w:val="2"/>
                <w:sz w:val="21"/>
                <w:szCs w:val="21"/>
                <w:lang w:eastAsia="zh-CN"/>
              </w:rPr>
              <w:t>视能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限定值及能效</w:t>
            </w:r>
            <w:r>
              <w:rPr>
                <w:rFonts w:hint="eastAsia" w:asciiTheme="majorEastAsia" w:hAnsiTheme="majorEastAsia" w:eastAsiaTheme="majorEastAsia" w:cstheme="majorEastAsia"/>
                <w:spacing w:val="2"/>
                <w:w w:val="99"/>
                <w:kern w:val="2"/>
                <w:sz w:val="21"/>
                <w:szCs w:val="21"/>
                <w:lang w:eastAsia="zh-CN"/>
              </w:rPr>
              <w:t>等</w:t>
            </w:r>
            <w:r>
              <w:rPr>
                <w:rFonts w:hint="eastAsia" w:asciiTheme="majorEastAsia" w:hAnsiTheme="majorEastAsia" w:eastAsiaTheme="majorEastAsia" w:cstheme="majorEastAsia"/>
                <w:w w:val="99"/>
                <w:kern w:val="2"/>
                <w:sz w:val="21"/>
                <w:szCs w:val="21"/>
                <w:lang w:eastAsia="zh-CN"/>
              </w:rPr>
              <w:t>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24850</w:t>
            </w:r>
            <w:r>
              <w:rPr>
                <w:rFonts w:hint="eastAsia" w:asciiTheme="majorEastAsia" w:hAnsiTheme="majorEastAsia" w:eastAsiaTheme="majorEastAsia" w:cstheme="majorEastAsia"/>
                <w:spacing w:val="-3"/>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2"/>
                <w:w w:val="99"/>
                <w:kern w:val="2"/>
                <w:sz w:val="21"/>
                <w:szCs w:val="21"/>
                <w:lang w:eastAsia="zh-CN"/>
              </w:rPr>
              <w:t>以数字信号为主要信号</w:t>
            </w:r>
            <w:r>
              <w:rPr>
                <w:rFonts w:hint="eastAsia" w:asciiTheme="majorEastAsia" w:hAnsiTheme="majorEastAsia" w:eastAsiaTheme="majorEastAsia" w:cstheme="majorEastAsia"/>
                <w:spacing w:val="9"/>
                <w:w w:val="99"/>
                <w:kern w:val="2"/>
                <w:sz w:val="21"/>
                <w:szCs w:val="21"/>
                <w:lang w:eastAsia="zh-CN"/>
              </w:rPr>
              <w:t>输</w:t>
            </w:r>
            <w:r>
              <w:rPr>
                <w:rFonts w:hint="eastAsia" w:asciiTheme="majorEastAsia" w:hAnsiTheme="majorEastAsia" w:eastAsiaTheme="majorEastAsia" w:cstheme="majorEastAsia"/>
                <w:spacing w:val="12"/>
                <w:w w:val="99"/>
                <w:kern w:val="2"/>
                <w:sz w:val="21"/>
                <w:szCs w:val="21"/>
                <w:lang w:eastAsia="zh-CN"/>
              </w:rPr>
              <w:t>入的</w:t>
            </w:r>
            <w:r>
              <w:rPr>
                <w:rFonts w:hint="eastAsia" w:asciiTheme="majorEastAsia" w:hAnsiTheme="majorEastAsia" w:eastAsiaTheme="majorEastAsia" w:cstheme="majorEastAsia"/>
                <w:w w:val="99"/>
                <w:kern w:val="2"/>
                <w:sz w:val="21"/>
                <w:szCs w:val="21"/>
                <w:lang w:eastAsia="zh-CN"/>
              </w:rPr>
              <w:t>监视器应</w:t>
            </w:r>
            <w:r>
              <w:rPr>
                <w:rFonts w:hint="eastAsia" w:asciiTheme="majorEastAsia" w:hAnsiTheme="majorEastAsia" w:eastAsiaTheme="majorEastAsia" w:cstheme="majorEastAsia"/>
                <w:spacing w:val="2"/>
                <w:w w:val="99"/>
                <w:kern w:val="2"/>
                <w:sz w:val="21"/>
                <w:szCs w:val="21"/>
                <w:lang w:eastAsia="zh-CN"/>
              </w:rPr>
              <w:t>符</w:t>
            </w:r>
            <w:r>
              <w:rPr>
                <w:rFonts w:hint="eastAsia" w:asciiTheme="majorEastAsia" w:hAnsiTheme="majorEastAsia" w:eastAsiaTheme="majorEastAsia" w:cstheme="majorEastAsia"/>
                <w:spacing w:val="-58"/>
                <w:w w:val="99"/>
                <w:kern w:val="2"/>
                <w:sz w:val="21"/>
                <w:szCs w:val="21"/>
                <w:lang w:eastAsia="zh-CN"/>
              </w:rPr>
              <w:t>合</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计算</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显示</w:t>
            </w:r>
            <w:r>
              <w:rPr>
                <w:rFonts w:hint="eastAsia" w:asciiTheme="majorEastAsia" w:hAnsiTheme="majorEastAsia" w:eastAsiaTheme="majorEastAsia" w:cstheme="majorEastAsia"/>
                <w:spacing w:val="2"/>
                <w:w w:val="99"/>
                <w:kern w:val="2"/>
                <w:sz w:val="21"/>
                <w:szCs w:val="21"/>
                <w:lang w:eastAsia="zh-CN"/>
              </w:rPr>
              <w:t>器</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0</w:t>
            </w:r>
            <w:r>
              <w:rPr>
                <w:rFonts w:hint="eastAsia" w:asciiTheme="majorEastAsia" w:hAnsiTheme="majorEastAsia" w:eastAsiaTheme="majorEastAsia" w:cstheme="majorEastAsia"/>
                <w:w w:val="99"/>
                <w:kern w:val="2"/>
                <w:sz w:val="21"/>
                <w:szCs w:val="21"/>
                <w:lang w:eastAsia="zh-CN"/>
              </w:rPr>
              <w:t>）</w:t>
            </w:r>
          </w:p>
        </w:tc>
      </w:tr>
      <w:tr w14:paraId="41EF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45C222A">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3F7CD386">
            <w:pPr>
              <w:pStyle w:val="104"/>
              <w:spacing w:before="76"/>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A02241000</w:t>
            </w:r>
            <w:r>
              <w:rPr>
                <w:rFonts w:hint="eastAsia" w:asciiTheme="majorEastAsia" w:hAnsiTheme="majorEastAsia" w:eastAsiaTheme="majorEastAsia" w:cstheme="majorEastAsia"/>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0FBDF004">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商用燃</w:t>
            </w:r>
            <w:r>
              <w:rPr>
                <w:rFonts w:hint="eastAsia" w:asciiTheme="majorEastAsia" w:hAnsiTheme="majorEastAsia" w:eastAsiaTheme="majorEastAsia" w:cstheme="majorEastAsia"/>
                <w:spacing w:val="2"/>
                <w:w w:val="99"/>
                <w:kern w:val="2"/>
                <w:sz w:val="21"/>
                <w:szCs w:val="21"/>
              </w:rPr>
              <w:t>气</w:t>
            </w:r>
            <w:r>
              <w:rPr>
                <w:rFonts w:hint="eastAsia" w:asciiTheme="majorEastAsia" w:hAnsiTheme="majorEastAsia" w:eastAsiaTheme="majorEastAsia" w:cstheme="majorEastAsia"/>
                <w:w w:val="99"/>
                <w:kern w:val="2"/>
                <w:sz w:val="21"/>
                <w:szCs w:val="21"/>
              </w:rPr>
              <w:t>灶具</w:t>
            </w:r>
          </w:p>
        </w:tc>
        <w:tc>
          <w:tcPr>
            <w:tcW w:w="1373" w:type="dxa"/>
            <w:tcBorders>
              <w:top w:val="single" w:color="000000" w:sz="4" w:space="0"/>
              <w:left w:val="single" w:color="000000" w:sz="4" w:space="0"/>
              <w:bottom w:val="single" w:color="000000" w:sz="4" w:space="0"/>
              <w:right w:val="single" w:color="000000" w:sz="4" w:space="0"/>
            </w:tcBorders>
            <w:vAlign w:val="center"/>
          </w:tcPr>
          <w:p w14:paraId="68872B79">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068602E9">
            <w:pPr>
              <w:pStyle w:val="104"/>
              <w:spacing w:before="76"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《商用燃气灶具能效限</w:t>
            </w:r>
            <w:r>
              <w:rPr>
                <w:rFonts w:hint="eastAsia" w:asciiTheme="majorEastAsia" w:hAnsiTheme="majorEastAsia" w:eastAsiaTheme="majorEastAsia" w:cstheme="majorEastAsia"/>
                <w:spacing w:val="9"/>
                <w:w w:val="99"/>
                <w:kern w:val="2"/>
                <w:sz w:val="21"/>
                <w:szCs w:val="21"/>
                <w:lang w:eastAsia="zh-CN"/>
              </w:rPr>
              <w:t>定</w:t>
            </w:r>
            <w:r>
              <w:rPr>
                <w:rFonts w:hint="eastAsia" w:asciiTheme="majorEastAsia" w:hAnsiTheme="majorEastAsia" w:eastAsiaTheme="majorEastAsia" w:cstheme="majorEastAsia"/>
                <w:spacing w:val="12"/>
                <w:w w:val="99"/>
                <w:kern w:val="2"/>
                <w:sz w:val="21"/>
                <w:szCs w:val="21"/>
                <w:lang w:eastAsia="zh-CN"/>
              </w:rPr>
              <w:t>值及</w:t>
            </w:r>
            <w:r>
              <w:rPr>
                <w:rFonts w:hint="eastAsia" w:asciiTheme="majorEastAsia" w:hAnsiTheme="majorEastAsia" w:eastAsiaTheme="majorEastAsia" w:cstheme="majorEastAsia"/>
                <w:w w:val="99"/>
                <w:kern w:val="2"/>
                <w:sz w:val="21"/>
                <w:szCs w:val="21"/>
                <w:lang w:eastAsia="zh-CN"/>
              </w:rPr>
              <w:t>能效等级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30</w:t>
            </w:r>
            <w:r>
              <w:rPr>
                <w:rFonts w:hint="eastAsia" w:asciiTheme="majorEastAsia" w:hAnsiTheme="majorEastAsia" w:eastAsiaTheme="majorEastAsia" w:cstheme="majorEastAsia"/>
                <w:w w:val="99"/>
                <w:kern w:val="2"/>
                <w:sz w:val="21"/>
                <w:szCs w:val="21"/>
                <w:lang w:eastAsia="zh-CN"/>
              </w:rPr>
              <w:t>53</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6C8B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C8E0EC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51B2E2E">
            <w:pPr>
              <w:pStyle w:val="104"/>
              <w:jc w:val="center"/>
              <w:rPr>
                <w:rFonts w:asciiTheme="majorEastAsia" w:hAnsiTheme="majorEastAsia" w:eastAsiaTheme="majorEastAsia" w:cstheme="majorEastAsia"/>
                <w:w w:val="99"/>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kern w:val="2"/>
                <w:sz w:val="21"/>
                <w:szCs w:val="21"/>
              </w:rPr>
              <w:t>A05020105</w:t>
            </w:r>
            <w:r>
              <w:rPr>
                <w:rFonts w:hint="eastAsia" w:asciiTheme="majorEastAsia" w:hAnsiTheme="majorEastAsia" w:eastAsiaTheme="majorEastAsia" w:cstheme="majorEastAsia"/>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34AEBE0">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坐便器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5A4B5ED4">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044CE91C">
            <w:pPr>
              <w:pStyle w:val="104"/>
              <w:spacing w:before="124"/>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《坐便</w:t>
            </w:r>
            <w:r>
              <w:rPr>
                <w:rFonts w:hint="eastAsia" w:asciiTheme="majorEastAsia" w:hAnsiTheme="majorEastAsia" w:eastAsiaTheme="majorEastAsia" w:cstheme="majorEastAsia"/>
                <w:spacing w:val="2"/>
                <w:w w:val="99"/>
                <w:kern w:val="2"/>
                <w:sz w:val="21"/>
                <w:szCs w:val="21"/>
                <w:lang w:eastAsia="zh-CN"/>
              </w:rPr>
              <w:t>器</w:t>
            </w:r>
            <w:r>
              <w:rPr>
                <w:rFonts w:hint="eastAsia" w:asciiTheme="majorEastAsia" w:hAnsiTheme="majorEastAsia" w:eastAsiaTheme="majorEastAsia" w:cstheme="majorEastAsia"/>
                <w:w w:val="99"/>
                <w:kern w:val="2"/>
                <w:sz w:val="21"/>
                <w:szCs w:val="21"/>
                <w:lang w:eastAsia="zh-CN"/>
              </w:rPr>
              <w:t>水效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w:t>
            </w:r>
            <w:r>
              <w:rPr>
                <w:rFonts w:hint="eastAsia" w:asciiTheme="majorEastAsia" w:hAnsiTheme="majorEastAsia" w:eastAsiaTheme="majorEastAsia" w:cstheme="majorEastAsia"/>
                <w:spacing w:val="2"/>
                <w:w w:val="99"/>
                <w:kern w:val="2"/>
                <w:sz w:val="21"/>
                <w:szCs w:val="21"/>
                <w:lang w:eastAsia="zh-CN"/>
              </w:rPr>
              <w:t>及</w:t>
            </w:r>
            <w:r>
              <w:rPr>
                <w:rFonts w:hint="eastAsia" w:asciiTheme="majorEastAsia" w:hAnsiTheme="majorEastAsia" w:eastAsiaTheme="majorEastAsia" w:cstheme="majorEastAsia"/>
                <w:w w:val="99"/>
                <w:kern w:val="2"/>
                <w:sz w:val="21"/>
                <w:szCs w:val="21"/>
                <w:lang w:eastAsia="zh-CN"/>
              </w:rPr>
              <w:t>水</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p>
          <w:p w14:paraId="065976AE">
            <w:pPr>
              <w:pStyle w:val="104"/>
              <w:spacing w:before="50"/>
              <w:ind w:left="7"/>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spacing w:val="1"/>
                <w:w w:val="99"/>
                <w:kern w:val="2"/>
                <w:sz w:val="21"/>
                <w:szCs w:val="21"/>
              </w:rPr>
              <w:t>G</w:t>
            </w:r>
            <w:r>
              <w:rPr>
                <w:rFonts w:hint="eastAsia" w:asciiTheme="majorEastAsia" w:hAnsiTheme="majorEastAsia" w:eastAsiaTheme="majorEastAsia" w:cstheme="majorEastAsia"/>
                <w:w w:val="99"/>
                <w:kern w:val="2"/>
                <w:sz w:val="21"/>
                <w:szCs w:val="21"/>
              </w:rPr>
              <w:t>B</w:t>
            </w:r>
            <w:r>
              <w:rPr>
                <w:rFonts w:hint="eastAsia" w:asciiTheme="majorEastAsia" w:hAnsiTheme="majorEastAsia" w:eastAsiaTheme="majorEastAsia" w:cstheme="majorEastAsia"/>
                <w:spacing w:val="1"/>
                <w:w w:val="99"/>
                <w:kern w:val="2"/>
                <w:sz w:val="21"/>
                <w:szCs w:val="21"/>
              </w:rPr>
              <w:t>2</w:t>
            </w:r>
            <w:r>
              <w:rPr>
                <w:rFonts w:hint="eastAsia" w:asciiTheme="majorEastAsia" w:hAnsiTheme="majorEastAsia" w:eastAsiaTheme="majorEastAsia" w:cstheme="majorEastAsia"/>
                <w:w w:val="99"/>
                <w:kern w:val="2"/>
                <w:sz w:val="21"/>
                <w:szCs w:val="21"/>
              </w:rPr>
              <w:t>55</w:t>
            </w:r>
            <w:r>
              <w:rPr>
                <w:rFonts w:hint="eastAsia" w:asciiTheme="majorEastAsia" w:hAnsiTheme="majorEastAsia" w:eastAsiaTheme="majorEastAsia" w:cstheme="majorEastAsia"/>
                <w:spacing w:val="1"/>
                <w:w w:val="99"/>
                <w:kern w:val="2"/>
                <w:sz w:val="21"/>
                <w:szCs w:val="21"/>
              </w:rPr>
              <w:t>02</w:t>
            </w:r>
            <w:r>
              <w:rPr>
                <w:rFonts w:hint="eastAsia" w:asciiTheme="majorEastAsia" w:hAnsiTheme="majorEastAsia" w:eastAsiaTheme="majorEastAsia" w:cstheme="majorEastAsia"/>
                <w:w w:val="99"/>
                <w:kern w:val="2"/>
                <w:sz w:val="21"/>
                <w:szCs w:val="21"/>
              </w:rPr>
              <w:t>）</w:t>
            </w:r>
          </w:p>
        </w:tc>
      </w:tr>
      <w:tr w14:paraId="594D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DB1052E">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A7E14A6">
            <w:pPr>
              <w:widowControl/>
              <w:jc w:val="left"/>
              <w:rPr>
                <w:rFonts w:asciiTheme="majorEastAsia" w:hAnsiTheme="majorEastAsia" w:eastAsiaTheme="majorEastAsia" w:cstheme="majorEastAsia"/>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883175A">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蹲便器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3EA63703">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40A626A0">
            <w:pPr>
              <w:pStyle w:val="104"/>
              <w:spacing w:before="124"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《蹲便器用水效率限定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及用</w:t>
            </w:r>
            <w:r>
              <w:rPr>
                <w:rFonts w:hint="eastAsia" w:asciiTheme="majorEastAsia" w:hAnsiTheme="majorEastAsia" w:eastAsiaTheme="majorEastAsia" w:cstheme="majorEastAsia"/>
                <w:w w:val="99"/>
                <w:kern w:val="2"/>
                <w:sz w:val="21"/>
                <w:szCs w:val="21"/>
                <w:lang w:eastAsia="zh-CN"/>
              </w:rPr>
              <w:t>水效率等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307</w:t>
            </w:r>
            <w:r>
              <w:rPr>
                <w:rFonts w:hint="eastAsia" w:asciiTheme="majorEastAsia" w:hAnsiTheme="majorEastAsia" w:eastAsiaTheme="majorEastAsia" w:cstheme="majorEastAsia"/>
                <w:w w:val="99"/>
                <w:kern w:val="2"/>
                <w:sz w:val="21"/>
                <w:szCs w:val="21"/>
                <w:lang w:eastAsia="zh-CN"/>
              </w:rPr>
              <w:t>1</w:t>
            </w:r>
            <w:r>
              <w:rPr>
                <w:rFonts w:hint="eastAsia" w:asciiTheme="majorEastAsia" w:hAnsiTheme="majorEastAsia" w:eastAsiaTheme="majorEastAsia" w:cstheme="majorEastAsia"/>
                <w:spacing w:val="-1"/>
                <w:w w:val="99"/>
                <w:kern w:val="2"/>
                <w:sz w:val="21"/>
                <w:szCs w:val="21"/>
                <w:lang w:eastAsia="zh-CN"/>
              </w:rPr>
              <w:t>7</w:t>
            </w:r>
            <w:r>
              <w:rPr>
                <w:rFonts w:hint="eastAsia" w:asciiTheme="majorEastAsia" w:hAnsiTheme="majorEastAsia" w:eastAsiaTheme="majorEastAsia" w:cstheme="majorEastAsia"/>
                <w:w w:val="99"/>
                <w:kern w:val="2"/>
                <w:sz w:val="21"/>
                <w:szCs w:val="21"/>
                <w:lang w:eastAsia="zh-CN"/>
              </w:rPr>
              <w:t>）</w:t>
            </w:r>
          </w:p>
        </w:tc>
      </w:tr>
      <w:tr w14:paraId="247B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3F7DFEA">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862B299">
            <w:pPr>
              <w:widowControl/>
              <w:jc w:val="left"/>
              <w:rPr>
                <w:rFonts w:asciiTheme="majorEastAsia" w:hAnsiTheme="majorEastAsia" w:eastAsiaTheme="majorEastAsia" w:cstheme="majorEastAsia"/>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EE2C0C8">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小便器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3A600710">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670B74C9">
            <w:pPr>
              <w:pStyle w:val="104"/>
              <w:spacing w:before="124"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《小便器用水效率限定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及用</w:t>
            </w:r>
            <w:r>
              <w:rPr>
                <w:rFonts w:hint="eastAsia" w:asciiTheme="majorEastAsia" w:hAnsiTheme="majorEastAsia" w:eastAsiaTheme="majorEastAsia" w:cstheme="majorEastAsia"/>
                <w:w w:val="99"/>
                <w:kern w:val="2"/>
                <w:sz w:val="21"/>
                <w:szCs w:val="21"/>
                <w:lang w:eastAsia="zh-CN"/>
              </w:rPr>
              <w:t>水效率等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283</w:t>
            </w:r>
            <w:r>
              <w:rPr>
                <w:rFonts w:hint="eastAsia" w:asciiTheme="majorEastAsia" w:hAnsiTheme="majorEastAsia" w:eastAsiaTheme="majorEastAsia" w:cstheme="majorEastAsia"/>
                <w:w w:val="99"/>
                <w:kern w:val="2"/>
                <w:sz w:val="21"/>
                <w:szCs w:val="21"/>
                <w:lang w:eastAsia="zh-CN"/>
              </w:rPr>
              <w:t>7</w:t>
            </w:r>
            <w:r>
              <w:rPr>
                <w:rFonts w:hint="eastAsia" w:asciiTheme="majorEastAsia" w:hAnsiTheme="majorEastAsia" w:eastAsiaTheme="majorEastAsia" w:cstheme="majorEastAsia"/>
                <w:spacing w:val="-1"/>
                <w:w w:val="99"/>
                <w:kern w:val="2"/>
                <w:sz w:val="21"/>
                <w:szCs w:val="21"/>
                <w:lang w:eastAsia="zh-CN"/>
              </w:rPr>
              <w:t>7</w:t>
            </w:r>
            <w:r>
              <w:rPr>
                <w:rFonts w:hint="eastAsia" w:asciiTheme="majorEastAsia" w:hAnsiTheme="majorEastAsia" w:eastAsiaTheme="majorEastAsia" w:cstheme="majorEastAsia"/>
                <w:w w:val="99"/>
                <w:kern w:val="2"/>
                <w:sz w:val="21"/>
                <w:szCs w:val="21"/>
                <w:lang w:eastAsia="zh-CN"/>
              </w:rPr>
              <w:t>）</w:t>
            </w:r>
          </w:p>
        </w:tc>
      </w:tr>
      <w:tr w14:paraId="6021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2101515">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1E643A4F">
            <w:pPr>
              <w:pStyle w:val="104"/>
              <w:spacing w:before="153"/>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★A05020106水</w:t>
            </w:r>
            <w:r>
              <w:rPr>
                <w:rFonts w:hint="eastAsia" w:asciiTheme="majorEastAsia" w:hAnsiTheme="majorEastAsia" w:eastAsiaTheme="majorEastAsia" w:cstheme="majorEastAsia"/>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01677A75">
            <w:pPr>
              <w:jc w:val="center"/>
              <w:rPr>
                <w:rFonts w:asciiTheme="majorEastAsia" w:hAnsiTheme="majorEastAsia" w:eastAsiaTheme="majorEastAsia" w:cstheme="majorEastAsia"/>
                <w:szCs w:val="21"/>
                <w:lang w:eastAsia="en-US"/>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8BC78DC">
            <w:pPr>
              <w:jc w:val="center"/>
              <w:rPr>
                <w:rFonts w:asciiTheme="majorEastAsia" w:hAnsiTheme="majorEastAsia" w:eastAsiaTheme="majorEastAsia" w:cstheme="majorEastAsia"/>
                <w:szCs w:val="21"/>
                <w:lang w:eastAsia="en-US"/>
              </w:rPr>
            </w:pPr>
          </w:p>
        </w:tc>
        <w:tc>
          <w:tcPr>
            <w:tcW w:w="3566" w:type="dxa"/>
            <w:tcBorders>
              <w:top w:val="single" w:color="000000" w:sz="4" w:space="0"/>
              <w:left w:val="single" w:color="000000" w:sz="4" w:space="0"/>
              <w:bottom w:val="single" w:color="000000" w:sz="4" w:space="0"/>
              <w:right w:val="single" w:color="000000" w:sz="4" w:space="0"/>
            </w:tcBorders>
          </w:tcPr>
          <w:p w14:paraId="67C3B56D">
            <w:pPr>
              <w:pStyle w:val="104"/>
              <w:spacing w:before="153"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0"/>
                <w:kern w:val="2"/>
                <w:sz w:val="21"/>
                <w:szCs w:val="21"/>
                <w:lang w:eastAsia="zh-CN"/>
              </w:rPr>
              <w:t>《水嘴用水效率限定值及用水效</w:t>
            </w:r>
            <w:r>
              <w:rPr>
                <w:rFonts w:hint="eastAsia" w:asciiTheme="majorEastAsia" w:hAnsiTheme="majorEastAsia" w:eastAsiaTheme="majorEastAsia" w:cstheme="majorEastAsia"/>
                <w:kern w:val="2"/>
                <w:sz w:val="21"/>
                <w:szCs w:val="21"/>
                <w:lang w:eastAsia="zh-CN"/>
              </w:rPr>
              <w:t>率等级》（GB 25501）</w:t>
            </w:r>
          </w:p>
        </w:tc>
      </w:tr>
      <w:tr w14:paraId="614C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F7C7106">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57E2C00D">
            <w:pPr>
              <w:pStyle w:val="104"/>
              <w:spacing w:before="112"/>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A05020107便器冲洗阀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737728EF">
            <w:pPr>
              <w:jc w:val="center"/>
              <w:rPr>
                <w:rFonts w:asciiTheme="majorEastAsia" w:hAnsiTheme="majorEastAsia" w:eastAsiaTheme="majorEastAsia" w:cstheme="majorEastAsia"/>
                <w:szCs w:val="21"/>
                <w:lang w:eastAsia="en-US"/>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50687D29">
            <w:pPr>
              <w:jc w:val="center"/>
              <w:rPr>
                <w:rFonts w:asciiTheme="majorEastAsia" w:hAnsiTheme="majorEastAsia" w:eastAsiaTheme="majorEastAsia" w:cstheme="majorEastAsia"/>
                <w:szCs w:val="21"/>
                <w:lang w:eastAsia="en-US"/>
              </w:rPr>
            </w:pPr>
          </w:p>
        </w:tc>
        <w:tc>
          <w:tcPr>
            <w:tcW w:w="3566" w:type="dxa"/>
            <w:tcBorders>
              <w:top w:val="single" w:color="000000" w:sz="4" w:space="0"/>
              <w:left w:val="single" w:color="000000" w:sz="4" w:space="0"/>
              <w:bottom w:val="single" w:color="000000" w:sz="4" w:space="0"/>
              <w:right w:val="single" w:color="000000" w:sz="4" w:space="0"/>
            </w:tcBorders>
          </w:tcPr>
          <w:p w14:paraId="1620CFCB">
            <w:pPr>
              <w:pStyle w:val="104"/>
              <w:spacing w:before="112"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0"/>
                <w:kern w:val="2"/>
                <w:sz w:val="21"/>
                <w:szCs w:val="21"/>
                <w:lang w:eastAsia="zh-CN"/>
              </w:rPr>
              <w:t>《便器冲洗阀用水效率限定值及</w:t>
            </w:r>
            <w:r>
              <w:rPr>
                <w:rFonts w:hint="eastAsia" w:asciiTheme="majorEastAsia" w:hAnsiTheme="majorEastAsia" w:eastAsiaTheme="majorEastAsia" w:cstheme="majorEastAsia"/>
                <w:kern w:val="2"/>
                <w:sz w:val="21"/>
                <w:szCs w:val="21"/>
                <w:lang w:eastAsia="zh-CN"/>
              </w:rPr>
              <w:t>用水效率等级》（GB28379）</w:t>
            </w:r>
          </w:p>
        </w:tc>
      </w:tr>
      <w:tr w14:paraId="1474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BCAB41D">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780F4CF4">
            <w:pPr>
              <w:pStyle w:val="104"/>
              <w:spacing w:before="131"/>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A05020110淋浴</w:t>
            </w:r>
            <w:r>
              <w:rPr>
                <w:rFonts w:hint="eastAsia" w:asciiTheme="majorEastAsia" w:hAnsiTheme="majorEastAsia" w:eastAsiaTheme="majorEastAsia" w:cstheme="majorEastAsia"/>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0BC798A">
            <w:pPr>
              <w:jc w:val="center"/>
              <w:rPr>
                <w:rFonts w:asciiTheme="majorEastAsia" w:hAnsiTheme="majorEastAsia" w:eastAsiaTheme="majorEastAsia" w:cstheme="majorEastAsia"/>
                <w:szCs w:val="21"/>
                <w:lang w:eastAsia="en-US"/>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FBAB459">
            <w:pPr>
              <w:jc w:val="center"/>
              <w:rPr>
                <w:rFonts w:asciiTheme="majorEastAsia" w:hAnsiTheme="majorEastAsia" w:eastAsiaTheme="majorEastAsia" w:cstheme="majorEastAsia"/>
                <w:szCs w:val="21"/>
                <w:lang w:eastAsia="en-US"/>
              </w:rPr>
            </w:pPr>
          </w:p>
        </w:tc>
        <w:tc>
          <w:tcPr>
            <w:tcW w:w="3566" w:type="dxa"/>
            <w:tcBorders>
              <w:top w:val="single" w:color="000000" w:sz="4" w:space="0"/>
              <w:left w:val="single" w:color="000000" w:sz="4" w:space="0"/>
              <w:bottom w:val="single" w:color="000000" w:sz="4" w:space="0"/>
              <w:right w:val="single" w:color="000000" w:sz="4" w:space="0"/>
            </w:tcBorders>
          </w:tcPr>
          <w:p w14:paraId="3EF23F11">
            <w:pPr>
              <w:pStyle w:val="104"/>
              <w:spacing w:before="131"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0"/>
                <w:kern w:val="2"/>
                <w:sz w:val="21"/>
                <w:szCs w:val="21"/>
                <w:lang w:eastAsia="zh-CN"/>
              </w:rPr>
              <w:t>《淋浴器用水效率限定值及用水</w:t>
            </w:r>
            <w:r>
              <w:rPr>
                <w:rFonts w:hint="eastAsia" w:asciiTheme="majorEastAsia" w:hAnsiTheme="majorEastAsia" w:eastAsiaTheme="majorEastAsia" w:cstheme="majorEastAsia"/>
                <w:kern w:val="2"/>
                <w:sz w:val="21"/>
                <w:szCs w:val="21"/>
                <w:lang w:eastAsia="zh-CN"/>
              </w:rPr>
              <w:t>效率等级》（GB28378）</w:t>
            </w:r>
          </w:p>
        </w:tc>
      </w:tr>
    </w:tbl>
    <w:p w14:paraId="662F9646">
      <w:pPr>
        <w:pStyle w:val="19"/>
        <w:spacing w:line="360" w:lineRule="auto"/>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3"/>
          <w:sz w:val="21"/>
          <w:szCs w:val="21"/>
        </w:rPr>
        <w:t>注：1.节能产品认证应依据相关国家标准的最新版本，依据国家标准中二级能效（水效）</w:t>
      </w:r>
      <w:r>
        <w:rPr>
          <w:rFonts w:hint="eastAsia" w:asciiTheme="majorEastAsia" w:hAnsiTheme="majorEastAsia" w:eastAsiaTheme="majorEastAsia" w:cstheme="majorEastAsia"/>
          <w:sz w:val="21"/>
          <w:szCs w:val="21"/>
        </w:rPr>
        <w:t>指标。</w:t>
      </w:r>
    </w:p>
    <w:p w14:paraId="6AB752E3">
      <w:pPr>
        <w:pStyle w:val="19"/>
        <w:spacing w:line="360" w:lineRule="auto"/>
        <w:ind w:firstLine="465"/>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2.以“★”标注的为政府强制采购产品。</w:t>
      </w:r>
    </w:p>
    <w:p w14:paraId="7262DF75">
      <w:pPr>
        <w:pStyle w:val="19"/>
        <w:spacing w:line="360" w:lineRule="auto"/>
        <w:ind w:firstLine="465"/>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3.本表格原为《关于印发节能产品政府采购品目清单的通知》（财库〔2019〕19号）规定的表格附件，其中名称及编码已根据《财政部关于印发〈政府采购品目分类目录〉的通知》（财库〔2022〕31号）修改。</w:t>
      </w:r>
    </w:p>
    <w:p w14:paraId="43EF6F96">
      <w:pPr>
        <w:widowControl/>
        <w:jc w:val="left"/>
        <w:rPr>
          <w:rFonts w:asciiTheme="majorEastAsia" w:hAnsiTheme="majorEastAsia" w:eastAsiaTheme="majorEastAsia" w:cstheme="majorEastAsia"/>
          <w:sz w:val="20"/>
          <w:szCs w:val="20"/>
        </w:rPr>
      </w:pPr>
    </w:p>
    <w:p w14:paraId="0B0D5E42">
      <w:pPr>
        <w:widowControl/>
        <w:jc w:val="left"/>
        <w:rPr>
          <w:rFonts w:asciiTheme="majorEastAsia" w:hAnsiTheme="majorEastAsia" w:eastAsiaTheme="majorEastAsia" w:cstheme="majorEastAsia"/>
          <w:sz w:val="20"/>
          <w:szCs w:val="20"/>
        </w:rPr>
      </w:pPr>
    </w:p>
    <w:p w14:paraId="00CB57E4">
      <w:pPr>
        <w:widowControl/>
        <w:jc w:val="left"/>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20"/>
          <w:szCs w:val="20"/>
        </w:rPr>
        <w:br w:type="page"/>
      </w:r>
      <w:r>
        <w:rPr>
          <w:rFonts w:hint="eastAsia" w:asciiTheme="majorEastAsia" w:hAnsiTheme="majorEastAsia" w:eastAsiaTheme="majorEastAsia" w:cstheme="majorEastAsia"/>
          <w:kern w:val="0"/>
          <w:szCs w:val="21"/>
        </w:rPr>
        <w:t>附件2：</w:t>
      </w:r>
    </w:p>
    <w:p w14:paraId="17FCC7D0">
      <w:pPr>
        <w:pStyle w:val="19"/>
        <w:jc w:val="cente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中小企业划型标准规定</w:t>
      </w:r>
    </w:p>
    <w:p w14:paraId="56908C58">
      <w:pPr>
        <w:pStyle w:val="19"/>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工信部联企业[2011]300号</w:t>
      </w:r>
    </w:p>
    <w:p w14:paraId="0E4957B5">
      <w:pPr>
        <w:pStyle w:val="19"/>
        <w:rPr>
          <w:rFonts w:asciiTheme="majorEastAsia" w:hAnsiTheme="majorEastAsia" w:eastAsiaTheme="majorEastAsia" w:cstheme="majorEastAsia"/>
          <w:sz w:val="21"/>
          <w:szCs w:val="21"/>
        </w:rPr>
      </w:pPr>
    </w:p>
    <w:p w14:paraId="51796094">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一、根据《中华人民共和国中小企业促进法》和《国务院关于进一步促进中小企业发展的若干意见》(国发[2009]36号)，制定本规定。</w:t>
      </w:r>
    </w:p>
    <w:p w14:paraId="1BDAC533">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二、中小企业划分为中型、小型、微型三种类型，具体标准根据企业从业人员、营业收入、资产总额等指标，结合行业特点制定。</w:t>
      </w:r>
    </w:p>
    <w:p w14:paraId="6A925213">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539D863">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四、各行业划型标准为：</w:t>
      </w:r>
    </w:p>
    <w:p w14:paraId="6A6A9EEA">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（一）农、林、牧、渔业。营业收入20000万元以下的为中小微型企业。其中，营业收入500万元及以上的为中型企业，营业收入50万元及以上的为小型企业，营业收入50万元以下的为微型企业。</w:t>
      </w:r>
    </w:p>
    <w:p w14:paraId="3953E8EF">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0087980">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2B1D49C">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76087E7">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F68C32A">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74CEA6F">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021687A">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0130854">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5E4BBF">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7171CD1">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D29DF01">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F67DCB">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5778B88">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6B06FE1">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1D0A12A">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（十六）其他未列明行业。从业人员300人以下的为中小微型企业。其中，从业人员100人及以上的为中型企业；从业人员10人及以上的为小型企业；从业人员10人以下的为微型企业。</w:t>
      </w:r>
    </w:p>
    <w:p w14:paraId="3BAC1F77">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五、企业类型的划分以统计部门的统计数据为依据。</w:t>
      </w:r>
    </w:p>
    <w:p w14:paraId="5E9A745C">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六、本规定适用于在中华人民共和国境内依法设立的各类所有制和各种组织形式的企业。个体工商户和本规定以外的行业，参照本规定进行划型。</w:t>
      </w:r>
    </w:p>
    <w:p w14:paraId="2F44371C">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3D532D2F">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八、本规定由工业和信息化部、国家统计局会同有关部门根据《国民经济行业分类》修订情况和企业发展变化情况适时修订。</w:t>
      </w:r>
    </w:p>
    <w:p w14:paraId="0E9433CC">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九、本规定由工业和信息化部、国家统计局会同有关部门负责解释。</w:t>
      </w:r>
    </w:p>
    <w:p w14:paraId="0B131A90">
      <w:pPr>
        <w:pStyle w:val="19"/>
        <w:ind w:firstLine="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十、本规定自发布之日起执行，原国家经贸委、原国家计委、财政部和国家统计局2003年颁布的《中小企业标准暂行规定》同时废止。</w:t>
      </w:r>
    </w:p>
    <w:p w14:paraId="31F7D242">
      <w:pPr>
        <w:pStyle w:val="19"/>
        <w:ind w:firstLine="420"/>
        <w:rPr>
          <w:rFonts w:asciiTheme="majorEastAsia" w:hAnsiTheme="majorEastAsia" w:eastAsiaTheme="majorEastAsia" w:cstheme="majorEastAsia"/>
          <w:sz w:val="21"/>
          <w:szCs w:val="21"/>
        </w:rPr>
      </w:pPr>
    </w:p>
    <w:p w14:paraId="1D7ED1C9">
      <w:pPr>
        <w:pStyle w:val="2"/>
        <w:spacing w:before="0" w:after="0" w:line="360" w:lineRule="auto"/>
        <w:jc w:val="center"/>
        <w:rPr>
          <w:rFonts w:asciiTheme="majorEastAsia" w:hAnsiTheme="majorEastAsia" w:eastAsiaTheme="majorEastAsia" w:cstheme="majorEastAsia"/>
        </w:rPr>
      </w:pPr>
      <w:bookmarkStart w:id="48" w:name="_Toc74320802"/>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rPr>
        <w:t>第三章  投标人须知</w:t>
      </w:r>
      <w:bookmarkEnd w:id="48"/>
    </w:p>
    <w:p w14:paraId="118C2D97">
      <w:pPr>
        <w:jc w:val="center"/>
        <w:rPr>
          <w:rFonts w:asciiTheme="majorEastAsia" w:hAnsiTheme="majorEastAsia" w:eastAsiaTheme="majorEastAsia" w:cstheme="majorEastAsia"/>
          <w:sz w:val="36"/>
          <w:szCs w:val="36"/>
        </w:rPr>
      </w:pPr>
      <w:bookmarkStart w:id="49" w:name="_Toc254970667"/>
      <w:bookmarkStart w:id="50" w:name="_Toc254970526"/>
      <w:r>
        <w:rPr>
          <w:rFonts w:hint="eastAsia" w:asciiTheme="majorEastAsia" w:hAnsiTheme="majorEastAsia" w:eastAsiaTheme="majorEastAsia" w:cstheme="majorEastAsia"/>
          <w:sz w:val="36"/>
          <w:szCs w:val="36"/>
        </w:rPr>
        <w:t>投标人须知前附表</w:t>
      </w:r>
      <w:bookmarkEnd w:id="49"/>
      <w:bookmarkEnd w:id="50"/>
    </w:p>
    <w:tbl>
      <w:tblPr>
        <w:tblStyle w:val="46"/>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2B34F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B4A74EF">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5228EDF0">
            <w:pPr>
              <w:snapToGrid w:val="0"/>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编列内容</w:t>
            </w:r>
          </w:p>
        </w:tc>
      </w:tr>
      <w:tr w14:paraId="31BB3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965ACCE">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8670" w:type="dxa"/>
            <w:tcBorders>
              <w:top w:val="single" w:color="auto" w:sz="4" w:space="0"/>
              <w:left w:val="single" w:color="auto" w:sz="4" w:space="0"/>
              <w:bottom w:val="single" w:color="auto" w:sz="4" w:space="0"/>
              <w:right w:val="single" w:color="auto" w:sz="4" w:space="0"/>
            </w:tcBorders>
            <w:vAlign w:val="center"/>
          </w:tcPr>
          <w:p w14:paraId="78198DC7">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1.投标人的资格要求详见招标公告。</w:t>
            </w:r>
          </w:p>
          <w:p w14:paraId="511ACC0E">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2.投标人出现下列情形之一的，不得参加政府采购活动：</w:t>
            </w:r>
          </w:p>
          <w:p w14:paraId="7AA8ECCC">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752BA80">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DC7F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FE5AFBD">
            <w:pPr>
              <w:spacing w:line="360" w:lineRule="auto"/>
              <w:jc w:val="center"/>
              <w:rPr>
                <w:rFonts w:asciiTheme="majorEastAsia" w:hAnsiTheme="majorEastAsia" w:eastAsiaTheme="majorEastAsia" w:cstheme="majorEastAsia"/>
                <w:szCs w:val="21"/>
              </w:rPr>
            </w:pPr>
            <w:bookmarkStart w:id="51" w:name="_8.1"/>
            <w:bookmarkEnd w:id="51"/>
            <w:bookmarkStart w:id="52" w:name="_5"/>
            <w:bookmarkEnd w:id="52"/>
            <w:bookmarkStart w:id="53" w:name="_9.2"/>
            <w:bookmarkEnd w:id="53"/>
            <w:r>
              <w:rPr>
                <w:rFonts w:hint="eastAsia" w:asciiTheme="majorEastAsia" w:hAnsiTheme="majorEastAsia" w:eastAsiaTheme="majorEastAsia" w:cstheme="majorEastAsia"/>
                <w:szCs w:val="21"/>
              </w:rPr>
              <w:t>6.1</w:t>
            </w:r>
          </w:p>
        </w:tc>
        <w:tc>
          <w:tcPr>
            <w:tcW w:w="8670" w:type="dxa"/>
            <w:tcBorders>
              <w:top w:val="single" w:color="auto" w:sz="4" w:space="0"/>
              <w:left w:val="single" w:color="auto" w:sz="4" w:space="0"/>
              <w:bottom w:val="single" w:color="auto" w:sz="4" w:space="0"/>
              <w:right w:val="single" w:color="auto" w:sz="4" w:space="0"/>
            </w:tcBorders>
            <w:vAlign w:val="center"/>
          </w:tcPr>
          <w:p w14:paraId="29122835">
            <w:pPr>
              <w:pStyle w:val="1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本项目是否接受联合体投标：详见招标公告。</w:t>
            </w:r>
          </w:p>
        </w:tc>
      </w:tr>
      <w:tr w14:paraId="70C95C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4CBA942">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6.2</w:t>
            </w:r>
          </w:p>
        </w:tc>
        <w:tc>
          <w:tcPr>
            <w:tcW w:w="8670" w:type="dxa"/>
            <w:tcBorders>
              <w:top w:val="single" w:color="auto" w:sz="4" w:space="0"/>
              <w:left w:val="single" w:color="auto" w:sz="4" w:space="0"/>
              <w:bottom w:val="single" w:color="auto" w:sz="4" w:space="0"/>
              <w:right w:val="single" w:color="auto" w:sz="4" w:space="0"/>
            </w:tcBorders>
            <w:vAlign w:val="center"/>
          </w:tcPr>
          <w:p w14:paraId="36CA2A21">
            <w:pPr>
              <w:pStyle w:val="17"/>
              <w:spacing w:line="360" w:lineRule="auto"/>
              <w:rPr>
                <w:rFonts w:asciiTheme="majorEastAsia" w:hAnsiTheme="majorEastAsia" w:eastAsiaTheme="majorEastAsia" w:cstheme="majorEastAsia"/>
                <w:szCs w:val="21"/>
              </w:rPr>
            </w:pPr>
            <w:bookmarkStart w:id="54" w:name="_Hlk54105293"/>
            <w:r>
              <w:rPr>
                <w:rFonts w:hint="eastAsia" w:asciiTheme="majorEastAsia" w:hAnsiTheme="majorEastAsia" w:eastAsiaTheme="majorEastAsia" w:cstheme="majorEastAsia"/>
                <w:szCs w:val="21"/>
              </w:rPr>
              <w:t>如接受联合体投标，</w:t>
            </w:r>
            <w:bookmarkEnd w:id="54"/>
            <w:r>
              <w:rPr>
                <w:rFonts w:hint="eastAsia" w:asciiTheme="majorEastAsia" w:hAnsiTheme="majorEastAsia" w:eastAsiaTheme="majorEastAsia" w:cstheme="majorEastAsia"/>
                <w:szCs w:val="21"/>
              </w:rPr>
              <w:t>联合体投标要求如下：/</w:t>
            </w:r>
          </w:p>
        </w:tc>
      </w:tr>
      <w:tr w14:paraId="443D2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AC09672">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7.2</w:t>
            </w:r>
          </w:p>
        </w:tc>
        <w:tc>
          <w:tcPr>
            <w:tcW w:w="8670" w:type="dxa"/>
            <w:tcBorders>
              <w:top w:val="single" w:color="auto" w:sz="4" w:space="0"/>
              <w:left w:val="single" w:color="auto" w:sz="4" w:space="0"/>
              <w:bottom w:val="single" w:color="auto" w:sz="4" w:space="0"/>
              <w:right w:val="single" w:color="auto" w:sz="4" w:space="0"/>
            </w:tcBorders>
            <w:vAlign w:val="center"/>
          </w:tcPr>
          <w:p w14:paraId="6ADFD92C">
            <w:pPr>
              <w:pStyle w:val="1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☑不允许分包</w:t>
            </w:r>
          </w:p>
          <w:p w14:paraId="44123863">
            <w:pPr>
              <w:pStyle w:val="1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□允许分包</w:t>
            </w:r>
          </w:p>
          <w:p w14:paraId="79124A0C">
            <w:pPr>
              <w:pStyle w:val="17"/>
              <w:spacing w:line="360" w:lineRule="auto"/>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分包内容：</w:t>
            </w:r>
            <w:r>
              <w:rPr>
                <w:rFonts w:hint="eastAsia" w:asciiTheme="majorEastAsia" w:hAnsiTheme="majorEastAsia" w:eastAsiaTheme="majorEastAsia" w:cstheme="majorEastAsia"/>
                <w:szCs w:val="21"/>
                <w:u w:val="single"/>
              </w:rPr>
              <w:t xml:space="preserve">                                     。</w:t>
            </w:r>
          </w:p>
          <w:p w14:paraId="3332D6A5">
            <w:pPr>
              <w:pStyle w:val="17"/>
              <w:spacing w:line="360" w:lineRule="auto"/>
              <w:jc w:val="both"/>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分包金额或者比例：</w:t>
            </w:r>
            <w:r>
              <w:rPr>
                <w:rFonts w:hint="eastAsia" w:asciiTheme="majorEastAsia" w:hAnsiTheme="majorEastAsia" w:eastAsiaTheme="majorEastAsia" w:cstheme="majorEastAsia"/>
                <w:szCs w:val="21"/>
                <w:u w:val="single"/>
              </w:rPr>
              <w:t xml:space="preserve">                                     。</w:t>
            </w:r>
          </w:p>
        </w:tc>
      </w:tr>
      <w:tr w14:paraId="6809A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E01622D">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8.1</w:t>
            </w:r>
          </w:p>
        </w:tc>
        <w:tc>
          <w:tcPr>
            <w:tcW w:w="8670" w:type="dxa"/>
            <w:tcBorders>
              <w:top w:val="single" w:color="auto" w:sz="4" w:space="0"/>
              <w:left w:val="single" w:color="auto" w:sz="4" w:space="0"/>
              <w:bottom w:val="single" w:color="auto" w:sz="4" w:space="0"/>
              <w:right w:val="single" w:color="auto" w:sz="4" w:space="0"/>
            </w:tcBorders>
            <w:vAlign w:val="center"/>
          </w:tcPr>
          <w:p w14:paraId="7DA6103C">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采用最低评标价法的采购项目，提供相同品牌产品（非单一产品采购项目的，指核心产品）的不同投标人评标报价相同时，按照下列方式确定一个投标人获得中标人推荐资格：</w:t>
            </w:r>
          </w:p>
          <w:p w14:paraId="33FF653F">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□依次按投标报价低的优先、带“▲”的实质性要求正偏离项数多的优先、均无正偏离或者正偏离项数一致时负偏离项数少的优先、质保期长优先、交货期短优先、故障响应时间短优先的顺序推荐。</w:t>
            </w:r>
          </w:p>
          <w:p w14:paraId="64D9A466">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□随机抽取；</w:t>
            </w:r>
          </w:p>
          <w:p w14:paraId="196767E4">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采用综合评分法的采购项目，</w:t>
            </w:r>
            <w:r>
              <w:rPr>
                <w:rFonts w:hint="eastAsia" w:asciiTheme="majorEastAsia" w:hAnsiTheme="majorEastAsia" w:eastAsiaTheme="majorEastAsia" w:cstheme="majorEastAsia"/>
                <w:szCs w:val="21"/>
              </w:rPr>
              <w:t>提供相同品牌产品（非单一产品采购项目的，指核心产品）的不同投标人评审得分相同时，按照下列方式确定一个投标人获得中标人推荐资格：</w:t>
            </w:r>
          </w:p>
          <w:p w14:paraId="2A88AFE1">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☑依次按投标报价低的优先、政策分得分高的优先、技术评分高的优先、商务评分高的优先、质保期长优先、交货期短优先、故障响应时间短优先的顺序推荐；</w:t>
            </w:r>
          </w:p>
          <w:p w14:paraId="4D804F17">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□随机抽取；</w:t>
            </w:r>
          </w:p>
        </w:tc>
      </w:tr>
      <w:tr w14:paraId="579D2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vAlign w:val="center"/>
          </w:tcPr>
          <w:p w14:paraId="52BFB3FD">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43578033">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☑不组织现场考察</w:t>
            </w:r>
          </w:p>
          <w:p w14:paraId="0CC7C975">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□组织现场考察：</w:t>
            </w:r>
          </w:p>
          <w:p w14:paraId="1FC99EBD">
            <w:pPr>
              <w:snapToGrid w:val="0"/>
              <w:spacing w:line="360" w:lineRule="auto"/>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集中时间：</w:t>
            </w:r>
            <w:r>
              <w:rPr>
                <w:rFonts w:hint="eastAsia" w:asciiTheme="majorEastAsia" w:hAnsiTheme="majorEastAsia" w:eastAsiaTheme="majorEastAsia" w:cstheme="majorEastAsia"/>
                <w:szCs w:val="21"/>
                <w:u w:val="single"/>
              </w:rPr>
              <w:t xml:space="preserve">     年    月   日    时    分</w:t>
            </w:r>
            <w:r>
              <w:rPr>
                <w:rFonts w:hint="eastAsia" w:asciiTheme="majorEastAsia" w:hAnsiTheme="majorEastAsia" w:eastAsiaTheme="majorEastAsia" w:cstheme="majorEastAsia"/>
                <w:szCs w:val="21"/>
              </w:rPr>
              <w:t>，逾期后果自负。集中地点：</w:t>
            </w:r>
          </w:p>
          <w:p w14:paraId="60B1B769">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联系人：；联系电话：</w:t>
            </w:r>
          </w:p>
        </w:tc>
      </w:tr>
      <w:tr w14:paraId="33A0E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2BF115A4">
            <w:pPr>
              <w:spacing w:line="360" w:lineRule="auto"/>
              <w:jc w:val="center"/>
              <w:rPr>
                <w:rFonts w:asciiTheme="majorEastAsia" w:hAnsiTheme="majorEastAsia" w:eastAsiaTheme="majorEastAsia" w:cstheme="majorEastAsia"/>
                <w:szCs w:val="21"/>
              </w:rPr>
            </w:pPr>
          </w:p>
        </w:tc>
        <w:tc>
          <w:tcPr>
            <w:tcW w:w="8670" w:type="dxa"/>
            <w:tcBorders>
              <w:top w:val="single" w:color="auto" w:sz="4" w:space="0"/>
              <w:left w:val="single" w:color="auto" w:sz="4" w:space="0"/>
              <w:bottom w:val="single" w:color="auto" w:sz="4" w:space="0"/>
              <w:right w:val="single" w:color="auto" w:sz="4" w:space="0"/>
            </w:tcBorders>
            <w:vAlign w:val="center"/>
          </w:tcPr>
          <w:p w14:paraId="2E1DF31C">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☑不组织召开开标前答疑会</w:t>
            </w:r>
          </w:p>
          <w:p w14:paraId="038950E0">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□组织召开开标前答疑会  </w:t>
            </w:r>
          </w:p>
          <w:p w14:paraId="1C781FB1">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会议开始时间：</w:t>
            </w:r>
            <w:r>
              <w:rPr>
                <w:rFonts w:hint="eastAsia" w:asciiTheme="majorEastAsia" w:hAnsiTheme="majorEastAsia" w:eastAsiaTheme="majorEastAsia" w:cstheme="majorEastAsia"/>
                <w:szCs w:val="21"/>
                <w:u w:val="single"/>
              </w:rPr>
              <w:t xml:space="preserve">      年    月    日    时    分</w:t>
            </w:r>
            <w:r>
              <w:rPr>
                <w:rFonts w:hint="eastAsia" w:asciiTheme="majorEastAsia" w:hAnsiTheme="majorEastAsia" w:eastAsiaTheme="majorEastAsia" w:cstheme="majorEastAsia"/>
                <w:szCs w:val="21"/>
              </w:rPr>
              <w:t>，逾期后果自负。会议地点：</w:t>
            </w:r>
          </w:p>
        </w:tc>
      </w:tr>
      <w:tr w14:paraId="61F7E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3EA78566">
            <w:pPr>
              <w:spacing w:line="360" w:lineRule="auto"/>
              <w:jc w:val="center"/>
              <w:rPr>
                <w:rFonts w:asciiTheme="majorEastAsia" w:hAnsiTheme="majorEastAsia" w:eastAsiaTheme="majorEastAsia" w:cstheme="majorEastAsia"/>
                <w:szCs w:val="21"/>
              </w:rPr>
            </w:pPr>
            <w:bookmarkStart w:id="55" w:name="_13.1"/>
            <w:bookmarkEnd w:id="55"/>
            <w:r>
              <w:rPr>
                <w:rFonts w:hint="eastAsia" w:asciiTheme="majorEastAsia" w:hAnsiTheme="majorEastAsia" w:eastAsiaTheme="majorEastAsia" w:cstheme="majorEastAsia"/>
                <w:szCs w:val="21"/>
              </w:rPr>
              <w:t>13</w:t>
            </w:r>
          </w:p>
        </w:tc>
        <w:tc>
          <w:tcPr>
            <w:tcW w:w="8670" w:type="dxa"/>
            <w:tcBorders>
              <w:top w:val="single" w:color="auto" w:sz="4" w:space="0"/>
              <w:left w:val="single" w:color="auto" w:sz="4" w:space="0"/>
              <w:bottom w:val="single" w:color="auto" w:sz="4" w:space="0"/>
              <w:right w:val="single" w:color="auto" w:sz="4" w:space="0"/>
            </w:tcBorders>
            <w:vAlign w:val="center"/>
          </w:tcPr>
          <w:p w14:paraId="1F750784">
            <w:pPr>
              <w:snapToGrid w:val="0"/>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报价文件：</w:t>
            </w:r>
          </w:p>
          <w:p w14:paraId="078F7F0E">
            <w:pPr>
              <w:tabs>
                <w:tab w:val="left" w:pos="459"/>
              </w:tabs>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1.投标函（格式后附）；</w:t>
            </w:r>
            <w:r>
              <w:rPr>
                <w:rFonts w:hint="eastAsia" w:asciiTheme="majorEastAsia" w:hAnsiTheme="majorEastAsia" w:eastAsiaTheme="majorEastAsia" w:cstheme="majorEastAsia"/>
                <w:b/>
                <w:szCs w:val="21"/>
              </w:rPr>
              <w:t>（必须提供，否则按无效投标处理）</w:t>
            </w:r>
          </w:p>
          <w:p w14:paraId="2D71509A">
            <w:pPr>
              <w:tabs>
                <w:tab w:val="left" w:pos="459"/>
              </w:tabs>
              <w:snapToGrid w:val="0"/>
              <w:spacing w:line="360" w:lineRule="auto"/>
              <w:ind w:left="420"/>
              <w:jc w:val="left"/>
              <w:rPr>
                <w:rFonts w:asciiTheme="majorEastAsia" w:hAnsiTheme="majorEastAsia" w:eastAsiaTheme="majorEastAsia" w:cstheme="majorEastAsia"/>
                <w:szCs w:val="21"/>
              </w:rPr>
            </w:pPr>
            <w:bookmarkStart w:id="56" w:name="_Hlk71299233"/>
            <w:r>
              <w:rPr>
                <w:rFonts w:hint="eastAsia" w:asciiTheme="majorEastAsia" w:hAnsiTheme="majorEastAsia" w:eastAsiaTheme="majorEastAsia" w:cstheme="majorEastAsia"/>
                <w:szCs w:val="21"/>
              </w:rPr>
              <w:t>2.开标一览表</w:t>
            </w:r>
            <w:bookmarkEnd w:id="56"/>
            <w:r>
              <w:rPr>
                <w:rFonts w:hint="eastAsia" w:asciiTheme="majorEastAsia" w:hAnsiTheme="majorEastAsia" w:eastAsiaTheme="majorEastAsia" w:cstheme="majorEastAsia"/>
                <w:szCs w:val="21"/>
              </w:rPr>
              <w:t>（格式后附）； （</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54CA13D5">
            <w:pPr>
              <w:tabs>
                <w:tab w:val="left" w:pos="459"/>
              </w:tabs>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3.投标人针对报价需要说明的其他文件和说明（格式自拟）。</w:t>
            </w:r>
          </w:p>
          <w:p w14:paraId="5451152A">
            <w:pPr>
              <w:snapToGrid w:val="0"/>
              <w:spacing w:line="360" w:lineRule="auto"/>
              <w:ind w:firstLine="422"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注：</w:t>
            </w:r>
            <w:r>
              <w:rPr>
                <w:rFonts w:hint="eastAsia" w:asciiTheme="majorEastAsia" w:hAnsiTheme="majorEastAsia" w:eastAsiaTheme="majorEastAsia" w:cstheme="majorEastAsia"/>
                <w:b/>
                <w:bCs/>
                <w:szCs w:val="21"/>
              </w:rPr>
              <w:t>以上标明“必须提供”的材料，格式</w:t>
            </w:r>
            <w:r>
              <w:rPr>
                <w:rFonts w:hint="eastAsia" w:asciiTheme="majorEastAsia" w:hAnsiTheme="majorEastAsia" w:eastAsiaTheme="majorEastAsia" w:cstheme="majorEastAsia"/>
                <w:b/>
                <w:szCs w:val="21"/>
              </w:rPr>
              <w:t>中有要求法定代表人或者委托代理人签字的，必须按要求签字并加盖投标人电子签章</w:t>
            </w:r>
            <w:r>
              <w:rPr>
                <w:rFonts w:hint="eastAsia" w:asciiTheme="majorEastAsia" w:hAnsiTheme="majorEastAsia" w:eastAsiaTheme="majorEastAsia" w:cstheme="majorEastAsia"/>
                <w:b/>
                <w:bCs/>
                <w:szCs w:val="21"/>
              </w:rPr>
              <w:t>，否则按无效投标</w:t>
            </w:r>
            <w:r>
              <w:rPr>
                <w:rFonts w:hint="eastAsia" w:asciiTheme="majorEastAsia" w:hAnsiTheme="majorEastAsia" w:eastAsiaTheme="majorEastAsia" w:cstheme="majorEastAsia"/>
                <w:b/>
                <w:szCs w:val="21"/>
              </w:rPr>
              <w:t xml:space="preserve">处理。 </w:t>
            </w:r>
          </w:p>
        </w:tc>
      </w:tr>
      <w:tr w14:paraId="6A2D5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3" w:hRule="atLeast"/>
        </w:trPr>
        <w:tc>
          <w:tcPr>
            <w:tcW w:w="895" w:type="dxa"/>
            <w:vMerge w:val="continue"/>
            <w:tcBorders>
              <w:left w:val="single" w:color="auto" w:sz="4" w:space="0"/>
              <w:right w:val="single" w:color="auto" w:sz="4" w:space="0"/>
            </w:tcBorders>
            <w:vAlign w:val="center"/>
          </w:tcPr>
          <w:p w14:paraId="13E605D7">
            <w:pPr>
              <w:spacing w:line="360" w:lineRule="auto"/>
              <w:rPr>
                <w:rFonts w:asciiTheme="majorEastAsia" w:hAnsiTheme="majorEastAsia" w:eastAsiaTheme="majorEastAsia" w:cstheme="majorEastAsia"/>
                <w:szCs w:val="21"/>
              </w:rPr>
            </w:pPr>
            <w:bookmarkStart w:id="57" w:name="_13.2"/>
            <w:bookmarkEnd w:id="57"/>
          </w:p>
        </w:tc>
        <w:tc>
          <w:tcPr>
            <w:tcW w:w="8670" w:type="dxa"/>
            <w:tcBorders>
              <w:top w:val="single" w:color="auto" w:sz="4" w:space="0"/>
              <w:left w:val="single" w:color="auto" w:sz="4" w:space="0"/>
              <w:bottom w:val="single" w:color="auto" w:sz="4" w:space="0"/>
              <w:right w:val="single" w:color="auto" w:sz="4" w:space="0"/>
            </w:tcBorders>
            <w:vAlign w:val="center"/>
          </w:tcPr>
          <w:p w14:paraId="15C40E7B">
            <w:pPr>
              <w:snapToGrid w:val="0"/>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资格证明文件</w:t>
            </w:r>
          </w:p>
          <w:p w14:paraId="05F16D44">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1.投标人为法人或者其他组织的，提供营业执照等证明文件（如营业执照或者事业单位法人证书或者执业许可证或者登记证书等），投标人为自然人的，提供身份证复印件；（</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04DA8FE2">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2.投标人依法缴纳税收的相关材料（</w:t>
            </w:r>
            <w:r>
              <w:rPr>
                <w:rFonts w:hint="eastAsia" w:asciiTheme="majorEastAsia" w:hAnsiTheme="majorEastAsia" w:eastAsiaTheme="majorEastAsia" w:cstheme="majorEastAsia"/>
                <w:szCs w:val="21"/>
                <w:u w:val="single"/>
              </w:rPr>
              <w:t>202</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rPr>
              <w:t>年</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rPr>
              <w:t>月至提交投标文件截止时间内连续</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u w:val="single"/>
                <w:lang w:val="en-US" w:eastAsia="zh-CN"/>
              </w:rPr>
              <w:t>1</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个月的依法缴纳税收的</w:t>
            </w:r>
            <w:r>
              <w:rPr>
                <w:rFonts w:hint="eastAsia" w:asciiTheme="majorEastAsia" w:hAnsiTheme="majorEastAsia" w:eastAsiaTheme="majorEastAsia" w:cstheme="majorEastAsia"/>
              </w:rPr>
              <w:t>证明材料</w:t>
            </w:r>
            <w:r>
              <w:rPr>
                <w:rFonts w:hint="eastAsia" w:asciiTheme="majorEastAsia" w:hAnsiTheme="majorEastAsia" w:eastAsiaTheme="majorEastAsia" w:cstheme="majorEastAsia"/>
                <w:szCs w:val="21"/>
              </w:rPr>
              <w:t>复印件；依法免税的供应商，</w:t>
            </w:r>
            <w:r>
              <w:rPr>
                <w:rFonts w:hint="eastAsia" w:asciiTheme="majorEastAsia" w:hAnsiTheme="majorEastAsia" w:eastAsiaTheme="majorEastAsia" w:cstheme="majorEastAsia"/>
              </w:rPr>
              <w:t>必须提供符合免税条件的证明材料</w:t>
            </w:r>
            <w:r>
              <w:rPr>
                <w:rFonts w:hint="eastAsia" w:asciiTheme="majorEastAsia" w:hAnsiTheme="majorEastAsia" w:eastAsiaTheme="majorEastAsia" w:cstheme="majorEastAsia"/>
                <w:szCs w:val="21"/>
              </w:rPr>
              <w:t>。从成立之日起到投标文件提交截止时间止不足要求月数的，只需提供从成立之日起的依法缴纳税收相应证明文件）；（</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611B298A">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3.投标人依法缴纳社会保障资金的相关材料[</w:t>
            </w:r>
            <w:r>
              <w:rPr>
                <w:rFonts w:hint="eastAsia" w:asciiTheme="majorEastAsia" w:hAnsiTheme="majorEastAsia" w:eastAsiaTheme="majorEastAsia" w:cstheme="majorEastAsia"/>
                <w:szCs w:val="21"/>
                <w:u w:val="single"/>
              </w:rPr>
              <w:t>202</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rPr>
              <w:t>年</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rPr>
              <w:t>月至提交投标文件截止时间内连续</w:t>
            </w:r>
            <w:r>
              <w:rPr>
                <w:rFonts w:hint="eastAsia" w:asciiTheme="majorEastAsia" w:hAnsiTheme="majorEastAsia" w:eastAsiaTheme="majorEastAsia" w:cstheme="majorEastAsia"/>
                <w:szCs w:val="21"/>
                <w:u w:val="single"/>
                <w:lang w:val="en-US" w:eastAsia="zh-CN"/>
              </w:rPr>
              <w:t>1</w:t>
            </w:r>
            <w:r>
              <w:rPr>
                <w:rFonts w:hint="eastAsia" w:asciiTheme="majorEastAsia" w:hAnsiTheme="majorEastAsia" w:eastAsiaTheme="majorEastAsia" w:cstheme="majorEastAsia"/>
                <w:szCs w:val="21"/>
              </w:rPr>
              <w:t>个月的依法缴纳社会保障资金的缴费</w:t>
            </w:r>
            <w:r>
              <w:rPr>
                <w:rFonts w:hint="eastAsia" w:asciiTheme="majorEastAsia" w:hAnsiTheme="majorEastAsia" w:eastAsiaTheme="majorEastAsia" w:cstheme="majorEastAsia"/>
              </w:rPr>
              <w:t>证明材料</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rPr>
              <w:t>如：</w:t>
            </w:r>
            <w:r>
              <w:rPr>
                <w:rFonts w:hint="eastAsia" w:asciiTheme="majorEastAsia" w:hAnsiTheme="majorEastAsia" w:eastAsiaTheme="majorEastAsia" w:cstheme="majorEastAsia"/>
                <w:szCs w:val="21"/>
              </w:rPr>
              <w:t>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154CB876">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4.投标人财务状况报告[</w:t>
            </w:r>
            <w:r>
              <w:rPr>
                <w:rFonts w:hint="eastAsia" w:asciiTheme="majorEastAsia" w:hAnsiTheme="majorEastAsia" w:eastAsiaTheme="majorEastAsia" w:cstheme="majorEastAsia"/>
                <w:szCs w:val="21"/>
                <w:u w:val="single"/>
              </w:rPr>
              <w:t>202</w:t>
            </w:r>
            <w:r>
              <w:rPr>
                <w:rFonts w:hint="eastAsia" w:asciiTheme="majorEastAsia" w:hAnsiTheme="majorEastAsia" w:eastAsiaTheme="majorEastAsia" w:cstheme="majorEastAsia"/>
                <w:szCs w:val="21"/>
                <w:u w:val="single"/>
                <w:lang w:val="en-US" w:eastAsia="zh-CN"/>
              </w:rPr>
              <w:t>4</w:t>
            </w:r>
            <w:r>
              <w:rPr>
                <w:rFonts w:hint="eastAsia" w:asciiTheme="majorEastAsia" w:hAnsiTheme="majorEastAsia" w:eastAsiaTheme="majorEastAsia" w:cstheme="majorEastAsia"/>
                <w:szCs w:val="21"/>
              </w:rPr>
              <w:t>年度财务报表复印件，或者银行出具的资信证明，或者中国人民银行征信中心出具的信用报告（企业投标的提供企业信用报告，自然人投标的提供个人信用报告</w:t>
            </w:r>
            <w:r>
              <w:rPr>
                <w:rFonts w:hint="eastAsia" w:asciiTheme="majorEastAsia" w:hAnsiTheme="majorEastAsia" w:eastAsiaTheme="majorEastAsia" w:cstheme="majorEastAsia"/>
              </w:rPr>
              <w:t>，投标人属于成立时间在规定年度之后的法人或其他组织，需提供成立之日起至投标截止时间前的月报表</w:t>
            </w:r>
            <w:r>
              <w:rPr>
                <w:rFonts w:hint="eastAsia" w:asciiTheme="majorEastAsia" w:hAnsiTheme="majorEastAsia" w:eastAsiaTheme="majorEastAsia" w:cstheme="majorEastAsia"/>
                <w:szCs w:val="21"/>
              </w:rPr>
              <w:t>或银行出具的资信证明或者中国人民银行征信中心出具的企业信用报告；资信证明应在有效期内，未注明有效期的，银行出具时间至投标截止时间不超过一年]；（</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58201E44">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5.投标人直接控股股东信息表（格式后附）；（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5744FD8D">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6.投标人直接管理关系信息表（格式后附）；（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3806D92C">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7.投标声明（格式后附）；（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6036CCEF">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8.本项目特定资格：（</w:t>
            </w:r>
            <w:r>
              <w:rPr>
                <w:rFonts w:hint="eastAsia" w:asciiTheme="majorEastAsia" w:hAnsiTheme="majorEastAsia" w:eastAsiaTheme="majorEastAsia" w:cstheme="majorEastAsia"/>
                <w:b/>
                <w:bCs/>
                <w:szCs w:val="21"/>
              </w:rPr>
              <w:t>必须提供，否则投标文件按无效处理</w:t>
            </w:r>
            <w:r>
              <w:rPr>
                <w:rFonts w:hint="eastAsia" w:asciiTheme="majorEastAsia" w:hAnsiTheme="majorEastAsia" w:eastAsiaTheme="majorEastAsia" w:cstheme="majorEastAsia"/>
                <w:szCs w:val="21"/>
              </w:rPr>
              <w:t>）</w:t>
            </w:r>
          </w:p>
          <w:p w14:paraId="544964C3">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标的属第二类医疗器械的，应提供有效的医疗器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2E0A7C34">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标的属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02CCD5B7">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（3）标的有第二类和第三类医疗器械的，应按上述（1）（2）要求提供。</w:t>
            </w:r>
          </w:p>
          <w:p w14:paraId="25C25B0B">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9.除招标文件规定必须提供以外，投标人认为需要提供的其他证明材料。</w:t>
            </w:r>
          </w:p>
          <w:p w14:paraId="3109C6BD">
            <w:pPr>
              <w:snapToGrid w:val="0"/>
              <w:spacing w:line="360" w:lineRule="auto"/>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注：以上标明“必须提供”的材料，格式</w:t>
            </w:r>
            <w:r>
              <w:rPr>
                <w:rFonts w:hint="eastAsia" w:asciiTheme="majorEastAsia" w:hAnsiTheme="majorEastAsia" w:eastAsiaTheme="majorEastAsia" w:cstheme="majorEastAsia"/>
                <w:b/>
                <w:szCs w:val="21"/>
              </w:rPr>
              <w:t>中有要求法定代表人或者委托代理人签字的，必须按要求签字并加盖投标人电子签章</w:t>
            </w:r>
            <w:r>
              <w:rPr>
                <w:rFonts w:hint="eastAsia" w:asciiTheme="majorEastAsia" w:hAnsiTheme="majorEastAsia" w:eastAsiaTheme="majorEastAsia" w:cstheme="majorEastAsia"/>
                <w:b/>
                <w:bCs/>
                <w:szCs w:val="21"/>
              </w:rPr>
              <w:t>，否则按无效投标</w:t>
            </w:r>
            <w:r>
              <w:rPr>
                <w:rFonts w:hint="eastAsia" w:asciiTheme="majorEastAsia" w:hAnsiTheme="majorEastAsia" w:eastAsiaTheme="majorEastAsia" w:cstheme="majorEastAsia"/>
                <w:b/>
                <w:szCs w:val="21"/>
              </w:rPr>
              <w:t>处理。</w:t>
            </w:r>
          </w:p>
        </w:tc>
      </w:tr>
      <w:tr w14:paraId="4FD2D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2F9B3CFC">
            <w:pPr>
              <w:spacing w:line="360" w:lineRule="auto"/>
              <w:rPr>
                <w:rFonts w:asciiTheme="majorEastAsia" w:hAnsiTheme="majorEastAsia" w:eastAsiaTheme="majorEastAsia" w:cstheme="majorEastAsia"/>
                <w:szCs w:val="21"/>
              </w:rPr>
            </w:pPr>
            <w:bookmarkStart w:id="58" w:name="_13.3"/>
            <w:bookmarkEnd w:id="58"/>
          </w:p>
        </w:tc>
        <w:tc>
          <w:tcPr>
            <w:tcW w:w="8670" w:type="dxa"/>
            <w:tcBorders>
              <w:top w:val="single" w:color="auto" w:sz="4" w:space="0"/>
              <w:left w:val="single" w:color="auto" w:sz="4" w:space="0"/>
              <w:bottom w:val="single" w:color="auto" w:sz="4" w:space="0"/>
              <w:right w:val="single" w:color="auto" w:sz="4" w:space="0"/>
            </w:tcBorders>
            <w:vAlign w:val="center"/>
          </w:tcPr>
          <w:p w14:paraId="176122C2">
            <w:pPr>
              <w:snapToGrid w:val="0"/>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kern w:val="0"/>
              </w:rPr>
              <w:t>商务及技术文件</w:t>
            </w:r>
            <w:r>
              <w:rPr>
                <w:rFonts w:hint="eastAsia" w:asciiTheme="majorEastAsia" w:hAnsiTheme="majorEastAsia" w:eastAsiaTheme="majorEastAsia" w:cstheme="majorEastAsia"/>
                <w:b/>
                <w:szCs w:val="21"/>
              </w:rPr>
              <w:t>：</w:t>
            </w:r>
          </w:p>
          <w:p w14:paraId="778C9820">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1.无串通投标行为的承诺函（格式后附）；（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7A0AAB90">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2.法定代表人身份证明及法定代表人有效身份证正反面复印件（格式后附）；（</w:t>
            </w:r>
            <w:r>
              <w:rPr>
                <w:rFonts w:hint="eastAsia" w:asciiTheme="majorEastAsia" w:hAnsiTheme="majorEastAsia" w:eastAsiaTheme="majorEastAsia" w:cstheme="majorEastAsia"/>
                <w:b/>
                <w:bCs/>
                <w:szCs w:val="21"/>
              </w:rPr>
              <w:t>除自然人投标外</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028B399C">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3.授权委托书及委托代理人有效身份证正反面复印件（格式后附）；（</w:t>
            </w:r>
            <w:r>
              <w:rPr>
                <w:rFonts w:hint="eastAsia" w:asciiTheme="majorEastAsia" w:hAnsiTheme="majorEastAsia" w:eastAsiaTheme="majorEastAsia" w:cstheme="majorEastAsia"/>
                <w:b/>
                <w:szCs w:val="21"/>
              </w:rPr>
              <w:t>委托时必须提供，否则按无效投标处理</w:t>
            </w:r>
            <w:r>
              <w:rPr>
                <w:rFonts w:hint="eastAsia" w:asciiTheme="majorEastAsia" w:hAnsiTheme="majorEastAsia" w:eastAsiaTheme="majorEastAsia" w:cstheme="majorEastAsia"/>
                <w:szCs w:val="21"/>
              </w:rPr>
              <w:t>）</w:t>
            </w:r>
          </w:p>
          <w:p w14:paraId="5D4878A6">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4.商务要求偏离表（格式后附）；（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2B3B3A47">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5.代理服务费承诺书（格式后附）；</w:t>
            </w:r>
          </w:p>
          <w:p w14:paraId="5BC3113B">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6.技术要求偏离表（格式后附）；（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76F5F47E">
            <w:pPr>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7.售后服务方案（格式自拟）；</w:t>
            </w:r>
          </w:p>
          <w:p w14:paraId="53B3F4F6">
            <w:pPr>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8.项目实施方案（格式自拟）；</w:t>
            </w:r>
          </w:p>
          <w:p w14:paraId="6AC49DC0">
            <w:pPr>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9.技术培训方案（格式自拟）；</w:t>
            </w:r>
          </w:p>
          <w:p w14:paraId="12128B86">
            <w:pPr>
              <w:snapToGrid w:val="0"/>
              <w:spacing w:line="360" w:lineRule="auto"/>
              <w:ind w:left="42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szCs w:val="21"/>
              </w:rPr>
              <w:t>10.除招标文件规定必须提供以外，投标人认为需要提供的其他证明材料（格式自拟）。</w:t>
            </w:r>
          </w:p>
          <w:p w14:paraId="471D5624">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（投标人根据“第二章 采购需求”及“第四章 评标方法及评标标准”提供有关证明材料）。</w:t>
            </w:r>
          </w:p>
          <w:p w14:paraId="1CAD9AC2">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注：以上标明“必须提供”的材料，格式</w:t>
            </w:r>
            <w:r>
              <w:rPr>
                <w:rFonts w:hint="eastAsia" w:asciiTheme="majorEastAsia" w:hAnsiTheme="majorEastAsia" w:eastAsiaTheme="majorEastAsia" w:cstheme="majorEastAsia"/>
                <w:b/>
                <w:szCs w:val="21"/>
              </w:rPr>
              <w:t>中有要求法定代表人或者委托代理人签字的，必须按要求签字并加盖投标人电子签章</w:t>
            </w:r>
            <w:r>
              <w:rPr>
                <w:rFonts w:hint="eastAsia" w:asciiTheme="majorEastAsia" w:hAnsiTheme="majorEastAsia" w:eastAsiaTheme="majorEastAsia" w:cstheme="majorEastAsia"/>
                <w:b/>
                <w:bCs/>
                <w:szCs w:val="21"/>
              </w:rPr>
              <w:t>，否则按无效投标</w:t>
            </w:r>
            <w:r>
              <w:rPr>
                <w:rFonts w:hint="eastAsia" w:asciiTheme="majorEastAsia" w:hAnsiTheme="majorEastAsia" w:eastAsiaTheme="majorEastAsia" w:cstheme="majorEastAsia"/>
                <w:b/>
                <w:szCs w:val="21"/>
              </w:rPr>
              <w:t>处理。</w:t>
            </w:r>
          </w:p>
        </w:tc>
      </w:tr>
      <w:tr w14:paraId="7F9A9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D8E1A4C">
            <w:pPr>
              <w:spacing w:line="360" w:lineRule="auto"/>
              <w:jc w:val="center"/>
              <w:rPr>
                <w:rFonts w:asciiTheme="majorEastAsia" w:hAnsiTheme="majorEastAsia" w:eastAsiaTheme="majorEastAsia" w:cstheme="majorEastAsia"/>
                <w:szCs w:val="21"/>
              </w:rPr>
            </w:pPr>
            <w:bookmarkStart w:id="59" w:name="_13.5"/>
            <w:bookmarkEnd w:id="59"/>
            <w:bookmarkStart w:id="60" w:name="_16.2"/>
            <w:bookmarkEnd w:id="60"/>
            <w:bookmarkStart w:id="61" w:name="_13.4"/>
            <w:bookmarkEnd w:id="61"/>
            <w:r>
              <w:rPr>
                <w:rFonts w:hint="eastAsia" w:asciiTheme="majorEastAsia" w:hAnsiTheme="majorEastAsia" w:eastAsiaTheme="majorEastAsia" w:cstheme="majorEastAsia"/>
                <w:szCs w:val="21"/>
              </w:rPr>
              <w:t>16</w:t>
            </w:r>
            <w:bookmarkStart w:id="62" w:name="_Hlt19194066"/>
            <w:bookmarkStart w:id="63" w:name="_Hlt19194067"/>
            <w:bookmarkStart w:id="64" w:name="_Hlt19693759"/>
            <w:bookmarkStart w:id="65" w:name="_Hlt19693758"/>
            <w:r>
              <w:rPr>
                <w:rFonts w:hint="eastAsia" w:asciiTheme="majorEastAsia" w:hAnsiTheme="majorEastAsia" w:eastAsiaTheme="majorEastAsia" w:cstheme="majorEastAsia"/>
                <w:szCs w:val="21"/>
              </w:rPr>
              <w:t>.</w:t>
            </w:r>
            <w:bookmarkEnd w:id="62"/>
            <w:bookmarkEnd w:id="63"/>
            <w:bookmarkEnd w:id="64"/>
            <w:bookmarkEnd w:id="65"/>
            <w:r>
              <w:rPr>
                <w:rFonts w:hint="eastAsia" w:asciiTheme="majorEastAsia" w:hAnsiTheme="majorEastAsia" w:eastAsiaTheme="majorEastAsia" w:cstheme="majorEastAsia"/>
                <w:szCs w:val="21"/>
              </w:rPr>
              <w:t>2</w:t>
            </w:r>
          </w:p>
        </w:tc>
        <w:tc>
          <w:tcPr>
            <w:tcW w:w="8670" w:type="dxa"/>
            <w:tcBorders>
              <w:top w:val="single" w:color="auto" w:sz="4" w:space="0"/>
              <w:left w:val="single" w:color="auto" w:sz="4" w:space="0"/>
              <w:bottom w:val="single" w:color="auto" w:sz="4" w:space="0"/>
              <w:right w:val="single" w:color="auto" w:sz="4" w:space="0"/>
            </w:tcBorders>
            <w:vAlign w:val="center"/>
          </w:tcPr>
          <w:p w14:paraId="31056EDC">
            <w:pPr>
              <w:snapToGrid w:val="0"/>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Cs/>
                <w:szCs w:val="21"/>
              </w:rPr>
              <w:t>本次报价须为人民币报价，报价必须包括该货物包含的一切设备、附件、备件、运输及运输保险、施工、安装调试、人员工资、 税费、计量检测费、验收、培训、技术服务、室内技术线路改造、系统接入服务、信息系统对接费用、后期维护服务等相关工作范围内的所有费用。</w:t>
            </w:r>
          </w:p>
        </w:tc>
      </w:tr>
      <w:tr w14:paraId="00688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1C1B402">
            <w:pPr>
              <w:spacing w:line="360" w:lineRule="auto"/>
              <w:jc w:val="center"/>
              <w:rPr>
                <w:rFonts w:asciiTheme="majorEastAsia" w:hAnsiTheme="majorEastAsia" w:eastAsiaTheme="majorEastAsia" w:cstheme="majorEastAsia"/>
                <w:szCs w:val="21"/>
              </w:rPr>
            </w:pPr>
            <w:bookmarkStart w:id="66" w:name="_17.1"/>
            <w:bookmarkEnd w:id="66"/>
            <w:r>
              <w:rPr>
                <w:rFonts w:hint="eastAsia" w:asciiTheme="majorEastAsia" w:hAnsiTheme="majorEastAsia" w:eastAsiaTheme="majorEastAsia" w:cstheme="majorEastAsia"/>
                <w:szCs w:val="21"/>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20870495">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投标有效期：自投标截止之日起</w:t>
            </w:r>
            <w:r>
              <w:rPr>
                <w:rFonts w:hint="eastAsia" w:asciiTheme="majorEastAsia" w:hAnsiTheme="majorEastAsia" w:eastAsiaTheme="majorEastAsia" w:cstheme="majorEastAsia"/>
                <w:szCs w:val="21"/>
                <w:u w:val="single"/>
              </w:rPr>
              <w:t>120</w:t>
            </w:r>
            <w:r>
              <w:rPr>
                <w:rFonts w:hint="eastAsia" w:asciiTheme="majorEastAsia" w:hAnsiTheme="majorEastAsia" w:eastAsiaTheme="majorEastAsia" w:cstheme="majorEastAsia"/>
                <w:szCs w:val="21"/>
              </w:rPr>
              <w:t>日。</w:t>
            </w:r>
          </w:p>
        </w:tc>
      </w:tr>
      <w:tr w14:paraId="7FBB2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4CBD3E2">
            <w:pPr>
              <w:spacing w:line="360" w:lineRule="auto"/>
              <w:jc w:val="center"/>
              <w:rPr>
                <w:rFonts w:asciiTheme="majorEastAsia" w:hAnsiTheme="majorEastAsia" w:eastAsiaTheme="majorEastAsia" w:cstheme="majorEastAsia"/>
                <w:szCs w:val="21"/>
              </w:rPr>
            </w:pPr>
            <w:bookmarkStart w:id="67" w:name="_18"/>
            <w:bookmarkEnd w:id="67"/>
            <w:r>
              <w:rPr>
                <w:rFonts w:hint="eastAsia" w:asciiTheme="majorEastAsia" w:hAnsiTheme="majorEastAsia" w:eastAsiaTheme="majorEastAsia" w:cstheme="majorEastAsia"/>
                <w:szCs w:val="21"/>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14FC7113">
            <w:pPr>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szCs w:val="21"/>
              </w:rPr>
              <w:t>本项目不收取投标保证金。</w:t>
            </w:r>
          </w:p>
        </w:tc>
      </w:tr>
      <w:tr w14:paraId="603BC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F061655">
            <w:pPr>
              <w:spacing w:line="360" w:lineRule="auto"/>
              <w:jc w:val="center"/>
              <w:rPr>
                <w:rFonts w:asciiTheme="majorEastAsia" w:hAnsiTheme="majorEastAsia" w:eastAsiaTheme="majorEastAsia" w:cstheme="majorEastAsia"/>
                <w:szCs w:val="21"/>
              </w:rPr>
            </w:pPr>
            <w:bookmarkStart w:id="68" w:name="_19.2"/>
            <w:bookmarkEnd w:id="68"/>
            <w:r>
              <w:rPr>
                <w:rFonts w:hint="eastAsia" w:asciiTheme="majorEastAsia" w:hAnsiTheme="majorEastAsia" w:eastAsiaTheme="majorEastAsia" w:cstheme="majorEastAsia"/>
                <w:szCs w:val="21"/>
              </w:rPr>
              <w:t>20</w:t>
            </w:r>
          </w:p>
        </w:tc>
        <w:tc>
          <w:tcPr>
            <w:tcW w:w="8670" w:type="dxa"/>
            <w:tcBorders>
              <w:top w:val="single" w:color="auto" w:sz="4" w:space="0"/>
              <w:left w:val="single" w:color="auto" w:sz="4" w:space="0"/>
              <w:bottom w:val="single" w:color="auto" w:sz="4" w:space="0"/>
              <w:right w:val="single" w:color="auto" w:sz="4" w:space="0"/>
            </w:tcBorders>
            <w:vAlign w:val="center"/>
          </w:tcPr>
          <w:p w14:paraId="7A62C2C9">
            <w:pPr>
              <w:autoSpaceDE w:val="0"/>
              <w:autoSpaceDN w:val="0"/>
              <w:adjustRightIn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☑本项目不接受</w:t>
            </w:r>
            <w:r>
              <w:rPr>
                <w:rFonts w:hint="eastAsia" w:asciiTheme="majorEastAsia" w:hAnsiTheme="majorEastAsia" w:eastAsiaTheme="majorEastAsia" w:cstheme="majorEastAsia"/>
              </w:rPr>
              <w:t>电子</w:t>
            </w:r>
            <w:r>
              <w:rPr>
                <w:rFonts w:hint="eastAsia" w:asciiTheme="majorEastAsia" w:hAnsiTheme="majorEastAsia" w:eastAsiaTheme="majorEastAsia" w:cstheme="majorEastAsia"/>
                <w:szCs w:val="21"/>
              </w:rPr>
              <w:t>备份投标文件；</w:t>
            </w:r>
          </w:p>
          <w:p w14:paraId="5EC936D0">
            <w:pPr>
              <w:autoSpaceDE w:val="0"/>
              <w:autoSpaceDN w:val="0"/>
              <w:adjustRightInd w:val="0"/>
              <w:spacing w:line="360" w:lineRule="auto"/>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rPr>
              <w:t>本项目接受电子备份投标文件。</w:t>
            </w:r>
          </w:p>
          <w:p w14:paraId="2FE94580">
            <w:pPr>
              <w:autoSpaceDE w:val="0"/>
              <w:autoSpaceDN w:val="0"/>
              <w:adjustRightInd w:val="0"/>
              <w:spacing w:line="360" w:lineRule="auto"/>
              <w:ind w:firstLine="420" w:firstLineChars="200"/>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rPr>
              <w:t>电子</w:t>
            </w:r>
            <w:r>
              <w:rPr>
                <w:rFonts w:hint="eastAsia" w:asciiTheme="majorEastAsia" w:hAnsiTheme="majorEastAsia" w:eastAsiaTheme="majorEastAsia" w:cstheme="majorEastAsia"/>
                <w:szCs w:val="21"/>
              </w:rPr>
              <w:t>备份投标文件</w:t>
            </w:r>
            <w:r>
              <w:rPr>
                <w:rFonts w:hint="eastAsia" w:asciiTheme="majorEastAsia" w:hAnsiTheme="majorEastAsia" w:eastAsiaTheme="majorEastAsia" w:cstheme="majorEastAsia"/>
              </w:rPr>
              <w:t>提交方式：投标人可以在投标截止时间前采用以下种方式向采购代理机构提交电子备份投标文件：</w:t>
            </w:r>
          </w:p>
          <w:p w14:paraId="79E09938">
            <w:pPr>
              <w:autoSpaceDE w:val="0"/>
              <w:autoSpaceDN w:val="0"/>
              <w:adjustRightInd w:val="0"/>
              <w:spacing w:line="360" w:lineRule="auto"/>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rPr>
              <w:t>（1）现场提交方式，应采用U盘进行存储，提交地址：；提交截止时间：；外包装上注明投标人名称、项目名称及项目编号（外包装不作密封要求）。</w:t>
            </w:r>
          </w:p>
          <w:p w14:paraId="60CFECEC">
            <w:pPr>
              <w:autoSpaceDE w:val="0"/>
              <w:autoSpaceDN w:val="0"/>
              <w:adjustRightInd w:val="0"/>
              <w:spacing w:line="360" w:lineRule="auto"/>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rPr>
              <w:t>（2）电子邮件方式，接收电子备份投标文件的电子邮箱为：。</w:t>
            </w:r>
          </w:p>
          <w:p w14:paraId="3EA0768A">
            <w:pPr>
              <w:pStyle w:val="17"/>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（3）邮寄方式，应采用U盘进行存储，邮寄地址：，截止接收时间：，</w:t>
            </w:r>
          </w:p>
          <w:p w14:paraId="2911F9DE">
            <w:pPr>
              <w:autoSpaceDE w:val="0"/>
              <w:autoSpaceDN w:val="0"/>
              <w:adjustRightInd w:val="0"/>
              <w:spacing w:line="360" w:lineRule="auto"/>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rPr>
              <w:t xml:space="preserve">收件人：，联系方式：；外包装上注明投标人名称、项目名称及项目编号（外包装不作密封要求）。 </w:t>
            </w:r>
          </w:p>
          <w:p w14:paraId="48144F16">
            <w:pPr>
              <w:autoSpaceDE w:val="0"/>
              <w:autoSpaceDN w:val="0"/>
              <w:snapToGrid w:val="0"/>
              <w:spacing w:line="360" w:lineRule="auto"/>
              <w:ind w:firstLine="420" w:firstLineChars="200"/>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Theme="majorEastAsia" w:hAnsiTheme="majorEastAsia" w:eastAsiaTheme="majorEastAsia" w:cstheme="majorEastAsia"/>
                <w:b/>
              </w:rPr>
              <w:t>投标人的投标文件作无效处理</w:t>
            </w:r>
            <w:r>
              <w:rPr>
                <w:rFonts w:hint="eastAsia" w:asciiTheme="majorEastAsia" w:hAnsiTheme="majorEastAsia" w:eastAsiaTheme="majorEastAsia" w:cstheme="majorEastAsia"/>
              </w:rPr>
              <w:t>。</w:t>
            </w:r>
          </w:p>
        </w:tc>
      </w:tr>
      <w:tr w14:paraId="0B09E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1D6DA465">
            <w:pPr>
              <w:spacing w:line="360" w:lineRule="auto"/>
              <w:jc w:val="center"/>
              <w:rPr>
                <w:rFonts w:asciiTheme="majorEastAsia" w:hAnsiTheme="majorEastAsia" w:eastAsiaTheme="majorEastAsia" w:cstheme="majorEastAsia"/>
                <w:szCs w:val="21"/>
              </w:rPr>
            </w:pPr>
            <w:bookmarkStart w:id="69" w:name="_21.1"/>
            <w:bookmarkEnd w:id="69"/>
            <w:r>
              <w:rPr>
                <w:rFonts w:hint="eastAsia" w:asciiTheme="majorEastAsia" w:hAnsiTheme="majorEastAsia" w:eastAsiaTheme="majorEastAsia" w:cstheme="majorEastAsia"/>
                <w:szCs w:val="21"/>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6D4EBB6F">
            <w:pPr>
              <w:snapToGrid w:val="0"/>
              <w:spacing w:line="360" w:lineRule="auto"/>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1.提交投标文件截止时间：详见招标公告</w:t>
            </w:r>
          </w:p>
          <w:p w14:paraId="17D80A95">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2.投标地点：详见招标公告</w:t>
            </w:r>
          </w:p>
        </w:tc>
      </w:tr>
      <w:tr w14:paraId="22142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620C4AB">
            <w:pPr>
              <w:spacing w:line="360" w:lineRule="auto"/>
              <w:jc w:val="center"/>
              <w:rPr>
                <w:rFonts w:asciiTheme="majorEastAsia" w:hAnsiTheme="majorEastAsia" w:eastAsiaTheme="majorEastAsia" w:cstheme="majorEastAsia"/>
                <w:szCs w:val="21"/>
              </w:rPr>
            </w:pPr>
            <w:bookmarkStart w:id="70" w:name="_23"/>
            <w:bookmarkEnd w:id="70"/>
            <w:r>
              <w:rPr>
                <w:rFonts w:hint="eastAsia" w:asciiTheme="majorEastAsia" w:hAnsiTheme="majorEastAsia" w:eastAsiaTheme="majorEastAsia" w:cstheme="majorEastAsia"/>
                <w:szCs w:val="21"/>
              </w:rPr>
              <w:t>23</w:t>
            </w:r>
          </w:p>
        </w:tc>
        <w:tc>
          <w:tcPr>
            <w:tcW w:w="8670" w:type="dxa"/>
            <w:tcBorders>
              <w:top w:val="single" w:color="auto" w:sz="4" w:space="0"/>
              <w:left w:val="single" w:color="auto" w:sz="4" w:space="0"/>
              <w:bottom w:val="single" w:color="auto" w:sz="4" w:space="0"/>
              <w:right w:val="single" w:color="auto" w:sz="4" w:space="0"/>
            </w:tcBorders>
            <w:vAlign w:val="center"/>
          </w:tcPr>
          <w:p w14:paraId="76973507">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1.开标时间：详见招标公告</w:t>
            </w:r>
          </w:p>
          <w:p w14:paraId="5B993F59">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2.开标地点：详见招标公告</w:t>
            </w:r>
          </w:p>
        </w:tc>
      </w:tr>
      <w:tr w14:paraId="4F3AD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58D0A40">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6417255C">
            <w:pPr>
              <w:snapToGrid w:val="0"/>
              <w:spacing w:line="360" w:lineRule="auto"/>
              <w:rPr>
                <w:rFonts w:asciiTheme="majorEastAsia" w:hAnsiTheme="majorEastAsia" w:eastAsiaTheme="majorEastAsia" w:cstheme="majorEastAsia"/>
                <w:u w:val="single"/>
              </w:rPr>
            </w:pPr>
            <w:r>
              <w:rPr>
                <w:rFonts w:hint="eastAsia" w:asciiTheme="majorEastAsia" w:hAnsiTheme="majorEastAsia" w:eastAsiaTheme="majorEastAsia" w:cstheme="majorEastAsia"/>
              </w:rPr>
              <w:t>电子投标文件解密时间：</w:t>
            </w:r>
            <w:r>
              <w:rPr>
                <w:rFonts w:hint="eastAsia" w:asciiTheme="majorEastAsia" w:hAnsiTheme="majorEastAsia" w:eastAsiaTheme="majorEastAsia" w:cstheme="majorEastAsia"/>
                <w:u w:val="single"/>
              </w:rPr>
              <w:t xml:space="preserve">30 </w:t>
            </w:r>
            <w:r>
              <w:rPr>
                <w:rFonts w:hint="eastAsia" w:asciiTheme="majorEastAsia" w:hAnsiTheme="majorEastAsia" w:eastAsiaTheme="majorEastAsia" w:cstheme="majorEastAsia"/>
              </w:rPr>
              <w:t>分钟</w:t>
            </w:r>
          </w:p>
        </w:tc>
      </w:tr>
      <w:tr w14:paraId="11CCF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EC8C1E4">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3BB24C56">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rPr>
              <w:t>宣布的内容：投标人名称、投标价格</w:t>
            </w:r>
          </w:p>
        </w:tc>
      </w:tr>
      <w:tr w14:paraId="1BD49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96DA7A6">
            <w:pPr>
              <w:spacing w:line="360" w:lineRule="auto"/>
              <w:jc w:val="center"/>
              <w:rPr>
                <w:rFonts w:asciiTheme="majorEastAsia" w:hAnsiTheme="majorEastAsia" w:eastAsiaTheme="majorEastAsia" w:cstheme="majorEastAsia"/>
                <w:szCs w:val="21"/>
              </w:rPr>
            </w:pPr>
            <w:bookmarkStart w:id="71" w:name="_25.3"/>
            <w:bookmarkEnd w:id="71"/>
            <w:r>
              <w:rPr>
                <w:rFonts w:hint="eastAsia" w:asciiTheme="majorEastAsia" w:hAnsiTheme="majorEastAsia" w:eastAsiaTheme="majorEastAsia" w:cstheme="majorEastAsia"/>
                <w:szCs w:val="21"/>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440E0C74">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采购人或者采购代理机构在资格审查结束前，对投标人进行信用查询。</w:t>
            </w:r>
          </w:p>
          <w:p w14:paraId="13B2104B">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查询渠道：“信用中国”网站（www.creditchina.gov.cn）、中国政府采购网（www.ccgp.gov.cn）。</w:t>
            </w:r>
          </w:p>
          <w:p w14:paraId="402A32CC">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信用查询截止时点：资格审查结束前</w:t>
            </w:r>
          </w:p>
          <w:p w14:paraId="0CACBF12">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查询记录和证据留存方式：在查询网站中直接截图查询记录，截图作为在广西政府采购云平台（https://www.gcy.zfcg.gxzf.gov.cn/）作为附件上传保存。</w:t>
            </w:r>
          </w:p>
          <w:p w14:paraId="0A8518C5">
            <w:pPr>
              <w:snapToGrid w:val="0"/>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asciiTheme="majorEastAsia" w:hAnsiTheme="majorEastAsia" w:eastAsiaTheme="majorEastAsia" w:cstheme="majorEastAsia"/>
                <w:sz w:val="22"/>
                <w:szCs w:val="22"/>
              </w:rPr>
              <w:t>应当拒绝其参与政府采购活动</w:t>
            </w:r>
            <w:r>
              <w:rPr>
                <w:rFonts w:hint="eastAsia" w:asciiTheme="majorEastAsia" w:hAnsiTheme="majorEastAsia" w:eastAsiaTheme="majorEastAsia" w:cstheme="majorEastAsia"/>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1214E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F232C83">
            <w:pPr>
              <w:spacing w:line="360" w:lineRule="auto"/>
              <w:jc w:val="center"/>
              <w:rPr>
                <w:rFonts w:asciiTheme="majorEastAsia" w:hAnsiTheme="majorEastAsia" w:eastAsiaTheme="majorEastAsia" w:cstheme="majorEastAsia"/>
                <w:szCs w:val="21"/>
              </w:rPr>
            </w:pPr>
            <w:bookmarkStart w:id="72" w:name="_26"/>
            <w:bookmarkEnd w:id="72"/>
            <w:r>
              <w:rPr>
                <w:rFonts w:hint="eastAsia" w:asciiTheme="majorEastAsia" w:hAnsiTheme="majorEastAsia" w:eastAsiaTheme="majorEastAsia" w:cstheme="majorEastAsia"/>
                <w:szCs w:val="21"/>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02880BD2">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评标委员会的人数：</w:t>
            </w:r>
            <w:r>
              <w:rPr>
                <w:rFonts w:hint="eastAsia" w:asciiTheme="majorEastAsia" w:hAnsiTheme="majorEastAsia" w:eastAsiaTheme="majorEastAsia" w:cstheme="majorEastAsia"/>
                <w:szCs w:val="21"/>
                <w:u w:val="single"/>
              </w:rPr>
              <w:t>5</w:t>
            </w:r>
            <w:r>
              <w:rPr>
                <w:rFonts w:hint="eastAsia" w:asciiTheme="majorEastAsia" w:hAnsiTheme="majorEastAsia" w:eastAsiaTheme="majorEastAsia" w:cstheme="majorEastAsia"/>
                <w:szCs w:val="21"/>
              </w:rPr>
              <w:t>人</w:t>
            </w:r>
          </w:p>
        </w:tc>
      </w:tr>
      <w:tr w14:paraId="21D8B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CC9C321">
            <w:pPr>
              <w:spacing w:line="360" w:lineRule="auto"/>
              <w:jc w:val="center"/>
              <w:rPr>
                <w:rFonts w:asciiTheme="majorEastAsia" w:hAnsiTheme="majorEastAsia" w:eastAsiaTheme="majorEastAsia" w:cstheme="majorEastAsia"/>
                <w:szCs w:val="21"/>
              </w:rPr>
            </w:pPr>
            <w:bookmarkStart w:id="73" w:name="_28.3"/>
            <w:bookmarkEnd w:id="73"/>
            <w:r>
              <w:rPr>
                <w:rFonts w:hint="eastAsia" w:asciiTheme="majorEastAsia" w:hAnsiTheme="majorEastAsia" w:eastAsiaTheme="majorEastAsia" w:cstheme="majorEastAsia"/>
                <w:szCs w:val="21"/>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4130675D">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评标方法：</w:t>
            </w:r>
          </w:p>
          <w:p w14:paraId="0A8FFCBD">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☑综合评分法</w:t>
            </w:r>
          </w:p>
          <w:p w14:paraId="7F08E93A">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□最低评标价法</w:t>
            </w:r>
          </w:p>
        </w:tc>
      </w:tr>
      <w:tr w14:paraId="2B34C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48F51D2">
            <w:pPr>
              <w:spacing w:line="360" w:lineRule="auto"/>
              <w:jc w:val="center"/>
              <w:rPr>
                <w:rFonts w:asciiTheme="majorEastAsia" w:hAnsiTheme="majorEastAsia" w:eastAsiaTheme="majorEastAsia" w:cstheme="majorEastAsia"/>
                <w:szCs w:val="21"/>
              </w:rPr>
            </w:pPr>
            <w:bookmarkStart w:id="74" w:name="_29.2.2（2）"/>
            <w:bookmarkEnd w:id="74"/>
            <w:r>
              <w:rPr>
                <w:rFonts w:hint="eastAsia" w:asciiTheme="majorEastAsia" w:hAnsiTheme="majorEastAsia" w:eastAsiaTheme="majorEastAsia" w:cstheme="majorEastAsia"/>
                <w:szCs w:val="21"/>
              </w:rPr>
              <w:t>29.2</w:t>
            </w:r>
          </w:p>
        </w:tc>
        <w:tc>
          <w:tcPr>
            <w:tcW w:w="8670" w:type="dxa"/>
            <w:tcBorders>
              <w:top w:val="single" w:color="auto" w:sz="4" w:space="0"/>
              <w:left w:val="single" w:color="auto" w:sz="4" w:space="0"/>
              <w:right w:val="single" w:color="auto" w:sz="4" w:space="0"/>
            </w:tcBorders>
            <w:vAlign w:val="center"/>
          </w:tcPr>
          <w:p w14:paraId="4E62EF6F">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商务要求评审中允许负偏离的条款数为</w:t>
            </w:r>
            <w:r>
              <w:rPr>
                <w:rFonts w:hint="eastAsia" w:asciiTheme="majorEastAsia" w:hAnsiTheme="majorEastAsia" w:eastAsiaTheme="majorEastAsia" w:cstheme="majorEastAsia"/>
                <w:szCs w:val="21"/>
                <w:u w:val="single"/>
              </w:rPr>
              <w:t>0</w:t>
            </w:r>
            <w:r>
              <w:rPr>
                <w:rFonts w:hint="eastAsia" w:asciiTheme="majorEastAsia" w:hAnsiTheme="majorEastAsia" w:eastAsiaTheme="majorEastAsia" w:cstheme="majorEastAsia"/>
                <w:szCs w:val="21"/>
              </w:rPr>
              <w:t>项。</w:t>
            </w:r>
          </w:p>
          <w:p w14:paraId="117454FD">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1、2分标技术要求评审中允许负偏离的条款数为</w:t>
            </w:r>
            <w:r>
              <w:rPr>
                <w:rFonts w:hint="eastAsia" w:asciiTheme="majorEastAsia" w:hAnsiTheme="majorEastAsia" w:eastAsiaTheme="majorEastAsia" w:cstheme="majorEastAsia"/>
                <w:szCs w:val="21"/>
                <w:u w:val="single"/>
              </w:rPr>
              <w:t xml:space="preserve"> 2 </w:t>
            </w:r>
            <w:r>
              <w:rPr>
                <w:rFonts w:hint="eastAsia" w:asciiTheme="majorEastAsia" w:hAnsiTheme="majorEastAsia" w:eastAsiaTheme="majorEastAsia" w:cstheme="majorEastAsia"/>
                <w:szCs w:val="21"/>
              </w:rPr>
              <w:t>项。</w:t>
            </w:r>
          </w:p>
        </w:tc>
      </w:tr>
      <w:tr w14:paraId="5FE1C8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16084F5B">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29.3</w:t>
            </w:r>
          </w:p>
        </w:tc>
        <w:tc>
          <w:tcPr>
            <w:tcW w:w="8670" w:type="dxa"/>
            <w:tcBorders>
              <w:top w:val="single" w:color="auto" w:sz="4" w:space="0"/>
              <w:left w:val="single" w:color="auto" w:sz="4" w:space="0"/>
              <w:right w:val="single" w:color="auto" w:sz="4" w:space="0"/>
            </w:tcBorders>
            <w:vAlign w:val="center"/>
          </w:tcPr>
          <w:p w14:paraId="66D04967">
            <w:pPr>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中标候选人推荐数量：</w:t>
            </w:r>
          </w:p>
          <w:p w14:paraId="4AA3CE88">
            <w:pPr>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u w:val="single"/>
              </w:rPr>
              <w:t xml:space="preserve"> 3</w:t>
            </w:r>
            <w:r>
              <w:rPr>
                <w:rFonts w:hint="eastAsia" w:asciiTheme="majorEastAsia" w:hAnsiTheme="majorEastAsia" w:eastAsiaTheme="majorEastAsia" w:cstheme="majorEastAsia"/>
              </w:rPr>
              <w:t>名</w:t>
            </w:r>
          </w:p>
          <w:p w14:paraId="13E47602">
            <w:pPr>
              <w:snapToGrid w:val="0"/>
              <w:spacing w:line="360" w:lineRule="auto"/>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rPr>
              <w:t>根据[总得分由高到低（综合评分法）/评标报价从低到高（最低评标价法）]排列次序并全部推荐为中标候选人</w:t>
            </w:r>
          </w:p>
        </w:tc>
      </w:tr>
      <w:tr w14:paraId="259A8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F630E51">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4EC13111">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采用综合评分法的采购项目，</w:t>
            </w:r>
            <w:r>
              <w:rPr>
                <w:rFonts w:hint="eastAsia" w:asciiTheme="majorEastAsia" w:hAnsiTheme="majorEastAsia" w:eastAsiaTheme="majorEastAsia" w:cstheme="majorEastAsia"/>
                <w:szCs w:val="21"/>
              </w:rPr>
              <w:t>采购人确定中标人时，出现中标候选人并列的情形，采购人按以下的方式确定中标人：</w:t>
            </w:r>
          </w:p>
          <w:p w14:paraId="2CFED78A">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☑依次按投标报价低的优先、政策分得分高的优先、技术评分高的优先、商务评分高的优先、质保期长优先、交货期短优先、故障响应时间短优先的顺序确定；</w:t>
            </w:r>
          </w:p>
          <w:p w14:paraId="311CB53F">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□随机抽取；</w:t>
            </w:r>
          </w:p>
        </w:tc>
      </w:tr>
      <w:tr w14:paraId="7470F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3D132F92">
            <w:pPr>
              <w:spacing w:line="360" w:lineRule="auto"/>
              <w:jc w:val="center"/>
              <w:rPr>
                <w:rFonts w:asciiTheme="majorEastAsia" w:hAnsiTheme="majorEastAsia" w:eastAsiaTheme="majorEastAsia" w:cstheme="majorEastAsia"/>
                <w:szCs w:val="21"/>
              </w:rPr>
            </w:pPr>
            <w:bookmarkStart w:id="75" w:name="_39.1"/>
            <w:bookmarkEnd w:id="75"/>
            <w:r>
              <w:rPr>
                <w:rFonts w:hint="eastAsia" w:asciiTheme="majorEastAsia" w:hAnsiTheme="majorEastAsia" w:eastAsiaTheme="majorEastAsia" w:cstheme="majorEastAsia"/>
                <w:szCs w:val="21"/>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43DD6344">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☑本项目不收取履约保证金。</w:t>
            </w:r>
          </w:p>
          <w:p w14:paraId="17260200">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□本项目收取履约保证金，具体规定如下：</w:t>
            </w:r>
          </w:p>
          <w:p w14:paraId="013A0600">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1、由中标人的投标保证金自动转成。如中标人为小微型企业的，免于收取履约保证金。</w:t>
            </w:r>
          </w:p>
          <w:p w14:paraId="6837D7B0">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2、自项目验收合格之日起5个工作日内，中标人按 “政府采购项目履约保证金退付意见书”的要求至采购代理机构办理退还履约保证金手续。采购人或采购代理机构将在收到退还履约保证金申请后5个工作日内无息原额退还，因采购人或采购代理机构原因导致无法及时退还时，每逾期退还一天按履约保证金万分之一支付违约金给中标人，但因中标人自身原因导致无法及时退还的除外。</w:t>
            </w:r>
          </w:p>
          <w:p w14:paraId="26AF9E25">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履约保证金作为违约金的一部分及用于补偿。采购人因中标人不能完成其合同义务而蒙受的损失。如中标人不按双方签订的合同规定履约，则对其全部履约保证金不予退还，履约保证金不足以赔偿损失的，按实际损失赔偿。</w:t>
            </w:r>
          </w:p>
          <w:p w14:paraId="1C1898DD">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4、在履约保证金到期退还日期前，若中标人的开户名称、开户银行、账号有变动的，请以书面形式通知采购人或采购代理机构，否则由此产生的后果由中标人自负。</w:t>
            </w:r>
          </w:p>
          <w:p w14:paraId="3E261B43">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p w14:paraId="7C5FD951">
            <w:pPr>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 xml:space="preserve">1. </w:t>
            </w:r>
            <w:bookmarkStart w:id="76" w:name="_Hlk54170335"/>
            <w:r>
              <w:rPr>
                <w:rFonts w:hint="eastAsia" w:asciiTheme="majorEastAsia" w:hAnsiTheme="majorEastAsia" w:eastAsiaTheme="majorEastAsia" w:cstheme="majorEastAsia"/>
                <w:b/>
                <w:szCs w:val="21"/>
              </w:rPr>
              <w:t>根据《广西壮族自治区财政厅关于贯彻落实政府采购优化营商环境百日攻坚行动方案的通知》（桂财采〔2020〕49号）的规定，鼓励采购人在与中小微企业签订政府采购合同时，减少或免于收取履约保证金，有必要收取履约保证金的，</w:t>
            </w:r>
            <w:bookmarkEnd w:id="76"/>
            <w:r>
              <w:rPr>
                <w:rFonts w:hint="eastAsia" w:asciiTheme="majorEastAsia" w:hAnsiTheme="majorEastAsia" w:eastAsiaTheme="majorEastAsia" w:cstheme="majorEastAsia"/>
                <w:b/>
                <w:szCs w:val="21"/>
              </w:rPr>
              <w:t>履约保证金数额不得超过政府采购合同金额的5%，对中小企业收取的履约保证金数额不得超过政府采购合同金额的2%。</w:t>
            </w:r>
          </w:p>
          <w:p w14:paraId="125A0018">
            <w:pPr>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5600BA2">
            <w:pPr>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3.采用银行、保险机构出具的保函的，必须为无条件保函，否则不予签订合同。</w:t>
            </w:r>
          </w:p>
          <w:p w14:paraId="24375392">
            <w:pPr>
              <w:spacing w:line="360" w:lineRule="auto"/>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b/>
                <w:szCs w:val="21"/>
              </w:rPr>
              <w:t>4.投标人为联合体的，由联合体其中一方按规定提交的履约保证金，视为有效履约保证金。</w:t>
            </w:r>
          </w:p>
        </w:tc>
      </w:tr>
      <w:tr w14:paraId="3000F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27D32BD">
            <w:pPr>
              <w:spacing w:line="360" w:lineRule="auto"/>
              <w:jc w:val="center"/>
              <w:rPr>
                <w:rFonts w:asciiTheme="majorEastAsia" w:hAnsiTheme="majorEastAsia" w:eastAsiaTheme="majorEastAsia" w:cstheme="majorEastAsia"/>
                <w:szCs w:val="21"/>
              </w:rPr>
            </w:pPr>
            <w:bookmarkStart w:id="77" w:name="_40.1"/>
            <w:bookmarkEnd w:id="77"/>
            <w:r>
              <w:rPr>
                <w:rFonts w:hint="eastAsia" w:asciiTheme="majorEastAsia" w:hAnsiTheme="majorEastAsia" w:eastAsiaTheme="majorEastAsia" w:cstheme="majorEastAsia"/>
                <w:szCs w:val="21"/>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6AD9E27A">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签订合同携带的证明材料： </w:t>
            </w:r>
          </w:p>
          <w:p w14:paraId="39961FD0">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委托代理人负责签订合同的，须携带授权委托书及委托代理人身份证原件等其他资格证件。</w:t>
            </w:r>
          </w:p>
          <w:p w14:paraId="0E3B71A5">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法定代表人负责签订合同的，须携带法定代表人身份证明原件及身份证原件等其他证明材料。</w:t>
            </w:r>
          </w:p>
        </w:tc>
      </w:tr>
      <w:tr w14:paraId="541C7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F032120">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1608A8E2">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接收质疑函方式：以书面形式</w:t>
            </w:r>
          </w:p>
          <w:p w14:paraId="6E202CAD">
            <w:pPr>
              <w:pStyle w:val="25"/>
              <w:keepNext/>
              <w:wordWrap w:val="0"/>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质疑联系部门：</w:t>
            </w:r>
            <w:r>
              <w:rPr>
                <w:rFonts w:hint="eastAsia" w:asciiTheme="majorEastAsia" w:hAnsiTheme="majorEastAsia" w:eastAsiaTheme="majorEastAsia" w:cstheme="majorEastAsia"/>
                <w:sz w:val="21"/>
                <w:lang w:eastAsia="zh-CN"/>
              </w:rPr>
              <w:t>广西华盛工程咨询有限公司</w:t>
            </w:r>
            <w:r>
              <w:rPr>
                <w:rFonts w:hint="eastAsia" w:asciiTheme="majorEastAsia" w:hAnsiTheme="majorEastAsia" w:eastAsiaTheme="majorEastAsia" w:cstheme="majorEastAsia"/>
                <w:sz w:val="21"/>
              </w:rPr>
              <w:t>岑溪分公司</w:t>
            </w:r>
          </w:p>
          <w:p w14:paraId="519C0711">
            <w:pPr>
              <w:pStyle w:val="25"/>
              <w:keepNext/>
              <w:wordWrap w:val="0"/>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联系电话：</w:t>
            </w:r>
            <w:r>
              <w:rPr>
                <w:rFonts w:hint="eastAsia" w:asciiTheme="majorEastAsia" w:hAnsiTheme="majorEastAsia" w:eastAsiaTheme="majorEastAsia" w:cstheme="majorEastAsia"/>
                <w:sz w:val="21"/>
                <w:lang w:eastAsia="zh-CN"/>
              </w:rPr>
              <w:t>0774-8235967</w:t>
            </w:r>
            <w:r>
              <w:rPr>
                <w:rFonts w:hint="eastAsia" w:asciiTheme="majorEastAsia" w:hAnsiTheme="majorEastAsia" w:eastAsiaTheme="majorEastAsia" w:cstheme="majorEastAsia"/>
                <w:sz w:val="21"/>
              </w:rPr>
              <w:t xml:space="preserve">             </w:t>
            </w:r>
          </w:p>
          <w:p w14:paraId="5AE7FA24">
            <w:pPr>
              <w:pStyle w:val="25"/>
              <w:keepNext/>
              <w:wordWrap w:val="0"/>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通讯地址：</w:t>
            </w:r>
            <w:r>
              <w:rPr>
                <w:rFonts w:hint="eastAsia" w:asciiTheme="majorEastAsia" w:hAnsiTheme="majorEastAsia" w:eastAsiaTheme="majorEastAsia" w:cstheme="majorEastAsia"/>
                <w:sz w:val="21"/>
                <w:lang w:eastAsia="zh-CN"/>
              </w:rPr>
              <w:t>广西华盛工程咨询有限公司</w:t>
            </w:r>
            <w:r>
              <w:rPr>
                <w:rFonts w:hint="eastAsia" w:asciiTheme="majorEastAsia" w:hAnsiTheme="majorEastAsia" w:eastAsiaTheme="majorEastAsia" w:cstheme="majorEastAsia"/>
                <w:sz w:val="21"/>
              </w:rPr>
              <w:t>（</w:t>
            </w:r>
            <w:r>
              <w:rPr>
                <w:rFonts w:hint="eastAsia" w:asciiTheme="majorEastAsia" w:hAnsiTheme="majorEastAsia" w:eastAsiaTheme="majorEastAsia" w:cstheme="majorEastAsia"/>
                <w:sz w:val="21"/>
                <w:lang w:eastAsia="zh-CN"/>
              </w:rPr>
              <w:t>岑溪市明都新城永安街163号三楼</w:t>
            </w:r>
            <w:r>
              <w:rPr>
                <w:rFonts w:hint="eastAsia" w:asciiTheme="majorEastAsia" w:hAnsiTheme="majorEastAsia" w:eastAsiaTheme="majorEastAsia" w:cstheme="majorEastAsia"/>
                <w:sz w:val="21"/>
              </w:rPr>
              <w:t xml:space="preserve">） </w:t>
            </w:r>
          </w:p>
          <w:p w14:paraId="7BDA71A6">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业务时间：工作日每天上午8时00分到12时00分，下午3时00分到6时00分。</w:t>
            </w:r>
          </w:p>
        </w:tc>
      </w:tr>
      <w:tr w14:paraId="361A7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A9A80C8">
            <w:pPr>
              <w:spacing w:line="360" w:lineRule="auto"/>
              <w:jc w:val="center"/>
              <w:rPr>
                <w:rFonts w:asciiTheme="majorEastAsia" w:hAnsiTheme="majorEastAsia" w:eastAsiaTheme="majorEastAsia" w:cstheme="majorEastAsia"/>
                <w:szCs w:val="21"/>
              </w:rPr>
            </w:pPr>
            <w:bookmarkStart w:id="78" w:name="_41"/>
            <w:bookmarkEnd w:id="78"/>
            <w:bookmarkStart w:id="79" w:name="_42"/>
            <w:bookmarkEnd w:id="79"/>
            <w:bookmarkStart w:id="80" w:name="_Hlt17709148"/>
            <w:r>
              <w:rPr>
                <w:rFonts w:hint="eastAsia" w:asciiTheme="majorEastAsia" w:hAnsiTheme="majorEastAsia" w:eastAsiaTheme="majorEastAsia" w:cstheme="majorEastAsia"/>
                <w:szCs w:val="21"/>
              </w:rPr>
              <w:t>3</w:t>
            </w:r>
            <w:bookmarkEnd w:id="80"/>
            <w:r>
              <w:rPr>
                <w:rFonts w:hint="eastAsia" w:asciiTheme="majorEastAsia" w:hAnsiTheme="majorEastAsia" w:eastAsiaTheme="majorEastAsia" w:cstheme="majorEastAsia"/>
                <w:szCs w:val="21"/>
              </w:rPr>
              <w:t>9.1</w:t>
            </w:r>
          </w:p>
        </w:tc>
        <w:tc>
          <w:tcPr>
            <w:tcW w:w="8670" w:type="dxa"/>
            <w:tcBorders>
              <w:top w:val="single" w:color="auto" w:sz="4" w:space="0"/>
              <w:left w:val="single" w:color="auto" w:sz="4" w:space="0"/>
              <w:bottom w:val="single" w:color="auto" w:sz="4" w:space="0"/>
              <w:right w:val="single" w:color="auto" w:sz="4" w:space="0"/>
            </w:tcBorders>
            <w:vAlign w:val="center"/>
          </w:tcPr>
          <w:p w14:paraId="4F49EAD3">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1.采购代理费支付方式：</w:t>
            </w:r>
          </w:p>
          <w:p w14:paraId="3C8F9BF2">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☑本项目代理服务费由</w:t>
            </w:r>
            <w:r>
              <w:rPr>
                <w:rFonts w:hint="eastAsia" w:asciiTheme="majorEastAsia" w:hAnsiTheme="majorEastAsia" w:eastAsiaTheme="majorEastAsia" w:cstheme="majorEastAsia"/>
                <w:sz w:val="21"/>
                <w:u w:val="single"/>
              </w:rPr>
              <w:t>中标人</w:t>
            </w:r>
            <w:r>
              <w:rPr>
                <w:rFonts w:hint="eastAsia" w:asciiTheme="majorEastAsia" w:hAnsiTheme="majorEastAsia" w:eastAsiaTheme="majorEastAsia" w:cstheme="majorEastAsia"/>
                <w:sz w:val="21"/>
              </w:rPr>
              <w:t>一次性向采购代理机构支付。</w:t>
            </w:r>
          </w:p>
          <w:p w14:paraId="1D222773">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□采购人支付。</w:t>
            </w:r>
          </w:p>
          <w:p w14:paraId="13FF100B">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2.采购代理费收取标准：</w:t>
            </w:r>
          </w:p>
          <w:p w14:paraId="78452F12">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lang w:eastAsia="zh-CN"/>
              </w:rPr>
              <w:t>□</w:t>
            </w:r>
            <w:r>
              <w:rPr>
                <w:rFonts w:hint="eastAsia" w:asciiTheme="majorEastAsia" w:hAnsiTheme="majorEastAsia" w:eastAsiaTheme="majorEastAsia" w:cstheme="majorEastAsia"/>
                <w:sz w:val="21"/>
              </w:rPr>
              <w:t>以分标中标金额为计费额，按本须知正文第39.2条规定的收费计算标准货物招标采用差额定率累进法计算出收费基准价格，采购代理收费以收费基准价格收取。</w:t>
            </w:r>
          </w:p>
          <w:p w14:paraId="25EE913A">
            <w:pPr>
              <w:pStyle w:val="25"/>
              <w:keepNext/>
              <w:wordWrap w:val="0"/>
              <w:snapToGrid w:val="0"/>
              <w:spacing w:line="360" w:lineRule="auto"/>
              <w:rPr>
                <w:rFonts w:hint="eastAsia" w:asciiTheme="majorEastAsia" w:hAnsiTheme="majorEastAsia" w:eastAsiaTheme="majorEastAsia" w:cstheme="majorEastAsia"/>
                <w:sz w:val="21"/>
                <w:lang w:eastAsia="zh-CN"/>
              </w:rPr>
            </w:pPr>
            <w:r>
              <w:rPr>
                <w:rFonts w:hint="eastAsia" w:asciiTheme="majorEastAsia" w:hAnsiTheme="majorEastAsia" w:eastAsiaTheme="majorEastAsia" w:cstheme="majorEastAsia"/>
                <w:sz w:val="21"/>
                <w:lang w:eastAsia="zh-CN"/>
              </w:rPr>
              <w:t>☑</w:t>
            </w:r>
            <w:r>
              <w:rPr>
                <w:rFonts w:hint="eastAsia" w:asciiTheme="majorEastAsia" w:hAnsiTheme="majorEastAsia" w:eastAsiaTheme="majorEastAsia" w:cstheme="majorEastAsia"/>
                <w:sz w:val="21"/>
              </w:rPr>
              <w:t>固定招标代理服务费</w:t>
            </w:r>
            <w:r>
              <w:rPr>
                <w:rFonts w:hint="eastAsia" w:asciiTheme="majorEastAsia" w:hAnsiTheme="majorEastAsia" w:eastAsiaTheme="majorEastAsia" w:cstheme="majorEastAsia"/>
                <w:sz w:val="21"/>
                <w:lang w:eastAsia="zh-CN"/>
              </w:rPr>
              <w:t>，其中：</w:t>
            </w:r>
          </w:p>
          <w:p w14:paraId="206DFD43">
            <w:pPr>
              <w:pStyle w:val="25"/>
              <w:keepNext/>
              <w:wordWrap w:val="0"/>
              <w:snapToGrid w:val="0"/>
              <w:spacing w:line="360" w:lineRule="auto"/>
              <w:rPr>
                <w:rFonts w:hint="eastAsia" w:asciiTheme="majorEastAsia" w:hAnsiTheme="majorEastAsia" w:eastAsiaTheme="majorEastAsia" w:cstheme="majorEastAsia"/>
                <w:sz w:val="21"/>
                <w:lang w:eastAsia="zh-CN"/>
              </w:rPr>
            </w:pPr>
            <w:r>
              <w:rPr>
                <w:rFonts w:hint="eastAsia" w:asciiTheme="majorEastAsia" w:hAnsiTheme="majorEastAsia" w:eastAsiaTheme="majorEastAsia" w:cstheme="majorEastAsia"/>
                <w:sz w:val="21"/>
                <w:u w:val="single"/>
                <w:lang w:val="en-US" w:eastAsia="zh-CN"/>
              </w:rPr>
              <w:t xml:space="preserve"> 1 </w:t>
            </w:r>
            <w:r>
              <w:rPr>
                <w:rFonts w:hint="eastAsia" w:asciiTheme="majorEastAsia" w:hAnsiTheme="majorEastAsia" w:eastAsiaTheme="majorEastAsia" w:cstheme="majorEastAsia"/>
                <w:sz w:val="21"/>
                <w:lang w:val="en-US" w:eastAsia="zh-CN"/>
              </w:rPr>
              <w:t>分标</w:t>
            </w:r>
            <w:r>
              <w:rPr>
                <w:rFonts w:hint="eastAsia" w:asciiTheme="majorEastAsia" w:hAnsiTheme="majorEastAsia" w:eastAsiaTheme="majorEastAsia" w:cstheme="majorEastAsia"/>
                <w:sz w:val="21"/>
              </w:rPr>
              <w:t>招标代理服务费</w:t>
            </w:r>
            <w:r>
              <w:rPr>
                <w:rFonts w:hint="eastAsia" w:asciiTheme="majorEastAsia" w:hAnsiTheme="majorEastAsia" w:eastAsiaTheme="majorEastAsia" w:cstheme="majorEastAsia"/>
                <w:sz w:val="21"/>
                <w:u w:val="none"/>
                <w:lang w:eastAsia="zh-CN"/>
              </w:rPr>
              <w:t>：</w:t>
            </w:r>
            <w:r>
              <w:rPr>
                <w:rFonts w:hint="eastAsia" w:asciiTheme="majorEastAsia" w:hAnsiTheme="majorEastAsia" w:eastAsiaTheme="majorEastAsia" w:cstheme="majorEastAsia"/>
                <w:sz w:val="21"/>
                <w:u w:val="single"/>
                <w:lang w:val="en-US" w:eastAsia="zh-CN"/>
              </w:rPr>
              <w:t xml:space="preserve"> 叁万壹仟玖佰零贰元整</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u w:val="single"/>
                <w:lang w:val="en-US" w:eastAsia="zh-CN"/>
              </w:rPr>
              <w:t>31902.00</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u w:val="none"/>
                <w:lang w:eastAsia="zh-CN"/>
              </w:rPr>
              <w:t>；</w:t>
            </w:r>
          </w:p>
          <w:p w14:paraId="60CC0423">
            <w:pPr>
              <w:pStyle w:val="25"/>
              <w:keepNext/>
              <w:wordWrap w:val="0"/>
              <w:snapToGrid w:val="0"/>
              <w:spacing w:line="360" w:lineRule="auto"/>
              <w:rPr>
                <w:rFonts w:hint="eastAsia" w:asciiTheme="majorEastAsia" w:hAnsiTheme="majorEastAsia" w:eastAsiaTheme="majorEastAsia" w:cstheme="majorEastAsia"/>
                <w:sz w:val="21"/>
                <w:lang w:eastAsia="zh-CN"/>
              </w:rPr>
            </w:pPr>
            <w:r>
              <w:rPr>
                <w:rFonts w:hint="eastAsia" w:asciiTheme="majorEastAsia" w:hAnsiTheme="majorEastAsia" w:eastAsiaTheme="majorEastAsia" w:cstheme="majorEastAsia"/>
                <w:sz w:val="21"/>
                <w:u w:val="single"/>
                <w:lang w:val="en-US" w:eastAsia="zh-CN"/>
              </w:rPr>
              <w:t xml:space="preserve"> 2 </w:t>
            </w:r>
            <w:r>
              <w:rPr>
                <w:rFonts w:hint="eastAsia" w:asciiTheme="majorEastAsia" w:hAnsiTheme="majorEastAsia" w:eastAsiaTheme="majorEastAsia" w:cstheme="majorEastAsia"/>
                <w:sz w:val="21"/>
                <w:lang w:val="en-US" w:eastAsia="zh-CN"/>
              </w:rPr>
              <w:t>分标</w:t>
            </w:r>
            <w:r>
              <w:rPr>
                <w:rFonts w:hint="eastAsia" w:asciiTheme="majorEastAsia" w:hAnsiTheme="majorEastAsia" w:eastAsiaTheme="majorEastAsia" w:cstheme="majorEastAsia"/>
                <w:sz w:val="21"/>
              </w:rPr>
              <w:t>招标代理服务费</w:t>
            </w:r>
            <w:r>
              <w:rPr>
                <w:rFonts w:hint="eastAsia" w:asciiTheme="majorEastAsia" w:hAnsiTheme="majorEastAsia" w:eastAsiaTheme="majorEastAsia" w:cstheme="majorEastAsia"/>
                <w:sz w:val="21"/>
                <w:lang w:eastAsia="zh-CN"/>
              </w:rPr>
              <w:t>：</w:t>
            </w:r>
            <w:r>
              <w:rPr>
                <w:rFonts w:hint="eastAsia" w:asciiTheme="majorEastAsia" w:hAnsiTheme="majorEastAsia" w:eastAsiaTheme="majorEastAsia" w:cstheme="majorEastAsia"/>
                <w:sz w:val="21"/>
                <w:u w:val="single"/>
                <w:lang w:val="en-US" w:eastAsia="zh-CN"/>
              </w:rPr>
              <w:t xml:space="preserve"> 壹万伍仟玖佰壹拾柒元整</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u w:val="single"/>
                <w:lang w:val="en-US" w:eastAsia="zh-CN"/>
              </w:rPr>
              <w:t>15917</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u w:val="single"/>
                <w:lang w:val="en-US" w:eastAsia="zh-CN"/>
              </w:rPr>
              <w:t>00</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lang w:eastAsia="zh-CN"/>
              </w:rPr>
              <w:t>。</w:t>
            </w:r>
          </w:p>
          <w:p w14:paraId="3EF09736">
            <w:pPr>
              <w:pStyle w:val="25"/>
              <w:keepNext/>
              <w:wordWrap w:val="0"/>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3.</w:t>
            </w:r>
          </w:p>
          <w:p w14:paraId="4DDC3797">
            <w:pPr>
              <w:pStyle w:val="25"/>
              <w:snapToGrid w:val="0"/>
              <w:spacing w:line="360" w:lineRule="auto"/>
              <w:rPr>
                <w:rFonts w:hint="eastAsia" w:hAnsi="宋体" w:cs="宋体"/>
                <w:sz w:val="21"/>
              </w:rPr>
            </w:pPr>
            <w:r>
              <w:rPr>
                <w:rFonts w:hint="eastAsia" w:hAnsi="宋体" w:cs="宋体"/>
                <w:sz w:val="21"/>
              </w:rPr>
              <w:t xml:space="preserve">开户名称：广西华盛工程咨询有限公司岑溪分公司 </w:t>
            </w:r>
          </w:p>
          <w:p w14:paraId="7AC22891">
            <w:pPr>
              <w:pStyle w:val="25"/>
              <w:snapToGrid w:val="0"/>
              <w:spacing w:line="360" w:lineRule="auto"/>
              <w:rPr>
                <w:rFonts w:hint="eastAsia" w:hAnsi="宋体" w:cs="宋体"/>
                <w:sz w:val="21"/>
              </w:rPr>
            </w:pPr>
            <w:r>
              <w:rPr>
                <w:rFonts w:hint="eastAsia" w:hAnsi="宋体" w:cs="宋体"/>
                <w:sz w:val="21"/>
              </w:rPr>
              <w:t xml:space="preserve">开户银行：广西岑溪农村商业银行文化支行 </w:t>
            </w:r>
          </w:p>
          <w:p w14:paraId="637A12CB">
            <w:pPr>
              <w:pStyle w:val="25"/>
              <w:snapToGrid w:val="0"/>
              <w:spacing w:line="360" w:lineRule="auto"/>
              <w:rPr>
                <w:rFonts w:asciiTheme="majorEastAsia" w:hAnsiTheme="majorEastAsia" w:eastAsiaTheme="majorEastAsia" w:cstheme="majorEastAsia"/>
                <w:sz w:val="21"/>
              </w:rPr>
            </w:pPr>
            <w:r>
              <w:rPr>
                <w:rFonts w:hint="eastAsia" w:hAnsi="宋体" w:cs="宋体"/>
                <w:sz w:val="21"/>
              </w:rPr>
              <w:t>银行账号：4051 1201 0101 8294 20</w:t>
            </w:r>
          </w:p>
        </w:tc>
      </w:tr>
      <w:tr w14:paraId="6BF3F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1446596">
            <w:pPr>
              <w:snapToGrid w:val="0"/>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6B778A13">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9F2B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41C9A09">
            <w:pPr>
              <w:snapToGrid w:val="0"/>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31326AF6">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BDBDF4F">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2.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1E8A359F">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2C363C8A">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4.本招标文件中描述投标人的“签字”是指投标人的法定代表人或者委托代理人亲自在文件规定签字处亲笔写上个人的名字的行为，私章、签字章、印鉴、影印等其他形式均不能代替亲笔签字。</w:t>
            </w:r>
          </w:p>
          <w:p w14:paraId="482D3C6A">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bCs/>
                <w:sz w:val="21"/>
              </w:rPr>
              <w:t>5.本招标文件所称的“以上”“以下”“以内”“届满”，包括本数；所称的“不满”“超过”“以外”，不包括本数。</w:t>
            </w:r>
          </w:p>
        </w:tc>
      </w:tr>
    </w:tbl>
    <w:p w14:paraId="028911C8">
      <w:pPr>
        <w:snapToGrid w:val="0"/>
        <w:rPr>
          <w:rFonts w:asciiTheme="majorEastAsia" w:hAnsiTheme="majorEastAsia" w:eastAsiaTheme="majorEastAsia" w:cstheme="majorEastAsia"/>
          <w:sz w:val="24"/>
          <w:szCs w:val="20"/>
        </w:rPr>
      </w:pPr>
    </w:p>
    <w:p w14:paraId="6C7D7744">
      <w:pPr>
        <w:rPr>
          <w:rFonts w:asciiTheme="majorEastAsia" w:hAnsiTheme="majorEastAsia" w:eastAsiaTheme="majorEastAsia" w:cstheme="majorEastAsia"/>
        </w:rPr>
      </w:pPr>
      <w:r>
        <w:rPr>
          <w:rFonts w:hint="eastAsia" w:asciiTheme="majorEastAsia" w:hAnsiTheme="majorEastAsia" w:eastAsiaTheme="majorEastAsia" w:cstheme="majorEastAsia"/>
        </w:rPr>
        <w:br w:type="page"/>
      </w:r>
    </w:p>
    <w:p w14:paraId="4BF51DEB">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投标人须知正文</w:t>
      </w:r>
    </w:p>
    <w:p w14:paraId="69A8C1E6">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一、总  则</w:t>
      </w:r>
    </w:p>
    <w:p w14:paraId="32AA2622">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81" w:name="_Toc254970527"/>
      <w:bookmarkStart w:id="82" w:name="_Toc254970668"/>
      <w:r>
        <w:rPr>
          <w:rFonts w:hint="eastAsia" w:asciiTheme="majorEastAsia" w:hAnsiTheme="majorEastAsia" w:eastAsiaTheme="majorEastAsia" w:cstheme="majorEastAsia"/>
          <w:sz w:val="24"/>
        </w:rPr>
        <w:t>1.适用范围</w:t>
      </w:r>
      <w:bookmarkEnd w:id="81"/>
      <w:bookmarkEnd w:id="82"/>
    </w:p>
    <w:p w14:paraId="4C216BDC">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3ACBB53">
      <w:pPr>
        <w:snapToGrid w:val="0"/>
        <w:spacing w:line="360" w:lineRule="auto"/>
        <w:ind w:firstLine="420" w:firstLineChars="200"/>
        <w:jc w:val="left"/>
        <w:rPr>
          <w:rFonts w:asciiTheme="majorEastAsia" w:hAnsiTheme="majorEastAsia" w:eastAsiaTheme="majorEastAsia" w:cstheme="majorEastAsia"/>
          <w:spacing w:val="-6"/>
          <w:szCs w:val="21"/>
        </w:rPr>
      </w:pPr>
      <w:r>
        <w:rPr>
          <w:rFonts w:hint="eastAsia" w:asciiTheme="majorEastAsia" w:hAnsiTheme="majorEastAsia" w:eastAsiaTheme="majorEastAsia" w:cstheme="majorEastAsia"/>
          <w:szCs w:val="21"/>
        </w:rPr>
        <w:t>1.2本招标文件</w:t>
      </w:r>
      <w:r>
        <w:rPr>
          <w:rFonts w:hint="eastAsia" w:asciiTheme="majorEastAsia" w:hAnsiTheme="majorEastAsia" w:eastAsiaTheme="majorEastAsia" w:cstheme="majorEastAsia"/>
          <w:spacing w:val="-6"/>
          <w:szCs w:val="21"/>
        </w:rPr>
        <w:t>适用于本项目的所有采购程序和环节（法律、法规另有规定的，从其规定）。</w:t>
      </w:r>
    </w:p>
    <w:p w14:paraId="54AD2F8C">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83" w:name="_Toc254970528"/>
      <w:bookmarkStart w:id="84" w:name="_Toc254970669"/>
      <w:r>
        <w:rPr>
          <w:rFonts w:hint="eastAsia" w:asciiTheme="majorEastAsia" w:hAnsiTheme="majorEastAsia" w:eastAsiaTheme="majorEastAsia" w:cstheme="majorEastAsia"/>
          <w:sz w:val="24"/>
        </w:rPr>
        <w:t>2.定义</w:t>
      </w:r>
      <w:bookmarkEnd w:id="83"/>
      <w:bookmarkEnd w:id="84"/>
    </w:p>
    <w:p w14:paraId="6172FB99">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2.1“采购人”是指依法进行政府采购的国家机关、事业单位、团体组织。</w:t>
      </w:r>
    </w:p>
    <w:p w14:paraId="44401B6D">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2.2“采购代理机构”是指政府采购集中采购机构和集中采购机构以外的采购代理机构。</w:t>
      </w:r>
    </w:p>
    <w:p w14:paraId="0AD4D534">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2.3“供应商”是指向采购人提供货物、工程或者服务的法人、其他组织或者自然人。</w:t>
      </w:r>
    </w:p>
    <w:p w14:paraId="6B5B2E92">
      <w:pPr>
        <w:pStyle w:val="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2.4“投标人”是指响应招标、参加投标竞争的法人、其他组织或者自然人。</w:t>
      </w:r>
    </w:p>
    <w:p w14:paraId="022A172B">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2.5“货物”是指各种形态和种类的物品，包括原材料、燃料、设备、产品等。</w:t>
      </w:r>
    </w:p>
    <w:p w14:paraId="1BA73027">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2.6“售后服务” 是指商品出售以后所提供的各种服务，包含但不限于投标人须承担的备品备件、包装、运输、装卸、保险、货到就位以及安装、调试、培训、质保以及其他各种服务。</w:t>
      </w:r>
    </w:p>
    <w:p w14:paraId="79E54677">
      <w:pPr>
        <w:pStyle w:val="6"/>
        <w:keepNext w:val="0"/>
        <w:keepLines w:val="0"/>
        <w:spacing w:before="0" w:after="0" w:line="360" w:lineRule="auto"/>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2.7“书面形式”是指合同书、信件和数据电文（包括电报、电传、传真、电子数据交换和电子邮件）等可以有形地表现所载内容的形式。</w:t>
      </w:r>
    </w:p>
    <w:p w14:paraId="0274CB05">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2.8“实质性要求”是指招标文件中已经指明不满足则投标无效的条款，或者不能负偏离的条款，或者采购需求中带“▲”的条款。</w:t>
      </w:r>
    </w:p>
    <w:p w14:paraId="7960F472">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 “正偏离”，是指投标文件对招标文件“采购需求”中有关条款作出的响应优于条款要求并有利于采购人的情形。</w:t>
      </w:r>
    </w:p>
    <w:p w14:paraId="1908A0F8">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2.10“负偏离”，是指投标文件对招标文件“采购需求”中有关条款作出的响应不满足条款要求，导致采购人要求不能得到满足的情形。</w:t>
      </w:r>
    </w:p>
    <w:p w14:paraId="6233703A">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2.11“允许负偏离的条款”是指采购需求中的不属于“实质性要求”的条款。</w:t>
      </w:r>
      <w:bookmarkStart w:id="85" w:name="_Toc254970529"/>
      <w:bookmarkStart w:id="86" w:name="_Toc254970670"/>
    </w:p>
    <w:p w14:paraId="52717D2A">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bookmarkEnd w:id="85"/>
      <w:bookmarkEnd w:id="86"/>
      <w:r>
        <w:rPr>
          <w:rFonts w:hint="eastAsia" w:asciiTheme="majorEastAsia" w:hAnsiTheme="majorEastAsia" w:eastAsiaTheme="majorEastAsia" w:cstheme="majorEastAsia"/>
          <w:sz w:val="24"/>
        </w:rPr>
        <w:t>投标人的资格要求</w:t>
      </w:r>
    </w:p>
    <w:p w14:paraId="26BEA3DB">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投标人的资格要求详见“投标人须知前附表”。</w:t>
      </w:r>
    </w:p>
    <w:p w14:paraId="15890A7C">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87" w:name="_Toc254970671"/>
      <w:bookmarkStart w:id="88" w:name="_Toc254970530"/>
      <w:r>
        <w:rPr>
          <w:rFonts w:hint="eastAsia" w:asciiTheme="majorEastAsia" w:hAnsiTheme="majorEastAsia" w:eastAsiaTheme="majorEastAsia" w:cstheme="majorEastAsia"/>
          <w:sz w:val="24"/>
        </w:rPr>
        <w:t>4.投标委托</w:t>
      </w:r>
      <w:bookmarkEnd w:id="87"/>
      <w:bookmarkEnd w:id="88"/>
    </w:p>
    <w:p w14:paraId="11EF5FDF">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投标人代表参加投标活动过程中必须携带个人有效身份证件。如投标人代表不是法定代表人，须持有授权委托书（按第六章要求格式填写）。</w:t>
      </w:r>
    </w:p>
    <w:p w14:paraId="2F7F0713">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89" w:name="_5.投标费用"/>
      <w:bookmarkEnd w:id="89"/>
      <w:bookmarkStart w:id="90" w:name="_Toc254970531"/>
      <w:bookmarkStart w:id="91" w:name="_Toc254970672"/>
      <w:r>
        <w:rPr>
          <w:rFonts w:hint="eastAsia" w:asciiTheme="majorEastAsia" w:hAnsiTheme="majorEastAsia" w:eastAsiaTheme="majorEastAsia" w:cstheme="majorEastAsia"/>
          <w:sz w:val="24"/>
        </w:rPr>
        <w:t>5.投标费用</w:t>
      </w:r>
      <w:bookmarkEnd w:id="90"/>
      <w:bookmarkEnd w:id="91"/>
    </w:p>
    <w:p w14:paraId="770D7D7F">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投标费用：投标人应承担参与本次采购活动有关的所有费用，包括但不限于获取招标文件、勘查现场、编制和提交投标文件、参加澄清说明、签订合同等，不论投标结果如何，均应自行承担。</w:t>
      </w:r>
    </w:p>
    <w:p w14:paraId="4B49F9DA">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6.联合体投标</w:t>
      </w:r>
    </w:p>
    <w:p w14:paraId="17B8CBAD">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6.1本项目是否接受联合体投标，详见“投标人须知前附表”。</w:t>
      </w:r>
    </w:p>
    <w:p w14:paraId="3C3FA53D">
      <w:pPr>
        <w:snapToGrid w:val="0"/>
        <w:spacing w:line="360" w:lineRule="auto"/>
        <w:ind w:firstLine="420" w:firstLineChars="20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6.2如接受联合体投标，联合体投标要求详见“投标人须知前附表”。</w:t>
      </w:r>
    </w:p>
    <w:p w14:paraId="77578865">
      <w:pPr>
        <w:pStyle w:val="6"/>
        <w:keepNext w:val="0"/>
        <w:keepLines w:val="0"/>
        <w:spacing w:before="0" w:after="0" w:line="360" w:lineRule="auto"/>
        <w:ind w:firstLine="424" w:firstLineChars="202"/>
        <w:rPr>
          <w:rFonts w:asciiTheme="majorEastAsia" w:hAnsiTheme="majorEastAsia" w:eastAsiaTheme="majorEastAsia" w:cstheme="majorEastAsia"/>
          <w:sz w:val="24"/>
        </w:rPr>
      </w:pPr>
      <w:r>
        <w:rPr>
          <w:rFonts w:hint="eastAsia" w:asciiTheme="majorEastAsia" w:hAnsiTheme="majorEastAsia" w:eastAsiaTheme="majorEastAsia" w:cstheme="majorEastAsia"/>
          <w:b w:val="0"/>
          <w:bCs/>
          <w:sz w:val="21"/>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499D79CC">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7.转包与分包             </w:t>
      </w:r>
    </w:p>
    <w:p w14:paraId="1C07E286">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7.1本项目不允许转包。</w:t>
      </w:r>
    </w:p>
    <w:p w14:paraId="0DE6A8E9">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51DC80AE">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71CE212E">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92" w:name="_Toc254970532"/>
      <w:bookmarkStart w:id="93" w:name="_Toc254970673"/>
      <w:r>
        <w:rPr>
          <w:rFonts w:hint="eastAsia" w:asciiTheme="majorEastAsia" w:hAnsiTheme="majorEastAsia" w:eastAsiaTheme="majorEastAsia" w:cstheme="majorEastAsia"/>
          <w:sz w:val="24"/>
        </w:rPr>
        <w:t>8.特别说明</w:t>
      </w:r>
      <w:bookmarkEnd w:id="92"/>
      <w:bookmarkEnd w:id="93"/>
    </w:p>
    <w:p w14:paraId="2B1F07DD">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bookmarkStart w:id="94" w:name="_8.1提供相同品牌产品且通过资格审查、符合性审查的不同投标人参加同一合"/>
      <w:bookmarkEnd w:id="94"/>
      <w:r>
        <w:rPr>
          <w:rFonts w:hint="eastAsia" w:asciiTheme="majorEastAsia" w:hAnsiTheme="majorEastAsia" w:eastAsiaTheme="majorEastAsia" w:cstheme="majorEastAsia"/>
          <w:b w:val="0"/>
          <w:sz w:val="21"/>
          <w:szCs w:val="21"/>
        </w:rPr>
        <w:fldChar w:fldCharType="begin"/>
      </w:r>
      <w:r>
        <w:rPr>
          <w:rFonts w:hint="eastAsia" w:asciiTheme="majorEastAsia" w:hAnsiTheme="majorEastAsia" w:eastAsiaTheme="majorEastAsia" w:cstheme="majorEastAsia"/>
          <w:b w:val="0"/>
          <w:sz w:val="21"/>
          <w:szCs w:val="21"/>
        </w:rPr>
        <w:instrText xml:space="preserve"> HYPERLINK  \l "_8.1"</w:instrText>
      </w:r>
      <w:r>
        <w:rPr>
          <w:rFonts w:hint="eastAsia" w:asciiTheme="majorEastAsia" w:hAnsiTheme="majorEastAsia" w:eastAsiaTheme="majorEastAsia" w:cstheme="majorEastAsia"/>
          <w:b w:val="0"/>
          <w:sz w:val="21"/>
          <w:szCs w:val="21"/>
        </w:rPr>
        <w:fldChar w:fldCharType="separate"/>
      </w:r>
      <w:r>
        <w:rPr>
          <w:rFonts w:hint="eastAsia" w:asciiTheme="majorEastAsia" w:hAnsiTheme="majorEastAsia" w:eastAsiaTheme="majorEastAsia" w:cstheme="majorEastAsia"/>
          <w:b w:val="0"/>
          <w:sz w:val="21"/>
          <w:szCs w:val="21"/>
        </w:rPr>
        <w:t>8.1</w:t>
      </w:r>
      <w:r>
        <w:rPr>
          <w:rFonts w:hint="eastAsia" w:asciiTheme="majorEastAsia" w:hAnsiTheme="majorEastAsia" w:eastAsiaTheme="majorEastAsia" w:cstheme="majorEastAsia"/>
          <w:b w:val="0"/>
          <w:sz w:val="21"/>
          <w:szCs w:val="21"/>
        </w:rPr>
        <w:fldChar w:fldCharType="end"/>
      </w:r>
      <w:r>
        <w:rPr>
          <w:rFonts w:hint="eastAsia" w:asciiTheme="majorEastAsia" w:hAnsiTheme="majorEastAsia" w:eastAsiaTheme="majorEastAsia" w:cstheme="majorEastAsia"/>
          <w:b w:val="0"/>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Theme="majorEastAsia" w:hAnsiTheme="majorEastAsia" w:eastAsiaTheme="majorEastAsia" w:cstheme="majorEastAsia"/>
          <w:sz w:val="22"/>
          <w:szCs w:val="22"/>
        </w:rPr>
        <w:t>其他投标无效。</w:t>
      </w:r>
    </w:p>
    <w:p w14:paraId="205CECD5">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53D53717">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非单一产品采购项目，多家投标人提供的核心产品品牌相同的，</w:t>
      </w:r>
      <w:r>
        <w:rPr>
          <w:rFonts w:hint="eastAsia" w:asciiTheme="majorEastAsia" w:hAnsiTheme="majorEastAsia" w:eastAsiaTheme="majorEastAsia" w:cstheme="majorEastAsia"/>
          <w:sz w:val="22"/>
          <w:szCs w:val="22"/>
        </w:rPr>
        <w:t>按前两款规定处理</w:t>
      </w:r>
      <w:r>
        <w:rPr>
          <w:rFonts w:hint="eastAsia" w:asciiTheme="majorEastAsia" w:hAnsiTheme="majorEastAsia" w:eastAsiaTheme="majorEastAsia" w:cstheme="majorEastAsia"/>
          <w:kern w:val="2"/>
          <w:sz w:val="21"/>
        </w:rPr>
        <w:t>。</w:t>
      </w:r>
    </w:p>
    <w:p w14:paraId="590668ED">
      <w:pPr>
        <w:pStyle w:val="6"/>
        <w:keepNext w:val="0"/>
        <w:keepLines w:val="0"/>
        <w:spacing w:before="0" w:after="0" w:line="360" w:lineRule="auto"/>
        <w:ind w:firstLine="367" w:firstLineChars="175"/>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57E87E15">
      <w:pPr>
        <w:pStyle w:val="6"/>
        <w:keepNext w:val="0"/>
        <w:keepLines w:val="0"/>
        <w:spacing w:before="0" w:after="0" w:line="360" w:lineRule="auto"/>
        <w:ind w:firstLine="367" w:firstLineChars="175"/>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8.3投标人应仔细阅读招标文件的所有内容，按照招标文件的要求提交投标文件，并对所提供的全部资料的真实性承担法律责任。</w:t>
      </w:r>
    </w:p>
    <w:p w14:paraId="6E11544F">
      <w:pPr>
        <w:pStyle w:val="6"/>
        <w:keepNext w:val="0"/>
        <w:keepLines w:val="0"/>
        <w:spacing w:before="0" w:after="0" w:line="360" w:lineRule="auto"/>
        <w:ind w:firstLine="367" w:firstLineChars="175"/>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5FC1A03B">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9.回避与串通投标</w:t>
      </w:r>
    </w:p>
    <w:p w14:paraId="51A6F058">
      <w:pPr>
        <w:pStyle w:val="6"/>
        <w:keepNext w:val="0"/>
        <w:keepLines w:val="0"/>
        <w:spacing w:before="0" w:after="0" w:line="360" w:lineRule="auto"/>
        <w:ind w:firstLine="367" w:firstLineChars="175"/>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9.1在政府采购活动中，采购人员及相关人员与供应商有下列利害关系之一的，应当回避：</w:t>
      </w:r>
    </w:p>
    <w:p w14:paraId="5E3AA1F1">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（1）参加采购活动前3年内与供应商存在劳动关系；</w:t>
      </w:r>
    </w:p>
    <w:p w14:paraId="2F26D25C">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（2）参加采购活动前3年内担任供应商的董事、监事；</w:t>
      </w:r>
    </w:p>
    <w:p w14:paraId="0D452DEA">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（3）参加采购活动前3年内是供应商的控股股东或者实际控制人；</w:t>
      </w:r>
    </w:p>
    <w:p w14:paraId="5D0E47D3">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（4）与供应商的法定代表人或者负责人有夫妻、直系血亲、三代以内旁系血亲或者近姻亲关系；</w:t>
      </w:r>
    </w:p>
    <w:p w14:paraId="298E5782">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（5）与供应商有其他可能影响政府采购活动公平、公正进行的关系。</w:t>
      </w:r>
    </w:p>
    <w:p w14:paraId="31F35AC0">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5500630">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9.2有下列情形之一的视为投标人相互串通投标，投标文件将被视为无效：</w:t>
      </w:r>
    </w:p>
    <w:p w14:paraId="62A480D8">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 xml:space="preserve">（1）不同投标人的投标文件由同一单位或者个人编制； </w:t>
      </w:r>
    </w:p>
    <w:p w14:paraId="6AF0C4EE">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（2）不同投标人委托同一单位或者个人办理投标事宜；</w:t>
      </w:r>
    </w:p>
    <w:p w14:paraId="04E380D8">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（3）不同的投标人的投标文件载明的项目管理员为同一个人；</w:t>
      </w:r>
    </w:p>
    <w:p w14:paraId="53CB1A20">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（4）不同投标人的投标文件异常一致或者投标报价呈规律性差异；</w:t>
      </w:r>
    </w:p>
    <w:p w14:paraId="39655A25">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（5）不同投标人的投标文件相互混装；</w:t>
      </w:r>
    </w:p>
    <w:p w14:paraId="38534279">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（6）不同投标人的投标保证金从同一单位或者个人账户转出。</w:t>
      </w:r>
    </w:p>
    <w:p w14:paraId="1DEE33B5">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9.3供应商有下列情形之一的，属于恶意串通行为，将报同级监督管理部门：</w:t>
      </w:r>
    </w:p>
    <w:p w14:paraId="66FB3909">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（1）供应商直接或者间接从采购人或者采购代理机构处获得其他供应商的相关信息并修改其投标文件或者响应文件；</w:t>
      </w:r>
    </w:p>
    <w:p w14:paraId="4C223341">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（2）供应商按照采购人或者采购代理机构的授意撤换、修改投标文件或者响应文件；</w:t>
      </w:r>
    </w:p>
    <w:p w14:paraId="6A5D78A4">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（3）供应商之间协商报价、技术方案等投标文件或者响应文件的实质性内容；</w:t>
      </w:r>
    </w:p>
    <w:p w14:paraId="07F8A7AE">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（4）属于同一集团、协会、商会等组织成员的供应商按照该组织要求协同参加政府采购活动；</w:t>
      </w:r>
    </w:p>
    <w:p w14:paraId="49ADADC8">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（5）供应商之间事先约定一致抬高或者压低投标报价，或者在招标项目中事先约定轮流以高价位或者低价位中标，或者事先约定由某一特定供应商中标，然后再参加投标；</w:t>
      </w:r>
    </w:p>
    <w:p w14:paraId="66E83599">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（6）供应商之间商定部分供应商放弃参加政府采购活动或者放弃中标；</w:t>
      </w:r>
    </w:p>
    <w:p w14:paraId="06B04558">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（7）供应商与采购人或者采购代理机构之间、供应商相互之间，为谋求特定供应商中标或者排斥其他供应商的其他串通行为。</w:t>
      </w:r>
    </w:p>
    <w:p w14:paraId="4647D3EA">
      <w:pPr>
        <w:pStyle w:val="25"/>
        <w:snapToGrid w:val="0"/>
        <w:spacing w:line="360" w:lineRule="auto"/>
        <w:ind w:left="2" w:leftChars="1" w:firstLine="422" w:firstLineChars="200"/>
        <w:rPr>
          <w:rFonts w:asciiTheme="majorEastAsia" w:hAnsiTheme="majorEastAsia" w:eastAsiaTheme="majorEastAsia" w:cstheme="majorEastAsia"/>
          <w:b/>
          <w:kern w:val="2"/>
          <w:sz w:val="21"/>
        </w:rPr>
      </w:pPr>
    </w:p>
    <w:p w14:paraId="076984B3">
      <w:pPr>
        <w:pStyle w:val="4"/>
        <w:keepNext w:val="0"/>
        <w:keepLines w:val="0"/>
        <w:jc w:val="center"/>
        <w:rPr>
          <w:rFonts w:asciiTheme="majorEastAsia" w:hAnsiTheme="majorEastAsia" w:eastAsiaTheme="majorEastAsia" w:cstheme="majorEastAsia"/>
        </w:rPr>
      </w:pPr>
      <w:bookmarkStart w:id="95" w:name="_Toc254970534"/>
      <w:bookmarkStart w:id="96" w:name="_Toc254970675"/>
      <w:r>
        <w:rPr>
          <w:rFonts w:hint="eastAsia" w:asciiTheme="majorEastAsia" w:hAnsiTheme="majorEastAsia" w:eastAsiaTheme="majorEastAsia" w:cstheme="majorEastAsia"/>
        </w:rPr>
        <w:t>二、招标文件</w:t>
      </w:r>
      <w:bookmarkEnd w:id="95"/>
      <w:bookmarkEnd w:id="96"/>
    </w:p>
    <w:p w14:paraId="67850812">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10.招标文件的组成</w:t>
      </w:r>
    </w:p>
    <w:p w14:paraId="600E616B">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（1）招标公告；</w:t>
      </w:r>
    </w:p>
    <w:p w14:paraId="38755D94">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（2）采购需求； </w:t>
      </w:r>
    </w:p>
    <w:p w14:paraId="1B908BC6">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（3）投标人须知；</w:t>
      </w:r>
    </w:p>
    <w:p w14:paraId="138D4EAF">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（4）评标方法及评标标准；</w:t>
      </w:r>
    </w:p>
    <w:p w14:paraId="251342CF">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（5）拟签订的合同文本；</w:t>
      </w:r>
    </w:p>
    <w:p w14:paraId="50765125">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（6）投标文件格式。</w:t>
      </w:r>
    </w:p>
    <w:p w14:paraId="43C619DB">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11.招标文件的澄清、修改 、现场考察和答疑会</w:t>
      </w:r>
    </w:p>
    <w:p w14:paraId="5207E65E">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2501CCC">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82B9849">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11.2</w:t>
      </w:r>
      <w:bookmarkStart w:id="97" w:name="_Hlk53134511"/>
      <w:r>
        <w:rPr>
          <w:rFonts w:hint="eastAsia" w:asciiTheme="majorEastAsia" w:hAnsiTheme="majorEastAsia" w:eastAsiaTheme="majorEastAsia" w:cstheme="majorEastAsia"/>
          <w:sz w:val="21"/>
        </w:rPr>
        <w:t>采购人或者采购代理机构可以在招标文件提供期限截止后，组织已获取招标文件的潜在投标人现场考察或者召开开标前答疑会，具体详见“投标人须知前附表”。</w:t>
      </w:r>
    </w:p>
    <w:bookmarkEnd w:id="97"/>
    <w:p w14:paraId="6C75DDB1">
      <w:pPr>
        <w:pStyle w:val="4"/>
        <w:keepNext w:val="0"/>
        <w:keepLines w:val="0"/>
        <w:jc w:val="center"/>
        <w:rPr>
          <w:rFonts w:asciiTheme="majorEastAsia" w:hAnsiTheme="majorEastAsia" w:eastAsiaTheme="majorEastAsia" w:cstheme="majorEastAsia"/>
        </w:rPr>
      </w:pPr>
      <w:bookmarkStart w:id="98" w:name="_Toc254970676"/>
      <w:bookmarkStart w:id="99" w:name="_Toc254970535"/>
      <w:r>
        <w:rPr>
          <w:rFonts w:hint="eastAsia" w:asciiTheme="majorEastAsia" w:hAnsiTheme="majorEastAsia" w:eastAsiaTheme="majorEastAsia" w:cstheme="majorEastAsia"/>
        </w:rPr>
        <w:t>三、投标文件的编制</w:t>
      </w:r>
      <w:bookmarkEnd w:id="98"/>
      <w:bookmarkEnd w:id="99"/>
    </w:p>
    <w:p w14:paraId="59312631">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00" w:name="_Toc254970677"/>
      <w:bookmarkStart w:id="101" w:name="_Toc254970536"/>
      <w:r>
        <w:rPr>
          <w:rFonts w:hint="eastAsia" w:asciiTheme="majorEastAsia" w:hAnsiTheme="majorEastAsia" w:eastAsiaTheme="majorEastAsia" w:cstheme="majorEastAsia"/>
          <w:sz w:val="24"/>
        </w:rPr>
        <w:t>12.投标文件的编制原则</w:t>
      </w:r>
    </w:p>
    <w:p w14:paraId="6595F0CF">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投标人必须按照招标文件的要求编制投标文件。投标文件必须对招标文件提出的要求和条件作出明确响应。</w:t>
      </w:r>
    </w:p>
    <w:p w14:paraId="25FCD7A0">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13.投标文件的组成</w:t>
      </w:r>
      <w:bookmarkEnd w:id="100"/>
      <w:bookmarkEnd w:id="101"/>
    </w:p>
    <w:p w14:paraId="057A88A6">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投标文件由报价文件、资格证明文件、商务及技术文件三部分组成。</w:t>
      </w:r>
    </w:p>
    <w:p w14:paraId="45937164">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bookmarkStart w:id="102" w:name="_13.1报价文件:_具体材料见“投标人须知前附表”。"/>
      <w:bookmarkEnd w:id="102"/>
      <w:r>
        <w:rPr>
          <w:rFonts w:hint="eastAsia" w:asciiTheme="majorEastAsia" w:hAnsiTheme="majorEastAsia" w:eastAsiaTheme="majorEastAsia" w:cstheme="majorEastAsia"/>
          <w:b w:val="0"/>
          <w:sz w:val="21"/>
          <w:szCs w:val="21"/>
        </w:rPr>
        <w:t>（1）报价文件：具体材料见“投标人须知前附表”。</w:t>
      </w:r>
    </w:p>
    <w:p w14:paraId="2727E8FE">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bookmarkStart w:id="103" w:name="_13.2资格证明文件：具体材料见“投标人须知前附表”。"/>
      <w:bookmarkEnd w:id="103"/>
      <w:r>
        <w:rPr>
          <w:rFonts w:hint="eastAsia" w:asciiTheme="majorEastAsia" w:hAnsiTheme="majorEastAsia" w:eastAsiaTheme="majorEastAsia" w:cstheme="majorEastAsia"/>
          <w:b w:val="0"/>
          <w:sz w:val="21"/>
          <w:szCs w:val="21"/>
        </w:rPr>
        <w:t>（2）资格证明文件：具体材料见“投标人须知前附表”。</w:t>
      </w:r>
    </w:p>
    <w:p w14:paraId="61651A91">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bookmarkStart w:id="104" w:name="_13.3商务文件:_具体材料见“投标人须知前附表”。"/>
      <w:bookmarkEnd w:id="104"/>
      <w:r>
        <w:rPr>
          <w:rFonts w:hint="eastAsia" w:asciiTheme="majorEastAsia" w:hAnsiTheme="majorEastAsia" w:eastAsiaTheme="majorEastAsia" w:cstheme="majorEastAsia"/>
          <w:b w:val="0"/>
          <w:sz w:val="21"/>
          <w:szCs w:val="21"/>
        </w:rPr>
        <w:t>（3）商务及技术文件：具体材料见“投标人须知前附表”。</w:t>
      </w:r>
    </w:p>
    <w:p w14:paraId="31E7E86A">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05" w:name="_13.4技术文件：具体材料见“投标人须知前附表”。"/>
      <w:bookmarkEnd w:id="105"/>
      <w:bookmarkStart w:id="106" w:name="_13.5投标文件电子版：具体材料见“投标人须知前附表”。"/>
      <w:bookmarkEnd w:id="106"/>
      <w:bookmarkStart w:id="107" w:name="_Toc254970678"/>
      <w:bookmarkStart w:id="108" w:name="_Toc254970537"/>
      <w:r>
        <w:rPr>
          <w:rFonts w:hint="eastAsia" w:asciiTheme="majorEastAsia" w:hAnsiTheme="majorEastAsia" w:eastAsiaTheme="majorEastAsia" w:cstheme="majorEastAsia"/>
          <w:sz w:val="24"/>
        </w:rPr>
        <w:t>14.投标文件的语言及计量</w:t>
      </w:r>
      <w:bookmarkEnd w:id="107"/>
      <w:bookmarkEnd w:id="108"/>
    </w:p>
    <w:p w14:paraId="6998FF16">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14.1语言文字</w:t>
      </w:r>
    </w:p>
    <w:p w14:paraId="32A7C21E">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B21FEF6">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14.2投标计量单位</w:t>
      </w:r>
    </w:p>
    <w:p w14:paraId="09F52619">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招标文件已有明确规定的，使用招标文件规定的计量单位；招标文件没有规定的，应采用中华人民共和国法定计量单位，货币种类为人民币，</w:t>
      </w:r>
      <w:r>
        <w:rPr>
          <w:rFonts w:hint="eastAsia" w:asciiTheme="majorEastAsia" w:hAnsiTheme="majorEastAsia" w:eastAsiaTheme="majorEastAsia" w:cstheme="majorEastAsia"/>
          <w:sz w:val="21"/>
          <w:szCs w:val="21"/>
        </w:rPr>
        <w:t>否则视同未响应。</w:t>
      </w:r>
    </w:p>
    <w:p w14:paraId="0D7143D7">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15.投标的风险</w:t>
      </w:r>
    </w:p>
    <w:p w14:paraId="6BA16C47">
      <w:pPr>
        <w:pStyle w:val="25"/>
        <w:snapToGrid w:val="0"/>
        <w:spacing w:line="360" w:lineRule="auto"/>
        <w:ind w:firstLine="420" w:firstLineChars="200"/>
        <w:jc w:val="left"/>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投标人没有按照招标文件要求提供全部资料，或者投标人没有对招标文件作出实质性响应是投标人的风险，并可能导致其投标被拒绝。</w:t>
      </w:r>
    </w:p>
    <w:p w14:paraId="5AB43F98">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09" w:name="_Toc254970538"/>
      <w:bookmarkStart w:id="110" w:name="_Toc254970679"/>
      <w:r>
        <w:rPr>
          <w:rFonts w:hint="eastAsia" w:asciiTheme="majorEastAsia" w:hAnsiTheme="majorEastAsia" w:eastAsiaTheme="majorEastAsia" w:cstheme="majorEastAsia"/>
          <w:sz w:val="24"/>
        </w:rPr>
        <w:t>16.投标报价</w:t>
      </w:r>
      <w:bookmarkEnd w:id="109"/>
      <w:bookmarkEnd w:id="110"/>
    </w:p>
    <w:p w14:paraId="0C235261">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16.1投标报价应按“第六章　投标文件格式”中“开标一览表”格式填写。</w:t>
      </w:r>
    </w:p>
    <w:p w14:paraId="71221ECC">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bookmarkStart w:id="111" w:name="_16.2投标报价具体定义见投标人须知前附表。"/>
      <w:bookmarkEnd w:id="111"/>
      <w:r>
        <w:rPr>
          <w:rFonts w:hint="eastAsia" w:asciiTheme="majorEastAsia" w:hAnsiTheme="majorEastAsia" w:eastAsiaTheme="majorEastAsia" w:cstheme="majorEastAsia"/>
          <w:b w:val="0"/>
          <w:sz w:val="21"/>
          <w:szCs w:val="21"/>
        </w:rPr>
        <w:t>16.2投标报价具体包括内容详见“投标人须知前附表”。</w:t>
      </w:r>
    </w:p>
    <w:p w14:paraId="66B660D9">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16.3投标人必须就所投每个分标的全部内容分别作完整唯一总价报价，不得存在漏项报价；投标人必须就所投分标的单项内容作唯一报价。</w:t>
      </w:r>
    </w:p>
    <w:p w14:paraId="0579BC67">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17.投标有效期</w:t>
      </w:r>
    </w:p>
    <w:p w14:paraId="608DF673">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bookmarkStart w:id="112" w:name="_17.1投标有效期应按“投标人须知中的前附表”规定的期限。"/>
      <w:bookmarkEnd w:id="112"/>
      <w:r>
        <w:rPr>
          <w:rFonts w:hint="eastAsia" w:asciiTheme="majorEastAsia" w:hAnsiTheme="majorEastAsia" w:eastAsiaTheme="majorEastAsia" w:cstheme="majorEastAsia"/>
          <w:b w:val="0"/>
          <w:sz w:val="21"/>
          <w:szCs w:val="21"/>
        </w:rPr>
        <w:t>17.1投标有效期是指为保证采购人有足够的时间在开标后完成评标、定标、合同签订等工作而要求投标人提交的投标文件在一定时间内保持有效的期限。</w:t>
      </w:r>
    </w:p>
    <w:p w14:paraId="224742CC">
      <w:pPr>
        <w:pStyle w:val="6"/>
        <w:keepNext w:val="0"/>
        <w:keepLines w:val="0"/>
        <w:spacing w:before="0" w:after="0" w:line="360" w:lineRule="auto"/>
        <w:ind w:firstLine="424" w:firstLineChars="202"/>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17.2</w:t>
      </w:r>
      <w:bookmarkStart w:id="113" w:name="_Toc254970681"/>
      <w:bookmarkStart w:id="114" w:name="_Toc254970540"/>
      <w:r>
        <w:rPr>
          <w:rFonts w:hint="eastAsia" w:asciiTheme="majorEastAsia" w:hAnsiTheme="majorEastAsia" w:eastAsiaTheme="majorEastAsia" w:cstheme="majorEastAsia"/>
          <w:b w:val="0"/>
          <w:sz w:val="21"/>
          <w:szCs w:val="21"/>
        </w:rPr>
        <w:t xml:space="preserve"> 投标有效期应按招标文件规定的期限作出承诺，具体详见“投标人须知前附表”。</w:t>
      </w:r>
      <w:r>
        <w:rPr>
          <w:rFonts w:hint="eastAsia" w:asciiTheme="majorEastAsia" w:hAnsiTheme="majorEastAsia" w:eastAsiaTheme="majorEastAsia" w:cstheme="majorEastAsia"/>
          <w:sz w:val="21"/>
          <w:szCs w:val="21"/>
        </w:rPr>
        <w:t>承诺的投标有效期低于招标文件规定期限的，按无效投标处理</w:t>
      </w:r>
      <w:r>
        <w:rPr>
          <w:rFonts w:hint="eastAsia" w:asciiTheme="majorEastAsia" w:hAnsiTheme="majorEastAsia" w:eastAsiaTheme="majorEastAsia" w:cstheme="majorEastAsia"/>
          <w:b w:val="0"/>
          <w:sz w:val="21"/>
          <w:szCs w:val="21"/>
        </w:rPr>
        <w:t>。</w:t>
      </w:r>
    </w:p>
    <w:p w14:paraId="562E81AB">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17.3投标人的投标文件在投标有效期内均保持有效。</w:t>
      </w:r>
      <w:bookmarkEnd w:id="113"/>
      <w:bookmarkEnd w:id="114"/>
    </w:p>
    <w:p w14:paraId="2FEF4BFB">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15" w:name="_18.投标保证金"/>
      <w:bookmarkEnd w:id="115"/>
      <w:bookmarkStart w:id="116" w:name="_Toc254970682"/>
      <w:bookmarkStart w:id="117" w:name="_Toc254970541"/>
      <w:r>
        <w:rPr>
          <w:rFonts w:hint="eastAsia" w:asciiTheme="majorEastAsia" w:hAnsiTheme="majorEastAsia" w:eastAsiaTheme="majorEastAsia" w:cstheme="majorEastAsia"/>
          <w:sz w:val="24"/>
        </w:rPr>
        <w:t>18.投标保证金</w:t>
      </w:r>
      <w:bookmarkEnd w:id="116"/>
      <w:bookmarkEnd w:id="117"/>
    </w:p>
    <w:p w14:paraId="0EFFBE93">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18.1投标人须按“投标人须知前附表” 的规定提交投标保证金。</w:t>
      </w:r>
    </w:p>
    <w:p w14:paraId="4C7E8B4A">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18.2投标保证金的退还</w:t>
      </w:r>
    </w:p>
    <w:p w14:paraId="5E007B80">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未中标人的投标保证金自中标通知书发出之日起5个工作日内退还；中标人的投标保证金自政府采购合同签订之日起5个工作日内退还。 </w:t>
      </w:r>
    </w:p>
    <w:p w14:paraId="65158A0E">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18.3除逾期退还投标保证金和终止招标的情形以外，投标保证金不计息。</w:t>
      </w:r>
    </w:p>
    <w:p w14:paraId="7403CBE5">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18.4投标人有下列情形之一的，投标保证金将不予退还： </w:t>
      </w:r>
    </w:p>
    <w:p w14:paraId="772FBCBF">
      <w:pPr>
        <w:snapToGrid w:val="0"/>
        <w:spacing w:line="360" w:lineRule="auto"/>
        <w:ind w:firstLine="411" w:firstLineChars="196"/>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（1）投标人在投标有效期内撤销投标文件的；</w:t>
      </w:r>
    </w:p>
    <w:p w14:paraId="21475C9A">
      <w:pPr>
        <w:snapToGrid w:val="0"/>
        <w:spacing w:line="360" w:lineRule="auto"/>
        <w:ind w:firstLine="411" w:firstLineChars="196"/>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（2）未按规定提交履约保证金的；</w:t>
      </w:r>
    </w:p>
    <w:p w14:paraId="7539B430">
      <w:pPr>
        <w:snapToGrid w:val="0"/>
        <w:spacing w:line="360" w:lineRule="auto"/>
        <w:ind w:firstLine="411" w:firstLineChars="196"/>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（3）投标人在投标过程中弄虚作假，提供虚假材料的；</w:t>
      </w:r>
    </w:p>
    <w:p w14:paraId="018B1157">
      <w:pPr>
        <w:snapToGrid w:val="0"/>
        <w:spacing w:line="360" w:lineRule="auto"/>
        <w:ind w:firstLine="411" w:firstLineChars="196"/>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（4）中标人无正当理由不与采购人签订合同的；</w:t>
      </w:r>
    </w:p>
    <w:p w14:paraId="77006B7F">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（5）投标人出现本章第9.2、9.3情形的；</w:t>
      </w:r>
    </w:p>
    <w:p w14:paraId="7A019D62">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（6）法律法规规定的其他情形。</w:t>
      </w:r>
    </w:p>
    <w:p w14:paraId="60647700">
      <w:pPr>
        <w:pStyle w:val="6"/>
        <w:keepNext w:val="0"/>
        <w:keepLines w:val="0"/>
        <w:numPr>
          <w:ilvl w:val="4"/>
          <w:numId w:val="7"/>
        </w:numPr>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3DC8C118">
      <w:pPr>
        <w:pStyle w:val="6"/>
        <w:keepNext w:val="0"/>
        <w:keepLines w:val="0"/>
        <w:numPr>
          <w:ilvl w:val="4"/>
          <w:numId w:val="7"/>
        </w:numPr>
        <w:spacing w:before="0" w:after="0" w:line="360" w:lineRule="auto"/>
        <w:ind w:firstLine="315" w:firstLineChars="150"/>
        <w:rPr>
          <w:rFonts w:ascii="宋体" w:hAnsi="宋体"/>
          <w:b w:val="0"/>
          <w:sz w:val="21"/>
          <w:szCs w:val="21"/>
        </w:rPr>
      </w:pPr>
      <w:bookmarkStart w:id="118" w:name="_19.2投标文件应按报价文件、资格证明文件、商务文件、技术文件分别编制"/>
      <w:bookmarkEnd w:id="118"/>
      <w:r>
        <w:rPr>
          <w:rFonts w:hint="eastAsia" w:ascii="宋体" w:hAnsi="宋体"/>
          <w:b w:val="0"/>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14:paraId="4D0EE46B">
      <w:pPr>
        <w:pStyle w:val="6"/>
        <w:keepNext w:val="0"/>
        <w:keepLines w:val="0"/>
        <w:numPr>
          <w:ilvl w:val="4"/>
          <w:numId w:val="7"/>
        </w:numPr>
        <w:spacing w:before="0" w:after="0" w:line="360" w:lineRule="auto"/>
        <w:rPr>
          <w:rFonts w:ascii="宋体" w:hAnsi="宋体"/>
          <w:b w:val="0"/>
          <w:sz w:val="21"/>
          <w:szCs w:val="21"/>
        </w:rPr>
      </w:pPr>
      <w:r>
        <w:rPr>
          <w:rFonts w:hint="eastAsia" w:ascii="宋体" w:hAnsi="宋体"/>
          <w:b w:val="0"/>
          <w:sz w:val="21"/>
          <w:szCs w:val="21"/>
        </w:rPr>
        <w:t xml:space="preserve">    19.3投标文件须由投标人在规定位置签字（或者电子签名）、盖章（具体以投标人须知前附表或投标文件格式规定为准），</w:t>
      </w:r>
      <w:r>
        <w:rPr>
          <w:rFonts w:hint="eastAsia" w:ascii="宋体" w:hAnsi="宋体"/>
          <w:bCs/>
          <w:sz w:val="21"/>
          <w:szCs w:val="21"/>
        </w:rPr>
        <w:t>否则按无效投标处理</w:t>
      </w:r>
      <w:r>
        <w:rPr>
          <w:rFonts w:hint="eastAsia" w:ascii="宋体" w:hAnsi="宋体"/>
          <w:b w:val="0"/>
          <w:sz w:val="21"/>
          <w:szCs w:val="21"/>
        </w:rPr>
        <w:t>。</w:t>
      </w:r>
    </w:p>
    <w:p w14:paraId="10EBE620">
      <w:pPr>
        <w:pStyle w:val="6"/>
        <w:keepNext w:val="0"/>
        <w:keepLines w:val="0"/>
        <w:numPr>
          <w:ilvl w:val="4"/>
          <w:numId w:val="7"/>
        </w:numPr>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sz w:val="21"/>
          <w:szCs w:val="21"/>
        </w:rPr>
        <w:t>否则按无效投标处理</w:t>
      </w:r>
      <w:r>
        <w:rPr>
          <w:rFonts w:hint="eastAsia" w:ascii="宋体" w:hAnsi="宋体"/>
          <w:b w:val="0"/>
          <w:sz w:val="21"/>
          <w:szCs w:val="21"/>
        </w:rPr>
        <w:t>。</w:t>
      </w:r>
    </w:p>
    <w:p w14:paraId="74B65FB6">
      <w:pPr>
        <w:pStyle w:val="6"/>
        <w:keepNext w:val="0"/>
        <w:keepLines w:val="0"/>
        <w:numPr>
          <w:ilvl w:val="4"/>
          <w:numId w:val="7"/>
        </w:numPr>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0F3C5F1C">
      <w:pPr>
        <w:spacing w:line="360" w:lineRule="auto"/>
        <w:ind w:firstLine="480" w:firstLineChars="200"/>
        <w:rPr>
          <w:rFonts w:ascii="黑体" w:hAnsi="黑体" w:eastAsia="黑体"/>
          <w:sz w:val="24"/>
        </w:rPr>
      </w:pPr>
      <w:r>
        <w:rPr>
          <w:rFonts w:hint="eastAsia" w:ascii="黑体" w:hAnsi="黑体" w:eastAsia="黑体"/>
          <w:sz w:val="24"/>
        </w:rPr>
        <w:t>20.电子备份投标文件</w:t>
      </w:r>
    </w:p>
    <w:p w14:paraId="40BA4E63">
      <w:pPr>
        <w:spacing w:line="360" w:lineRule="auto"/>
        <w:ind w:firstLine="420" w:firstLineChars="200"/>
        <w:rPr>
          <w:rFonts w:ascii="黑体" w:hAnsi="黑体" w:eastAsia="黑体"/>
          <w:sz w:val="24"/>
        </w:rPr>
      </w:pPr>
      <w:r>
        <w:rPr>
          <w:rFonts w:hint="eastAsia"/>
        </w:rPr>
        <w:t>电子备份投标文件是指通过在线编制生成且后缀名为“</w:t>
      </w:r>
      <w:r>
        <w:t>bfbs</w:t>
      </w:r>
      <w:r>
        <w:rPr>
          <w:rFonts w:hint="eastAsia"/>
        </w:rPr>
        <w:t>”的文件，是否接受电子备份投标文件</w:t>
      </w:r>
      <w:r>
        <w:rPr>
          <w:rFonts w:hint="eastAsia" w:hAnsi="宋体"/>
          <w:bCs/>
          <w:szCs w:val="21"/>
        </w:rPr>
        <w:t>详见在“投标人须知前附表”。</w:t>
      </w:r>
    </w:p>
    <w:p w14:paraId="1FD9F277">
      <w:pPr>
        <w:pStyle w:val="6"/>
        <w:keepNext w:val="0"/>
        <w:keepLines w:val="0"/>
        <w:numPr>
          <w:ilvl w:val="4"/>
          <w:numId w:val="7"/>
        </w:numPr>
        <w:spacing w:before="0" w:after="0" w:line="360" w:lineRule="auto"/>
        <w:ind w:left="420" w:leftChars="200"/>
        <w:rPr>
          <w:rFonts w:ascii="黑体" w:hAnsi="黑体" w:eastAsia="黑体"/>
          <w:sz w:val="24"/>
        </w:rPr>
      </w:pPr>
      <w:bookmarkStart w:id="119" w:name="_Toc254970685"/>
      <w:bookmarkStart w:id="120" w:name="_Toc254970544"/>
      <w:r>
        <w:rPr>
          <w:rFonts w:hint="eastAsia" w:ascii="黑体" w:hAnsi="黑体" w:eastAsia="黑体"/>
          <w:sz w:val="24"/>
        </w:rPr>
        <w:t>21.投标文件的提交</w:t>
      </w:r>
    </w:p>
    <w:p w14:paraId="3DA258F6">
      <w:pPr>
        <w:spacing w:line="360" w:lineRule="auto"/>
        <w:ind w:firstLine="420" w:firstLineChars="200"/>
        <w:rPr>
          <w:rFonts w:hAnsi="宋体"/>
          <w:b/>
        </w:rPr>
      </w:pPr>
      <w:bookmarkStart w:id="121" w:name="_21.1投标人必须在“投标人须知中的前附表”规定的投标文件接收时间和投"/>
      <w:bookmarkEnd w:id="121"/>
      <w:r>
        <w:rPr>
          <w:rFonts w:hAnsi="宋体"/>
          <w:bCs/>
          <w:szCs w:val="21"/>
        </w:rPr>
        <w:t>21.1</w:t>
      </w:r>
      <w:r>
        <w:rPr>
          <w:rFonts w:hint="eastAsia" w:hAnsi="宋体"/>
          <w:bCs/>
          <w:szCs w:val="21"/>
        </w:rPr>
        <w:t>投标人必须在“投标人须知前附表”规定的</w:t>
      </w:r>
      <w:r>
        <w:rPr>
          <w:rFonts w:hint="eastAsia" w:ascii="宋体" w:hAnsi="宋体"/>
          <w:szCs w:val="21"/>
        </w:rPr>
        <w:t>提交投标文件截止时间前将</w:t>
      </w:r>
      <w:r>
        <w:rPr>
          <w:rFonts w:hint="eastAsia" w:hAnsi="宋体"/>
          <w:bCs/>
          <w:szCs w:val="21"/>
        </w:rPr>
        <w:t>电子投标文件提交至投标地点。电子投标文件应在制作完成后，在投标截止时间前通过有效数字证书（</w:t>
      </w:r>
      <w:r>
        <w:rPr>
          <w:rFonts w:hAnsi="宋体"/>
          <w:bCs/>
          <w:szCs w:val="21"/>
        </w:rPr>
        <w:t>CA</w:t>
      </w:r>
      <w:r>
        <w:rPr>
          <w:rFonts w:hint="eastAsia" w:hAnsi="宋体"/>
          <w:bCs/>
          <w:szCs w:val="21"/>
        </w:rPr>
        <w:t>认证锁）进行电子签章、加密，然后通过网络将加密的电子投标文件递交至</w:t>
      </w:r>
      <w:r>
        <w:rPr>
          <w:rFonts w:hint="eastAsia" w:ascii="宋体" w:hAnsi="宋体"/>
          <w:b/>
          <w:szCs w:val="21"/>
        </w:rPr>
        <w:t>广西政府采购云平台</w:t>
      </w:r>
      <w:r>
        <w:rPr>
          <w:rFonts w:hint="eastAsia" w:hAnsi="宋体"/>
          <w:bCs/>
          <w:szCs w:val="21"/>
        </w:rPr>
        <w:t>。</w:t>
      </w:r>
      <w:r>
        <w:rPr>
          <w:rFonts w:hAnsi="宋体"/>
          <w:bCs/>
          <w:szCs w:val="21"/>
        </w:rPr>
        <w:t xml:space="preserve"> </w:t>
      </w:r>
      <w:r>
        <w:rPr>
          <w:rFonts w:hAnsi="宋体"/>
          <w:b/>
        </w:rPr>
        <w:t xml:space="preserve"> </w:t>
      </w:r>
    </w:p>
    <w:p w14:paraId="5A2E9D5D">
      <w:pPr>
        <w:spacing w:line="360" w:lineRule="auto"/>
        <w:ind w:firstLine="422" w:firstLineChars="200"/>
        <w:rPr>
          <w:rFonts w:ascii="宋体" w:hAnsi="宋体"/>
          <w:b/>
          <w:szCs w:val="20"/>
        </w:rPr>
      </w:pPr>
      <w:r>
        <w:rPr>
          <w:rFonts w:hint="eastAsia" w:ascii="宋体" w:hAnsi="宋体"/>
          <w:b/>
          <w:szCs w:val="21"/>
        </w:rPr>
        <w:t>21.2未在规定时间内提交或者未按照招标文件要求加密的电子投标文件，广西政府采购云平台将拒收。</w:t>
      </w:r>
    </w:p>
    <w:p w14:paraId="5AC50B95">
      <w:pPr>
        <w:pStyle w:val="6"/>
        <w:keepNext w:val="0"/>
        <w:keepLines w:val="0"/>
        <w:numPr>
          <w:ilvl w:val="4"/>
          <w:numId w:val="7"/>
        </w:numPr>
        <w:spacing w:before="0" w:after="0" w:line="360" w:lineRule="auto"/>
        <w:ind w:left="420" w:leftChars="200"/>
        <w:rPr>
          <w:rFonts w:ascii="黑体" w:hAnsi="黑体" w:eastAsia="黑体"/>
          <w:sz w:val="24"/>
        </w:rPr>
      </w:pPr>
      <w:r>
        <w:rPr>
          <w:rFonts w:hint="eastAsia" w:ascii="黑体" w:hAnsi="黑体" w:eastAsia="黑体"/>
          <w:sz w:val="24"/>
        </w:rPr>
        <w:t>22. 投标文件的补充、修改、撤回与退回</w:t>
      </w:r>
    </w:p>
    <w:p w14:paraId="23EAB0FD">
      <w:pPr>
        <w:snapToGrid w:val="0"/>
        <w:spacing w:line="360" w:lineRule="auto"/>
        <w:ind w:firstLine="420"/>
        <w:jc w:val="left"/>
        <w:rPr>
          <w:rFonts w:ascii="宋体" w:hAnsi="宋体"/>
          <w:szCs w:val="21"/>
        </w:rPr>
      </w:pPr>
      <w:bookmarkStart w:id="122" w:name="_Toc254970684"/>
      <w:bookmarkStart w:id="123" w:name="_Toc254970543"/>
      <w:r>
        <w:rPr>
          <w:rFonts w:hint="eastAsia" w:ascii="宋体" w:hAnsi="宋体" w:cs="宋体"/>
          <w:szCs w:val="21"/>
        </w:rPr>
        <w:t>22.1</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szCs w:val="21"/>
        </w:rPr>
        <w:t>（补充、修改或者撤回方式可</w:t>
      </w:r>
      <w:r>
        <w:rPr>
          <w:rFonts w:hint="eastAsia" w:ascii="宋体" w:hAnsi="宋体"/>
          <w:szCs w:val="21"/>
        </w:rPr>
        <w:t>登录</w:t>
      </w:r>
      <w:r>
        <w:rPr>
          <w:rFonts w:hint="eastAsia" w:ascii="宋体" w:hAnsi="宋体" w:cs="宋体"/>
          <w:kern w:val="0"/>
          <w:szCs w:val="21"/>
        </w:rPr>
        <w:t>广西政府采购云平台，</w:t>
      </w:r>
      <w:r>
        <w:rPr>
          <w:rFonts w:hint="eastAsia" w:ascii="宋体" w:hAnsi="宋体"/>
          <w:szCs w:val="21"/>
        </w:rPr>
        <w:t>依次进入“服务中心”中查看</w:t>
      </w:r>
      <w:r>
        <w:rPr>
          <w:rFonts w:hint="eastAsia" w:ascii="宋体" w:hAnsi="宋体" w:cs="宋体"/>
          <w:szCs w:val="21"/>
        </w:rPr>
        <w:t xml:space="preserve"> “电子投标文件制作与投送教程”）</w:t>
      </w:r>
    </w:p>
    <w:bookmarkEnd w:id="122"/>
    <w:bookmarkEnd w:id="123"/>
    <w:p w14:paraId="6F7AC3FC">
      <w:pPr>
        <w:pStyle w:val="115"/>
        <w:spacing w:before="0"/>
        <w:ind w:firstLine="420"/>
        <w:rPr>
          <w:rFonts w:ascii="宋体" w:hAnsi="宋体" w:cs="宋体"/>
          <w:sz w:val="21"/>
          <w:szCs w:val="21"/>
        </w:rPr>
      </w:pPr>
      <w:r>
        <w:rPr>
          <w:rFonts w:hint="eastAsia" w:ascii="宋体" w:hAnsi="宋体" w:cs="宋体"/>
          <w:sz w:val="21"/>
          <w:szCs w:val="21"/>
        </w:rPr>
        <w:t>22.2“广西政府采购云平台收到投标文件后向供应商发出确认回执通知。在投标截止时间前，除供应商补充、修改或者撤回投标文件外，任何单位和个人不得解密或提取投标文件。</w:t>
      </w:r>
    </w:p>
    <w:p w14:paraId="6F1DC97C">
      <w:pPr>
        <w:spacing w:line="360" w:lineRule="auto"/>
        <w:ind w:firstLine="420" w:firstLineChars="200"/>
        <w:rPr>
          <w:rFonts w:ascii="宋体" w:hAnsi="宋体" w:cs="宋体"/>
          <w:szCs w:val="21"/>
        </w:rPr>
      </w:pPr>
      <w:r>
        <w:rPr>
          <w:rFonts w:hint="eastAsia" w:ascii="宋体" w:hAnsi="宋体" w:cs="宋体"/>
          <w:szCs w:val="21"/>
        </w:rPr>
        <w:t>22.3在投标截止时间后，采购人和采购代理机构对已提交的投标文件概不退回。</w:t>
      </w:r>
    </w:p>
    <w:p w14:paraId="77DC1B54">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四、开    标</w:t>
      </w:r>
      <w:bookmarkEnd w:id="119"/>
      <w:bookmarkEnd w:id="120"/>
    </w:p>
    <w:p w14:paraId="440BE327">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24" w:name="_23.开标时间和地点"/>
      <w:bookmarkEnd w:id="124"/>
      <w:r>
        <w:rPr>
          <w:rFonts w:hint="eastAsia" w:asciiTheme="majorEastAsia" w:hAnsiTheme="majorEastAsia" w:eastAsiaTheme="majorEastAsia" w:cstheme="majorEastAsia"/>
          <w:sz w:val="24"/>
        </w:rPr>
        <w:t>23.开标时间和地点</w:t>
      </w:r>
    </w:p>
    <w:p w14:paraId="739DEFFF">
      <w:pPr>
        <w:spacing w:line="360" w:lineRule="auto"/>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开标时间及地点详见“投标人须知前附表”</w:t>
      </w:r>
    </w:p>
    <w:p w14:paraId="09C2DA38">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24.开标程序</w:t>
      </w:r>
    </w:p>
    <w:p w14:paraId="1D7A7D0E">
      <w:pPr>
        <w:pStyle w:val="7"/>
        <w:spacing w:line="360" w:lineRule="auto"/>
      </w:pPr>
      <w:r>
        <w:t>24.1</w:t>
      </w:r>
      <w:r>
        <w:rPr>
          <w:rFonts w:hint="eastAsia"/>
        </w:rPr>
        <w:t>提交投标文件截止时间止，投标人不足</w:t>
      </w:r>
      <w:r>
        <w:t>3</w:t>
      </w:r>
      <w:r>
        <w:rPr>
          <w:rFonts w:hint="eastAsia"/>
        </w:rPr>
        <w:t>家的，不得开标。</w:t>
      </w:r>
    </w:p>
    <w:p w14:paraId="7E97FFC4">
      <w:pPr>
        <w:pStyle w:val="7"/>
        <w:spacing w:line="360" w:lineRule="auto"/>
      </w:pPr>
      <w:r>
        <w:t>24.2</w:t>
      </w:r>
      <w:r>
        <w:rPr>
          <w:rFonts w:hint="eastAsia"/>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41D65284">
      <w:pPr>
        <w:pStyle w:val="7"/>
        <w:spacing w:line="360" w:lineRule="auto"/>
      </w:pPr>
      <w:r>
        <w:t>24.3</w:t>
      </w:r>
      <w:r>
        <w:rPr>
          <w:rFonts w:hint="eastAsia"/>
        </w:rPr>
        <w:t>开标程序</w:t>
      </w:r>
    </w:p>
    <w:p w14:paraId="21DBDDC1">
      <w:pPr>
        <w:pStyle w:val="7"/>
        <w:spacing w:line="360" w:lineRule="auto"/>
      </w:pPr>
      <w:r>
        <w:rPr>
          <w:rFonts w:hint="eastAsia"/>
        </w:rPr>
        <w:t>（</w:t>
      </w:r>
      <w:r>
        <w:t>1</w:t>
      </w:r>
      <w:r>
        <w:rPr>
          <w:rFonts w:hint="eastAsia"/>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szCs w:val="21"/>
        </w:rPr>
        <w:t>“投标人须知前附表”</w:t>
      </w:r>
      <w:r>
        <w:rPr>
          <w:rFonts w:hint="eastAsia"/>
        </w:rPr>
        <w:t>规定的时间内自行进行投标文件解密。投标人的法定代表人或其委托代理人须凭加密时所用的</w:t>
      </w:r>
      <w:r>
        <w:t>CA</w:t>
      </w:r>
      <w:r>
        <w:rPr>
          <w:rFonts w:hint="eastAsia"/>
        </w:rPr>
        <w:t>锁准时登录到广西政府采购云平台电子开标大厅签到并对电子投标文件解密。</w:t>
      </w:r>
      <w:r>
        <w:rPr>
          <w:rFonts w:hint="eastAsia"/>
          <w:b/>
        </w:rPr>
        <w:t>投标人未在规定的时间内解密投标文件或者解密失败的，</w:t>
      </w:r>
      <w:r>
        <w:rPr>
          <w:rFonts w:hint="eastAsia" w:ascii="宋体" w:hAnsi="宋体"/>
          <w:b/>
          <w:szCs w:val="21"/>
        </w:rPr>
        <w:t>投标人的投标文件作无效处理</w:t>
      </w:r>
      <w:r>
        <w:rPr>
          <w:rFonts w:hint="eastAsia"/>
          <w:b/>
        </w:rPr>
        <w:t>。</w:t>
      </w:r>
    </w:p>
    <w:p w14:paraId="09388EAA">
      <w:pPr>
        <w:pStyle w:val="7"/>
        <w:spacing w:line="360" w:lineRule="auto"/>
      </w:pPr>
      <w:r>
        <w:rPr>
          <w:rFonts w:hint="eastAsia"/>
        </w:rPr>
        <w:t>（</w:t>
      </w:r>
      <w:r>
        <w:t>2</w:t>
      </w:r>
      <w:r>
        <w:rPr>
          <w:rFonts w:hint="eastAsia"/>
        </w:rPr>
        <w:t>）电子唱标。投标文件解密结束，宣布的内容均在广西政府采购云平台远程开标大厅展示，具体详见</w:t>
      </w:r>
      <w:r>
        <w:rPr>
          <w:rFonts w:hint="eastAsia" w:hAnsi="宋体"/>
          <w:bCs/>
        </w:rPr>
        <w:t>“投标人须知前附表”</w:t>
      </w:r>
      <w:r>
        <w:rPr>
          <w:rFonts w:hint="eastAsia"/>
        </w:rPr>
        <w:t>；</w:t>
      </w:r>
    </w:p>
    <w:p w14:paraId="54606DA1">
      <w:pPr>
        <w:pStyle w:val="7"/>
        <w:spacing w:line="360" w:lineRule="auto"/>
      </w:pPr>
      <w:r>
        <w:rPr>
          <w:rFonts w:hint="eastAsia"/>
        </w:rPr>
        <w:t>（</w:t>
      </w:r>
      <w:r>
        <w:t>3</w:t>
      </w:r>
      <w:r>
        <w:rPr>
          <w:rFonts w:hint="eastAsia"/>
        </w:rPr>
        <w:t>）开标过程由采购代理机构如实记录，并电子留痕，由参加电子开标的各投标人代表对电子开标记录在开标记录公布后</w:t>
      </w:r>
      <w:r>
        <w:t>15</w:t>
      </w:r>
      <w:r>
        <w:rPr>
          <w:rFonts w:hint="eastAsia"/>
        </w:rPr>
        <w:t>分钟内进行当场校核及勘误，并线上确认是否有异议，未确认的视同认可开标结果。</w:t>
      </w:r>
    </w:p>
    <w:p w14:paraId="33BB3B79">
      <w:pPr>
        <w:pStyle w:val="7"/>
        <w:spacing w:line="360" w:lineRule="auto"/>
      </w:pPr>
      <w:r>
        <w:rPr>
          <w:rFonts w:hint="eastAsia"/>
        </w:rPr>
        <w:t>（</w:t>
      </w:r>
      <w:r>
        <w:t>4</w:t>
      </w:r>
      <w:r>
        <w:rPr>
          <w:rFonts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286B478">
      <w:pPr>
        <w:pStyle w:val="7"/>
        <w:spacing w:line="360" w:lineRule="auto"/>
        <w:rPr>
          <w:szCs w:val="21"/>
        </w:rPr>
      </w:pPr>
      <w:r>
        <w:rPr>
          <w:rFonts w:hint="eastAsia"/>
          <w:szCs w:val="21"/>
        </w:rPr>
        <w:t>（</w:t>
      </w:r>
      <w:r>
        <w:rPr>
          <w:szCs w:val="21"/>
        </w:rPr>
        <w:t>5</w:t>
      </w:r>
      <w:r>
        <w:rPr>
          <w:rFonts w:hint="eastAsia"/>
          <w:szCs w:val="21"/>
        </w:rPr>
        <w:t>）开标结束。</w:t>
      </w:r>
    </w:p>
    <w:p w14:paraId="5ABB538C">
      <w:pPr>
        <w:pStyle w:val="25"/>
        <w:snapToGrid w:val="0"/>
        <w:spacing w:line="360" w:lineRule="auto"/>
        <w:ind w:firstLine="420" w:firstLineChars="200"/>
        <w:rPr>
          <w:rFonts w:hAnsi="宋体"/>
          <w:sz w:val="21"/>
        </w:rPr>
      </w:pPr>
      <w:r>
        <w:rPr>
          <w:rFonts w:hint="eastAsia"/>
          <w:sz w:val="21"/>
        </w:rPr>
        <w:t>特别说明：如遇广西政府采购云平台电子化开标或评审程序调整的，按调整后执行。</w:t>
      </w:r>
    </w:p>
    <w:p w14:paraId="47B54D18">
      <w:pPr>
        <w:pStyle w:val="25"/>
        <w:snapToGrid w:val="0"/>
        <w:spacing w:line="360" w:lineRule="auto"/>
        <w:ind w:left="689" w:leftChars="228" w:hanging="210" w:hangingChars="100"/>
        <w:rPr>
          <w:rFonts w:asciiTheme="majorEastAsia" w:hAnsiTheme="majorEastAsia" w:eastAsiaTheme="majorEastAsia" w:cstheme="majorEastAsia"/>
          <w:sz w:val="21"/>
        </w:rPr>
      </w:pPr>
    </w:p>
    <w:p w14:paraId="1C44298D">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五、资格审查</w:t>
      </w:r>
    </w:p>
    <w:p w14:paraId="565712B9">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25.资格审查</w:t>
      </w:r>
    </w:p>
    <w:p w14:paraId="284920AD">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25.1开标结束后，采购人或者采购代理机构通过电子开评标系统依据招标文件对电子投标文件进行线上资格审查。</w:t>
      </w:r>
    </w:p>
    <w:p w14:paraId="0E33AE07">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063FC9E7">
      <w:pPr>
        <w:pStyle w:val="6"/>
        <w:keepNext w:val="0"/>
        <w:keepLines w:val="0"/>
        <w:numPr>
          <w:ilvl w:val="0"/>
          <w:numId w:val="0"/>
        </w:numPr>
        <w:spacing w:before="0" w:after="0" w:line="360" w:lineRule="auto"/>
        <w:ind w:firstLine="422" w:firstLineChars="200"/>
        <w:rPr>
          <w:rFonts w:asciiTheme="majorEastAsia" w:hAnsiTheme="majorEastAsia" w:eastAsiaTheme="majorEastAsia" w:cstheme="majorEastAsia"/>
          <w:sz w:val="21"/>
          <w:szCs w:val="21"/>
        </w:rPr>
      </w:pPr>
      <w:bookmarkStart w:id="125" w:name="_25.3_投标人有下列情形之一的，资格审查不通过而导致其投标无效："/>
      <w:bookmarkEnd w:id="125"/>
      <w:r>
        <w:rPr>
          <w:rFonts w:hint="eastAsia" w:asciiTheme="majorEastAsia" w:hAnsiTheme="majorEastAsia" w:eastAsiaTheme="majorEastAsia" w:cstheme="majorEastAsia"/>
          <w:sz w:val="21"/>
          <w:szCs w:val="21"/>
        </w:rPr>
        <w:t>25.3 投标人有下列情形之一的，资格审查不通过，作无效投标处理：</w:t>
      </w:r>
    </w:p>
    <w:p w14:paraId="7F964E6A">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（1）不具备招标文件中规定的资格要求的；</w:t>
      </w:r>
    </w:p>
    <w:p w14:paraId="63DD89E1">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0A685F6A">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02AAFD2F">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（4）投标文件中的资格证明文件缺少任一项“投标人须知前附表”资格证明文件规定“必须提供”的文件资料的；</w:t>
      </w:r>
    </w:p>
    <w:p w14:paraId="2F794098">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（5）投标文件中的资格证明文件出现任一项不符合“投标人须知前附表”资格证明文件规定“必须提供”的文件资料要求或者无效的。</w:t>
      </w:r>
    </w:p>
    <w:p w14:paraId="25A4DE6D">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sz w:val="21"/>
          <w:szCs w:val="21"/>
        </w:rPr>
        <w:t>25.4合格投标人不足3家的，不得评标。</w:t>
      </w:r>
    </w:p>
    <w:p w14:paraId="26BA1395">
      <w:pPr>
        <w:pStyle w:val="25"/>
        <w:snapToGrid w:val="0"/>
        <w:spacing w:line="360" w:lineRule="auto"/>
        <w:ind w:left="689" w:leftChars="228" w:hanging="210" w:hangingChars="100"/>
        <w:rPr>
          <w:rFonts w:asciiTheme="majorEastAsia" w:hAnsiTheme="majorEastAsia" w:eastAsiaTheme="majorEastAsia" w:cstheme="majorEastAsia"/>
          <w:sz w:val="21"/>
        </w:rPr>
      </w:pPr>
    </w:p>
    <w:p w14:paraId="55123BB0">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六、评   标</w:t>
      </w:r>
    </w:p>
    <w:p w14:paraId="4CEC18B4">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26" w:name="_26.组建评标委员会"/>
      <w:bookmarkEnd w:id="126"/>
      <w:r>
        <w:rPr>
          <w:rFonts w:hint="eastAsia" w:asciiTheme="majorEastAsia" w:hAnsiTheme="majorEastAsia" w:eastAsiaTheme="majorEastAsia" w:cstheme="majorEastAsia"/>
          <w:sz w:val="24"/>
        </w:rPr>
        <w:t>26.组建评标委员会</w:t>
      </w:r>
    </w:p>
    <w:p w14:paraId="50E40CAB">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26.1评标委员会由采购人代表和评审专家组成，具体人数详见“投标人须知前附表”，其中评审专家不得少于成员总数的三分之二。</w:t>
      </w:r>
    </w:p>
    <w:p w14:paraId="18525FE1">
      <w:pPr>
        <w:pStyle w:val="25"/>
        <w:snapToGrid w:val="0"/>
        <w:spacing w:line="360" w:lineRule="auto"/>
        <w:ind w:left="2" w:leftChars="1"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26.2参加过采购项目前期咨询论证的专家，不得参加该采购项目的评审活动。</w:t>
      </w:r>
    </w:p>
    <w:p w14:paraId="293E15A0">
      <w:pPr>
        <w:pStyle w:val="25"/>
        <w:snapToGrid w:val="0"/>
        <w:spacing w:line="360" w:lineRule="auto"/>
        <w:ind w:left="2" w:leftChars="1"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26.3</w:t>
      </w:r>
      <w:r>
        <w:rPr>
          <w:rFonts w:hint="eastAsia" w:asciiTheme="majorEastAsia" w:hAnsiTheme="majorEastAsia" w:eastAsiaTheme="majorEastAsia" w:cstheme="majorEastAsia"/>
          <w:bCs/>
          <w:sz w:val="21"/>
        </w:rPr>
        <w:t>采购代理机构应当基于广西政府采购云平台平台抽（选）取评审专家。</w:t>
      </w:r>
    </w:p>
    <w:p w14:paraId="6B6F88D3">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27.评标的依据</w:t>
      </w:r>
    </w:p>
    <w:p w14:paraId="17169978">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评标委员会以“第四章 评标方法和评标标准”为依据对投标文件进行评审，没有规定的方法、评审因素和标准，不作为评标依据。</w:t>
      </w:r>
    </w:p>
    <w:p w14:paraId="6BBDF3D5">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28.评标原则</w:t>
      </w:r>
    </w:p>
    <w:p w14:paraId="547694E5">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9C19E9B">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28.2</w:t>
      </w:r>
      <w:bookmarkStart w:id="127" w:name="_28.3评标方法。本项目将按须知前附表规定的评标办法进行评标，具体评标"/>
      <w:bookmarkEnd w:id="127"/>
      <w:r>
        <w:rPr>
          <w:rFonts w:hint="eastAsia" w:asciiTheme="majorEastAsia" w:hAnsiTheme="majorEastAsia" w:eastAsiaTheme="majorEastAsia" w:cstheme="majorEastAsia"/>
          <w:sz w:val="21"/>
        </w:rPr>
        <w:t>评委表决。评标委员会成员对需要共同认定的事项存在争议的，应当按照少数服从多数的原则作出结论。</w:t>
      </w:r>
    </w:p>
    <w:p w14:paraId="66B427B5">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F1B5C85">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28.4评标过程的监控。本项目电子评标过程实行网上留痕、全程录音、录像监控，</w:t>
      </w:r>
      <w:r>
        <w:rPr>
          <w:rFonts w:hint="eastAsia" w:asciiTheme="majorEastAsia" w:hAnsiTheme="majorEastAsia" w:eastAsiaTheme="majorEastAsia" w:cstheme="majorEastAsia"/>
          <w:b/>
          <w:sz w:val="21"/>
        </w:rPr>
        <w:t>投标人在评标过程中所进行的试图影响评标结果的不公正活动，可能导致其投标按无效处理。</w:t>
      </w:r>
    </w:p>
    <w:p w14:paraId="48477CA6">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29.评标方法及中标候选人推荐</w:t>
      </w:r>
    </w:p>
    <w:p w14:paraId="7F59D3B8">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29.1本项目的评标方法详见“投标人须知前附表”。</w:t>
      </w:r>
    </w:p>
    <w:p w14:paraId="1625EFC1">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29.2 商务要求允许负偏离的条款数详见“投标人须知前附表”。</w:t>
      </w:r>
    </w:p>
    <w:p w14:paraId="7BAACFCD">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29.3 中标候选人推荐数量详见“投标人须知前附表”。</w:t>
      </w:r>
    </w:p>
    <w:p w14:paraId="5922DA82">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29.4 电子交易活动的中止。采购过程中出现以下情形，导致电子交易平台无法正常运行，或者无法保证电子交易的公平、公正和安全时，采购代理机构可以中止电子交易活动：</w:t>
      </w:r>
    </w:p>
    <w:p w14:paraId="0C1F34CA">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（1）电子交易平台发生故障而无法登录访问的； </w:t>
      </w:r>
    </w:p>
    <w:p w14:paraId="0F56DC3A">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（2）电子交易平台应用或数据库出现错误，不能进行正常操作的；</w:t>
      </w:r>
    </w:p>
    <w:p w14:paraId="45680F4F">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（3）电子交易平台发现严重安全漏洞，有潜在泄密危险的；</w:t>
      </w:r>
    </w:p>
    <w:p w14:paraId="55CBADD3">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（4）病毒发作导致不能进行正常操作的； </w:t>
      </w:r>
    </w:p>
    <w:p w14:paraId="76231052">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（5）其他无法保证电子交易的公平、公正和安全的情况。</w:t>
      </w:r>
    </w:p>
    <w:p w14:paraId="78E76096">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0060F56">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29.5出现下列情形之一的，应予废标：</w:t>
      </w:r>
    </w:p>
    <w:p w14:paraId="4E005CB4">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（1）符合专业条件的供应商或者对招标文件作实质响应的供应商不足三家的；</w:t>
      </w:r>
    </w:p>
    <w:p w14:paraId="2935F912">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（2）出现影响采购公正的违法、违规行为的；</w:t>
      </w:r>
    </w:p>
    <w:p w14:paraId="1EF6D849">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（3）投标人的报价均超过了采购预算，采购人不能支付的；</w:t>
      </w:r>
    </w:p>
    <w:p w14:paraId="6F00E0F2">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（4）因重大变故，采购任务取消的。</w:t>
      </w:r>
    </w:p>
    <w:p w14:paraId="34CE2CF2">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废标后，采购人应当将废标理由通知所有投标人。</w:t>
      </w:r>
    </w:p>
    <w:p w14:paraId="33A2041D">
      <w:pPr>
        <w:pStyle w:val="25"/>
        <w:snapToGrid w:val="0"/>
        <w:spacing w:line="360" w:lineRule="auto"/>
        <w:rPr>
          <w:rFonts w:asciiTheme="majorEastAsia" w:hAnsiTheme="majorEastAsia" w:eastAsiaTheme="majorEastAsia" w:cstheme="majorEastAsia"/>
          <w:sz w:val="21"/>
        </w:rPr>
      </w:pPr>
    </w:p>
    <w:p w14:paraId="456E9A4B">
      <w:pPr>
        <w:pStyle w:val="4"/>
        <w:keepNext w:val="0"/>
        <w:keepLines w:val="0"/>
        <w:jc w:val="center"/>
        <w:rPr>
          <w:rFonts w:asciiTheme="majorEastAsia" w:hAnsiTheme="majorEastAsia" w:eastAsiaTheme="majorEastAsia" w:cstheme="majorEastAsia"/>
        </w:rPr>
      </w:pPr>
      <w:bookmarkStart w:id="128" w:name="_Toc254970687"/>
      <w:bookmarkStart w:id="129" w:name="_Toc254970546"/>
      <w:r>
        <w:rPr>
          <w:rFonts w:hint="eastAsia" w:asciiTheme="majorEastAsia" w:hAnsiTheme="majorEastAsia" w:eastAsiaTheme="majorEastAsia" w:cstheme="majorEastAsia"/>
        </w:rPr>
        <w:t>七、</w:t>
      </w:r>
      <w:bookmarkEnd w:id="128"/>
      <w:bookmarkEnd w:id="129"/>
      <w:r>
        <w:rPr>
          <w:rFonts w:hint="eastAsia" w:asciiTheme="majorEastAsia" w:hAnsiTheme="majorEastAsia" w:eastAsiaTheme="majorEastAsia" w:cstheme="majorEastAsia"/>
        </w:rPr>
        <w:t>中标和合同</w:t>
      </w:r>
    </w:p>
    <w:p w14:paraId="0ABC5D9E">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30 .确定中标人</w:t>
      </w:r>
    </w:p>
    <w:p w14:paraId="063D21A2">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7D44CED">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30.2采购人在收到评标报告5个工作日内未按评标报告推荐的中标候选人顺序确定中标人，又不能说明合法理由的，视同按评标报告推荐的顺序确定排名第一的中标候选人为中标人。</w:t>
      </w:r>
    </w:p>
    <w:p w14:paraId="120D5088">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31. 结果公告</w:t>
      </w:r>
    </w:p>
    <w:p w14:paraId="2957D1B5">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435EC3D7">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以上信息查询记录及相关证据与招标文件一并保存。</w:t>
      </w:r>
    </w:p>
    <w:p w14:paraId="6CFE77E6">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31.2中标供应商享受《政府采购促进中小企业发展管理办法》（财库〔2020〕46号）规定的中小企业扶持政策的，采购人、采购代理机构应当随中标结果公开中标供应商的《中小企业声明函》。</w:t>
      </w:r>
    </w:p>
    <w:p w14:paraId="4D0E505B">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32.发出中标通知书</w:t>
      </w:r>
    </w:p>
    <w:p w14:paraId="62837B94">
      <w:pPr>
        <w:pStyle w:val="6"/>
        <w:keepNext w:val="0"/>
        <w:keepLines w:val="0"/>
        <w:spacing w:before="0" w:after="0" w:line="360" w:lineRule="auto"/>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2DEA683">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 无义务解释未中标原因</w:t>
      </w:r>
    </w:p>
    <w:p w14:paraId="2A58573A">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采购代理机构无义务向未中标的投标人解释未中标原因。</w:t>
      </w:r>
    </w:p>
    <w:p w14:paraId="0CF4F42E">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34.合同授予标准</w:t>
      </w:r>
    </w:p>
    <w:p w14:paraId="468A30E8">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合同将授予被确定实质上响应招标文件要求，具备履行合同能力的中标人。</w:t>
      </w:r>
    </w:p>
    <w:p w14:paraId="64016E7C">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35.履约保证金</w:t>
      </w:r>
    </w:p>
    <w:p w14:paraId="65244692">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bookmarkStart w:id="130" w:name="_39.1中标人须于签订合同前按本须知前附表规定的金额转账或电汇到指定账"/>
      <w:bookmarkEnd w:id="130"/>
      <w:r>
        <w:rPr>
          <w:rFonts w:hint="eastAsia" w:asciiTheme="majorEastAsia" w:hAnsiTheme="majorEastAsia" w:eastAsiaTheme="majorEastAsia" w:cstheme="majorEastAsia"/>
          <w:b w:val="0"/>
          <w:sz w:val="21"/>
          <w:szCs w:val="21"/>
        </w:rPr>
        <w:t xml:space="preserve"> 35.1 履约保证金的金额、提交方式、退付的时间和条件详见 “投标人须知前附表”。中标人未按规定提交履约保证金的，视为拒绝与采购人签订合同。</w:t>
      </w:r>
    </w:p>
    <w:p w14:paraId="06117666">
      <w:pPr>
        <w:pStyle w:val="6"/>
        <w:keepNext w:val="0"/>
        <w:keepLines w:val="0"/>
        <w:spacing w:before="0" w:after="0" w:line="360" w:lineRule="auto"/>
        <w:ind w:firstLine="315" w:firstLineChars="15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b w:val="0"/>
          <w:bCs/>
          <w:sz w:val="21"/>
          <w:szCs w:val="21"/>
        </w:rPr>
        <w:t>35.2在履约保证金退还日期前，若中标人的开户名称、开户银行、账号有变动的，请以书面形式通知履约保证金收取单位，否则由此产生的后果由中标人自行承担。</w:t>
      </w:r>
    </w:p>
    <w:p w14:paraId="7EAF2123">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36.签订合同</w:t>
      </w:r>
    </w:p>
    <w:p w14:paraId="1AD9398D">
      <w:pPr>
        <w:pStyle w:val="6"/>
        <w:keepNext w:val="0"/>
        <w:keepLines w:val="0"/>
        <w:spacing w:before="0" w:after="0" w:line="360" w:lineRule="auto"/>
        <w:ind w:firstLine="316" w:firstLineChars="150"/>
        <w:rPr>
          <w:rFonts w:asciiTheme="majorEastAsia" w:hAnsiTheme="majorEastAsia" w:eastAsiaTheme="majorEastAsia" w:cstheme="majorEastAsia"/>
          <w:b w:val="0"/>
          <w:sz w:val="21"/>
          <w:szCs w:val="21"/>
        </w:rPr>
      </w:pPr>
      <w:bookmarkStart w:id="131" w:name="_40.1投标人接到中标通知书后，按须知前附表规定向采购人出示相关资格证"/>
      <w:bookmarkEnd w:id="131"/>
      <w:r>
        <w:rPr>
          <w:rFonts w:hint="eastAsia" w:asciiTheme="majorEastAsia" w:hAnsiTheme="majorEastAsia" w:eastAsiaTheme="majorEastAsia" w:cstheme="majorEastAsia"/>
          <w:sz w:val="21"/>
          <w:szCs w:val="21"/>
        </w:rPr>
        <w:t>36.1签订电子采购合同：中标人领取电子中标通知书后，</w:t>
      </w:r>
      <w:r>
        <w:rPr>
          <w:rFonts w:hint="eastAsia" w:asciiTheme="majorEastAsia" w:hAnsiTheme="majorEastAsia" w:eastAsiaTheme="majorEastAsia" w:cstheme="majorEastAsia"/>
          <w:kern w:val="0"/>
          <w:sz w:val="21"/>
          <w:szCs w:val="21"/>
        </w:rPr>
        <w:t>在</w:t>
      </w:r>
      <w:r>
        <w:rPr>
          <w:rFonts w:hint="eastAsia" w:asciiTheme="majorEastAsia" w:hAnsiTheme="majorEastAsia" w:eastAsiaTheme="majorEastAsia" w:cstheme="majorEastAsia"/>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2348F313">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线下签订纸质合同：投标人领取中标通知书后，按“投标人须知前附表”规定向采购人出示相关证明材料，经采购人核验合格后方可签订合同。</w:t>
      </w:r>
    </w:p>
    <w:p w14:paraId="578A86DE">
      <w:pPr>
        <w:pStyle w:val="6"/>
        <w:keepNext w:val="0"/>
        <w:keepLines w:val="0"/>
        <w:numPr>
          <w:ilvl w:val="0"/>
          <w:numId w:val="0"/>
        </w:numPr>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36.2签订合同时间：按中标通知书规定的时间与采购人签订合同。</w:t>
      </w:r>
    </w:p>
    <w:p w14:paraId="47F2C1ED">
      <w:pPr>
        <w:pStyle w:val="6"/>
        <w:keepNext w:val="0"/>
        <w:keepLines w:val="0"/>
        <w:spacing w:before="0" w:after="0" w:line="360" w:lineRule="auto"/>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4596846">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246CA2B">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36.5采购人或中标供应商不得单方面向合同另一方提出任何招标文件没有约定的条件或不合理的要求，作为签订合同的条件；也不得协商另行订立背离招标文件和合同实质性内容的协议。</w:t>
      </w:r>
    </w:p>
    <w:p w14:paraId="0F3E0393">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36.6如签订合同并生效后，供应商无故拒绝或延期，除按照合同条款处理外，将承担相应的法律责任。</w:t>
      </w:r>
    </w:p>
    <w:p w14:paraId="406F60E2">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4F4AF3F7">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32" w:name="_41.政府采购合同公告"/>
      <w:bookmarkEnd w:id="132"/>
      <w:r>
        <w:rPr>
          <w:rFonts w:hint="eastAsia" w:asciiTheme="majorEastAsia" w:hAnsiTheme="majorEastAsia" w:eastAsiaTheme="majorEastAsia" w:cstheme="majorEastAsia"/>
          <w:sz w:val="24"/>
        </w:rPr>
        <w:t>37.政府采购合同公告</w:t>
      </w:r>
    </w:p>
    <w:p w14:paraId="4A9EC254">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采购人或者受托采购代理机构应当自政府采购合同签订之日起2个工作日内，将政府采购合同在省级以上人民政府财政部门指定的媒体上公告，但政府采购合同中涉及国家秘密、商业秘密的内容除外。</w:t>
      </w:r>
    </w:p>
    <w:p w14:paraId="4B3BFB8F">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38. 询问、质疑和投诉</w:t>
      </w:r>
    </w:p>
    <w:p w14:paraId="74D63EA9">
      <w:pPr>
        <w:pStyle w:val="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38.1供应商对政府采购活动事项有疑问的，可以向采购人提出询问，采购人或者采购代理机构应当在3个工作日内对供应商依法提出的询问作出答复，但答复的内容不得涉及商业秘密。</w:t>
      </w:r>
    </w:p>
    <w:p w14:paraId="2C004DDF">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0DBB1CD8">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（1）对可以质疑的招标文件提出质疑的，为收到招标文件之日或者招标文件公告期限届满之日；</w:t>
      </w:r>
    </w:p>
    <w:p w14:paraId="319661A5">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（2）对采购过程提出质疑的，为各采购程序环节结束之日；</w:t>
      </w:r>
    </w:p>
    <w:p w14:paraId="34090534">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sz w:val="21"/>
        </w:rPr>
        <w:t>（3）对中标结果提出质疑的，为中标结果公告期限届满之日。</w:t>
      </w:r>
    </w:p>
    <w:p w14:paraId="4F6A6E4C">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38.3 </w:t>
      </w:r>
      <w:r>
        <w:rPr>
          <w:rFonts w:hint="eastAsia" w:asciiTheme="majorEastAsia" w:hAnsiTheme="majorEastAsia" w:eastAsiaTheme="majorEastAsia" w:cstheme="majorEastAsia"/>
          <w:b w:val="0"/>
          <w:bCs/>
          <w:sz w:val="21"/>
        </w:rPr>
        <w:t>供应商提出质疑应当提交质疑函和必要的证明材料，针对同一采购程序环节的质疑必须在法定质疑期内一次性提出。质疑函应当包括下列内容（质疑函格式后附）：</w:t>
      </w:r>
    </w:p>
    <w:p w14:paraId="24245E7F">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（1）供应商的姓名或者名称、地址、邮编、联系人及联系电话；</w:t>
      </w:r>
    </w:p>
    <w:p w14:paraId="4A8AAB3B">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（2）质疑项目的名称、编号；</w:t>
      </w:r>
    </w:p>
    <w:p w14:paraId="522383D6">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（3）具体、明确的质疑事项和与质疑事项相关的请求；</w:t>
      </w:r>
    </w:p>
    <w:p w14:paraId="25198E30">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（4）事实依据；</w:t>
      </w:r>
    </w:p>
    <w:p w14:paraId="74C2763E">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（5）必要的法律依据；</w:t>
      </w:r>
    </w:p>
    <w:p w14:paraId="2C5A560F">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（6）提出质疑的日期。</w:t>
      </w:r>
    </w:p>
    <w:p w14:paraId="1FDC1A34">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供应商为自然人的，应当由本人签字；供应商为法人或者其他组织的，应当由法定代表人、主要负责人，或者其委托代理人签字或者盖章，并加盖公章。</w:t>
      </w:r>
    </w:p>
    <w:p w14:paraId="18DC9A9F">
      <w:pPr>
        <w:pStyle w:val="6"/>
        <w:keepNext w:val="0"/>
        <w:keepLines w:val="0"/>
        <w:snapToGrid w:val="0"/>
        <w:spacing w:before="0" w:after="0" w:line="360" w:lineRule="auto"/>
        <w:ind w:firstLine="420" w:firstLineChars="200"/>
        <w:rPr>
          <w:rFonts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sz w:val="21"/>
          <w:szCs w:val="21"/>
        </w:rPr>
        <w:t>3</w:t>
      </w:r>
      <w:r>
        <w:rPr>
          <w:rFonts w:hint="eastAsia" w:asciiTheme="majorEastAsia" w:hAnsiTheme="majorEastAsia" w:eastAsiaTheme="majorEastAsia" w:cstheme="majorEastAsia"/>
          <w:b w:val="0"/>
          <w:bCs/>
          <w:sz w:val="21"/>
          <w:szCs w:val="21"/>
        </w:rPr>
        <w:t>8.4采购人、采购代理机构认为供应商质疑不成立，或者成立但未对中标结果构成影响的，继续开展采购活动；认为供应商质疑成立且影响或者可能影响中标结果的，按照下列情况处理：</w:t>
      </w:r>
    </w:p>
    <w:p w14:paraId="03264185">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　　（一）对招标文件提出的质疑，依法通过澄清或者修改可以继续开展采购活动的，澄清或者修改招标文件后继续开展采购活动；否则应当修改招标文件后重新开展采购活动。</w:t>
      </w:r>
    </w:p>
    <w:p w14:paraId="5F2F5CC7">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　　（二）对采购过程、中标结果提出的质疑，合格供应商符合法定数量时，可以从合格的中标候选人中另行确定中标供应商的，应当依法另行确定中标供应商；否则应当重新开展采购活动。</w:t>
      </w:r>
    </w:p>
    <w:p w14:paraId="493C518A">
      <w:pPr>
        <w:pStyle w:val="25"/>
        <w:snapToGrid w:val="0"/>
        <w:spacing w:line="360" w:lineRule="auto"/>
        <w:ind w:firstLine="42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质疑答复导致中标结果改变的，采购人或者采购代理机构应当将有关情况书面报告本级财政部门。</w:t>
      </w:r>
    </w:p>
    <w:p w14:paraId="1E90136D">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7109377">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八、其他事项</w:t>
      </w:r>
    </w:p>
    <w:p w14:paraId="0AE1C3CF">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33" w:name="_42.代理服务费"/>
      <w:bookmarkEnd w:id="133"/>
      <w:r>
        <w:rPr>
          <w:rFonts w:hint="eastAsia" w:asciiTheme="majorEastAsia" w:hAnsiTheme="majorEastAsia" w:eastAsiaTheme="majorEastAsia" w:cstheme="majorEastAsia"/>
          <w:sz w:val="24"/>
        </w:rPr>
        <w:t>39.代理服务费</w:t>
      </w:r>
    </w:p>
    <w:p w14:paraId="7EC4AF6B">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39.1代理服务收取标准及缴费账户详见“投标人须知前附表”，投标人为联合体的，可以由联合体中的一方或者多方共同交纳代理服务费。</w:t>
      </w:r>
    </w:p>
    <w:p w14:paraId="75AB994F">
      <w:pPr>
        <w:pStyle w:val="25"/>
        <w:snapToGrid w:val="0"/>
        <w:spacing w:line="360" w:lineRule="auto"/>
        <w:ind w:firstLine="420" w:firstLineChars="200"/>
        <w:rPr>
          <w:rFonts w:hint="eastAsia" w:asciiTheme="majorEastAsia" w:hAnsiTheme="majorEastAsia" w:eastAsiaTheme="majorEastAsia" w:cstheme="majorEastAsia"/>
          <w:sz w:val="21"/>
          <w:lang w:eastAsia="zh-CN"/>
        </w:rPr>
      </w:pPr>
      <w:r>
        <w:rPr>
          <w:rFonts w:hint="eastAsia" w:asciiTheme="majorEastAsia" w:hAnsiTheme="majorEastAsia" w:eastAsiaTheme="majorEastAsia" w:cstheme="majorEastAsia"/>
          <w:b w:val="0"/>
          <w:sz w:val="21"/>
          <w:szCs w:val="21"/>
        </w:rPr>
        <w:t>39.2代理服务收费标准：</w:t>
      </w:r>
      <w:r>
        <w:rPr>
          <w:rFonts w:hint="eastAsia" w:asciiTheme="majorEastAsia" w:hAnsiTheme="majorEastAsia" w:eastAsiaTheme="majorEastAsia" w:cstheme="majorEastAsia"/>
          <w:b w:val="0"/>
          <w:sz w:val="21"/>
          <w:szCs w:val="21"/>
          <w:lang w:eastAsia="zh-CN"/>
        </w:rPr>
        <w:t>固定收费。</w:t>
      </w:r>
    </w:p>
    <w:p w14:paraId="0FAE2E14">
      <w:pPr>
        <w:pStyle w:val="6"/>
        <w:keepNext w:val="0"/>
        <w:keepLines w:val="0"/>
        <w:spacing w:before="0" w:after="0"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40. 需要补充的其他内容</w:t>
      </w:r>
    </w:p>
    <w:p w14:paraId="22DFAAC2">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40.1本招标文件解释规则详见“投标人须知前附表”。</w:t>
      </w:r>
    </w:p>
    <w:p w14:paraId="75757370">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40.2 其他事项详见“投标人须知前附表”。</w:t>
      </w:r>
    </w:p>
    <w:p w14:paraId="20D31E33">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40.3</w:t>
      </w:r>
      <w:bookmarkStart w:id="134" w:name="_Hlk65857140"/>
      <w:r>
        <w:rPr>
          <w:rFonts w:hint="eastAsia" w:asciiTheme="majorEastAsia" w:hAnsiTheme="majorEastAsia" w:eastAsiaTheme="majorEastAsia" w:cstheme="majorEastAsia"/>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C64F2F9">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（1）在货物采购项目中，货物由中小企业制造，即货物由中小企业生产且使用该中小企业商号或者注册商标，不对其中涉及的工程承建商和服务的承接商作出要求；</w:t>
      </w:r>
    </w:p>
    <w:p w14:paraId="7D6CC971">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（2）在工程采购项目中，工程由中小企业承建，即工程施工单位为中小企业，不对其中涉及的货物的制造商和服务的承接商作出要求；</w:t>
      </w:r>
    </w:p>
    <w:p w14:paraId="57DBE1B9">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（3）在服务采购项目中，服务由中小企业承接，即提供服务的人员为中小企业依照《中华人民共和国劳动合同法》订立劳动合同的从业人员，不对其中涉及的货物的制造商和工程承建商作出要求。</w:t>
      </w:r>
    </w:p>
    <w:p w14:paraId="3B1E591C">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D70F5EA">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依据本招标文件规定享受扶持政策获得政府采购合同的，小微企业不得将合同分包给大中型企业，中型企业不得将合同分包给大型企业。</w:t>
      </w:r>
      <w:bookmarkEnd w:id="134"/>
    </w:p>
    <w:p w14:paraId="1A8275FD">
      <w:pPr>
        <w:pStyle w:val="19"/>
        <w:ind w:left="479" w:leftChars="114" w:hanging="240" w:hangingChars="100"/>
        <w:rPr>
          <w:rFonts w:asciiTheme="majorEastAsia" w:hAnsiTheme="majorEastAsia" w:eastAsiaTheme="majorEastAsia" w:cstheme="majorEastAsia"/>
        </w:rPr>
      </w:pPr>
    </w:p>
    <w:p w14:paraId="0F323092">
      <w:pPr>
        <w:pStyle w:val="25"/>
        <w:snapToGrid w:val="0"/>
        <w:spacing w:before="120" w:after="120"/>
        <w:rPr>
          <w:rFonts w:asciiTheme="majorEastAsia" w:hAnsiTheme="majorEastAsia" w:eastAsiaTheme="majorEastAsia" w:cstheme="majorEastAsia"/>
        </w:rPr>
      </w:pPr>
    </w:p>
    <w:p w14:paraId="597A16C3">
      <w:pPr>
        <w:pStyle w:val="25"/>
        <w:snapToGrid w:val="0"/>
        <w:spacing w:before="120" w:after="120"/>
        <w:rPr>
          <w:rFonts w:asciiTheme="majorEastAsia" w:hAnsiTheme="majorEastAsia" w:eastAsiaTheme="majorEastAsia" w:cstheme="majorEastAsia"/>
        </w:rPr>
      </w:pPr>
    </w:p>
    <w:p w14:paraId="15B3CD85">
      <w:pPr>
        <w:pStyle w:val="25"/>
        <w:snapToGrid w:val="0"/>
        <w:spacing w:before="120" w:after="120"/>
        <w:rPr>
          <w:rFonts w:asciiTheme="majorEastAsia" w:hAnsiTheme="majorEastAsia" w:eastAsiaTheme="majorEastAsia" w:cstheme="majorEastAsia"/>
        </w:rPr>
      </w:pPr>
    </w:p>
    <w:p w14:paraId="2CF5C3BE">
      <w:pPr>
        <w:pStyle w:val="25"/>
        <w:snapToGrid w:val="0"/>
        <w:spacing w:before="120" w:after="120"/>
        <w:rPr>
          <w:rFonts w:asciiTheme="majorEastAsia" w:hAnsiTheme="majorEastAsia" w:eastAsiaTheme="majorEastAsia" w:cstheme="majorEastAsia"/>
        </w:rPr>
      </w:pPr>
    </w:p>
    <w:p w14:paraId="76250401">
      <w:pPr>
        <w:pStyle w:val="25"/>
        <w:snapToGrid w:val="0"/>
        <w:spacing w:before="120" w:after="120"/>
        <w:rPr>
          <w:rFonts w:asciiTheme="majorEastAsia" w:hAnsiTheme="majorEastAsia" w:eastAsiaTheme="majorEastAsia" w:cstheme="majorEastAsia"/>
        </w:rPr>
      </w:pPr>
    </w:p>
    <w:p w14:paraId="4C6B14D5">
      <w:pPr>
        <w:pStyle w:val="25"/>
        <w:snapToGrid w:val="0"/>
        <w:spacing w:before="120" w:after="120"/>
        <w:rPr>
          <w:rFonts w:asciiTheme="majorEastAsia" w:hAnsiTheme="majorEastAsia" w:eastAsiaTheme="majorEastAsia" w:cstheme="majorEastAsia"/>
        </w:rPr>
      </w:pPr>
    </w:p>
    <w:p w14:paraId="13C2376F">
      <w:pPr>
        <w:pStyle w:val="25"/>
        <w:snapToGrid w:val="0"/>
        <w:spacing w:before="120" w:after="120"/>
        <w:rPr>
          <w:rFonts w:asciiTheme="majorEastAsia" w:hAnsiTheme="majorEastAsia" w:eastAsiaTheme="majorEastAsia" w:cstheme="majorEastAsia"/>
        </w:rPr>
      </w:pPr>
    </w:p>
    <w:p w14:paraId="7DF4D8A9">
      <w:pPr>
        <w:pStyle w:val="25"/>
        <w:snapToGrid w:val="0"/>
        <w:spacing w:before="120" w:after="120"/>
        <w:rPr>
          <w:rFonts w:asciiTheme="majorEastAsia" w:hAnsiTheme="majorEastAsia" w:eastAsiaTheme="majorEastAsia" w:cstheme="majorEastAsia"/>
        </w:rPr>
      </w:pPr>
    </w:p>
    <w:p w14:paraId="7A3E0C20">
      <w:pPr>
        <w:pStyle w:val="25"/>
        <w:snapToGrid w:val="0"/>
        <w:spacing w:before="120" w:after="120"/>
        <w:rPr>
          <w:rFonts w:asciiTheme="majorEastAsia" w:hAnsiTheme="majorEastAsia" w:eastAsiaTheme="majorEastAsia" w:cstheme="majorEastAsia"/>
        </w:rPr>
      </w:pPr>
    </w:p>
    <w:p w14:paraId="6C3E8A0C">
      <w:pPr>
        <w:pStyle w:val="25"/>
        <w:snapToGrid w:val="0"/>
        <w:spacing w:before="120" w:after="120"/>
        <w:rPr>
          <w:rFonts w:asciiTheme="majorEastAsia" w:hAnsiTheme="majorEastAsia" w:eastAsiaTheme="majorEastAsia" w:cstheme="majorEastAsia"/>
        </w:rPr>
      </w:pPr>
    </w:p>
    <w:p w14:paraId="252A129D">
      <w:pPr>
        <w:pStyle w:val="25"/>
        <w:snapToGrid w:val="0"/>
        <w:spacing w:before="120" w:after="120"/>
        <w:rPr>
          <w:rFonts w:asciiTheme="majorEastAsia" w:hAnsiTheme="majorEastAsia" w:eastAsiaTheme="majorEastAsia" w:cstheme="majorEastAsia"/>
        </w:rPr>
      </w:pPr>
    </w:p>
    <w:p w14:paraId="0590BFD3">
      <w:pPr>
        <w:pStyle w:val="25"/>
        <w:snapToGrid w:val="0"/>
        <w:spacing w:before="120" w:after="120"/>
        <w:rPr>
          <w:rFonts w:asciiTheme="majorEastAsia" w:hAnsiTheme="majorEastAsia" w:eastAsiaTheme="majorEastAsia" w:cstheme="majorEastAsia"/>
        </w:rPr>
      </w:pPr>
    </w:p>
    <w:p w14:paraId="3E109FED">
      <w:pPr>
        <w:pStyle w:val="25"/>
        <w:snapToGrid w:val="0"/>
        <w:spacing w:before="120" w:after="120"/>
        <w:rPr>
          <w:rFonts w:asciiTheme="majorEastAsia" w:hAnsiTheme="majorEastAsia" w:eastAsiaTheme="majorEastAsia" w:cstheme="majorEastAsia"/>
        </w:rPr>
      </w:pPr>
    </w:p>
    <w:p w14:paraId="06F0E86C">
      <w:pPr>
        <w:rPr>
          <w:rFonts w:hint="eastAsia" w:asciiTheme="majorEastAsia" w:hAnsiTheme="majorEastAsia" w:eastAsiaTheme="majorEastAsia" w:cstheme="majorEastAsia"/>
        </w:rPr>
      </w:pPr>
      <w:bookmarkStart w:id="135" w:name="_Toc254970689"/>
      <w:bookmarkStart w:id="136" w:name="_Toc254970548"/>
      <w:bookmarkStart w:id="137" w:name="_Toc330456896"/>
      <w:bookmarkStart w:id="138" w:name="_Toc74320803"/>
      <w:r>
        <w:rPr>
          <w:rFonts w:hint="eastAsia" w:asciiTheme="majorEastAsia" w:hAnsiTheme="majorEastAsia" w:eastAsiaTheme="majorEastAsia" w:cstheme="majorEastAsia"/>
        </w:rPr>
        <w:br w:type="page"/>
      </w:r>
    </w:p>
    <w:p w14:paraId="27EA1249">
      <w:pPr>
        <w:pStyle w:val="2"/>
        <w:jc w:val="center"/>
        <w:rPr>
          <w:rFonts w:hint="eastAsia" w:asciiTheme="majorEastAsia" w:hAnsiTheme="majorEastAsia" w:eastAsiaTheme="majorEastAsia" w:cstheme="majorEastAsia"/>
        </w:rPr>
      </w:pPr>
    </w:p>
    <w:p w14:paraId="09AA415F">
      <w:pPr>
        <w:pStyle w:val="2"/>
        <w:jc w:val="center"/>
        <w:rPr>
          <w:rFonts w:hint="eastAsia" w:asciiTheme="majorEastAsia" w:hAnsiTheme="majorEastAsia" w:eastAsiaTheme="majorEastAsia" w:cstheme="majorEastAsia"/>
        </w:rPr>
      </w:pPr>
    </w:p>
    <w:p w14:paraId="2B6B79D4">
      <w:pPr>
        <w:pStyle w:val="2"/>
        <w:jc w:val="center"/>
        <w:rPr>
          <w:rFonts w:hint="eastAsia" w:asciiTheme="majorEastAsia" w:hAnsiTheme="majorEastAsia" w:eastAsiaTheme="majorEastAsia" w:cstheme="majorEastAsia"/>
        </w:rPr>
      </w:pPr>
    </w:p>
    <w:p w14:paraId="19A9C7A0">
      <w:pPr>
        <w:pStyle w:val="2"/>
        <w:jc w:val="center"/>
        <w:rPr>
          <w:rFonts w:asciiTheme="majorEastAsia" w:hAnsiTheme="majorEastAsia" w:eastAsiaTheme="majorEastAsia" w:cstheme="majorEastAsia"/>
        </w:rPr>
      </w:pPr>
      <w:r>
        <w:rPr>
          <w:rFonts w:hint="eastAsia" w:asciiTheme="majorEastAsia" w:hAnsiTheme="majorEastAsia" w:eastAsiaTheme="majorEastAsia" w:cstheme="majorEastAsia"/>
        </w:rPr>
        <w:t>第四章  评标方法及评标标准</w:t>
      </w:r>
      <w:bookmarkEnd w:id="135"/>
      <w:bookmarkEnd w:id="136"/>
      <w:bookmarkEnd w:id="137"/>
      <w:bookmarkEnd w:id="138"/>
    </w:p>
    <w:p w14:paraId="5F39B0BC">
      <w:pPr>
        <w:pStyle w:val="25"/>
        <w:spacing w:before="120" w:after="120"/>
        <w:outlineLvl w:val="0"/>
        <w:rPr>
          <w:rFonts w:asciiTheme="majorEastAsia" w:hAnsiTheme="majorEastAsia" w:eastAsiaTheme="majorEastAsia" w:cstheme="majorEastAsia"/>
          <w:b/>
        </w:rPr>
      </w:pPr>
      <w:bookmarkStart w:id="139" w:name="_Toc254970549"/>
      <w:bookmarkStart w:id="140" w:name="_Toc254970690"/>
    </w:p>
    <w:bookmarkEnd w:id="139"/>
    <w:bookmarkEnd w:id="140"/>
    <w:p w14:paraId="610939C2">
      <w:pPr>
        <w:pStyle w:val="25"/>
        <w:spacing w:before="120" w:after="120"/>
        <w:outlineLvl w:val="0"/>
        <w:rPr>
          <w:rFonts w:asciiTheme="majorEastAsia" w:hAnsiTheme="majorEastAsia" w:eastAsiaTheme="majorEastAsia" w:cstheme="majorEastAsia"/>
          <w:bCs/>
          <w:sz w:val="32"/>
          <w:szCs w:val="32"/>
        </w:rPr>
      </w:pPr>
    </w:p>
    <w:p w14:paraId="5B98A62E">
      <w:pPr>
        <w:pStyle w:val="25"/>
        <w:spacing w:before="120" w:after="120"/>
        <w:outlineLvl w:val="0"/>
        <w:rPr>
          <w:rFonts w:asciiTheme="majorEastAsia" w:hAnsiTheme="majorEastAsia" w:eastAsiaTheme="majorEastAsia" w:cstheme="majorEastAsia"/>
          <w:bCs/>
          <w:sz w:val="32"/>
          <w:szCs w:val="32"/>
        </w:rPr>
      </w:pPr>
    </w:p>
    <w:p w14:paraId="2C26B023">
      <w:pPr>
        <w:pStyle w:val="25"/>
        <w:spacing w:before="120" w:after="120"/>
        <w:outlineLvl w:val="0"/>
        <w:rPr>
          <w:rFonts w:asciiTheme="majorEastAsia" w:hAnsiTheme="majorEastAsia" w:eastAsiaTheme="majorEastAsia" w:cstheme="majorEastAsia"/>
          <w:bCs/>
          <w:sz w:val="32"/>
          <w:szCs w:val="32"/>
        </w:rPr>
      </w:pPr>
    </w:p>
    <w:p w14:paraId="6427AC5F">
      <w:pPr>
        <w:spacing w:before="120" w:beforeLines="50" w:after="120" w:afterLines="50" w:line="400" w:lineRule="exact"/>
        <w:rPr>
          <w:rFonts w:asciiTheme="majorEastAsia" w:hAnsiTheme="majorEastAsia" w:eastAsiaTheme="majorEastAsia" w:cstheme="majorEastAsia"/>
          <w:b/>
          <w:sz w:val="24"/>
        </w:rPr>
      </w:pPr>
    </w:p>
    <w:p w14:paraId="2636A96C">
      <w:pPr>
        <w:spacing w:before="120" w:beforeLines="50" w:after="120" w:afterLines="50" w:line="400" w:lineRule="exact"/>
        <w:rPr>
          <w:rFonts w:asciiTheme="majorEastAsia" w:hAnsiTheme="majorEastAsia" w:eastAsiaTheme="majorEastAsia" w:cstheme="majorEastAsia"/>
          <w:b/>
          <w:sz w:val="24"/>
        </w:rPr>
      </w:pPr>
    </w:p>
    <w:p w14:paraId="13674184">
      <w:pPr>
        <w:spacing w:before="120" w:beforeLines="50" w:after="120" w:afterLines="50" w:line="400" w:lineRule="exact"/>
        <w:rPr>
          <w:rFonts w:asciiTheme="majorEastAsia" w:hAnsiTheme="majorEastAsia" w:eastAsiaTheme="majorEastAsia" w:cstheme="majorEastAsia"/>
          <w:b/>
          <w:sz w:val="24"/>
        </w:rPr>
      </w:pPr>
    </w:p>
    <w:p w14:paraId="7E118ADE">
      <w:pPr>
        <w:spacing w:before="120" w:beforeLines="50" w:after="120" w:afterLines="50" w:line="400" w:lineRule="exact"/>
        <w:rPr>
          <w:rFonts w:asciiTheme="majorEastAsia" w:hAnsiTheme="majorEastAsia" w:eastAsiaTheme="majorEastAsia" w:cstheme="majorEastAsia"/>
          <w:b/>
          <w:sz w:val="24"/>
        </w:rPr>
      </w:pPr>
    </w:p>
    <w:p w14:paraId="4BB52A89">
      <w:pPr>
        <w:spacing w:before="120" w:beforeLines="50" w:after="120" w:afterLines="50" w:line="400" w:lineRule="exact"/>
        <w:rPr>
          <w:rFonts w:asciiTheme="majorEastAsia" w:hAnsiTheme="majorEastAsia" w:eastAsiaTheme="majorEastAsia" w:cstheme="majorEastAsia"/>
          <w:b/>
          <w:sz w:val="24"/>
        </w:rPr>
      </w:pPr>
    </w:p>
    <w:p w14:paraId="3B7E1F55">
      <w:pPr>
        <w:spacing w:before="120" w:beforeLines="50" w:after="120" w:afterLines="50" w:line="400" w:lineRule="exact"/>
        <w:rPr>
          <w:rFonts w:asciiTheme="majorEastAsia" w:hAnsiTheme="majorEastAsia" w:eastAsiaTheme="majorEastAsia" w:cstheme="majorEastAsia"/>
          <w:b/>
          <w:sz w:val="24"/>
        </w:rPr>
      </w:pPr>
    </w:p>
    <w:p w14:paraId="5D845B10">
      <w:pPr>
        <w:spacing w:before="120" w:beforeLines="50" w:after="120" w:afterLines="50" w:line="400" w:lineRule="exact"/>
        <w:rPr>
          <w:rFonts w:asciiTheme="majorEastAsia" w:hAnsiTheme="majorEastAsia" w:eastAsiaTheme="majorEastAsia" w:cstheme="majorEastAsia"/>
          <w:b/>
          <w:sz w:val="24"/>
        </w:rPr>
      </w:pPr>
    </w:p>
    <w:p w14:paraId="40811F14">
      <w:pPr>
        <w:pStyle w:val="25"/>
        <w:spacing w:line="360" w:lineRule="exact"/>
        <w:rPr>
          <w:rFonts w:asciiTheme="majorEastAsia" w:hAnsiTheme="majorEastAsia" w:eastAsiaTheme="majorEastAsia" w:cstheme="majorEastAsia"/>
          <w:b/>
          <w:sz w:val="24"/>
        </w:rPr>
      </w:pPr>
    </w:p>
    <w:p w14:paraId="5743D3BE">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br w:type="page"/>
      </w:r>
    </w:p>
    <w:p w14:paraId="245851BE">
      <w:pPr>
        <w:pStyle w:val="4"/>
        <w:keepNext w:val="0"/>
        <w:keepLines w:val="0"/>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一、评标方法</w:t>
      </w:r>
    </w:p>
    <w:p w14:paraId="2075B4AB">
      <w:pPr>
        <w:pStyle w:val="25"/>
        <w:spacing w:line="360" w:lineRule="auto"/>
        <w:ind w:firstLine="42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综合评分法，是指投标文件满足招标文件全部实质性要求，且按照评审因素的量化指标评审得分最高的投标人为中标候选人的评标方法。</w:t>
      </w:r>
    </w:p>
    <w:p w14:paraId="1FCE4283">
      <w:pPr>
        <w:pStyle w:val="25"/>
        <w:spacing w:line="360" w:lineRule="auto"/>
        <w:ind w:firstLine="42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最低评标价法，是指投标文件满足招标文件全部实质性要求，且投标报价最低的投标人为中标候选人的评标方法。</w:t>
      </w:r>
    </w:p>
    <w:p w14:paraId="416D9AA5">
      <w:pPr>
        <w:pStyle w:val="4"/>
        <w:keepNext w:val="0"/>
        <w:keepLines w:val="0"/>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二、评标程序</w:t>
      </w:r>
    </w:p>
    <w:p w14:paraId="2F9AE381">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1.符合性审查</w:t>
      </w:r>
    </w:p>
    <w:p w14:paraId="738583BB">
      <w:pPr>
        <w:pStyle w:val="25"/>
        <w:snapToGrid w:val="0"/>
        <w:spacing w:line="360" w:lineRule="auto"/>
        <w:ind w:left="1" w:firstLine="42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评标委员会应当对符合资格的投标人的投标文件进行投标报价、商务、技术等实质性内容符合性审查，以确定其是否满足招标文件的实质性要求。</w:t>
      </w:r>
    </w:p>
    <w:p w14:paraId="437F5943">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2.符合性审查不通过而导致投标无效的情形</w:t>
      </w:r>
    </w:p>
    <w:p w14:paraId="477A4327">
      <w:p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投标人的投标文件中存在对招标文件的任何实质性要求和条件的负偏离，将被视为投标无效。</w:t>
      </w:r>
    </w:p>
    <w:p w14:paraId="1B91BD7B">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2.1在报价评审时，如发现下列情形之一的，将被视为投标无效：</w:t>
      </w:r>
    </w:p>
    <w:p w14:paraId="5868E2B4">
      <w:pPr>
        <w:pStyle w:val="7"/>
        <w:numPr>
          <w:ilvl w:val="0"/>
          <w:numId w:val="8"/>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pacing w:val="-6"/>
          <w:szCs w:val="21"/>
        </w:rPr>
        <w:t>报价文件</w:t>
      </w:r>
      <w:r>
        <w:rPr>
          <w:rFonts w:hint="eastAsia" w:asciiTheme="majorEastAsia" w:hAnsiTheme="majorEastAsia" w:eastAsiaTheme="majorEastAsia" w:cstheme="majorEastAsia"/>
          <w:b/>
          <w:szCs w:val="21"/>
        </w:rPr>
        <w:t>未提供“投标人须知前附表”第13条“报价文件”规定中“必须提供”的文件资料的；</w:t>
      </w:r>
    </w:p>
    <w:p w14:paraId="15864AFD">
      <w:pPr>
        <w:pStyle w:val="7"/>
        <w:numPr>
          <w:ilvl w:val="0"/>
          <w:numId w:val="8"/>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未采用人民币报价或者未按照招标文件标明的币种报价的；</w:t>
      </w:r>
    </w:p>
    <w:p w14:paraId="5D1DB49A">
      <w:pPr>
        <w:pStyle w:val="7"/>
        <w:numPr>
          <w:ilvl w:val="0"/>
          <w:numId w:val="8"/>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各分标报价超出招标文件相应分标规定最高限价，或者超出相应分标采购预算金额的；</w:t>
      </w:r>
    </w:p>
    <w:p w14:paraId="3E832C5F">
      <w:pPr>
        <w:pStyle w:val="7"/>
        <w:numPr>
          <w:ilvl w:val="0"/>
          <w:numId w:val="8"/>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6930401">
      <w:pPr>
        <w:pStyle w:val="7"/>
        <w:numPr>
          <w:ilvl w:val="0"/>
          <w:numId w:val="8"/>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修正后的报价，投标人不确认的；</w:t>
      </w:r>
    </w:p>
    <w:p w14:paraId="03346343">
      <w:pPr>
        <w:pStyle w:val="7"/>
        <w:numPr>
          <w:ilvl w:val="0"/>
          <w:numId w:val="8"/>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投标人属于本章第5.1条（2）或者第5.2条（2）项情形的；</w:t>
      </w:r>
    </w:p>
    <w:p w14:paraId="6034E6BF">
      <w:pPr>
        <w:pStyle w:val="7"/>
        <w:numPr>
          <w:ilvl w:val="0"/>
          <w:numId w:val="8"/>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pacing w:val="-6"/>
          <w:szCs w:val="21"/>
        </w:rPr>
        <w:t>报价文件</w:t>
      </w:r>
      <w:r>
        <w:rPr>
          <w:rFonts w:hint="eastAsia" w:asciiTheme="majorEastAsia" w:hAnsiTheme="majorEastAsia" w:eastAsiaTheme="majorEastAsia" w:cstheme="majorEastAsia"/>
          <w:b/>
          <w:szCs w:val="21"/>
        </w:rPr>
        <w:t>响应的标的数量及单位与招标文件要求实质性不一致的。</w:t>
      </w:r>
    </w:p>
    <w:p w14:paraId="5DFEC32E">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2.2在商务及技术评审时，如发现下列情形之一的，将被视为投标无效：</w:t>
      </w:r>
    </w:p>
    <w:p w14:paraId="626CF276">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投标文件未按招标文件要求签署、盖章的；</w:t>
      </w:r>
    </w:p>
    <w:p w14:paraId="6E6D2300">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委托代理人未能出具有效身份证或者出具的身份证与授权委托书中的信息不符的；</w:t>
      </w:r>
    </w:p>
    <w:p w14:paraId="766D630B">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为无效投标保证金的或者未按照招标文件的规定提交投标保证金的；</w:t>
      </w:r>
    </w:p>
    <w:p w14:paraId="3586B016">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投标文件未提供“投标人须知前附表”第13条“商务及技术文件”规定中“必须提供”或者“委托时必须提供”的文件资料的；</w:t>
      </w:r>
    </w:p>
    <w:p w14:paraId="78389563">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允许负偏离的条款数超过“投标人须知前附表”规定项数的；</w:t>
      </w:r>
    </w:p>
    <w:p w14:paraId="01336EA0">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投标文件的实质性内容未使用中文表述、使用计量单位不符合招标文件要求的；</w:t>
      </w:r>
    </w:p>
    <w:p w14:paraId="4029C785">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投标文件中的文件资料因填写不齐全或者内容虚假或者出现其他情形而导致被评标委员会认定无效的；</w:t>
      </w:r>
    </w:p>
    <w:p w14:paraId="0CD64705">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投标文件含有采购人不能接受的附加条件的；</w:t>
      </w:r>
    </w:p>
    <w:p w14:paraId="2985B355">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属于投标人须知正文第9.2条情形的；</w:t>
      </w:r>
    </w:p>
    <w:p w14:paraId="0AEC465C">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投标文件标注的项目名称或者项目编号与招标文件标注的项目名称或者项目编号不一致的；</w:t>
      </w:r>
    </w:p>
    <w:p w14:paraId="6CA7A62D">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投标文件中承诺的投标有效期低于招标文件要求的期限的；</w:t>
      </w:r>
    </w:p>
    <w:p w14:paraId="482EA1C2">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招标文件明确不允许分包，投标文件拟分包的；</w:t>
      </w:r>
    </w:p>
    <w:p w14:paraId="0B2F0958">
      <w:pPr>
        <w:pStyle w:val="20"/>
        <w:numPr>
          <w:ilvl w:val="0"/>
          <w:numId w:val="9"/>
        </w:numPr>
        <w:snapToGrid w:val="0"/>
        <w:spacing w:line="360" w:lineRule="auto"/>
        <w:ind w:firstLine="413" w:firstLineChars="0"/>
        <w:rPr>
          <w:rFonts w:asciiTheme="majorEastAsia" w:hAnsiTheme="majorEastAsia" w:eastAsiaTheme="majorEastAsia" w:cstheme="majorEastAsia"/>
          <w:b/>
          <w:kern w:val="2"/>
          <w:sz w:val="21"/>
          <w:szCs w:val="21"/>
        </w:rPr>
      </w:pPr>
      <w:r>
        <w:rPr>
          <w:rFonts w:hint="eastAsia" w:asciiTheme="majorEastAsia" w:hAnsiTheme="majorEastAsia" w:eastAsiaTheme="majorEastAsia" w:cstheme="majorEastAsia"/>
          <w:b/>
          <w:kern w:val="2"/>
          <w:sz w:val="21"/>
          <w:szCs w:val="21"/>
        </w:rPr>
        <w:t>虚假投标，或者出现其他情形而导致被评标委员会认定无效的；</w:t>
      </w:r>
    </w:p>
    <w:p w14:paraId="0F4C93C8">
      <w:pPr>
        <w:pStyle w:val="20"/>
        <w:numPr>
          <w:ilvl w:val="0"/>
          <w:numId w:val="9"/>
        </w:numPr>
        <w:snapToGrid w:val="0"/>
        <w:spacing w:line="360" w:lineRule="auto"/>
        <w:ind w:firstLine="413" w:firstLineChars="0"/>
        <w:rPr>
          <w:rFonts w:asciiTheme="majorEastAsia" w:hAnsiTheme="majorEastAsia" w:eastAsiaTheme="majorEastAsia" w:cstheme="majorEastAsia"/>
          <w:b/>
          <w:kern w:val="2"/>
          <w:sz w:val="21"/>
          <w:szCs w:val="21"/>
        </w:rPr>
      </w:pPr>
      <w:r>
        <w:rPr>
          <w:rFonts w:hint="eastAsia" w:asciiTheme="majorEastAsia" w:hAnsiTheme="majorEastAsia" w:eastAsiaTheme="majorEastAsia" w:cstheme="majorEastAsia"/>
          <w:b/>
          <w:kern w:val="2"/>
          <w:sz w:val="21"/>
          <w:szCs w:val="21"/>
        </w:rPr>
        <w:t>招标文件未载明允许提供备选（替代）投标方案或明确不允许提供备选（替代）投标方案时，投标人提供了备选（替代）投标方案的；</w:t>
      </w:r>
    </w:p>
    <w:p w14:paraId="42FABBDC">
      <w:pPr>
        <w:pStyle w:val="20"/>
        <w:numPr>
          <w:ilvl w:val="0"/>
          <w:numId w:val="9"/>
        </w:numPr>
        <w:snapToGrid w:val="0"/>
        <w:spacing w:line="360" w:lineRule="auto"/>
        <w:ind w:firstLine="413" w:firstLineChars="0"/>
        <w:rPr>
          <w:rFonts w:asciiTheme="majorEastAsia" w:hAnsiTheme="majorEastAsia" w:eastAsiaTheme="majorEastAsia" w:cstheme="majorEastAsia"/>
          <w:b/>
          <w:kern w:val="2"/>
          <w:sz w:val="21"/>
          <w:szCs w:val="21"/>
        </w:rPr>
      </w:pPr>
      <w:r>
        <w:rPr>
          <w:rFonts w:hint="eastAsia" w:asciiTheme="majorEastAsia" w:hAnsiTheme="majorEastAsia" w:eastAsiaTheme="majorEastAsia" w:cstheme="majorEastAsia"/>
          <w:b/>
          <w:kern w:val="2"/>
          <w:sz w:val="21"/>
          <w:szCs w:val="21"/>
        </w:rPr>
        <w:t>未响应招标文件实质性要求的。</w:t>
      </w:r>
    </w:p>
    <w:p w14:paraId="4B0616D6">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法律、法规和招标文件规定的其他无效情形。</w:t>
      </w:r>
    </w:p>
    <w:p w14:paraId="007DC78D">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3.澄清补正</w:t>
      </w:r>
    </w:p>
    <w:p w14:paraId="6B12E5B7">
      <w:pPr>
        <w:spacing w:line="360" w:lineRule="auto"/>
        <w:ind w:firstLine="420"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对投标文件中含义不明确、同类问题表述不一致或者有明显文字和计算错误的内容，评标委员会应在</w:t>
      </w:r>
      <w:r>
        <w:rPr>
          <w:rFonts w:hint="eastAsia" w:ascii="宋体" w:hAnsi="宋体"/>
          <w:bCs/>
          <w:szCs w:val="21"/>
        </w:rPr>
        <w:t>广西政府采购云平台</w:t>
      </w:r>
      <w:r>
        <w:rPr>
          <w:rFonts w:hint="eastAsia" w:asciiTheme="majorEastAsia" w:hAnsiTheme="majorEastAsia" w:eastAsiaTheme="majorEastAsia" w:cstheme="majorEastAsia"/>
          <w:szCs w:val="21"/>
        </w:rPr>
        <w:t>发布电子澄清函，要求投标人在规定时间内作出必要的澄清、说明或者补正。投标人在</w:t>
      </w:r>
      <w:r>
        <w:rPr>
          <w:rFonts w:hint="eastAsia" w:ascii="宋体" w:hAnsi="宋体"/>
          <w:bCs/>
          <w:szCs w:val="21"/>
        </w:rPr>
        <w:t>广西政府采购云平台</w:t>
      </w:r>
      <w:r>
        <w:rPr>
          <w:rFonts w:hint="eastAsia" w:asciiTheme="majorEastAsia" w:hAnsiTheme="majorEastAsia" w:eastAsiaTheme="majorEastAsia" w:cstheme="majorEastAsia"/>
          <w:szCs w:val="21"/>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11CF12F">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3A57620">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未按评标委员会的要求作出明确澄清、说明或者更正的投标人的投标文件将按照有利于采购人的原则由评标委员会进行判定。</w:t>
      </w:r>
    </w:p>
    <w:p w14:paraId="4C14E42A">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4.投标文件修正</w:t>
      </w:r>
    </w:p>
    <w:p w14:paraId="4318FFE1">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4.1投标文件报价出现前后不一致的，按照下列规定修正： </w:t>
      </w:r>
    </w:p>
    <w:p w14:paraId="64AF7173">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（1）投标文件中开标一览表（报价表）内容与投标文件中相应内容不一致的，以开标一览表（报价表）为准；</w:t>
      </w:r>
    </w:p>
    <w:p w14:paraId="0D372082">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（2）大写金额和小写金额不一致的，以大写金额为准；</w:t>
      </w:r>
    </w:p>
    <w:p w14:paraId="1F785A23">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（3）单价金额小数点或者百分比有明显错位的，以开标一览表的总价为准，并修改单价；</w:t>
      </w:r>
    </w:p>
    <w:p w14:paraId="450DFA4F">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（4）总价金额与按单价汇总金额不一致的，以单价金额计算结果为准。</w:t>
      </w:r>
    </w:p>
    <w:p w14:paraId="0F7D3C1D">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同时出现两种以上不一致的，按照以上（1）-（4）规定的顺序修正。修正后的报价经投标人确认后产生约束力，投标人不确认的，</w:t>
      </w:r>
      <w:r>
        <w:rPr>
          <w:rFonts w:hint="eastAsia" w:asciiTheme="majorEastAsia" w:hAnsiTheme="majorEastAsia" w:eastAsiaTheme="majorEastAsia" w:cstheme="majorEastAsia"/>
          <w:b/>
          <w:kern w:val="2"/>
          <w:sz w:val="21"/>
        </w:rPr>
        <w:t>其投标无效</w:t>
      </w:r>
      <w:r>
        <w:rPr>
          <w:rFonts w:hint="eastAsia" w:asciiTheme="majorEastAsia" w:hAnsiTheme="majorEastAsia" w:eastAsiaTheme="majorEastAsia" w:cstheme="majorEastAsia"/>
          <w:sz w:val="21"/>
        </w:rPr>
        <w:t>。</w:t>
      </w:r>
    </w:p>
    <w:p w14:paraId="6B10DB3E">
      <w:pPr>
        <w:pStyle w:val="6"/>
        <w:keepNext w:val="0"/>
        <w:keepLines w:val="0"/>
        <w:spacing w:before="0" w:after="0" w:line="360" w:lineRule="auto"/>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4.2经投标人确认修正后的报价若超过采购预算金额或者最高限价，</w:t>
      </w:r>
      <w:r>
        <w:rPr>
          <w:rFonts w:hint="eastAsia" w:asciiTheme="majorEastAsia" w:hAnsiTheme="majorEastAsia" w:eastAsiaTheme="majorEastAsia" w:cstheme="majorEastAsia"/>
          <w:sz w:val="21"/>
          <w:szCs w:val="21"/>
        </w:rPr>
        <w:t>投标人的投标文件作无效投标处理</w:t>
      </w:r>
      <w:r>
        <w:rPr>
          <w:rFonts w:hint="eastAsia" w:asciiTheme="majorEastAsia" w:hAnsiTheme="majorEastAsia" w:eastAsiaTheme="majorEastAsia" w:cstheme="majorEastAsia"/>
          <w:b w:val="0"/>
          <w:sz w:val="21"/>
          <w:szCs w:val="21"/>
        </w:rPr>
        <w:t>。</w:t>
      </w:r>
    </w:p>
    <w:p w14:paraId="3EF504EB">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4.3经投标人确认修正后的报价作为签订合同的依据，并以此报价计算价格分。</w:t>
      </w:r>
    </w:p>
    <w:p w14:paraId="0522CAD0">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5.比较与评价</w:t>
      </w:r>
    </w:p>
    <w:p w14:paraId="2F51F183">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5.1采用综合评分法的</w:t>
      </w:r>
    </w:p>
    <w:p w14:paraId="0B96AC0C">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（1）评标委员会按照招标文件中规定的评标方法及评标标准，对符合性审查合格的投标文件进行商务和技术评估，综合比较与评价。</w:t>
      </w:r>
    </w:p>
    <w:p w14:paraId="06D550F6">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（2）评标委员会独立对每个投标人的投标文件进行评价，并汇总每个投标人的得分。</w:t>
      </w:r>
    </w:p>
    <w:p w14:paraId="20B234DE">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Theme="majorEastAsia" w:hAnsiTheme="majorEastAsia" w:eastAsiaTheme="majorEastAsia" w:cstheme="majorEastAsia"/>
          <w:b/>
          <w:szCs w:val="21"/>
        </w:rPr>
        <w:t>投标人不能证明其报价合理性的，评标委员会将其作为无效投标处理</w:t>
      </w:r>
      <w:r>
        <w:rPr>
          <w:rFonts w:hint="eastAsia" w:asciiTheme="majorEastAsia" w:hAnsiTheme="majorEastAsia" w:eastAsiaTheme="majorEastAsia" w:cstheme="majorEastAsia"/>
          <w:szCs w:val="21"/>
        </w:rPr>
        <w:t>。</w:t>
      </w:r>
    </w:p>
    <w:p w14:paraId="0350D943">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（3）评标委员会按照招标文件中规定的评标方法和标准计算各投标人的报价得分。在计算过程中，不得去掉最高报价或者最低报价。</w:t>
      </w:r>
    </w:p>
    <w:p w14:paraId="4B7434BC">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（4）各投标人的得分为所有评委的有效评分的算术平均数。</w:t>
      </w:r>
    </w:p>
    <w:p w14:paraId="1568B879">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（5）评标委员会按照招标文件中的规定推荐中标候选人。</w:t>
      </w:r>
    </w:p>
    <w:p w14:paraId="297E66D6">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5085B43">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5.2采用</w:t>
      </w:r>
      <w:r>
        <w:rPr>
          <w:rFonts w:hint="eastAsia" w:asciiTheme="majorEastAsia" w:hAnsiTheme="majorEastAsia" w:eastAsiaTheme="majorEastAsia" w:cstheme="majorEastAsia"/>
        </w:rPr>
        <w:t>最低评标价法</w:t>
      </w:r>
      <w:r>
        <w:rPr>
          <w:rFonts w:hint="eastAsia" w:asciiTheme="majorEastAsia" w:hAnsiTheme="majorEastAsia" w:eastAsiaTheme="majorEastAsia" w:cstheme="majorEastAsia"/>
          <w:szCs w:val="21"/>
        </w:rPr>
        <w:t>的</w:t>
      </w:r>
    </w:p>
    <w:p w14:paraId="2DE88F2C">
      <w:pPr>
        <w:snapToGrid w:val="0"/>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（1）评标委员会按照招标文件中规定的评标方法及评标标准，对符合性审查合格的投标文件报价进行比较。</w:t>
      </w:r>
    </w:p>
    <w:p w14:paraId="26D7D7BF">
      <w:pPr>
        <w:snapToGrid w:val="0"/>
        <w:spacing w:line="360" w:lineRule="auto"/>
        <w:ind w:firstLine="399" w:firstLineChars="202"/>
        <w:jc w:val="left"/>
        <w:rPr>
          <w:rFonts w:asciiTheme="majorEastAsia" w:hAnsiTheme="majorEastAsia" w:eastAsiaTheme="majorEastAsia" w:cstheme="majorEastAsia"/>
          <w:spacing w:val="-6"/>
          <w:szCs w:val="21"/>
        </w:rPr>
      </w:pPr>
      <w:r>
        <w:rPr>
          <w:rFonts w:hint="eastAsia" w:asciiTheme="majorEastAsia" w:hAnsiTheme="majorEastAsia" w:eastAsiaTheme="majorEastAsia" w:cstheme="majorEastAsia"/>
          <w:spacing w:val="-6"/>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Theme="majorEastAsia" w:hAnsiTheme="majorEastAsia" w:eastAsiaTheme="majorEastAsia" w:cstheme="majorEastAsia"/>
          <w:b/>
          <w:spacing w:val="-6"/>
          <w:szCs w:val="21"/>
        </w:rPr>
        <w:t>投标人不能证明其报价合理性的，评标委员会应当将其作为无效投标处理。</w:t>
      </w:r>
    </w:p>
    <w:p w14:paraId="58A43652">
      <w:pPr>
        <w:snapToGrid w:val="0"/>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（3）评标委员会按照招标文件中的规定推荐中标候选人。</w:t>
      </w:r>
    </w:p>
    <w:p w14:paraId="6553E71E">
      <w:pPr>
        <w:snapToGrid w:val="0"/>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3D51E2A">
      <w:pPr>
        <w:snapToGrid w:val="0"/>
        <w:spacing w:line="360" w:lineRule="auto"/>
        <w:ind w:firstLine="424" w:firstLineChars="202"/>
        <w:jc w:val="center"/>
        <w:rPr>
          <w:rFonts w:asciiTheme="majorEastAsia" w:hAnsiTheme="majorEastAsia" w:eastAsiaTheme="majorEastAsia" w:cstheme="majorEastAsia"/>
        </w:rPr>
      </w:pPr>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b/>
          <w:bCs/>
          <w:sz w:val="32"/>
          <w:szCs w:val="32"/>
        </w:rPr>
        <w:t>三、评标标准（1、2分标通用）</w:t>
      </w:r>
    </w:p>
    <w:p w14:paraId="03E1A9A7">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综合评分法</w:t>
      </w:r>
    </w:p>
    <w:tbl>
      <w:tblPr>
        <w:tblStyle w:val="4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11"/>
        <w:gridCol w:w="1905"/>
        <w:gridCol w:w="5277"/>
      </w:tblGrid>
      <w:tr w14:paraId="4BB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273" w:type="dxa"/>
            <w:gridSpan w:val="2"/>
            <w:vAlign w:val="center"/>
          </w:tcPr>
          <w:p w14:paraId="09C267A6">
            <w:pPr>
              <w:adjustRightInd w:val="0"/>
              <w:spacing w:line="360" w:lineRule="auto"/>
              <w:jc w:val="center"/>
              <w:textAlignment w:val="baseline"/>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序号</w:t>
            </w:r>
          </w:p>
        </w:tc>
        <w:tc>
          <w:tcPr>
            <w:tcW w:w="1905" w:type="dxa"/>
            <w:vAlign w:val="center"/>
          </w:tcPr>
          <w:p w14:paraId="475CBBA8">
            <w:pPr>
              <w:adjustRightInd w:val="0"/>
              <w:spacing w:line="360" w:lineRule="auto"/>
              <w:jc w:val="center"/>
              <w:textAlignment w:val="baseline"/>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评审因素</w:t>
            </w:r>
          </w:p>
        </w:tc>
        <w:tc>
          <w:tcPr>
            <w:tcW w:w="5277" w:type="dxa"/>
            <w:vAlign w:val="center"/>
          </w:tcPr>
          <w:p w14:paraId="3B383C08">
            <w:pPr>
              <w:adjustRightInd w:val="0"/>
              <w:spacing w:line="360" w:lineRule="auto"/>
              <w:jc w:val="center"/>
              <w:textAlignment w:val="baseline"/>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评标标准</w:t>
            </w:r>
          </w:p>
        </w:tc>
      </w:tr>
      <w:tr w14:paraId="5A84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56A8E0A0">
            <w:pPr>
              <w:adjustRightIn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711" w:type="dxa"/>
            <w:vAlign w:val="center"/>
          </w:tcPr>
          <w:p w14:paraId="1BE93002">
            <w:pPr>
              <w:adjustRightInd w:val="0"/>
              <w:spacing w:line="360" w:lineRule="auto"/>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价格分</w:t>
            </w:r>
          </w:p>
          <w:p w14:paraId="6247B30D">
            <w:pPr>
              <w:adjustRightInd w:val="0"/>
              <w:spacing w:line="360" w:lineRule="auto"/>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（满分</w:t>
            </w:r>
            <w:r>
              <w:rPr>
                <w:rFonts w:hint="eastAsia" w:asciiTheme="majorEastAsia" w:hAnsiTheme="majorEastAsia" w:eastAsiaTheme="majorEastAsia" w:cstheme="majorEastAsia"/>
                <w:b/>
                <w:bCs/>
                <w:szCs w:val="21"/>
                <w:u w:val="single"/>
              </w:rPr>
              <w:t>30</w:t>
            </w:r>
            <w:r>
              <w:rPr>
                <w:rFonts w:hint="eastAsia" w:asciiTheme="majorEastAsia" w:hAnsiTheme="majorEastAsia" w:eastAsiaTheme="majorEastAsia" w:cstheme="majorEastAsia"/>
                <w:b/>
                <w:bCs/>
                <w:szCs w:val="21"/>
              </w:rPr>
              <w:t>分）</w:t>
            </w:r>
          </w:p>
          <w:p w14:paraId="64E5F0D9">
            <w:pPr>
              <w:adjustRightInd w:val="0"/>
              <w:spacing w:line="360" w:lineRule="auto"/>
              <w:jc w:val="left"/>
              <w:textAlignment w:val="baseline"/>
              <w:rPr>
                <w:rFonts w:asciiTheme="majorEastAsia" w:hAnsiTheme="majorEastAsia" w:eastAsiaTheme="majorEastAsia" w:cstheme="majorEastAsia"/>
                <w:b/>
                <w:bCs/>
                <w:szCs w:val="21"/>
              </w:rPr>
            </w:pPr>
          </w:p>
        </w:tc>
        <w:tc>
          <w:tcPr>
            <w:tcW w:w="1905" w:type="dxa"/>
            <w:vAlign w:val="center"/>
          </w:tcPr>
          <w:p w14:paraId="43BEC271">
            <w:pPr>
              <w:adjustRightInd w:val="0"/>
              <w:spacing w:line="360" w:lineRule="auto"/>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投标报价</w:t>
            </w:r>
          </w:p>
        </w:tc>
        <w:tc>
          <w:tcPr>
            <w:tcW w:w="5277" w:type="dxa"/>
            <w:vAlign w:val="center"/>
          </w:tcPr>
          <w:p w14:paraId="76D95CAD">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（1）评标报价为投标人的投标报价进行政策性扣除后的价格，评标报价只是作为评标时使用。最终中标人的中标金额等于投标报价。</w:t>
            </w:r>
          </w:p>
          <w:p w14:paraId="0C3F140E">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（2）政策性扣除计算方法。</w:t>
            </w:r>
          </w:p>
          <w:p w14:paraId="00183A9F">
            <w:pPr>
              <w:snapToGrid w:val="0"/>
              <w:spacing w:line="360" w:lineRule="auto"/>
              <w:ind w:firstLine="443" w:firstLineChars="211"/>
              <w:rPr>
                <w:rFonts w:asciiTheme="majorEastAsia" w:hAnsiTheme="majorEastAsia" w:eastAsiaTheme="majorEastAsia" w:cstheme="majorEastAsia"/>
                <w:szCs w:val="21"/>
              </w:rPr>
            </w:pPr>
            <w:r>
              <w:rPr>
                <w:rFonts w:hint="eastAsia" w:asciiTheme="majorEastAsia" w:hAnsiTheme="majorEastAsia" w:eastAsiaTheme="majorEastAsia" w:cstheme="majorEastAsia"/>
                <w:bCs/>
                <w:szCs w:val="21"/>
              </w:rPr>
              <w:t>根据《政府采购促进中小企业发展管理办法》（财库〔2020〕46号）</w:t>
            </w:r>
            <w:r>
              <w:rPr>
                <w:rFonts w:hint="eastAsia" w:asciiTheme="majorEastAsia" w:hAnsiTheme="majorEastAsia" w:eastAsiaTheme="majorEastAsia" w:cstheme="majorEastAsia"/>
                <w:szCs w:val="21"/>
              </w:rPr>
              <w:t>及《广西壮族自治区财政厅关于持续优化政府采购营商环境推动高质量发展的通知》（桂财采〔2024〕55号）</w:t>
            </w:r>
            <w:r>
              <w:rPr>
                <w:rFonts w:hint="eastAsia" w:asciiTheme="majorEastAsia" w:hAnsiTheme="majorEastAsia" w:eastAsiaTheme="majorEastAsia" w:cstheme="majorEastAsia"/>
                <w:bCs/>
                <w:szCs w:val="21"/>
              </w:rPr>
              <w:t>的规定，投标人在其投标文件中提供《中小企业声明函》，且货物全部由小微企业承接，对其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Theme="majorEastAsia" w:hAnsiTheme="majorEastAsia" w:eastAsiaTheme="majorEastAsia" w:cstheme="majorEastAsia"/>
                <w:bCs/>
                <w:szCs w:val="21"/>
                <w:u w:val="single"/>
              </w:rPr>
              <w:t>4%</w:t>
            </w:r>
            <w:r>
              <w:rPr>
                <w:rFonts w:hint="eastAsia" w:asciiTheme="majorEastAsia" w:hAnsiTheme="majorEastAsia" w:eastAsiaTheme="majorEastAsia" w:cstheme="majorEastAsia"/>
                <w:bCs/>
                <w:szCs w:val="21"/>
              </w:rPr>
              <w:t>的扣除，用扣除后的价格参加评审，扣除后的价格为评标报价，即评标报价=投标报价×（1-</w:t>
            </w:r>
            <w:r>
              <w:rPr>
                <w:rFonts w:hint="eastAsia" w:asciiTheme="majorEastAsia" w:hAnsiTheme="majorEastAsia" w:eastAsiaTheme="majorEastAsia" w:cstheme="majorEastAsia"/>
                <w:bCs/>
                <w:szCs w:val="21"/>
                <w:u w:val="single"/>
              </w:rPr>
              <w:t>4</w:t>
            </w:r>
            <w:r>
              <w:rPr>
                <w:rFonts w:hint="eastAsia" w:asciiTheme="majorEastAsia" w:hAnsiTheme="majorEastAsia" w:eastAsiaTheme="majorEastAsia" w:cstheme="majorEastAsia"/>
                <w:bCs/>
                <w:szCs w:val="21"/>
              </w:rPr>
              <w:t>%）。除上述情况外，评标报价=投标报价。</w:t>
            </w:r>
          </w:p>
          <w:p w14:paraId="673E022B">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Theme="majorEastAsia" w:hAnsiTheme="majorEastAsia" w:eastAsiaTheme="majorEastAsia" w:cstheme="majorEastAsia"/>
                <w:szCs w:val="21"/>
              </w:rPr>
              <w:t>监狱企业参加政府采购活动时，应当提供由省级以上监狱管理局、戒毒管理局（含新疆生产建设兵团）出具的属于监狱企业的证明文件。</w:t>
            </w:r>
            <w:r>
              <w:rPr>
                <w:rFonts w:hint="eastAsia" w:asciiTheme="majorEastAsia" w:hAnsiTheme="majorEastAsia" w:eastAsiaTheme="majorEastAsia" w:cstheme="majorEastAsia"/>
                <w:bCs/>
                <w:szCs w:val="21"/>
              </w:rPr>
              <w:t>监狱企业属于小型、微型企业的，不重复享受政策。</w:t>
            </w:r>
          </w:p>
          <w:p w14:paraId="65F9683B">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szCs w:val="21"/>
              </w:rPr>
              <w:t>（4）按照</w:t>
            </w:r>
            <w:r>
              <w:rPr>
                <w:rFonts w:hint="eastAsia" w:asciiTheme="majorEastAsia" w:hAnsiTheme="majorEastAsia" w:eastAsiaTheme="majorEastAsia" w:cstheme="majorEastAsia"/>
                <w:bCs/>
                <w:szCs w:val="21"/>
              </w:rPr>
              <w:t>《关于促进残疾人就业政府采购政策的通知》（财库〔2017〕141号）的规定，残疾人福利性单位视同小型、微型企业，享受预留份额、评审中价格扣除等促进中小企业发展的政府采购政策。</w:t>
            </w:r>
            <w:r>
              <w:rPr>
                <w:rFonts w:hint="eastAsia" w:asciiTheme="majorEastAsia" w:hAnsiTheme="majorEastAsia" w:eastAsiaTheme="majorEastAsia" w:cstheme="majorEastAsia"/>
                <w:szCs w:val="21"/>
              </w:rPr>
              <w:t>残疾人福利性单位参加政府采购活动时，应当提供该通知规定的《残疾人福利性单位声明函》，并对声明的真实性负责。</w:t>
            </w:r>
            <w:r>
              <w:rPr>
                <w:rFonts w:hint="eastAsia" w:asciiTheme="majorEastAsia" w:hAnsiTheme="majorEastAsia" w:eastAsiaTheme="majorEastAsia" w:cstheme="majorEastAsia"/>
                <w:bCs/>
                <w:szCs w:val="21"/>
              </w:rPr>
              <w:t>残疾人福利性单位属于小型、微型企业的，不重复享受政策。</w:t>
            </w:r>
          </w:p>
          <w:p w14:paraId="0722CFC5">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（5）满足招标文件要求且评标报价最低的评标报价为评标基准价，其价格分为满分。</w:t>
            </w:r>
          </w:p>
          <w:p w14:paraId="332F0198">
            <w:pPr>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 xml:space="preserve">（6）价格分计算公式：        </w:t>
            </w:r>
          </w:p>
          <w:p w14:paraId="3E68F206">
            <w:pPr>
              <w:spacing w:line="360" w:lineRule="auto"/>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价格分=（评标基准价／评标报价）×</w:t>
            </w:r>
            <w:r>
              <w:rPr>
                <w:rFonts w:hint="eastAsia" w:asciiTheme="majorEastAsia" w:hAnsiTheme="majorEastAsia" w:eastAsiaTheme="majorEastAsia" w:cstheme="majorEastAsia"/>
                <w:bCs/>
                <w:szCs w:val="21"/>
                <w:u w:val="single"/>
              </w:rPr>
              <w:t>30</w:t>
            </w:r>
            <w:r>
              <w:rPr>
                <w:rFonts w:hint="eastAsia" w:asciiTheme="majorEastAsia" w:hAnsiTheme="majorEastAsia" w:eastAsiaTheme="majorEastAsia" w:cstheme="majorEastAsia"/>
                <w:bCs/>
                <w:szCs w:val="21"/>
              </w:rPr>
              <w:t>分</w:t>
            </w:r>
          </w:p>
        </w:tc>
      </w:tr>
      <w:tr w14:paraId="0DD4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562" w:type="dxa"/>
            <w:vMerge w:val="restart"/>
            <w:vAlign w:val="center"/>
          </w:tcPr>
          <w:p w14:paraId="3FEB9010">
            <w:pPr>
              <w:adjustRightInd w:val="0"/>
              <w:snapToGri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711" w:type="dxa"/>
            <w:vMerge w:val="restart"/>
            <w:vAlign w:val="center"/>
          </w:tcPr>
          <w:p w14:paraId="709B5A4E">
            <w:pPr>
              <w:adjustRightInd w:val="0"/>
              <w:spacing w:line="360" w:lineRule="auto"/>
              <w:ind w:left="-105" w:leftChars="-50" w:right="-105" w:rightChars="-50"/>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技术分</w:t>
            </w:r>
          </w:p>
          <w:p w14:paraId="728E30AE">
            <w:pPr>
              <w:adjustRightInd w:val="0"/>
              <w:snapToGrid w:val="0"/>
              <w:spacing w:line="360" w:lineRule="auto"/>
              <w:ind w:left="-105" w:leftChars="-50" w:right="-105" w:rightChars="-50"/>
              <w:jc w:val="center"/>
              <w:textAlignment w:val="baseline"/>
              <w:rPr>
                <w:rFonts w:asciiTheme="majorEastAsia" w:hAnsiTheme="majorEastAsia" w:eastAsiaTheme="majorEastAsia" w:cstheme="majorEastAsia"/>
                <w:spacing w:val="-18"/>
                <w:szCs w:val="21"/>
              </w:rPr>
            </w:pPr>
            <w:r>
              <w:rPr>
                <w:rFonts w:hint="eastAsia" w:asciiTheme="majorEastAsia" w:hAnsiTheme="majorEastAsia" w:eastAsiaTheme="majorEastAsia" w:cstheme="majorEastAsia"/>
                <w:b/>
                <w:szCs w:val="21"/>
              </w:rPr>
              <w:t>（满分36分）</w:t>
            </w:r>
          </w:p>
        </w:tc>
        <w:tc>
          <w:tcPr>
            <w:tcW w:w="1905" w:type="dxa"/>
            <w:vAlign w:val="center"/>
          </w:tcPr>
          <w:p w14:paraId="120D35CE">
            <w:pPr>
              <w:snapToGrid w:val="0"/>
              <w:spacing w:line="360" w:lineRule="auto"/>
              <w:jc w:val="center"/>
              <w:rPr>
                <w:rFonts w:asciiTheme="majorEastAsia" w:hAnsiTheme="majorEastAsia" w:eastAsiaTheme="majorEastAsia" w:cstheme="majorEastAsia"/>
                <w:b/>
                <w:color w:val="0000FF"/>
                <w:szCs w:val="21"/>
              </w:rPr>
            </w:pPr>
            <w:r>
              <w:rPr>
                <w:rFonts w:hint="eastAsia" w:asciiTheme="majorEastAsia" w:hAnsiTheme="majorEastAsia" w:eastAsiaTheme="majorEastAsia" w:cstheme="majorEastAsia"/>
                <w:b/>
                <w:color w:val="0000FF"/>
                <w:szCs w:val="21"/>
              </w:rPr>
              <w:t>设备性能分</w:t>
            </w:r>
          </w:p>
          <w:p w14:paraId="13261C67">
            <w:pPr>
              <w:snapToGrid w:val="0"/>
              <w:spacing w:line="360" w:lineRule="auto"/>
              <w:jc w:val="center"/>
              <w:rPr>
                <w:rFonts w:asciiTheme="majorEastAsia" w:hAnsiTheme="majorEastAsia" w:eastAsiaTheme="majorEastAsia" w:cstheme="majorEastAsia"/>
                <w:b/>
                <w:color w:val="0000FF"/>
                <w:szCs w:val="21"/>
              </w:rPr>
            </w:pPr>
            <w:r>
              <w:rPr>
                <w:rFonts w:hint="eastAsia" w:asciiTheme="majorEastAsia" w:hAnsiTheme="majorEastAsia" w:eastAsiaTheme="majorEastAsia" w:cstheme="majorEastAsia"/>
                <w:b/>
                <w:color w:val="0000FF"/>
                <w:szCs w:val="21"/>
              </w:rPr>
              <w:t>（满分36分）</w:t>
            </w:r>
          </w:p>
        </w:tc>
        <w:tc>
          <w:tcPr>
            <w:tcW w:w="5277" w:type="dxa"/>
            <w:vAlign w:val="center"/>
          </w:tcPr>
          <w:p w14:paraId="6663859F">
            <w:pPr>
              <w:snapToGrid w:val="0"/>
              <w:spacing w:line="360" w:lineRule="auto"/>
              <w:ind w:firstLine="233" w:firstLineChars="111"/>
              <w:rPr>
                <w:rFonts w:asciiTheme="majorEastAsia" w:hAnsiTheme="majorEastAsia" w:eastAsiaTheme="majorEastAsia" w:cstheme="majorEastAsia"/>
                <w:color w:val="0000FF"/>
                <w:szCs w:val="21"/>
              </w:rPr>
            </w:pPr>
            <w:r>
              <w:rPr>
                <w:rFonts w:hint="eastAsia" w:asciiTheme="majorEastAsia" w:hAnsiTheme="majorEastAsia" w:eastAsiaTheme="majorEastAsia" w:cstheme="majorEastAsia"/>
                <w:bCs/>
                <w:color w:val="0000FF"/>
                <w:szCs w:val="21"/>
              </w:rPr>
              <w:t>通过资格审查与符合性审查的投标人得基本分36分，非标“▲”的技术参数，负偏离或漏项的每一项扣2分，技术参数允许偏离（即标记“▲”的实质性技术参数除外）的项目数不超过招标文件允许偏离的项目数</w:t>
            </w:r>
            <w:r>
              <w:rPr>
                <w:rFonts w:hint="eastAsia" w:asciiTheme="majorEastAsia" w:hAnsiTheme="majorEastAsia" w:eastAsiaTheme="majorEastAsia" w:cstheme="majorEastAsia"/>
                <w:bCs/>
                <w:color w:val="FF0000"/>
                <w:szCs w:val="21"/>
              </w:rPr>
              <w:t>2</w:t>
            </w:r>
            <w:r>
              <w:rPr>
                <w:rFonts w:hint="eastAsia" w:asciiTheme="majorEastAsia" w:hAnsiTheme="majorEastAsia" w:eastAsiaTheme="majorEastAsia" w:cstheme="majorEastAsia"/>
                <w:bCs/>
                <w:color w:val="0000FF"/>
                <w:szCs w:val="21"/>
              </w:rPr>
              <w:t>项。</w:t>
            </w:r>
          </w:p>
        </w:tc>
      </w:tr>
      <w:tr w14:paraId="1354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562" w:type="dxa"/>
            <w:vMerge w:val="restart"/>
            <w:vAlign w:val="center"/>
          </w:tcPr>
          <w:p w14:paraId="1A34F88B">
            <w:pPr>
              <w:adjustRightInd w:val="0"/>
              <w:snapToGri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1711" w:type="dxa"/>
            <w:vMerge w:val="restart"/>
            <w:vAlign w:val="center"/>
          </w:tcPr>
          <w:p w14:paraId="73599F6E">
            <w:pPr>
              <w:adjustRightInd w:val="0"/>
              <w:spacing w:line="360" w:lineRule="auto"/>
              <w:ind w:left="-105" w:leftChars="-50" w:right="-105" w:rightChars="-50"/>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商务分</w:t>
            </w:r>
          </w:p>
          <w:p w14:paraId="2A0BBE2B">
            <w:pPr>
              <w:adjustRightInd w:val="0"/>
              <w:snapToGri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b/>
                <w:szCs w:val="21"/>
              </w:rPr>
              <w:t>（满分34分）</w:t>
            </w:r>
          </w:p>
        </w:tc>
        <w:tc>
          <w:tcPr>
            <w:tcW w:w="1905" w:type="dxa"/>
            <w:vAlign w:val="center"/>
          </w:tcPr>
          <w:p w14:paraId="5D947C4C">
            <w:pPr>
              <w:widowControl/>
              <w:snapToGrid w:val="0"/>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szCs w:val="21"/>
              </w:rPr>
              <w:t>（1）项目实施方案分（满分9分）</w:t>
            </w:r>
          </w:p>
        </w:tc>
        <w:tc>
          <w:tcPr>
            <w:tcW w:w="5277" w:type="dxa"/>
            <w:vAlign w:val="center"/>
          </w:tcPr>
          <w:p w14:paraId="036AF58E">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投标文件按照要求编写项目实施方案，并由评标委员会根据内容进行评分(不提供方案，不得分):</w:t>
            </w:r>
          </w:p>
          <w:p w14:paraId="11FBC366">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①项目实施方案包括管理措施、质量保证措施、风险防范等措施；</w:t>
            </w:r>
          </w:p>
          <w:p w14:paraId="6DE4E494">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②提供具体的实施流程、实施内容和项目进度表；</w:t>
            </w:r>
          </w:p>
          <w:p w14:paraId="245F794E">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③提供安装调试方案，分析安装调试环节重、难点和相应的应对策略。</w:t>
            </w:r>
          </w:p>
          <w:p w14:paraId="23D25790">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Cs/>
                <w:color w:val="auto"/>
                <w:sz w:val="21"/>
                <w:szCs w:val="21"/>
              </w:rPr>
              <w:t>以上①-③项基础分评分标准(每项最高得3分，各项合计满分9分):缺项(0分)、内容完整(1分)、具有操作性(1分)、按照采购单位实际需求制定(1分)。</w:t>
            </w:r>
          </w:p>
        </w:tc>
      </w:tr>
      <w:tr w14:paraId="0093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562" w:type="dxa"/>
            <w:vMerge w:val="continue"/>
            <w:vAlign w:val="center"/>
          </w:tcPr>
          <w:p w14:paraId="6E372A93">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711" w:type="dxa"/>
            <w:vMerge w:val="continue"/>
            <w:vAlign w:val="center"/>
          </w:tcPr>
          <w:p w14:paraId="3BE13102">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905" w:type="dxa"/>
            <w:vAlign w:val="center"/>
          </w:tcPr>
          <w:p w14:paraId="0DF30F45">
            <w:pPr>
              <w:widowControl/>
              <w:snapToGrid w:val="0"/>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（2）售后服务方案（满分9分）</w:t>
            </w:r>
          </w:p>
        </w:tc>
        <w:tc>
          <w:tcPr>
            <w:tcW w:w="5277" w:type="dxa"/>
            <w:vAlign w:val="center"/>
          </w:tcPr>
          <w:p w14:paraId="57534EC9">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评标委员会根据投标人制定的售后服务方案进行独立评审,包括:</w:t>
            </w:r>
          </w:p>
          <w:p w14:paraId="1CAD3F86">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①设备的维护保养方案及质保期外的含零配件的优惠供应等内容；</w:t>
            </w:r>
          </w:p>
          <w:p w14:paraId="295CA4F8">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②应急响应方案（包括设备使用过程中的质量控制、操作规程、保养与管理，常见故障的排除、紧急情况的处理等）；</w:t>
            </w:r>
          </w:p>
          <w:p w14:paraId="11E8E430">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③有专业维护人员安排。</w:t>
            </w:r>
          </w:p>
          <w:p w14:paraId="7DAD5101">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注:①-③项，每项得2分(每项基础分为2分，其中，科学合理内容完整(1分)、实际操作性强(0.5分)、对应本项目要求(0.5分)、内容缺项或不对应(0分)，满分6分。</w:t>
            </w:r>
          </w:p>
          <w:p w14:paraId="633A95CF">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细化分（满分3分）：</w:t>
            </w:r>
          </w:p>
          <w:p w14:paraId="79B2F661">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①故障响应时间优于采购需求，承诺4个小时内到达现场进行处理，到达现场后2个小时内排除故障的，得2分。</w:t>
            </w:r>
          </w:p>
          <w:p w14:paraId="0BC8A1C7">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②针对专业维护人员，能明确质保期内维修和保养及其它售后服务人员安排并提供人员联系方式的，得1分。</w:t>
            </w:r>
          </w:p>
        </w:tc>
      </w:tr>
      <w:tr w14:paraId="3624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562" w:type="dxa"/>
            <w:vMerge w:val="continue"/>
            <w:vAlign w:val="center"/>
          </w:tcPr>
          <w:p w14:paraId="1B9690AC">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711" w:type="dxa"/>
            <w:vMerge w:val="continue"/>
            <w:vAlign w:val="center"/>
          </w:tcPr>
          <w:p w14:paraId="53E0819A">
            <w:pPr>
              <w:adjustRightInd w:val="0"/>
              <w:snapToGrid w:val="0"/>
              <w:spacing w:line="360" w:lineRule="auto"/>
              <w:jc w:val="center"/>
              <w:textAlignment w:val="baseline"/>
              <w:rPr>
                <w:rFonts w:asciiTheme="majorEastAsia" w:hAnsiTheme="majorEastAsia" w:eastAsiaTheme="majorEastAsia" w:cstheme="majorEastAsia"/>
                <w:b/>
                <w:szCs w:val="21"/>
              </w:rPr>
            </w:pPr>
          </w:p>
        </w:tc>
        <w:tc>
          <w:tcPr>
            <w:tcW w:w="1905" w:type="dxa"/>
            <w:vAlign w:val="center"/>
          </w:tcPr>
          <w:p w14:paraId="3800ABE2">
            <w:pPr>
              <w:widowControl/>
              <w:snapToGrid w:val="0"/>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（3）技术培训方案（满分9分）</w:t>
            </w:r>
          </w:p>
        </w:tc>
        <w:tc>
          <w:tcPr>
            <w:tcW w:w="5277" w:type="dxa"/>
            <w:vAlign w:val="center"/>
          </w:tcPr>
          <w:p w14:paraId="2B4B0C54">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评标委员会根据投标人制定的技术培训方案进行独立评审,包括:</w:t>
            </w:r>
          </w:p>
          <w:p w14:paraId="580B1252">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①有培训计划及流程安排，其中培训对象包含设备管理员、系统管理人员、操作员(医生、护士、技术员)、采购人维修技术员等；</w:t>
            </w:r>
          </w:p>
          <w:p w14:paraId="30E09081">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②制定了培训课程及内容，包括但不限于培训内容、培训方式、培训教材、培训时间；</w:t>
            </w:r>
          </w:p>
          <w:p w14:paraId="66F36674">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③培训师资及技术人员的配备。</w:t>
            </w:r>
          </w:p>
          <w:p w14:paraId="2513EEDA">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注:①-③项，每项得3分(每项基础分为9分，其中，科学合理内容完整(1分)、实际操作性强(1分)、对应本项目要求(1分)、内容缺项或不对应(0分)，满分9分。</w:t>
            </w:r>
          </w:p>
        </w:tc>
      </w:tr>
      <w:tr w14:paraId="2A6E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11E4EE5C">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711" w:type="dxa"/>
            <w:vMerge w:val="continue"/>
            <w:vAlign w:val="center"/>
          </w:tcPr>
          <w:p w14:paraId="0D879659">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905" w:type="dxa"/>
            <w:vAlign w:val="center"/>
          </w:tcPr>
          <w:p w14:paraId="08D66D61">
            <w:pPr>
              <w:widowControl/>
              <w:snapToGrid w:val="0"/>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（4）管理体系认证分（满分4分）</w:t>
            </w:r>
          </w:p>
        </w:tc>
        <w:tc>
          <w:tcPr>
            <w:tcW w:w="5277" w:type="dxa"/>
            <w:vAlign w:val="center"/>
          </w:tcPr>
          <w:p w14:paraId="0725DE3D">
            <w:pPr>
              <w:widowControl/>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投标人或所投货物生产厂家通过质量管理体系认证（ISO9001系列）、环境管理体系认证（ISO14001系列）的，每个得2分，满分4分。</w:t>
            </w:r>
          </w:p>
          <w:p w14:paraId="68F93F79">
            <w:pPr>
              <w:widowControl/>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注：须提供上述证书复印件并加盖投标人公章或电子签章，不提供或证书无效不得分</w:t>
            </w:r>
            <w:r>
              <w:rPr>
                <w:rFonts w:hint="eastAsia" w:asciiTheme="majorEastAsia" w:hAnsiTheme="majorEastAsia" w:eastAsiaTheme="majorEastAsia" w:cstheme="majorEastAsia"/>
                <w:szCs w:val="21"/>
              </w:rPr>
              <w:t>。</w:t>
            </w:r>
          </w:p>
        </w:tc>
      </w:tr>
      <w:tr w14:paraId="2C23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885A5B4">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711" w:type="dxa"/>
            <w:vMerge w:val="continue"/>
            <w:vAlign w:val="center"/>
          </w:tcPr>
          <w:p w14:paraId="4174D861">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905" w:type="dxa"/>
            <w:vAlign w:val="center"/>
          </w:tcPr>
          <w:p w14:paraId="43AE37FC">
            <w:pPr>
              <w:adjustRightInd w:val="0"/>
              <w:spacing w:line="360" w:lineRule="auto"/>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（5）业绩分</w:t>
            </w:r>
          </w:p>
          <w:p w14:paraId="671F4CB3">
            <w:pPr>
              <w:adjustRightIn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（满分3分）</w:t>
            </w:r>
          </w:p>
        </w:tc>
        <w:tc>
          <w:tcPr>
            <w:tcW w:w="5277" w:type="dxa"/>
            <w:vAlign w:val="center"/>
          </w:tcPr>
          <w:p w14:paraId="38CEB272">
            <w:pPr>
              <w:adjustRightInd w:val="0"/>
              <w:snapToGrid w:val="0"/>
              <w:spacing w:line="360" w:lineRule="auto"/>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2019年1月1日至投标截止时间止，在投标文件中提供同类产品销售业绩的（业绩可以是供应商的，也可以是制造商），每提供1个得1分，最高得3分。</w:t>
            </w:r>
            <w:r>
              <w:rPr>
                <w:rFonts w:hint="eastAsia" w:asciiTheme="majorEastAsia" w:hAnsiTheme="majorEastAsia" w:eastAsiaTheme="majorEastAsia" w:cstheme="majorEastAsia"/>
                <w:b/>
                <w:bCs/>
                <w:szCs w:val="21"/>
              </w:rPr>
              <w:t>【提供合同或者中标通知书复印件，不提供不予计分】</w:t>
            </w:r>
          </w:p>
        </w:tc>
      </w:tr>
      <w:tr w14:paraId="7C55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455" w:type="dxa"/>
            <w:gridSpan w:val="4"/>
            <w:vAlign w:val="center"/>
          </w:tcPr>
          <w:p w14:paraId="3E330311">
            <w:pPr>
              <w:pStyle w:val="25"/>
              <w:snapToGrid w:val="0"/>
              <w:spacing w:line="360" w:lineRule="auto"/>
              <w:rPr>
                <w:rFonts w:asciiTheme="majorEastAsia" w:hAnsiTheme="majorEastAsia" w:eastAsiaTheme="majorEastAsia" w:cstheme="majorEastAsia"/>
                <w:b/>
                <w:bCs/>
                <w:sz w:val="21"/>
              </w:rPr>
            </w:pPr>
            <w:r>
              <w:rPr>
                <w:rFonts w:hint="eastAsia" w:asciiTheme="majorEastAsia" w:hAnsiTheme="majorEastAsia" w:eastAsiaTheme="majorEastAsia" w:cstheme="majorEastAsia"/>
                <w:b/>
                <w:bCs/>
                <w:sz w:val="21"/>
              </w:rPr>
              <w:t>总得分为以上各项评审因素得分合计。</w:t>
            </w:r>
          </w:p>
        </w:tc>
      </w:tr>
    </w:tbl>
    <w:p w14:paraId="385C173D">
      <w:pPr>
        <w:pStyle w:val="25"/>
        <w:spacing w:line="360" w:lineRule="auto"/>
        <w:ind w:firstLine="42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注：计分方法按四舍五入取至百分位</w:t>
      </w:r>
    </w:p>
    <w:p w14:paraId="64B69DC7">
      <w:pPr>
        <w:spacing w:line="360" w:lineRule="auto"/>
        <w:ind w:firstLine="420" w:firstLineChars="200"/>
        <w:rPr>
          <w:rFonts w:asciiTheme="majorEastAsia" w:hAnsiTheme="majorEastAsia" w:eastAsiaTheme="majorEastAsia" w:cstheme="majorEastAsia"/>
        </w:rPr>
      </w:pPr>
    </w:p>
    <w:p w14:paraId="23126B7C">
      <w:pPr>
        <w:pStyle w:val="4"/>
        <w:keepNext w:val="0"/>
        <w:keepLines w:val="0"/>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四、中标候选人推荐</w:t>
      </w:r>
    </w:p>
    <w:p w14:paraId="06690B3A">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1.评标委员会根据原始评标记录和评标结果编写评标报告，并通过电子交易平台向采购人、采购代理机构提交。</w:t>
      </w:r>
    </w:p>
    <w:p w14:paraId="07D8CBD7">
      <w:pPr>
        <w:pStyle w:val="25"/>
        <w:spacing w:line="360" w:lineRule="auto"/>
        <w:ind w:firstLine="420" w:firstLineChars="200"/>
        <w:contextualSpacing/>
        <w:rPr>
          <w:rFonts w:asciiTheme="majorEastAsia" w:hAnsiTheme="majorEastAsia" w:eastAsiaTheme="majorEastAsia" w:cstheme="majorEastAsia"/>
          <w:b/>
          <w:sz w:val="24"/>
        </w:rPr>
      </w:pPr>
      <w:r>
        <w:rPr>
          <w:rFonts w:hint="eastAsia" w:asciiTheme="majorEastAsia" w:hAnsiTheme="majorEastAsia" w:eastAsiaTheme="majorEastAsia" w:cstheme="majorEastAsia"/>
          <w:sz w:val="21"/>
        </w:rPr>
        <w:t>2.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5895A175">
      <w:pPr>
        <w:pStyle w:val="3"/>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br w:type="page"/>
      </w:r>
    </w:p>
    <w:p w14:paraId="37B153FC">
      <w:pPr>
        <w:pStyle w:val="3"/>
        <w:keepNext w:val="0"/>
        <w:keepLines w:val="0"/>
        <w:jc w:val="center"/>
        <w:rPr>
          <w:rFonts w:asciiTheme="majorEastAsia" w:hAnsiTheme="majorEastAsia" w:eastAsiaTheme="majorEastAsia" w:cstheme="majorEastAsia"/>
        </w:rPr>
      </w:pPr>
    </w:p>
    <w:p w14:paraId="42A5FDB5">
      <w:pPr>
        <w:pStyle w:val="3"/>
        <w:keepNext w:val="0"/>
        <w:keepLines w:val="0"/>
        <w:jc w:val="center"/>
        <w:rPr>
          <w:rFonts w:asciiTheme="majorEastAsia" w:hAnsiTheme="majorEastAsia" w:eastAsiaTheme="majorEastAsia" w:cstheme="majorEastAsia"/>
        </w:rPr>
      </w:pPr>
    </w:p>
    <w:p w14:paraId="42ABD72C">
      <w:pPr>
        <w:pStyle w:val="3"/>
        <w:keepNext w:val="0"/>
        <w:keepLines w:val="0"/>
        <w:jc w:val="center"/>
        <w:rPr>
          <w:rFonts w:asciiTheme="majorEastAsia" w:hAnsiTheme="majorEastAsia" w:eastAsiaTheme="majorEastAsia" w:cstheme="majorEastAsia"/>
        </w:rPr>
      </w:pPr>
    </w:p>
    <w:p w14:paraId="614424DF">
      <w:pPr>
        <w:pStyle w:val="3"/>
        <w:keepNext w:val="0"/>
        <w:keepLines w:val="0"/>
        <w:jc w:val="center"/>
        <w:rPr>
          <w:rFonts w:asciiTheme="majorEastAsia" w:hAnsiTheme="majorEastAsia" w:eastAsiaTheme="majorEastAsia" w:cstheme="majorEastAsia"/>
        </w:rPr>
      </w:pPr>
    </w:p>
    <w:p w14:paraId="222CB786">
      <w:pPr>
        <w:pStyle w:val="2"/>
        <w:jc w:val="center"/>
        <w:rPr>
          <w:rFonts w:asciiTheme="majorEastAsia" w:hAnsiTheme="majorEastAsia" w:eastAsiaTheme="majorEastAsia" w:cstheme="majorEastAsia"/>
        </w:rPr>
      </w:pPr>
      <w:bookmarkStart w:id="141" w:name="_Toc74320804"/>
      <w:r>
        <w:rPr>
          <w:rFonts w:hint="eastAsia" w:asciiTheme="majorEastAsia" w:hAnsiTheme="majorEastAsia" w:eastAsiaTheme="majorEastAsia" w:cstheme="majorEastAsia"/>
        </w:rPr>
        <w:t>第五章  拟签订的合同文本</w:t>
      </w:r>
      <w:bookmarkEnd w:id="141"/>
    </w:p>
    <w:p w14:paraId="2BD4F3F8">
      <w:pPr>
        <w:snapToGrid w:val="0"/>
        <w:jc w:val="center"/>
        <w:rPr>
          <w:rFonts w:asciiTheme="majorEastAsia" w:hAnsiTheme="majorEastAsia" w:eastAsiaTheme="majorEastAsia" w:cstheme="majorEastAsia"/>
          <w:bCs/>
          <w:sz w:val="32"/>
          <w:szCs w:val="32"/>
        </w:rPr>
      </w:pPr>
    </w:p>
    <w:p w14:paraId="0FAB59C7">
      <w:pPr>
        <w:snapToGrid w:val="0"/>
        <w:jc w:val="center"/>
        <w:rPr>
          <w:rFonts w:asciiTheme="majorEastAsia" w:hAnsiTheme="majorEastAsia" w:eastAsiaTheme="majorEastAsia" w:cstheme="majorEastAsia"/>
          <w:bCs/>
          <w:sz w:val="32"/>
          <w:szCs w:val="32"/>
        </w:rPr>
      </w:pPr>
    </w:p>
    <w:p w14:paraId="7E9022B2">
      <w:pPr>
        <w:snapToGrid w:val="0"/>
        <w:jc w:val="center"/>
        <w:rPr>
          <w:rFonts w:asciiTheme="majorEastAsia" w:hAnsiTheme="majorEastAsia" w:eastAsiaTheme="majorEastAsia" w:cstheme="majorEastAsia"/>
          <w:bCs/>
          <w:sz w:val="32"/>
          <w:szCs w:val="32"/>
        </w:rPr>
      </w:pPr>
    </w:p>
    <w:p w14:paraId="24909920">
      <w:pPr>
        <w:snapToGrid w:val="0"/>
        <w:jc w:val="center"/>
        <w:rPr>
          <w:rFonts w:asciiTheme="majorEastAsia" w:hAnsiTheme="majorEastAsia" w:eastAsiaTheme="majorEastAsia" w:cstheme="majorEastAsia"/>
          <w:bCs/>
          <w:sz w:val="32"/>
          <w:szCs w:val="32"/>
        </w:rPr>
      </w:pPr>
    </w:p>
    <w:p w14:paraId="4205AB77">
      <w:pPr>
        <w:snapToGrid w:val="0"/>
        <w:jc w:val="center"/>
        <w:rPr>
          <w:rFonts w:asciiTheme="majorEastAsia" w:hAnsiTheme="majorEastAsia" w:eastAsiaTheme="majorEastAsia" w:cstheme="majorEastAsia"/>
          <w:bCs/>
          <w:sz w:val="32"/>
          <w:szCs w:val="32"/>
        </w:rPr>
      </w:pPr>
    </w:p>
    <w:p w14:paraId="6E8D35D3">
      <w:pPr>
        <w:snapToGrid w:val="0"/>
        <w:jc w:val="center"/>
        <w:rPr>
          <w:rFonts w:asciiTheme="majorEastAsia" w:hAnsiTheme="majorEastAsia" w:eastAsiaTheme="majorEastAsia" w:cstheme="majorEastAsia"/>
          <w:bCs/>
          <w:sz w:val="32"/>
          <w:szCs w:val="32"/>
        </w:rPr>
      </w:pPr>
    </w:p>
    <w:p w14:paraId="2F75AE92">
      <w:pPr>
        <w:snapToGrid w:val="0"/>
        <w:jc w:val="center"/>
        <w:rPr>
          <w:rFonts w:asciiTheme="majorEastAsia" w:hAnsiTheme="majorEastAsia" w:eastAsiaTheme="majorEastAsia" w:cstheme="majorEastAsia"/>
          <w:bCs/>
          <w:sz w:val="32"/>
          <w:szCs w:val="32"/>
        </w:rPr>
      </w:pPr>
    </w:p>
    <w:p w14:paraId="4EF64D4B">
      <w:pPr>
        <w:snapToGrid w:val="0"/>
        <w:jc w:val="center"/>
        <w:rPr>
          <w:rFonts w:asciiTheme="majorEastAsia" w:hAnsiTheme="majorEastAsia" w:eastAsiaTheme="majorEastAsia" w:cstheme="majorEastAsia"/>
          <w:bCs/>
          <w:sz w:val="32"/>
          <w:szCs w:val="32"/>
        </w:rPr>
      </w:pPr>
    </w:p>
    <w:p w14:paraId="5E4DECCE">
      <w:pPr>
        <w:snapToGrid w:val="0"/>
        <w:jc w:val="center"/>
        <w:rPr>
          <w:rFonts w:asciiTheme="majorEastAsia" w:hAnsiTheme="majorEastAsia" w:eastAsiaTheme="majorEastAsia" w:cstheme="majorEastAsia"/>
          <w:bCs/>
          <w:sz w:val="32"/>
          <w:szCs w:val="32"/>
        </w:rPr>
      </w:pPr>
    </w:p>
    <w:p w14:paraId="188C0A9E">
      <w:pPr>
        <w:snapToGrid w:val="0"/>
        <w:jc w:val="center"/>
        <w:rPr>
          <w:rFonts w:asciiTheme="majorEastAsia" w:hAnsiTheme="majorEastAsia" w:eastAsiaTheme="majorEastAsia" w:cstheme="majorEastAsia"/>
          <w:bCs/>
          <w:sz w:val="32"/>
          <w:szCs w:val="32"/>
        </w:rPr>
      </w:pPr>
    </w:p>
    <w:p w14:paraId="5D58D52D">
      <w:pPr>
        <w:snapToGrid w:val="0"/>
        <w:jc w:val="center"/>
        <w:rPr>
          <w:rFonts w:asciiTheme="majorEastAsia" w:hAnsiTheme="majorEastAsia" w:eastAsiaTheme="majorEastAsia" w:cstheme="majorEastAsia"/>
          <w:bCs/>
          <w:sz w:val="32"/>
          <w:szCs w:val="32"/>
        </w:rPr>
      </w:pPr>
    </w:p>
    <w:p w14:paraId="0F8BDB4D">
      <w:pPr>
        <w:snapToGrid w:val="0"/>
        <w:rPr>
          <w:rFonts w:asciiTheme="majorEastAsia" w:hAnsiTheme="majorEastAsia" w:eastAsiaTheme="majorEastAsia" w:cstheme="majorEastAsia"/>
          <w:bCs/>
          <w:sz w:val="32"/>
          <w:szCs w:val="32"/>
        </w:rPr>
      </w:pPr>
      <w:bookmarkStart w:id="142" w:name="_Hlk55381736"/>
    </w:p>
    <w:p w14:paraId="48E471F4">
      <w:pPr>
        <w:snapToGrid w:val="0"/>
        <w:spacing w:line="360" w:lineRule="auto"/>
        <w:ind w:firstLine="640" w:firstLineChars="200"/>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Cs/>
          <w:sz w:val="32"/>
          <w:szCs w:val="32"/>
        </w:rPr>
        <w:br w:type="page"/>
      </w:r>
    </w:p>
    <w:p w14:paraId="5BE73AEA">
      <w:pPr>
        <w:snapToGrid w:val="0"/>
        <w:spacing w:line="360" w:lineRule="auto"/>
        <w:jc w:val="center"/>
        <w:rPr>
          <w:rFonts w:asciiTheme="majorEastAsia" w:hAnsiTheme="majorEastAsia" w:eastAsiaTheme="majorEastAsia" w:cstheme="majorEastAsia"/>
          <w:b/>
          <w:bCs/>
          <w:sz w:val="32"/>
          <w:szCs w:val="32"/>
        </w:rPr>
      </w:pPr>
    </w:p>
    <w:p w14:paraId="11F10749">
      <w:pPr>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《广西壮族自治区政府采购合同》</w:t>
      </w:r>
    </w:p>
    <w:p w14:paraId="4BA16CD6">
      <w:pPr>
        <w:widowControl/>
        <w:autoSpaceDE w:val="0"/>
        <w:autoSpaceDN w:val="0"/>
        <w:adjustRightInd w:val="0"/>
        <w:snapToGrid w:val="0"/>
        <w:spacing w:line="360" w:lineRule="auto"/>
        <w:ind w:firstLine="412" w:firstLineChars="200"/>
        <w:jc w:val="left"/>
        <w:textAlignment w:val="baseline"/>
        <w:rPr>
          <w:rFonts w:asciiTheme="majorEastAsia" w:hAnsiTheme="majorEastAsia" w:eastAsiaTheme="majorEastAsia" w:cstheme="majorEastAsia"/>
          <w:snapToGrid w:val="0"/>
          <w:spacing w:val="-2"/>
          <w:kern w:val="0"/>
          <w:szCs w:val="21"/>
        </w:rPr>
      </w:pPr>
    </w:p>
    <w:p w14:paraId="0CD57EB2">
      <w:pPr>
        <w:widowControl/>
        <w:autoSpaceDE w:val="0"/>
        <w:autoSpaceDN w:val="0"/>
        <w:adjustRightInd w:val="0"/>
        <w:snapToGrid w:val="0"/>
        <w:spacing w:line="360" w:lineRule="auto"/>
        <w:ind w:firstLine="41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2"/>
          <w:kern w:val="0"/>
          <w:szCs w:val="21"/>
        </w:rPr>
        <w:t>合同名称：                                合同编号：</w:t>
      </w:r>
    </w:p>
    <w:p w14:paraId="6BAD9371">
      <w:pPr>
        <w:widowControl/>
        <w:autoSpaceDE w:val="0"/>
        <w:autoSpaceDN w:val="0"/>
        <w:adjustRightInd w:val="0"/>
        <w:snapToGrid w:val="0"/>
        <w:spacing w:line="360" w:lineRule="auto"/>
        <w:ind w:firstLine="41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2"/>
          <w:kern w:val="0"/>
          <w:szCs w:val="21"/>
        </w:rPr>
        <w:t>采购单位（甲方</w:t>
      </w:r>
      <w:r>
        <w:rPr>
          <w:rFonts w:hint="eastAsia" w:asciiTheme="majorEastAsia" w:hAnsiTheme="majorEastAsia" w:eastAsiaTheme="majorEastAsia" w:cstheme="majorEastAsia"/>
          <w:snapToGrid w:val="0"/>
          <w:spacing w:val="4"/>
          <w:kern w:val="0"/>
          <w:szCs w:val="21"/>
        </w:rPr>
        <w:t xml:space="preserve">）：                    </w:t>
      </w:r>
      <w:r>
        <w:rPr>
          <w:rFonts w:hint="eastAsia" w:asciiTheme="majorEastAsia" w:hAnsiTheme="majorEastAsia" w:eastAsiaTheme="majorEastAsia" w:cstheme="majorEastAsia"/>
          <w:snapToGrid w:val="0"/>
          <w:spacing w:val="-2"/>
          <w:kern w:val="0"/>
          <w:szCs w:val="21"/>
        </w:rPr>
        <w:t>采购计划号：</w:t>
      </w:r>
    </w:p>
    <w:p w14:paraId="1E998A8C">
      <w:pPr>
        <w:widowControl/>
        <w:autoSpaceDE w:val="0"/>
        <w:autoSpaceDN w:val="0"/>
        <w:adjustRightInd w:val="0"/>
        <w:snapToGrid w:val="0"/>
        <w:spacing w:line="360" w:lineRule="auto"/>
        <w:ind w:firstLine="408"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3"/>
          <w:kern w:val="0"/>
          <w:szCs w:val="21"/>
        </w:rPr>
        <w:t>中标供应商（乙方</w:t>
      </w:r>
      <w:r>
        <w:rPr>
          <w:rFonts w:hint="eastAsia" w:asciiTheme="majorEastAsia" w:hAnsiTheme="majorEastAsia" w:eastAsiaTheme="majorEastAsia" w:cstheme="majorEastAsia"/>
          <w:snapToGrid w:val="0"/>
          <w:spacing w:val="2"/>
          <w:kern w:val="0"/>
          <w:szCs w:val="21"/>
        </w:rPr>
        <w:t xml:space="preserve">）：                   </w:t>
      </w:r>
      <w:r>
        <w:rPr>
          <w:rFonts w:hint="eastAsia" w:asciiTheme="majorEastAsia" w:hAnsiTheme="majorEastAsia" w:eastAsiaTheme="majorEastAsia" w:cstheme="majorEastAsia"/>
          <w:snapToGrid w:val="0"/>
          <w:spacing w:val="-3"/>
          <w:kern w:val="0"/>
          <w:szCs w:val="21"/>
        </w:rPr>
        <w:t>项目名称和编号：</w:t>
      </w:r>
    </w:p>
    <w:p w14:paraId="60AD7E30">
      <w:pPr>
        <w:widowControl/>
        <w:autoSpaceDE w:val="0"/>
        <w:autoSpaceDN w:val="0"/>
        <w:adjustRightInd w:val="0"/>
        <w:snapToGrid w:val="0"/>
        <w:spacing w:line="360" w:lineRule="auto"/>
        <w:ind w:firstLine="40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4"/>
          <w:kern w:val="0"/>
          <w:szCs w:val="21"/>
        </w:rPr>
        <w:t>签订地点：                                签订时间：</w:t>
      </w:r>
    </w:p>
    <w:p w14:paraId="2AA64082">
      <w:pPr>
        <w:widowControl/>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kern w:val="0"/>
          <w:szCs w:val="21"/>
        </w:rPr>
      </w:pPr>
    </w:p>
    <w:p w14:paraId="08930CC1">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根据《中华人民共和国政府采购法》、《中华人民共和国民法典》等法律、法规</w:t>
      </w:r>
      <w:r>
        <w:rPr>
          <w:rFonts w:hint="eastAsia" w:asciiTheme="majorEastAsia" w:hAnsiTheme="majorEastAsia" w:eastAsiaTheme="majorEastAsia" w:cstheme="majorEastAsia"/>
          <w:snapToGrid w:val="0"/>
          <w:spacing w:val="8"/>
          <w:kern w:val="0"/>
          <w:szCs w:val="21"/>
        </w:rPr>
        <w:t>规定，按照招标文</w:t>
      </w:r>
      <w:r>
        <w:rPr>
          <w:rFonts w:hint="eastAsia" w:asciiTheme="majorEastAsia" w:hAnsiTheme="majorEastAsia" w:eastAsiaTheme="majorEastAsia" w:cstheme="majorEastAsia"/>
          <w:snapToGrid w:val="0"/>
          <w:spacing w:val="7"/>
          <w:kern w:val="0"/>
          <w:szCs w:val="21"/>
        </w:rPr>
        <w:t>件规定条款和中标供应商承诺，甲乙双方签订本合同。</w:t>
      </w:r>
    </w:p>
    <w:p w14:paraId="0E2F050C">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第一条  合同标的</w:t>
      </w:r>
    </w:p>
    <w:p w14:paraId="7FE65636">
      <w:pPr>
        <w:widowControl/>
        <w:autoSpaceDE w:val="0"/>
        <w:autoSpaceDN w:val="0"/>
        <w:adjustRightInd w:val="0"/>
        <w:snapToGrid w:val="0"/>
        <w:spacing w:line="360" w:lineRule="auto"/>
        <w:ind w:firstLine="44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5"/>
          <w:kern w:val="0"/>
          <w:szCs w:val="21"/>
        </w:rPr>
        <w:t>1、供货一览表</w:t>
      </w:r>
    </w:p>
    <w:tbl>
      <w:tblPr>
        <w:tblStyle w:val="112"/>
        <w:tblW w:w="8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887"/>
        <w:gridCol w:w="887"/>
        <w:gridCol w:w="886"/>
        <w:gridCol w:w="886"/>
        <w:gridCol w:w="846"/>
        <w:gridCol w:w="846"/>
        <w:gridCol w:w="1265"/>
        <w:gridCol w:w="1265"/>
      </w:tblGrid>
      <w:tr w14:paraId="37BAA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50" w:type="dxa"/>
          </w:tcPr>
          <w:p w14:paraId="5908E1A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序号</w:t>
            </w:r>
          </w:p>
        </w:tc>
        <w:tc>
          <w:tcPr>
            <w:tcW w:w="887" w:type="dxa"/>
          </w:tcPr>
          <w:p w14:paraId="578F306E">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4"/>
                <w:kern w:val="0"/>
                <w:position w:val="11"/>
                <w:szCs w:val="21"/>
                <w:lang w:eastAsia="en-US"/>
              </w:rPr>
              <w:t>产品</w:t>
            </w:r>
          </w:p>
          <w:p w14:paraId="7C2C2975">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名称</w:t>
            </w:r>
          </w:p>
        </w:tc>
        <w:tc>
          <w:tcPr>
            <w:tcW w:w="887" w:type="dxa"/>
          </w:tcPr>
          <w:p w14:paraId="317732B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2"/>
                <w:kern w:val="0"/>
                <w:position w:val="11"/>
                <w:szCs w:val="21"/>
                <w:lang w:eastAsia="en-US"/>
              </w:rPr>
              <w:t>商标</w:t>
            </w:r>
          </w:p>
          <w:p w14:paraId="58C5CC3E">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4"/>
                <w:kern w:val="0"/>
                <w:szCs w:val="21"/>
                <w:lang w:eastAsia="en-US"/>
              </w:rPr>
              <w:t>品牌</w:t>
            </w:r>
          </w:p>
        </w:tc>
        <w:tc>
          <w:tcPr>
            <w:tcW w:w="886" w:type="dxa"/>
          </w:tcPr>
          <w:p w14:paraId="547A0F73">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4"/>
                <w:kern w:val="0"/>
                <w:position w:val="11"/>
                <w:szCs w:val="21"/>
                <w:lang w:eastAsia="en-US"/>
              </w:rPr>
              <w:t>规格</w:t>
            </w:r>
          </w:p>
          <w:p w14:paraId="2C91084E">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1"/>
                <w:kern w:val="0"/>
                <w:szCs w:val="21"/>
                <w:lang w:eastAsia="en-US"/>
              </w:rPr>
              <w:t>型号</w:t>
            </w:r>
          </w:p>
        </w:tc>
        <w:tc>
          <w:tcPr>
            <w:tcW w:w="886" w:type="dxa"/>
          </w:tcPr>
          <w:p w14:paraId="077DD18F">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position w:val="11"/>
                <w:szCs w:val="21"/>
                <w:lang w:eastAsia="en-US"/>
              </w:rPr>
              <w:t>生产</w:t>
            </w:r>
          </w:p>
          <w:p w14:paraId="28A2D59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厂家</w:t>
            </w:r>
          </w:p>
        </w:tc>
        <w:tc>
          <w:tcPr>
            <w:tcW w:w="846" w:type="dxa"/>
          </w:tcPr>
          <w:p w14:paraId="4CE8511F">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数量</w:t>
            </w:r>
          </w:p>
        </w:tc>
        <w:tc>
          <w:tcPr>
            <w:tcW w:w="846" w:type="dxa"/>
          </w:tcPr>
          <w:p w14:paraId="6A831B2D">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单位</w:t>
            </w:r>
          </w:p>
        </w:tc>
        <w:tc>
          <w:tcPr>
            <w:tcW w:w="1265" w:type="dxa"/>
          </w:tcPr>
          <w:p w14:paraId="215733EF">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单价（元）</w:t>
            </w:r>
          </w:p>
        </w:tc>
        <w:tc>
          <w:tcPr>
            <w:tcW w:w="1265" w:type="dxa"/>
          </w:tcPr>
          <w:p w14:paraId="20F480F2">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金额（元）</w:t>
            </w:r>
          </w:p>
        </w:tc>
      </w:tr>
      <w:tr w14:paraId="5AD26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0" w:type="dxa"/>
          </w:tcPr>
          <w:p w14:paraId="3F6CF6B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kern w:val="0"/>
                <w:szCs w:val="21"/>
                <w:lang w:eastAsia="en-US"/>
              </w:rPr>
              <w:t>1</w:t>
            </w:r>
          </w:p>
        </w:tc>
        <w:tc>
          <w:tcPr>
            <w:tcW w:w="887" w:type="dxa"/>
          </w:tcPr>
          <w:p w14:paraId="01EB06DB">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7" w:type="dxa"/>
          </w:tcPr>
          <w:p w14:paraId="491F309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10581049">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52ACCAFD">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4202E8A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0EB962EA">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7002218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315ECB30">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r>
      <w:tr w14:paraId="418C0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0" w:type="dxa"/>
          </w:tcPr>
          <w:p w14:paraId="37C86766">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kern w:val="0"/>
                <w:szCs w:val="21"/>
                <w:lang w:eastAsia="en-US"/>
              </w:rPr>
              <w:t>2</w:t>
            </w:r>
          </w:p>
        </w:tc>
        <w:tc>
          <w:tcPr>
            <w:tcW w:w="887" w:type="dxa"/>
          </w:tcPr>
          <w:p w14:paraId="4594290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7" w:type="dxa"/>
          </w:tcPr>
          <w:p w14:paraId="3FA4B0D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044211CD">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6C93C72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4297D7F2">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6594C10F">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57E00175">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234246B5">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r>
      <w:tr w14:paraId="64756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0" w:type="dxa"/>
          </w:tcPr>
          <w:p w14:paraId="13751FF9">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kern w:val="0"/>
                <w:szCs w:val="21"/>
                <w:lang w:eastAsia="en-US"/>
              </w:rPr>
              <w:t>3</w:t>
            </w:r>
          </w:p>
        </w:tc>
        <w:tc>
          <w:tcPr>
            <w:tcW w:w="887" w:type="dxa"/>
          </w:tcPr>
          <w:p w14:paraId="61E724C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7" w:type="dxa"/>
          </w:tcPr>
          <w:p w14:paraId="065C8350">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15145161">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6996D858">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58B74EDD">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709AFCD5">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4A7CC42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32F45E13">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r>
      <w:tr w14:paraId="34186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618" w:type="dxa"/>
            <w:gridSpan w:val="9"/>
          </w:tcPr>
          <w:p w14:paraId="24872AA9">
            <w:pPr>
              <w:widowControl/>
              <w:autoSpaceDE w:val="0"/>
              <w:autoSpaceDN w:val="0"/>
              <w:adjustRightInd w:val="0"/>
              <w:snapToGrid w:val="0"/>
              <w:spacing w:line="360" w:lineRule="auto"/>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kern w:val="0"/>
                <w:szCs w:val="21"/>
                <w:lang w:eastAsia="en-US"/>
              </w:rPr>
              <w:t>人民币合计总金额：</w:t>
            </w:r>
            <w:r>
              <w:rPr>
                <w:rFonts w:hint="eastAsia" w:asciiTheme="majorEastAsia" w:hAnsiTheme="majorEastAsia" w:eastAsiaTheme="majorEastAsia" w:cstheme="majorEastAsia"/>
                <w:snapToGrid w:val="0"/>
                <w:kern w:val="0"/>
                <w:szCs w:val="21"/>
                <w:u w:val="single"/>
                <w:lang w:eastAsia="en-US"/>
              </w:rPr>
              <w:t>（大写）         （¥     元）</w:t>
            </w:r>
          </w:p>
        </w:tc>
      </w:tr>
    </w:tbl>
    <w:p w14:paraId="479C7BF6">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2、合同合计金额包括该货物包含的一切设备、附件、备件、运输、施工、安装调试、人员工资、</w:t>
      </w:r>
      <w:r>
        <w:rPr>
          <w:rFonts w:hint="eastAsia" w:asciiTheme="majorEastAsia" w:hAnsiTheme="majorEastAsia" w:eastAsiaTheme="majorEastAsia" w:cstheme="majorEastAsia"/>
          <w:snapToGrid w:val="0"/>
          <w:spacing w:val="9"/>
          <w:kern w:val="0"/>
          <w:szCs w:val="21"/>
        </w:rPr>
        <w:t>税费、计量检测费、验收、培训、技术服务、室内技术线路改造、系统接入服务、信息系统对接费用、后期维护服务等相关工作范围内的所</w:t>
      </w:r>
      <w:r>
        <w:rPr>
          <w:rFonts w:hint="eastAsia" w:asciiTheme="majorEastAsia" w:hAnsiTheme="majorEastAsia" w:eastAsiaTheme="majorEastAsia" w:cstheme="majorEastAsia"/>
          <w:snapToGrid w:val="0"/>
          <w:spacing w:val="8"/>
          <w:kern w:val="0"/>
          <w:szCs w:val="21"/>
        </w:rPr>
        <w:t>有费用。如招标文件对其另有规定的，从其规定。</w:t>
      </w:r>
    </w:p>
    <w:p w14:paraId="760DA11F">
      <w:pPr>
        <w:widowControl/>
        <w:autoSpaceDE w:val="0"/>
        <w:autoSpaceDN w:val="0"/>
        <w:adjustRightInd w:val="0"/>
        <w:snapToGrid w:val="0"/>
        <w:spacing w:line="360" w:lineRule="auto"/>
        <w:ind w:firstLine="44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6"/>
          <w:kern w:val="0"/>
          <w:szCs w:val="21"/>
        </w:rPr>
        <w:t>3、提供产品配置清单。</w:t>
      </w:r>
    </w:p>
    <w:p w14:paraId="1B747B3A">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第二条  质量保证</w:t>
      </w:r>
    </w:p>
    <w:p w14:paraId="1E3CFFDB">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1、乙方所提供的货物型号、技术参数等质量必须与投标文件和承诺</w:t>
      </w:r>
      <w:r>
        <w:rPr>
          <w:rFonts w:hint="eastAsia" w:asciiTheme="majorEastAsia" w:hAnsiTheme="majorEastAsia" w:eastAsiaTheme="majorEastAsia" w:cstheme="majorEastAsia"/>
          <w:snapToGrid w:val="0"/>
          <w:spacing w:val="10"/>
          <w:kern w:val="0"/>
          <w:szCs w:val="21"/>
        </w:rPr>
        <w:t>相一致。乙方提供的节能和环</w:t>
      </w:r>
      <w:r>
        <w:rPr>
          <w:rFonts w:hint="eastAsia" w:asciiTheme="majorEastAsia" w:hAnsiTheme="majorEastAsia" w:eastAsiaTheme="majorEastAsia" w:cstheme="majorEastAsia"/>
          <w:snapToGrid w:val="0"/>
          <w:spacing w:val="8"/>
          <w:kern w:val="0"/>
          <w:szCs w:val="21"/>
        </w:rPr>
        <w:t>保产品必须是列入政府采购清单的产品。</w:t>
      </w:r>
    </w:p>
    <w:p w14:paraId="2A07C56E">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8"/>
          <w:kern w:val="0"/>
          <w:szCs w:val="21"/>
        </w:rPr>
      </w:pPr>
      <w:r>
        <w:rPr>
          <w:rFonts w:hint="eastAsia" w:asciiTheme="majorEastAsia" w:hAnsiTheme="majorEastAsia" w:eastAsiaTheme="majorEastAsia" w:cstheme="majorEastAsia"/>
          <w:snapToGrid w:val="0"/>
          <w:spacing w:val="11"/>
          <w:kern w:val="0"/>
          <w:szCs w:val="21"/>
        </w:rPr>
        <w:t>2、乙方所提供的货物必须是全新、未使用的原装产品，且在正常安装、使用和保养条件下，其使</w:t>
      </w:r>
      <w:r>
        <w:rPr>
          <w:rFonts w:hint="eastAsia" w:asciiTheme="majorEastAsia" w:hAnsiTheme="majorEastAsia" w:eastAsiaTheme="majorEastAsia" w:cstheme="majorEastAsia"/>
          <w:snapToGrid w:val="0"/>
          <w:spacing w:val="8"/>
          <w:kern w:val="0"/>
          <w:szCs w:val="21"/>
        </w:rPr>
        <w:t>用寿命期内各项指标均达到质量要求。</w:t>
      </w:r>
    </w:p>
    <w:p w14:paraId="3462F0CA">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3、质保期：</w:t>
      </w:r>
      <w:r>
        <w:rPr>
          <w:rFonts w:hint="eastAsia" w:asciiTheme="majorEastAsia" w:hAnsiTheme="majorEastAsia" w:eastAsiaTheme="majorEastAsia" w:cstheme="majorEastAsia"/>
          <w:bCs/>
          <w:snapToGrid w:val="0"/>
          <w:kern w:val="0"/>
          <w:szCs w:val="21"/>
        </w:rPr>
        <w:t>自货物验收合格</w:t>
      </w:r>
      <w:r>
        <w:rPr>
          <w:rFonts w:hint="eastAsia" w:asciiTheme="majorEastAsia" w:hAnsiTheme="majorEastAsia" w:eastAsiaTheme="majorEastAsia" w:cstheme="majorEastAsia"/>
          <w:snapToGrid w:val="0"/>
          <w:spacing w:val="10"/>
          <w:kern w:val="0"/>
          <w:szCs w:val="21"/>
        </w:rPr>
        <w:t>之日起     年。</w:t>
      </w:r>
    </w:p>
    <w:p w14:paraId="647EE13F">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第三条  权利保证</w:t>
      </w:r>
    </w:p>
    <w:p w14:paraId="6B5592BC">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1、乙方应保证所提供货物在使用时不会侵犯任何第三方的专利权、</w:t>
      </w:r>
      <w:r>
        <w:rPr>
          <w:rFonts w:hint="eastAsia" w:asciiTheme="majorEastAsia" w:hAnsiTheme="majorEastAsia" w:eastAsiaTheme="majorEastAsia" w:cstheme="majorEastAsia"/>
          <w:snapToGrid w:val="0"/>
          <w:spacing w:val="10"/>
          <w:kern w:val="0"/>
          <w:szCs w:val="21"/>
        </w:rPr>
        <w:t>商标权、工业设计权或其他权</w:t>
      </w:r>
      <w:r>
        <w:rPr>
          <w:rFonts w:hint="eastAsia" w:asciiTheme="majorEastAsia" w:hAnsiTheme="majorEastAsia" w:eastAsiaTheme="majorEastAsia" w:cstheme="majorEastAsia"/>
          <w:snapToGrid w:val="0"/>
          <w:kern w:val="0"/>
          <w:szCs w:val="21"/>
        </w:rPr>
        <w:t>利。</w:t>
      </w:r>
    </w:p>
    <w:p w14:paraId="0038F7FA">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2、乙方应按招标文件规定的时间向甲方提供使用货物的有关技术资料。</w:t>
      </w:r>
    </w:p>
    <w:p w14:paraId="18D66E79">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3、没有甲方事先书面同意，乙方不得将由甲方提供的有关合同或任何合同条文、规格、计划、图</w:t>
      </w:r>
      <w:r>
        <w:rPr>
          <w:rFonts w:hint="eastAsia" w:asciiTheme="majorEastAsia" w:hAnsiTheme="majorEastAsia" w:eastAsiaTheme="majorEastAsia" w:cstheme="majorEastAsia"/>
          <w:snapToGrid w:val="0"/>
          <w:spacing w:val="9"/>
          <w:kern w:val="0"/>
          <w:szCs w:val="21"/>
        </w:rPr>
        <w:t>纸、样品或资料提供给与履行本合同无关的任何其他人。即使向履行本合同有关的人员</w:t>
      </w:r>
      <w:r>
        <w:rPr>
          <w:rFonts w:hint="eastAsia" w:asciiTheme="majorEastAsia" w:hAnsiTheme="majorEastAsia" w:eastAsiaTheme="majorEastAsia" w:cstheme="majorEastAsia"/>
          <w:snapToGrid w:val="0"/>
          <w:spacing w:val="8"/>
          <w:kern w:val="0"/>
          <w:szCs w:val="21"/>
        </w:rPr>
        <w:t>提供，也应注意保密并限于履行合同的必需范围。</w:t>
      </w:r>
    </w:p>
    <w:p w14:paraId="0EDF74AD">
      <w:pPr>
        <w:widowControl/>
        <w:snapToGrid w:val="0"/>
        <w:spacing w:line="440" w:lineRule="exact"/>
        <w:ind w:firstLine="456" w:firstLineChars="20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4、乙方保证所交付的货物的所有权完全属于乙方且无任何抵押、质押、查封等产权瑕疵。</w:t>
      </w:r>
    </w:p>
    <w:p w14:paraId="16509CEC">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第四条  包装和运输</w:t>
      </w:r>
    </w:p>
    <w:p w14:paraId="14078CB1">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1、乙方提供的货物均应按招标文件要求的包装材料、包装标准、包</w:t>
      </w:r>
      <w:r>
        <w:rPr>
          <w:rFonts w:hint="eastAsia" w:asciiTheme="majorEastAsia" w:hAnsiTheme="majorEastAsia" w:eastAsiaTheme="majorEastAsia" w:cstheme="majorEastAsia"/>
          <w:snapToGrid w:val="0"/>
          <w:spacing w:val="10"/>
          <w:kern w:val="0"/>
          <w:szCs w:val="21"/>
        </w:rPr>
        <w:t>装方式进行包装，每一包装单</w:t>
      </w:r>
      <w:r>
        <w:rPr>
          <w:rFonts w:hint="eastAsia" w:asciiTheme="majorEastAsia" w:hAnsiTheme="majorEastAsia" w:eastAsiaTheme="majorEastAsia" w:cstheme="majorEastAsia"/>
          <w:snapToGrid w:val="0"/>
          <w:spacing w:val="8"/>
          <w:kern w:val="0"/>
          <w:szCs w:val="21"/>
        </w:rPr>
        <w:t>元内应附详细的装箱单和质量合格证。</w:t>
      </w:r>
    </w:p>
    <w:p w14:paraId="0EFD51FD">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11"/>
          <w:kern w:val="0"/>
          <w:szCs w:val="21"/>
        </w:rPr>
      </w:pPr>
      <w:r>
        <w:rPr>
          <w:rFonts w:hint="eastAsia" w:asciiTheme="majorEastAsia" w:hAnsiTheme="majorEastAsia" w:eastAsiaTheme="majorEastAsia" w:cstheme="majorEastAsia"/>
          <w:snapToGrid w:val="0"/>
          <w:spacing w:val="11"/>
          <w:kern w:val="0"/>
          <w:szCs w:val="21"/>
        </w:rPr>
        <w:t>2、货物的运输方式：由乙方自行安排。</w:t>
      </w:r>
    </w:p>
    <w:p w14:paraId="074286F0">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11"/>
          <w:kern w:val="0"/>
          <w:szCs w:val="21"/>
        </w:rPr>
      </w:pPr>
      <w:r>
        <w:rPr>
          <w:rFonts w:hint="eastAsia" w:asciiTheme="majorEastAsia" w:hAnsiTheme="majorEastAsia" w:eastAsiaTheme="majorEastAsia" w:cstheme="majorEastAsia"/>
          <w:snapToGrid w:val="0"/>
          <w:spacing w:val="11"/>
          <w:kern w:val="0"/>
          <w:szCs w:val="21"/>
        </w:rPr>
        <w:t>3、乙方负责货物运输，货物运输合理损耗及计算方法：本项目不接受损耗。</w:t>
      </w:r>
    </w:p>
    <w:p w14:paraId="066ABD1A">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第五条  交付调试和验收</w:t>
      </w:r>
    </w:p>
    <w:p w14:paraId="4C3CB1BA">
      <w:pPr>
        <w:widowControl/>
        <w:autoSpaceDE w:val="0"/>
        <w:autoSpaceDN w:val="0"/>
        <w:adjustRightInd w:val="0"/>
        <w:snapToGrid w:val="0"/>
        <w:spacing w:line="360" w:lineRule="auto"/>
        <w:ind w:firstLine="448" w:firstLineChars="200"/>
        <w:jc w:val="left"/>
        <w:textAlignment w:val="baseline"/>
        <w:rPr>
          <w:rFonts w:asciiTheme="majorEastAsia" w:hAnsiTheme="majorEastAsia" w:eastAsiaTheme="majorEastAsia" w:cstheme="majorEastAsia"/>
          <w:snapToGrid w:val="0"/>
          <w:spacing w:val="6"/>
          <w:kern w:val="0"/>
          <w:szCs w:val="21"/>
        </w:rPr>
      </w:pPr>
      <w:r>
        <w:rPr>
          <w:rFonts w:hint="eastAsia" w:asciiTheme="majorEastAsia" w:hAnsiTheme="majorEastAsia" w:eastAsiaTheme="majorEastAsia" w:cstheme="majorEastAsia"/>
          <w:snapToGrid w:val="0"/>
          <w:spacing w:val="7"/>
          <w:kern w:val="0"/>
          <w:szCs w:val="21"/>
        </w:rPr>
        <w:t>1、交货时间（安装、调试、培训完</w:t>
      </w:r>
      <w:r>
        <w:rPr>
          <w:rFonts w:hint="eastAsia" w:asciiTheme="majorEastAsia" w:hAnsiTheme="majorEastAsia" w:eastAsiaTheme="majorEastAsia" w:cstheme="majorEastAsia"/>
          <w:snapToGrid w:val="0"/>
          <w:spacing w:val="6"/>
          <w:kern w:val="0"/>
          <w:szCs w:val="21"/>
        </w:rPr>
        <w:t>）：</w:t>
      </w:r>
      <w:r>
        <w:rPr>
          <w:rFonts w:hint="eastAsia" w:asciiTheme="majorEastAsia" w:hAnsiTheme="majorEastAsia" w:eastAsiaTheme="majorEastAsia" w:cstheme="majorEastAsia"/>
          <w:snapToGrid w:val="0"/>
          <w:spacing w:val="6"/>
          <w:kern w:val="0"/>
          <w:szCs w:val="21"/>
          <w:u w:val="single"/>
        </w:rPr>
        <w:t xml:space="preserve">                 </w:t>
      </w:r>
      <w:r>
        <w:rPr>
          <w:rFonts w:hint="eastAsia" w:asciiTheme="majorEastAsia" w:hAnsiTheme="majorEastAsia" w:eastAsiaTheme="majorEastAsia" w:cstheme="majorEastAsia"/>
          <w:snapToGrid w:val="0"/>
          <w:spacing w:val="6"/>
          <w:kern w:val="0"/>
          <w:szCs w:val="21"/>
        </w:rPr>
        <w:t>。</w:t>
      </w:r>
    </w:p>
    <w:p w14:paraId="6CA6A2DF">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2、交货地点：岑溪市内甲方指定地点。</w:t>
      </w:r>
    </w:p>
    <w:p w14:paraId="71A100BA">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3、乙方提供不符合招标文件（及乙方投标（响应）文件）和本合同规定的货物，甲方有权拒</w:t>
      </w:r>
      <w:r>
        <w:rPr>
          <w:rFonts w:hint="eastAsia" w:asciiTheme="majorEastAsia" w:hAnsiTheme="majorEastAsia" w:eastAsiaTheme="majorEastAsia" w:cstheme="majorEastAsia"/>
          <w:snapToGrid w:val="0"/>
          <w:spacing w:val="9"/>
          <w:kern w:val="0"/>
          <w:szCs w:val="21"/>
        </w:rPr>
        <w:t>绝接</w:t>
      </w:r>
      <w:r>
        <w:rPr>
          <w:rFonts w:hint="eastAsia" w:asciiTheme="majorEastAsia" w:hAnsiTheme="majorEastAsia" w:eastAsiaTheme="majorEastAsia" w:cstheme="majorEastAsia"/>
          <w:snapToGrid w:val="0"/>
          <w:spacing w:val="-2"/>
          <w:kern w:val="0"/>
          <w:szCs w:val="21"/>
        </w:rPr>
        <w:t>受。</w:t>
      </w:r>
    </w:p>
    <w:p w14:paraId="342549B2">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4、甲方自行组织或委托政府采购代理机构组织初步验收及最终（安装）验收，由甲方或政府采购代理机构组织相关专业专家到场参与验收。如项目属于技术复杂的货物，甲方聘请国家认可的专</w:t>
      </w:r>
      <w:r>
        <w:rPr>
          <w:rFonts w:hint="eastAsia" w:asciiTheme="majorEastAsia" w:hAnsiTheme="majorEastAsia" w:eastAsiaTheme="majorEastAsia" w:cstheme="majorEastAsia"/>
          <w:snapToGrid w:val="0"/>
          <w:spacing w:val="8"/>
          <w:kern w:val="0"/>
          <w:szCs w:val="21"/>
        </w:rPr>
        <w:t>业检测</w:t>
      </w:r>
      <w:r>
        <w:rPr>
          <w:rFonts w:hint="eastAsia" w:asciiTheme="majorEastAsia" w:hAnsiTheme="majorEastAsia" w:eastAsiaTheme="majorEastAsia" w:cstheme="majorEastAsia"/>
          <w:snapToGrid w:val="0"/>
          <w:spacing w:val="9"/>
          <w:kern w:val="0"/>
          <w:szCs w:val="21"/>
        </w:rPr>
        <w:t>机构参与初步验收及最终（安装）验收，与甲方或政府采购代理机构组织的相关专业专家共同组</w:t>
      </w:r>
      <w:r>
        <w:rPr>
          <w:rFonts w:hint="eastAsia" w:asciiTheme="majorEastAsia" w:hAnsiTheme="majorEastAsia" w:eastAsiaTheme="majorEastAsia" w:cstheme="majorEastAsia"/>
          <w:snapToGrid w:val="0"/>
          <w:spacing w:val="8"/>
          <w:kern w:val="0"/>
          <w:szCs w:val="21"/>
        </w:rPr>
        <w:t>成验收</w:t>
      </w:r>
      <w:r>
        <w:rPr>
          <w:rFonts w:hint="eastAsia" w:asciiTheme="majorEastAsia" w:hAnsiTheme="majorEastAsia" w:eastAsiaTheme="majorEastAsia" w:cstheme="majorEastAsia"/>
          <w:snapToGrid w:val="0"/>
          <w:spacing w:val="9"/>
          <w:kern w:val="0"/>
          <w:szCs w:val="21"/>
        </w:rPr>
        <w:t>小组。验收时乙方必须在现场，验收完毕后出具验收结果报告；验收所产生的费用（包含</w:t>
      </w:r>
      <w:r>
        <w:rPr>
          <w:rFonts w:hint="eastAsia" w:asciiTheme="majorEastAsia" w:hAnsiTheme="majorEastAsia" w:eastAsiaTheme="majorEastAsia" w:cstheme="majorEastAsia"/>
          <w:snapToGrid w:val="0"/>
          <w:spacing w:val="8"/>
          <w:kern w:val="0"/>
          <w:szCs w:val="21"/>
        </w:rPr>
        <w:t>但不限于聘请</w:t>
      </w:r>
      <w:r>
        <w:rPr>
          <w:rFonts w:hint="eastAsia" w:asciiTheme="majorEastAsia" w:hAnsiTheme="majorEastAsia" w:eastAsiaTheme="majorEastAsia" w:cstheme="majorEastAsia"/>
          <w:snapToGrid w:val="0"/>
          <w:spacing w:val="6"/>
          <w:kern w:val="0"/>
          <w:szCs w:val="21"/>
        </w:rPr>
        <w:t>专家、检测机构费用）由乙方承担。</w:t>
      </w:r>
    </w:p>
    <w:p w14:paraId="5C6EAF71">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5、验收时间以本项目验收方案约定的验收时间为准，验收结果以本项目验收报告结论为准。</w:t>
      </w:r>
    </w:p>
    <w:p w14:paraId="476BF595">
      <w:pPr>
        <w:widowControl/>
        <w:autoSpaceDE w:val="0"/>
        <w:autoSpaceDN w:val="0"/>
        <w:adjustRightInd w:val="0"/>
        <w:snapToGrid w:val="0"/>
        <w:spacing w:line="360" w:lineRule="auto"/>
        <w:ind w:firstLine="44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6"/>
          <w:kern w:val="0"/>
          <w:szCs w:val="21"/>
        </w:rPr>
        <w:t>6、初步验收：</w:t>
      </w:r>
    </w:p>
    <w:p w14:paraId="773E164C">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6.1、甲方（或验收小组）对乙方提交的货物，依据招标文件（及乙方投标（响应</w:t>
      </w:r>
      <w:r>
        <w:rPr>
          <w:rFonts w:hint="eastAsia" w:asciiTheme="majorEastAsia" w:hAnsiTheme="majorEastAsia" w:eastAsiaTheme="majorEastAsia" w:cstheme="majorEastAsia"/>
          <w:snapToGrid w:val="0"/>
          <w:spacing w:val="9"/>
          <w:kern w:val="0"/>
          <w:szCs w:val="21"/>
        </w:rPr>
        <w:t>）文件）上的技术规格要求和国家有关质量标准进行现场初步验收，产品外观、说明书符合招标文件（及乙方</w:t>
      </w:r>
      <w:r>
        <w:rPr>
          <w:rFonts w:hint="eastAsia" w:asciiTheme="majorEastAsia" w:hAnsiTheme="majorEastAsia" w:eastAsiaTheme="majorEastAsia" w:cstheme="majorEastAsia"/>
          <w:snapToGrid w:val="0"/>
          <w:spacing w:val="8"/>
          <w:kern w:val="0"/>
          <w:szCs w:val="21"/>
        </w:rPr>
        <w:t>投标（响</w:t>
      </w:r>
      <w:r>
        <w:rPr>
          <w:rFonts w:hint="eastAsia" w:asciiTheme="majorEastAsia" w:hAnsiTheme="majorEastAsia" w:eastAsiaTheme="majorEastAsia" w:cstheme="majorEastAsia"/>
          <w:snapToGrid w:val="0"/>
          <w:spacing w:val="9"/>
          <w:kern w:val="0"/>
          <w:szCs w:val="21"/>
        </w:rPr>
        <w:t>应）文件）技术要求的，给予签收；对不符合要求的货物视为初步验收不合格不予签收</w:t>
      </w:r>
      <w:r>
        <w:rPr>
          <w:rFonts w:hint="eastAsia" w:asciiTheme="majorEastAsia" w:hAnsiTheme="majorEastAsia" w:eastAsiaTheme="majorEastAsia" w:cstheme="majorEastAsia"/>
          <w:snapToGrid w:val="0"/>
          <w:spacing w:val="8"/>
          <w:kern w:val="0"/>
          <w:szCs w:val="21"/>
        </w:rPr>
        <w:t>，可立即要求退换，乙方不得拒绝和延误。</w:t>
      </w:r>
    </w:p>
    <w:p w14:paraId="284DE69D">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6.2、乙方应将所提供货物的装箱清单、用户手册、原厂保修卡、随机资料、工具</w:t>
      </w:r>
      <w:r>
        <w:rPr>
          <w:rFonts w:hint="eastAsia" w:asciiTheme="majorEastAsia" w:hAnsiTheme="majorEastAsia" w:eastAsiaTheme="majorEastAsia" w:cstheme="majorEastAsia"/>
          <w:snapToGrid w:val="0"/>
          <w:spacing w:val="10"/>
          <w:kern w:val="0"/>
          <w:szCs w:val="21"/>
        </w:rPr>
        <w:t>和备品、备件、</w:t>
      </w:r>
      <w:r>
        <w:rPr>
          <w:rFonts w:hint="eastAsia" w:asciiTheme="majorEastAsia" w:hAnsiTheme="majorEastAsia" w:eastAsiaTheme="majorEastAsia" w:cstheme="majorEastAsia"/>
          <w:snapToGrid w:val="0"/>
          <w:spacing w:val="9"/>
          <w:kern w:val="0"/>
          <w:szCs w:val="21"/>
        </w:rPr>
        <w:t>合格证明、医疗器械注册证及医疗器械登记表（如有）、生产许可证、经营许可证复印</w:t>
      </w:r>
      <w:r>
        <w:rPr>
          <w:rFonts w:hint="eastAsia" w:asciiTheme="majorEastAsia" w:hAnsiTheme="majorEastAsia" w:eastAsiaTheme="majorEastAsia" w:cstheme="majorEastAsia"/>
          <w:snapToGrid w:val="0"/>
          <w:spacing w:val="8"/>
          <w:kern w:val="0"/>
          <w:szCs w:val="21"/>
        </w:rPr>
        <w:t>件加盖公章交付</w:t>
      </w:r>
      <w:r>
        <w:rPr>
          <w:rFonts w:hint="eastAsia" w:asciiTheme="majorEastAsia" w:hAnsiTheme="majorEastAsia" w:eastAsiaTheme="majorEastAsia" w:cstheme="majorEastAsia"/>
          <w:snapToGrid w:val="0"/>
          <w:spacing w:val="9"/>
          <w:kern w:val="0"/>
          <w:szCs w:val="21"/>
        </w:rPr>
        <w:t>给甲方（或验收小组）,并列出清单,作为甲方（或验收小组）收货验收</w:t>
      </w:r>
      <w:r>
        <w:rPr>
          <w:rFonts w:hint="eastAsia" w:asciiTheme="majorEastAsia" w:hAnsiTheme="majorEastAsia" w:eastAsiaTheme="majorEastAsia" w:cstheme="majorEastAsia"/>
          <w:snapToGrid w:val="0"/>
          <w:spacing w:val="8"/>
          <w:kern w:val="0"/>
          <w:szCs w:val="21"/>
        </w:rPr>
        <w:t>和使用的技术条件依据，检验的</w:t>
      </w:r>
      <w:r>
        <w:rPr>
          <w:rFonts w:hint="eastAsia" w:asciiTheme="majorEastAsia" w:hAnsiTheme="majorEastAsia" w:eastAsiaTheme="majorEastAsia" w:cstheme="majorEastAsia"/>
          <w:snapToGrid w:val="0"/>
          <w:spacing w:val="9"/>
          <w:kern w:val="0"/>
          <w:szCs w:val="21"/>
        </w:rPr>
        <w:t>结果应随货物交甲方（或验收小组）。如有缺失应及时补齐，否则视为逾期交货。</w:t>
      </w:r>
    </w:p>
    <w:p w14:paraId="1DBB955D">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6.3、乙方应按投标文件要求提供设备纸质版或电子版的操作规程和维护保养流</w:t>
      </w:r>
      <w:r>
        <w:rPr>
          <w:rFonts w:hint="eastAsia" w:asciiTheme="majorEastAsia" w:hAnsiTheme="majorEastAsia" w:eastAsiaTheme="majorEastAsia" w:cstheme="majorEastAsia"/>
          <w:snapToGrid w:val="0"/>
          <w:spacing w:val="10"/>
          <w:kern w:val="0"/>
          <w:szCs w:val="21"/>
        </w:rPr>
        <w:t>程。提供设备维护</w:t>
      </w:r>
      <w:r>
        <w:rPr>
          <w:rFonts w:hint="eastAsia" w:asciiTheme="majorEastAsia" w:hAnsiTheme="majorEastAsia" w:eastAsiaTheme="majorEastAsia" w:cstheme="majorEastAsia"/>
          <w:snapToGrid w:val="0"/>
          <w:spacing w:val="9"/>
          <w:kern w:val="0"/>
          <w:szCs w:val="21"/>
        </w:rPr>
        <w:t>手册、维修手册、软件备份、故障代码表、备件清单、零部件、维修密码、软件光盘及</w:t>
      </w:r>
      <w:r>
        <w:rPr>
          <w:rFonts w:hint="eastAsia" w:asciiTheme="majorEastAsia" w:hAnsiTheme="majorEastAsia" w:eastAsiaTheme="majorEastAsia" w:cstheme="majorEastAsia"/>
          <w:snapToGrid w:val="0"/>
          <w:spacing w:val="8"/>
          <w:kern w:val="0"/>
          <w:szCs w:val="21"/>
        </w:rPr>
        <w:t>软件安装流程等维护维修必需的材料和信息。</w:t>
      </w:r>
    </w:p>
    <w:p w14:paraId="44A096B1">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6.4、甲方（或验收小组）应当在收到货并收到乙方验收申请之日起5个工作</w:t>
      </w:r>
      <w:r>
        <w:rPr>
          <w:rFonts w:hint="eastAsia" w:asciiTheme="majorEastAsia" w:hAnsiTheme="majorEastAsia" w:eastAsiaTheme="majorEastAsia" w:cstheme="majorEastAsia"/>
          <w:snapToGrid w:val="0"/>
          <w:spacing w:val="7"/>
          <w:kern w:val="0"/>
          <w:szCs w:val="21"/>
        </w:rPr>
        <w:t>日内进行初步验收，无正当理由逾期不验收的，乙方可视同</w:t>
      </w:r>
      <w:r>
        <w:rPr>
          <w:rFonts w:hint="eastAsia" w:asciiTheme="majorEastAsia" w:hAnsiTheme="majorEastAsia" w:eastAsiaTheme="majorEastAsia" w:cstheme="majorEastAsia"/>
          <w:snapToGrid w:val="0"/>
          <w:spacing w:val="9"/>
          <w:kern w:val="0"/>
          <w:szCs w:val="21"/>
        </w:rPr>
        <w:t>初步验收合格。初步验收合格后由甲乙双方签署货物初步验收单并加盖采购单位公章，甲乙双方</w:t>
      </w:r>
      <w:r>
        <w:rPr>
          <w:rFonts w:hint="eastAsia" w:asciiTheme="majorEastAsia" w:hAnsiTheme="majorEastAsia" w:eastAsiaTheme="majorEastAsia" w:cstheme="majorEastAsia"/>
          <w:snapToGrid w:val="0"/>
          <w:spacing w:val="8"/>
          <w:kern w:val="0"/>
          <w:szCs w:val="21"/>
        </w:rPr>
        <w:t>各执一</w:t>
      </w:r>
      <w:r>
        <w:rPr>
          <w:rFonts w:hint="eastAsia" w:asciiTheme="majorEastAsia" w:hAnsiTheme="majorEastAsia" w:eastAsiaTheme="majorEastAsia" w:cstheme="majorEastAsia"/>
          <w:snapToGrid w:val="0"/>
          <w:kern w:val="0"/>
          <w:szCs w:val="21"/>
        </w:rPr>
        <w:t>份。</w:t>
      </w:r>
    </w:p>
    <w:p w14:paraId="5787BF83">
      <w:pPr>
        <w:widowControl/>
        <w:autoSpaceDE w:val="0"/>
        <w:autoSpaceDN w:val="0"/>
        <w:adjustRightInd w:val="0"/>
        <w:snapToGrid w:val="0"/>
        <w:spacing w:line="360" w:lineRule="auto"/>
        <w:ind w:firstLine="448"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7"/>
          <w:kern w:val="0"/>
          <w:szCs w:val="21"/>
        </w:rPr>
        <w:t>7、最终（安装后）验收：</w:t>
      </w:r>
    </w:p>
    <w:p w14:paraId="0A174700">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7.1、初步验收合格并安装完成后，甲方对乙方提供的货物在使用运行前</w:t>
      </w:r>
      <w:r>
        <w:rPr>
          <w:rFonts w:hint="eastAsia" w:asciiTheme="majorEastAsia" w:hAnsiTheme="majorEastAsia" w:eastAsiaTheme="majorEastAsia" w:cstheme="majorEastAsia"/>
          <w:snapToGrid w:val="0"/>
          <w:spacing w:val="9"/>
          <w:kern w:val="0"/>
          <w:szCs w:val="21"/>
        </w:rPr>
        <w:t>进行调试时，乙方需负责</w:t>
      </w:r>
      <w:r>
        <w:rPr>
          <w:rFonts w:hint="eastAsia" w:asciiTheme="majorEastAsia" w:hAnsiTheme="majorEastAsia" w:eastAsiaTheme="majorEastAsia" w:cstheme="majorEastAsia"/>
          <w:snapToGrid w:val="0"/>
          <w:spacing w:val="4"/>
          <w:kern w:val="0"/>
          <w:szCs w:val="21"/>
        </w:rPr>
        <w:t>培训甲方的使用操作人员，并协助甲方一起调试，直到符合技术要求，甲方（或验收小组）开展最终（安</w:t>
      </w:r>
      <w:r>
        <w:rPr>
          <w:rFonts w:hint="eastAsia" w:asciiTheme="majorEastAsia" w:hAnsiTheme="majorEastAsia" w:eastAsiaTheme="majorEastAsia" w:cstheme="majorEastAsia"/>
          <w:snapToGrid w:val="0"/>
          <w:spacing w:val="7"/>
          <w:kern w:val="0"/>
          <w:szCs w:val="21"/>
        </w:rPr>
        <w:t>装后）验收活动。</w:t>
      </w:r>
    </w:p>
    <w:p w14:paraId="73135515">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7.2、由甲方（或验收小组）进行最终（安装后）验收，验收内容包括采购项目</w:t>
      </w:r>
      <w:r>
        <w:rPr>
          <w:rFonts w:hint="eastAsia" w:asciiTheme="majorEastAsia" w:hAnsiTheme="majorEastAsia" w:eastAsiaTheme="majorEastAsia" w:cstheme="majorEastAsia"/>
          <w:snapToGrid w:val="0"/>
          <w:spacing w:val="9"/>
          <w:kern w:val="0"/>
          <w:szCs w:val="21"/>
        </w:rPr>
        <w:t>的每一项技术要求和商务要求（含乙方投标文件响应的技术和商务内容）、合同与补充合同的约定，并按照招</w:t>
      </w:r>
      <w:r>
        <w:rPr>
          <w:rFonts w:hint="eastAsia" w:asciiTheme="majorEastAsia" w:hAnsiTheme="majorEastAsia" w:eastAsiaTheme="majorEastAsia" w:cstheme="majorEastAsia"/>
          <w:snapToGrid w:val="0"/>
          <w:spacing w:val="8"/>
          <w:kern w:val="0"/>
          <w:szCs w:val="21"/>
        </w:rPr>
        <w:t>标文件（及</w:t>
      </w:r>
      <w:r>
        <w:rPr>
          <w:rFonts w:hint="eastAsia" w:asciiTheme="majorEastAsia" w:hAnsiTheme="majorEastAsia" w:eastAsiaTheme="majorEastAsia" w:cstheme="majorEastAsia"/>
          <w:snapToGrid w:val="0"/>
          <w:spacing w:val="9"/>
          <w:kern w:val="0"/>
          <w:szCs w:val="21"/>
        </w:rPr>
        <w:t>乙方投标（响应）文件）上的技术规格要求和国家有关质量标准验收。</w:t>
      </w:r>
    </w:p>
    <w:p w14:paraId="77F2CF81">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7.3、验收时乙方必须在现场，验收结束后，应当出具验收报告，列明各</w:t>
      </w:r>
      <w:r>
        <w:rPr>
          <w:rFonts w:hint="eastAsia" w:asciiTheme="majorEastAsia" w:hAnsiTheme="majorEastAsia" w:eastAsiaTheme="majorEastAsia" w:cstheme="majorEastAsia"/>
          <w:snapToGrid w:val="0"/>
          <w:spacing w:val="10"/>
          <w:kern w:val="0"/>
          <w:szCs w:val="21"/>
        </w:rPr>
        <w:t>项标准的验收情况及项目</w:t>
      </w:r>
      <w:r>
        <w:rPr>
          <w:rFonts w:hint="eastAsia" w:asciiTheme="majorEastAsia" w:hAnsiTheme="majorEastAsia" w:eastAsiaTheme="majorEastAsia" w:cstheme="majorEastAsia"/>
          <w:snapToGrid w:val="0"/>
          <w:spacing w:val="8"/>
          <w:kern w:val="0"/>
          <w:szCs w:val="21"/>
        </w:rPr>
        <w:t>总体评价，由验收各方共同签署。对不符合要求或有质量问题的货物视为最终(安装后)验收不合格的，</w:t>
      </w:r>
      <w:r>
        <w:rPr>
          <w:rFonts w:hint="eastAsia" w:asciiTheme="majorEastAsia" w:hAnsiTheme="majorEastAsia" w:eastAsiaTheme="majorEastAsia" w:cstheme="majorEastAsia"/>
          <w:snapToGrid w:val="0"/>
          <w:spacing w:val="9"/>
          <w:kern w:val="0"/>
          <w:szCs w:val="21"/>
        </w:rPr>
        <w:t>可立即要求退换，乙方不得拒绝和延误。验收费用由乙方负责。</w:t>
      </w:r>
    </w:p>
    <w:p w14:paraId="7427290E">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8、甲方对验收有异议的，在验收后五个工作日内以书面形式向乙方提出，乙方应自收到甲方书面</w:t>
      </w:r>
      <w:r>
        <w:rPr>
          <w:rFonts w:hint="eastAsia" w:asciiTheme="majorEastAsia" w:hAnsiTheme="majorEastAsia" w:eastAsiaTheme="majorEastAsia" w:cstheme="majorEastAsia"/>
          <w:snapToGrid w:val="0"/>
          <w:spacing w:val="8"/>
          <w:kern w:val="0"/>
          <w:szCs w:val="21"/>
        </w:rPr>
        <w:t>异议后五个工作日内及时予以解决。</w:t>
      </w:r>
    </w:p>
    <w:p w14:paraId="23DFAFC9">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9、负责完成设备的控评和验收报告，负责配合采购人完成设备办证工作。如属于计量器具或</w:t>
      </w:r>
      <w:r>
        <w:rPr>
          <w:rFonts w:hint="eastAsia" w:asciiTheme="majorEastAsia" w:hAnsiTheme="majorEastAsia" w:eastAsiaTheme="majorEastAsia" w:cstheme="majorEastAsia"/>
          <w:snapToGrid w:val="0"/>
          <w:spacing w:val="9"/>
          <w:kern w:val="0"/>
          <w:szCs w:val="21"/>
        </w:rPr>
        <w:t>特种设备的，还需按国家相关要求提供合格检定证书或校准证书（或检验报告）。如设备安装</w:t>
      </w:r>
      <w:r>
        <w:rPr>
          <w:rFonts w:hint="eastAsia" w:asciiTheme="majorEastAsia" w:hAnsiTheme="majorEastAsia" w:eastAsiaTheme="majorEastAsia" w:cstheme="majorEastAsia"/>
          <w:snapToGrid w:val="0"/>
          <w:spacing w:val="8"/>
          <w:kern w:val="0"/>
          <w:szCs w:val="21"/>
        </w:rPr>
        <w:t>场地需技</w:t>
      </w:r>
      <w:r>
        <w:rPr>
          <w:rFonts w:hint="eastAsia" w:asciiTheme="majorEastAsia" w:hAnsiTheme="majorEastAsia" w:eastAsiaTheme="majorEastAsia" w:cstheme="majorEastAsia"/>
          <w:snapToGrid w:val="0"/>
          <w:spacing w:val="9"/>
          <w:kern w:val="0"/>
          <w:szCs w:val="21"/>
        </w:rPr>
        <w:t>术安装改造的，乙方应负责安装改造至设备正式投入使用。</w:t>
      </w:r>
    </w:p>
    <w:p w14:paraId="75E16E74">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1</w:t>
      </w:r>
      <w:r>
        <w:rPr>
          <w:rFonts w:hint="eastAsia" w:asciiTheme="majorEastAsia" w:hAnsiTheme="majorEastAsia" w:eastAsiaTheme="majorEastAsia" w:cstheme="majorEastAsia"/>
          <w:snapToGrid w:val="0"/>
          <w:spacing w:val="8"/>
          <w:kern w:val="0"/>
          <w:szCs w:val="21"/>
          <w:lang w:val="en-US" w:eastAsia="zh-CN"/>
        </w:rPr>
        <w:t>0</w:t>
      </w:r>
      <w:r>
        <w:rPr>
          <w:rFonts w:hint="eastAsia" w:asciiTheme="majorEastAsia" w:hAnsiTheme="majorEastAsia" w:eastAsiaTheme="majorEastAsia" w:cstheme="majorEastAsia"/>
          <w:snapToGrid w:val="0"/>
          <w:spacing w:val="8"/>
          <w:kern w:val="0"/>
          <w:szCs w:val="21"/>
        </w:rPr>
        <w:t>、在验收过程中发现乙方有违约问题，可暂缓资金结算，待违约问题解决后，方可办理资金结算事宜。因乙方违约导致甲方迟延付款的，甲方不承担逾期付款违约责任。</w:t>
      </w:r>
    </w:p>
    <w:p w14:paraId="1A70C905">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第六条  安装和培训</w:t>
      </w:r>
    </w:p>
    <w:p w14:paraId="03AF7891">
      <w:pPr>
        <w:widowControl/>
        <w:autoSpaceDE w:val="0"/>
        <w:autoSpaceDN w:val="0"/>
        <w:adjustRightInd w:val="0"/>
        <w:snapToGrid w:val="0"/>
        <w:spacing w:line="360" w:lineRule="auto"/>
        <w:ind w:firstLine="44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6"/>
          <w:kern w:val="0"/>
          <w:szCs w:val="21"/>
        </w:rPr>
        <w:t>1、甲方应提供必要安装条件（如场地、电源、水源等）。</w:t>
      </w:r>
    </w:p>
    <w:p w14:paraId="1243610A">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2、乙方负责甲方有关人员的培训。培训时间、地点：按甲方规定的时间和地点。</w:t>
      </w:r>
    </w:p>
    <w:p w14:paraId="6929A0C9">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第七条  售后服务、保修期</w:t>
      </w:r>
    </w:p>
    <w:p w14:paraId="26B21151">
      <w:pPr>
        <w:widowControl/>
        <w:autoSpaceDE w:val="0"/>
        <w:autoSpaceDN w:val="0"/>
        <w:adjustRightInd w:val="0"/>
        <w:snapToGrid w:val="0"/>
        <w:spacing w:line="360" w:lineRule="auto"/>
        <w:ind w:firstLine="456" w:firstLineChars="200"/>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1、乙方应按照国家有关法律法规和“三包”规定以及招标文件和本合同所附的《服务承诺》，为甲方提供售后服务。国家法律法规、规章、规范性文件或相关技术标准、规范有更长质保期</w:t>
      </w:r>
      <w:r>
        <w:rPr>
          <w:rFonts w:hint="eastAsia" w:asciiTheme="majorEastAsia" w:hAnsiTheme="majorEastAsia" w:eastAsiaTheme="majorEastAsia" w:cstheme="majorEastAsia"/>
          <w:snapToGrid w:val="0"/>
          <w:spacing w:val="8"/>
          <w:kern w:val="0"/>
          <w:szCs w:val="21"/>
        </w:rPr>
        <w:t>规定的，从</w:t>
      </w:r>
      <w:r>
        <w:rPr>
          <w:rFonts w:hint="eastAsia" w:asciiTheme="majorEastAsia" w:hAnsiTheme="majorEastAsia" w:eastAsiaTheme="majorEastAsia" w:cstheme="majorEastAsia"/>
          <w:snapToGrid w:val="0"/>
          <w:spacing w:val="4"/>
          <w:kern w:val="0"/>
          <w:szCs w:val="21"/>
        </w:rPr>
        <w:t>其规定。</w:t>
      </w:r>
    </w:p>
    <w:p w14:paraId="62B6FF8E">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spacing w:val="8"/>
          <w:kern w:val="0"/>
          <w:szCs w:val="21"/>
        </w:rPr>
      </w:pPr>
      <w:r>
        <w:rPr>
          <w:rFonts w:hint="eastAsia" w:asciiTheme="majorEastAsia" w:hAnsiTheme="majorEastAsia" w:eastAsiaTheme="majorEastAsia" w:cstheme="majorEastAsia"/>
          <w:snapToGrid w:val="0"/>
          <w:spacing w:val="8"/>
          <w:kern w:val="0"/>
          <w:szCs w:val="21"/>
        </w:rPr>
        <w:t>2、如在使用过程中发生质量问题，乙方在接到甲方通知后在【 】小时内到达甲方现场处理。</w:t>
      </w:r>
    </w:p>
    <w:p w14:paraId="26FC28DC">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3、在质保期内，乙方应对货物出现的质量及安全问题负责处理解决并承担一切费用。</w:t>
      </w:r>
    </w:p>
    <w:p w14:paraId="57A8B2E3">
      <w:pPr>
        <w:widowControl/>
        <w:autoSpaceDE w:val="0"/>
        <w:autoSpaceDN w:val="0"/>
        <w:adjustRightInd w:val="0"/>
        <w:snapToGrid w:val="0"/>
        <w:spacing w:line="360" w:lineRule="auto"/>
        <w:ind w:firstLine="460" w:firstLineChars="200"/>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4、上述的货物质保期，按投标文件关于质保期的内容执行，负责保修包含</w:t>
      </w:r>
      <w:r>
        <w:rPr>
          <w:rFonts w:hint="eastAsia" w:asciiTheme="majorEastAsia" w:hAnsiTheme="majorEastAsia" w:eastAsiaTheme="majorEastAsia" w:cstheme="majorEastAsia"/>
          <w:snapToGrid w:val="0"/>
          <w:spacing w:val="9"/>
          <w:kern w:val="0"/>
          <w:szCs w:val="21"/>
        </w:rPr>
        <w:t>需要更换的零配件的费用。因人为故意或重大过失因素出现的故障不在保修范围内。超过保修期的</w:t>
      </w:r>
      <w:r>
        <w:rPr>
          <w:rFonts w:hint="eastAsia" w:asciiTheme="majorEastAsia" w:hAnsiTheme="majorEastAsia" w:eastAsiaTheme="majorEastAsia" w:cstheme="majorEastAsia"/>
          <w:snapToGrid w:val="0"/>
          <w:spacing w:val="8"/>
          <w:kern w:val="0"/>
          <w:szCs w:val="21"/>
        </w:rPr>
        <w:t>机器设备，终生</w:t>
      </w:r>
      <w:r>
        <w:rPr>
          <w:rFonts w:hint="eastAsia" w:asciiTheme="majorEastAsia" w:hAnsiTheme="majorEastAsia" w:eastAsiaTheme="majorEastAsia" w:cstheme="majorEastAsia"/>
          <w:snapToGrid w:val="0"/>
          <w:spacing w:val="9"/>
          <w:kern w:val="0"/>
          <w:szCs w:val="21"/>
        </w:rPr>
        <w:t>维修，维修时只收部件成本费。若保修期届满仍存在未解决的技术问题、未完成的任务</w:t>
      </w:r>
      <w:r>
        <w:rPr>
          <w:rFonts w:hint="eastAsia" w:asciiTheme="majorEastAsia" w:hAnsiTheme="majorEastAsia" w:eastAsiaTheme="majorEastAsia" w:cstheme="majorEastAsia"/>
          <w:snapToGrid w:val="0"/>
          <w:spacing w:val="8"/>
          <w:kern w:val="0"/>
          <w:szCs w:val="21"/>
        </w:rPr>
        <w:t>，乙方应当按照</w:t>
      </w:r>
      <w:r>
        <w:rPr>
          <w:rFonts w:hint="eastAsia" w:asciiTheme="majorEastAsia" w:hAnsiTheme="majorEastAsia" w:eastAsiaTheme="majorEastAsia" w:cstheme="majorEastAsia"/>
          <w:snapToGrid w:val="0"/>
          <w:spacing w:val="9"/>
          <w:kern w:val="0"/>
          <w:szCs w:val="21"/>
        </w:rPr>
        <w:t>合同约定继续履行至问题解决、任务完成为</w:t>
      </w:r>
      <w:r>
        <w:rPr>
          <w:rFonts w:hint="eastAsia" w:asciiTheme="majorEastAsia" w:hAnsiTheme="majorEastAsia" w:eastAsiaTheme="majorEastAsia" w:cstheme="majorEastAsia"/>
          <w:snapToGrid w:val="0"/>
          <w:spacing w:val="8"/>
          <w:kern w:val="0"/>
          <w:szCs w:val="21"/>
        </w:rPr>
        <w:t>止。</w:t>
      </w:r>
    </w:p>
    <w:p w14:paraId="300852D5">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5、乙方提供的服务承诺和售后服务及保修期责任等其它具体约定事项。（乙方提供的投标（响应或澄清）文件）</w:t>
      </w:r>
    </w:p>
    <w:p w14:paraId="282F8646">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第八条  付款条件</w:t>
      </w:r>
    </w:p>
    <w:p w14:paraId="68495600">
      <w:pPr>
        <w:widowControl/>
        <w:autoSpaceDE w:val="0"/>
        <w:autoSpaceDN w:val="0"/>
        <w:adjustRightInd w:val="0"/>
        <w:snapToGrid w:val="0"/>
        <w:spacing w:line="360" w:lineRule="auto"/>
        <w:ind w:firstLine="448"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7"/>
          <w:kern w:val="0"/>
          <w:szCs w:val="21"/>
        </w:rPr>
        <w:t>1、付款方式：以银行转账形式汇款到乙</w:t>
      </w:r>
      <w:r>
        <w:rPr>
          <w:rFonts w:hint="eastAsia" w:asciiTheme="majorEastAsia" w:hAnsiTheme="majorEastAsia" w:eastAsiaTheme="majorEastAsia" w:cstheme="majorEastAsia"/>
          <w:snapToGrid w:val="0"/>
          <w:spacing w:val="6"/>
          <w:kern w:val="0"/>
          <w:szCs w:val="21"/>
        </w:rPr>
        <w:t>方银行账户。</w:t>
      </w:r>
    </w:p>
    <w:p w14:paraId="386F5462">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spacing w:val="10"/>
          <w:kern w:val="0"/>
          <w:szCs w:val="21"/>
        </w:rPr>
      </w:pPr>
      <w:r>
        <w:rPr>
          <w:rFonts w:hint="eastAsia" w:asciiTheme="majorEastAsia" w:hAnsiTheme="majorEastAsia" w:eastAsiaTheme="majorEastAsia" w:cstheme="majorEastAsia"/>
          <w:snapToGrid w:val="0"/>
          <w:spacing w:val="10"/>
          <w:kern w:val="0"/>
          <w:szCs w:val="21"/>
        </w:rPr>
        <w:t>2、付款条件：双方签订合同后，乙方在采购人指定地点交货、安装、调试，经甲方验收合格后，支付至合同总价款的50%；验收合格后一年内，甲方支付至合同总金额的100%。</w:t>
      </w:r>
    </w:p>
    <w:p w14:paraId="680178A5">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spacing w:val="10"/>
          <w:kern w:val="0"/>
          <w:szCs w:val="21"/>
        </w:rPr>
      </w:pPr>
      <w:r>
        <w:rPr>
          <w:rFonts w:hint="eastAsia" w:asciiTheme="majorEastAsia" w:hAnsiTheme="majorEastAsia" w:eastAsiaTheme="majorEastAsia" w:cstheme="majorEastAsia"/>
          <w:snapToGrid w:val="0"/>
          <w:spacing w:val="10"/>
          <w:kern w:val="0"/>
          <w:szCs w:val="21"/>
        </w:rPr>
        <w:t>注：乙方商应在采购人付款前，向甲方提供相应金额增值税发票，甲方自收到发票后10个工作日内将资金支付到合同约定的乙方账户。</w:t>
      </w:r>
    </w:p>
    <w:p w14:paraId="66DED262">
      <w:pPr>
        <w:widowControl/>
        <w:autoSpaceDE w:val="0"/>
        <w:autoSpaceDN w:val="0"/>
        <w:adjustRightInd w:val="0"/>
        <w:snapToGrid w:val="0"/>
        <w:spacing w:line="360" w:lineRule="auto"/>
        <w:ind w:firstLine="450"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7"/>
          <w:kern w:val="0"/>
          <w:szCs w:val="21"/>
        </w:rPr>
        <w:t>第九条  税费</w:t>
      </w:r>
    </w:p>
    <w:p w14:paraId="33097974">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本合同执行中相关的一切税费均由乙方负担。</w:t>
      </w:r>
    </w:p>
    <w:p w14:paraId="0A55F9EC">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第十条  质量保证</w:t>
      </w:r>
    </w:p>
    <w:p w14:paraId="6D96016A">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乙方应按招标文件规定的货物性能、技术要求、质量标准向甲方提供未经使用的全新产品。不符合</w:t>
      </w:r>
      <w:r>
        <w:rPr>
          <w:rFonts w:hint="eastAsia" w:asciiTheme="majorEastAsia" w:hAnsiTheme="majorEastAsia" w:eastAsiaTheme="majorEastAsia" w:cstheme="majorEastAsia"/>
          <w:snapToGrid w:val="0"/>
          <w:spacing w:val="9"/>
          <w:kern w:val="0"/>
          <w:szCs w:val="21"/>
        </w:rPr>
        <w:t>要求者，根据实际情况，经双方协商，可按以下办法处理：</w:t>
      </w:r>
    </w:p>
    <w:p w14:paraId="1757089D">
      <w:pPr>
        <w:widowControl/>
        <w:autoSpaceDE w:val="0"/>
        <w:autoSpaceDN w:val="0"/>
        <w:adjustRightInd w:val="0"/>
        <w:snapToGrid w:val="0"/>
        <w:spacing w:line="360" w:lineRule="auto"/>
        <w:ind w:firstLine="444" w:firstLineChars="200"/>
        <w:jc w:val="left"/>
        <w:textAlignment w:val="baseline"/>
        <w:rPr>
          <w:rFonts w:asciiTheme="majorEastAsia" w:hAnsiTheme="majorEastAsia" w:eastAsiaTheme="majorEastAsia" w:cstheme="majorEastAsia"/>
          <w:snapToGrid w:val="0"/>
          <w:spacing w:val="6"/>
          <w:kern w:val="0"/>
          <w:szCs w:val="21"/>
        </w:rPr>
      </w:pPr>
      <w:r>
        <w:rPr>
          <w:rFonts w:hint="eastAsia" w:asciiTheme="majorEastAsia" w:hAnsiTheme="majorEastAsia" w:eastAsiaTheme="majorEastAsia" w:cstheme="majorEastAsia"/>
          <w:snapToGrid w:val="0"/>
          <w:spacing w:val="6"/>
          <w:kern w:val="0"/>
          <w:szCs w:val="21"/>
        </w:rPr>
        <w:t>（1）更换：由乙方承担所发生的全部费用。</w:t>
      </w:r>
    </w:p>
    <w:p w14:paraId="656810D1">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（2）退货处理：乙方应退还甲方支付的合同款，同时应承担甲方的全部损失费用(包括但不限于该货</w:t>
      </w:r>
      <w:r>
        <w:rPr>
          <w:rFonts w:hint="eastAsia" w:asciiTheme="majorEastAsia" w:hAnsiTheme="majorEastAsia" w:eastAsiaTheme="majorEastAsia" w:cstheme="majorEastAsia"/>
          <w:snapToGrid w:val="0"/>
          <w:spacing w:val="11"/>
          <w:kern w:val="0"/>
          <w:szCs w:val="21"/>
        </w:rPr>
        <w:t>物的运输、装卸、保险、检验、货款利息及银行手续费以及诉讼费、鉴定费、评估费、保全费、保险</w:t>
      </w:r>
      <w:r>
        <w:rPr>
          <w:rFonts w:hint="eastAsia" w:asciiTheme="majorEastAsia" w:hAnsiTheme="majorEastAsia" w:eastAsiaTheme="majorEastAsia" w:cstheme="majorEastAsia"/>
          <w:snapToGrid w:val="0"/>
          <w:spacing w:val="9"/>
          <w:kern w:val="0"/>
          <w:szCs w:val="21"/>
        </w:rPr>
        <w:t>费、律师费、差旅费等；全文同此)。如发生前述情况，甲方有权解除</w:t>
      </w:r>
      <w:r>
        <w:rPr>
          <w:rFonts w:hint="eastAsia" w:asciiTheme="majorEastAsia" w:hAnsiTheme="majorEastAsia" w:eastAsiaTheme="majorEastAsia" w:cstheme="majorEastAsia"/>
          <w:snapToGrid w:val="0"/>
          <w:spacing w:val="8"/>
          <w:kern w:val="0"/>
          <w:szCs w:val="21"/>
        </w:rPr>
        <w:t>本合同，并向财政部门(政府采购</w:t>
      </w:r>
      <w:r>
        <w:rPr>
          <w:rFonts w:hint="eastAsia" w:asciiTheme="majorEastAsia" w:hAnsiTheme="majorEastAsia" w:eastAsiaTheme="majorEastAsia" w:cstheme="majorEastAsia"/>
          <w:snapToGrid w:val="0"/>
          <w:spacing w:val="7"/>
          <w:kern w:val="0"/>
          <w:szCs w:val="21"/>
        </w:rPr>
        <w:t>监管部门)备案处理。</w:t>
      </w:r>
    </w:p>
    <w:p w14:paraId="7387E30B">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第十一条  违约责任</w:t>
      </w:r>
    </w:p>
    <w:p w14:paraId="7A978EDD">
      <w:pPr>
        <w:widowControl/>
        <w:snapToGrid w:val="0"/>
        <w:spacing w:line="440" w:lineRule="exact"/>
        <w:ind w:firstLine="464" w:firstLineChars="20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w:t>
      </w:r>
      <w:r>
        <w:rPr>
          <w:rFonts w:hint="eastAsia" w:asciiTheme="majorEastAsia" w:hAnsiTheme="majorEastAsia" w:eastAsiaTheme="majorEastAsia" w:cstheme="majorEastAsia"/>
          <w:snapToGrid w:val="0"/>
          <w:spacing w:val="9"/>
          <w:kern w:val="0"/>
          <w:szCs w:val="21"/>
        </w:rPr>
        <w:t>乙方所提供的货物规格、技术标准、材料等质量不合格的，或提供的货物名称、商标品牌、生产厂家、规格型号、技术参数等相关内容未满足甲方招标文件要求的（或与乙方投标（响应）文件及有关响应（承诺）不一致的），或不能满足甲方项目实施要求的，应及时更换，更换不及时的按逾期交货处罚；乙方拒绝更换或逾期更换超过【  】日或经更换仍存在前述相关问题的，视为乙方不具备履约能力，甲方有权单方通知乙方解除合同，并按照本条第4款处理。因上述质量问题甲方不同意接收的或特殊情况甲方同意接收的，乙方应向甲方支付违约货款额5%违约金并赔偿甲方经济损失。</w:t>
      </w:r>
    </w:p>
    <w:p w14:paraId="0F8DA757">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2、乙方提供的货物如侵犯了第三方合法权益而引发的</w:t>
      </w:r>
      <w:r>
        <w:rPr>
          <w:rFonts w:hint="eastAsia" w:asciiTheme="majorEastAsia" w:hAnsiTheme="majorEastAsia" w:eastAsiaTheme="majorEastAsia" w:cstheme="majorEastAsia"/>
          <w:snapToGrid w:val="0"/>
          <w:spacing w:val="10"/>
          <w:kern w:val="0"/>
          <w:szCs w:val="21"/>
        </w:rPr>
        <w:t>任何纠纷或诉讼，均由乙方负责交涉并承担</w:t>
      </w:r>
      <w:r>
        <w:rPr>
          <w:rFonts w:hint="eastAsia" w:asciiTheme="majorEastAsia" w:hAnsiTheme="majorEastAsia" w:eastAsiaTheme="majorEastAsia" w:cstheme="majorEastAsia"/>
          <w:snapToGrid w:val="0"/>
          <w:spacing w:val="9"/>
          <w:kern w:val="0"/>
          <w:szCs w:val="21"/>
        </w:rPr>
        <w:t>全部责任。若甲方收到任何第三方有关权益的主</w:t>
      </w:r>
      <w:r>
        <w:rPr>
          <w:rFonts w:hint="eastAsia" w:asciiTheme="majorEastAsia" w:hAnsiTheme="majorEastAsia" w:eastAsiaTheme="majorEastAsia" w:cstheme="majorEastAsia"/>
          <w:snapToGrid w:val="0"/>
          <w:spacing w:val="8"/>
          <w:kern w:val="0"/>
          <w:szCs w:val="21"/>
        </w:rPr>
        <w:t>张、索赔或诉讼，乙方应在收到甲方通知后，以甲方名</w:t>
      </w:r>
      <w:r>
        <w:rPr>
          <w:rFonts w:hint="eastAsia" w:asciiTheme="majorEastAsia" w:hAnsiTheme="majorEastAsia" w:eastAsiaTheme="majorEastAsia" w:cstheme="majorEastAsia"/>
          <w:snapToGrid w:val="0"/>
          <w:spacing w:val="6"/>
          <w:kern w:val="0"/>
          <w:szCs w:val="21"/>
        </w:rPr>
        <w:t>义并在甲方的协助下，自负费用处理与第三方的索赔或诉讼，并赔偿甲方因此发生的费用</w:t>
      </w:r>
      <w:r>
        <w:rPr>
          <w:rFonts w:hint="eastAsia" w:asciiTheme="majorEastAsia" w:hAnsiTheme="majorEastAsia" w:eastAsiaTheme="majorEastAsia" w:cstheme="majorEastAsia"/>
          <w:snapToGrid w:val="0"/>
          <w:spacing w:val="5"/>
          <w:kern w:val="0"/>
          <w:szCs w:val="21"/>
        </w:rPr>
        <w:t>和遭受的损失。</w:t>
      </w:r>
      <w:r>
        <w:rPr>
          <w:rFonts w:hint="eastAsia" w:asciiTheme="majorEastAsia" w:hAnsiTheme="majorEastAsia" w:eastAsiaTheme="majorEastAsia" w:cstheme="majorEastAsia"/>
          <w:snapToGrid w:val="0"/>
          <w:spacing w:val="7"/>
          <w:kern w:val="0"/>
          <w:szCs w:val="21"/>
        </w:rPr>
        <w:t>若乙方拒绝处理前述索赔或诉讼或在收到甲方通知后3日内未作表示，甲方可以自己的名义进</w:t>
      </w:r>
      <w:r>
        <w:rPr>
          <w:rFonts w:hint="eastAsia" w:asciiTheme="majorEastAsia" w:hAnsiTheme="majorEastAsia" w:eastAsiaTheme="majorEastAsia" w:cstheme="majorEastAsia"/>
          <w:snapToGrid w:val="0"/>
          <w:spacing w:val="6"/>
          <w:kern w:val="0"/>
          <w:szCs w:val="21"/>
        </w:rPr>
        <w:t>行这些索</w:t>
      </w:r>
      <w:r>
        <w:rPr>
          <w:rFonts w:hint="eastAsia" w:asciiTheme="majorEastAsia" w:hAnsiTheme="majorEastAsia" w:eastAsiaTheme="majorEastAsia" w:cstheme="majorEastAsia"/>
          <w:snapToGrid w:val="0"/>
          <w:spacing w:val="9"/>
          <w:kern w:val="0"/>
          <w:szCs w:val="21"/>
        </w:rPr>
        <w:t>赔或诉讼，因此发生的费用和甲方遭受的全部损失由乙方承担。</w:t>
      </w:r>
    </w:p>
    <w:p w14:paraId="60DB52D5">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3、因包装、运输引起的货物损坏，按质量不合</w:t>
      </w:r>
      <w:r>
        <w:rPr>
          <w:rFonts w:hint="eastAsia" w:asciiTheme="majorEastAsia" w:hAnsiTheme="majorEastAsia" w:eastAsiaTheme="majorEastAsia" w:cstheme="majorEastAsia"/>
          <w:snapToGrid w:val="0"/>
          <w:spacing w:val="8"/>
          <w:kern w:val="0"/>
          <w:szCs w:val="21"/>
        </w:rPr>
        <w:t>格处罚。</w:t>
      </w:r>
    </w:p>
    <w:p w14:paraId="3320C055">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4、乙方未按本合同和投标文件中约定的服务承诺提供售后服务或未履行保修期责任等的，乙方应</w:t>
      </w:r>
      <w:r>
        <w:rPr>
          <w:rFonts w:hint="eastAsia" w:asciiTheme="majorEastAsia" w:hAnsiTheme="majorEastAsia" w:eastAsiaTheme="majorEastAsia" w:cstheme="majorEastAsia"/>
          <w:snapToGrid w:val="0"/>
          <w:spacing w:val="10"/>
          <w:kern w:val="0"/>
          <w:szCs w:val="21"/>
        </w:rPr>
        <w:t>按本合同合计金额</w:t>
      </w:r>
      <w:r>
        <w:rPr>
          <w:rFonts w:hint="eastAsia" w:asciiTheme="majorEastAsia" w:hAnsiTheme="majorEastAsia" w:eastAsiaTheme="majorEastAsia" w:cstheme="majorEastAsia"/>
          <w:snapToGrid w:val="0"/>
          <w:spacing w:val="12"/>
          <w:kern w:val="0"/>
          <w:szCs w:val="21"/>
        </w:rPr>
        <w:t>5%</w:t>
      </w:r>
      <w:r>
        <w:rPr>
          <w:rFonts w:hint="eastAsia" w:asciiTheme="majorEastAsia" w:hAnsiTheme="majorEastAsia" w:eastAsiaTheme="majorEastAsia" w:cstheme="majorEastAsia"/>
          <w:snapToGrid w:val="0"/>
          <w:spacing w:val="10"/>
          <w:kern w:val="0"/>
          <w:szCs w:val="21"/>
        </w:rPr>
        <w:t>向甲方支付违约金。且甲方可在无需征求乙方意见的情况下自行委托第三方进</w:t>
      </w:r>
      <w:r>
        <w:rPr>
          <w:rFonts w:hint="eastAsia" w:asciiTheme="majorEastAsia" w:hAnsiTheme="majorEastAsia" w:eastAsiaTheme="majorEastAsia" w:cstheme="majorEastAsia"/>
          <w:snapToGrid w:val="0"/>
          <w:spacing w:val="9"/>
          <w:kern w:val="0"/>
          <w:szCs w:val="21"/>
        </w:rPr>
        <w:t>行维修，产生的费用在剩余款项中扣减，如剩余款项不足以扣减的由乙方另行承担。</w:t>
      </w:r>
    </w:p>
    <w:p w14:paraId="2A15EE27">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5、乙方提供的货物在质保期内，因设计、工艺或材料的缺陷和其它质量原因造成的问题，由乙方</w:t>
      </w:r>
      <w:r>
        <w:rPr>
          <w:rFonts w:hint="eastAsia" w:asciiTheme="majorEastAsia" w:hAnsiTheme="majorEastAsia" w:eastAsiaTheme="majorEastAsia" w:cstheme="majorEastAsia"/>
          <w:snapToGrid w:val="0"/>
          <w:spacing w:val="8"/>
          <w:kern w:val="0"/>
          <w:szCs w:val="21"/>
        </w:rPr>
        <w:t>负责，费用从合同款中扣除，不足另补。</w:t>
      </w:r>
    </w:p>
    <w:p w14:paraId="0E54D87D">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6、其它违约行为，违约方按合同总金额</w:t>
      </w:r>
      <w:r>
        <w:rPr>
          <w:rFonts w:hint="eastAsia" w:asciiTheme="majorEastAsia" w:hAnsiTheme="majorEastAsia" w:eastAsiaTheme="majorEastAsia" w:cstheme="majorEastAsia"/>
          <w:snapToGrid w:val="0"/>
          <w:spacing w:val="12"/>
          <w:kern w:val="0"/>
          <w:szCs w:val="21"/>
        </w:rPr>
        <w:t>5%</w:t>
      </w:r>
      <w:r>
        <w:rPr>
          <w:rFonts w:hint="eastAsia" w:asciiTheme="majorEastAsia" w:hAnsiTheme="majorEastAsia" w:eastAsiaTheme="majorEastAsia" w:cstheme="majorEastAsia"/>
          <w:snapToGrid w:val="0"/>
          <w:spacing w:val="8"/>
          <w:kern w:val="0"/>
          <w:szCs w:val="21"/>
        </w:rPr>
        <w:t>向守约方支付违约金并赔偿守约方经济损失。</w:t>
      </w:r>
    </w:p>
    <w:p w14:paraId="12DBF524">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第十二条  货物包装、发运及运输</w:t>
      </w:r>
    </w:p>
    <w:p w14:paraId="19276E69">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1、乙方应在货物发运前对其进行满足运输距离、防潮、防震、防锈和防破损装卸等要求包装，以</w:t>
      </w:r>
      <w:r>
        <w:rPr>
          <w:rFonts w:hint="eastAsia" w:asciiTheme="majorEastAsia" w:hAnsiTheme="majorEastAsia" w:eastAsiaTheme="majorEastAsia" w:cstheme="majorEastAsia"/>
          <w:snapToGrid w:val="0"/>
          <w:spacing w:val="8"/>
          <w:kern w:val="0"/>
          <w:szCs w:val="21"/>
        </w:rPr>
        <w:t>保证货物安全运达甲方指定地点。</w:t>
      </w:r>
    </w:p>
    <w:p w14:paraId="2685BFE2">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2、使用说明书、质量检验证明书、随配附件和工具以及清单一并附于货物内。</w:t>
      </w:r>
    </w:p>
    <w:p w14:paraId="3640505B">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3、乙方在货物发运手续办理完毕后二十四小时内或货到甲方四十八小时前通知</w:t>
      </w:r>
      <w:r>
        <w:rPr>
          <w:rFonts w:hint="eastAsia" w:asciiTheme="majorEastAsia" w:hAnsiTheme="majorEastAsia" w:eastAsiaTheme="majorEastAsia" w:cstheme="majorEastAsia"/>
          <w:snapToGrid w:val="0"/>
          <w:spacing w:val="7"/>
          <w:kern w:val="0"/>
          <w:szCs w:val="21"/>
        </w:rPr>
        <w:t>甲方，以准备接货。</w:t>
      </w:r>
    </w:p>
    <w:p w14:paraId="2672B021">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spacing w:val="8"/>
          <w:kern w:val="0"/>
          <w:szCs w:val="21"/>
        </w:rPr>
      </w:pPr>
      <w:r>
        <w:rPr>
          <w:rFonts w:hint="eastAsia" w:asciiTheme="majorEastAsia" w:hAnsiTheme="majorEastAsia" w:eastAsiaTheme="majorEastAsia" w:cstheme="majorEastAsia"/>
          <w:snapToGrid w:val="0"/>
          <w:spacing w:val="8"/>
          <w:kern w:val="0"/>
          <w:szCs w:val="21"/>
        </w:rPr>
        <w:t>4、货物在交付甲方前发生的风险均由乙方负责。</w:t>
      </w:r>
    </w:p>
    <w:p w14:paraId="2F4DB932">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5、货物在规定的交付期限内由乙方送达甲方指定的地点并安装调试、验收合格</w:t>
      </w:r>
      <w:r>
        <w:rPr>
          <w:rFonts w:hint="eastAsia" w:asciiTheme="majorEastAsia" w:hAnsiTheme="majorEastAsia" w:eastAsiaTheme="majorEastAsia" w:cstheme="majorEastAsia"/>
          <w:snapToGrid w:val="0"/>
          <w:spacing w:val="7"/>
          <w:kern w:val="0"/>
          <w:szCs w:val="21"/>
        </w:rPr>
        <w:t>和培训才视为交付。</w:t>
      </w:r>
    </w:p>
    <w:p w14:paraId="75317C24">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第十三条  不可抗力事件处理</w:t>
      </w:r>
    </w:p>
    <w:p w14:paraId="2AB3D7B6">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1、在合同有效期内，任何一方因不可抗力事件导致不能履行合同，</w:t>
      </w:r>
      <w:r>
        <w:rPr>
          <w:rFonts w:hint="eastAsia" w:asciiTheme="majorEastAsia" w:hAnsiTheme="majorEastAsia" w:eastAsiaTheme="majorEastAsia" w:cstheme="majorEastAsia"/>
          <w:snapToGrid w:val="0"/>
          <w:spacing w:val="10"/>
          <w:kern w:val="0"/>
          <w:szCs w:val="21"/>
        </w:rPr>
        <w:t>则合同履行期可延长，其延长</w:t>
      </w:r>
      <w:r>
        <w:rPr>
          <w:rFonts w:hint="eastAsia" w:asciiTheme="majorEastAsia" w:hAnsiTheme="majorEastAsia" w:eastAsiaTheme="majorEastAsia" w:cstheme="majorEastAsia"/>
          <w:snapToGrid w:val="0"/>
          <w:spacing w:val="8"/>
          <w:kern w:val="0"/>
          <w:szCs w:val="21"/>
        </w:rPr>
        <w:t>期与不可抗力影响期相同。</w:t>
      </w:r>
    </w:p>
    <w:p w14:paraId="322F27F2">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2、不可抗力事件发生后，应立即通知对方，并寄送有关权威机构出具的证明。</w:t>
      </w:r>
    </w:p>
    <w:p w14:paraId="5F24852C">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3、不可抗力事件延续一百二十天以上，双方应通过友好协商，确定是否继续履行合同。</w:t>
      </w:r>
    </w:p>
    <w:p w14:paraId="1C3C560C">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第十四条  合同争议解决</w:t>
      </w:r>
    </w:p>
    <w:p w14:paraId="0F24CAEB">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1、因货物质量问题发生争议的，应邀请国家认可的质量检测机构对</w:t>
      </w:r>
      <w:r>
        <w:rPr>
          <w:rFonts w:hint="eastAsia" w:asciiTheme="majorEastAsia" w:hAnsiTheme="majorEastAsia" w:eastAsiaTheme="majorEastAsia" w:cstheme="majorEastAsia"/>
          <w:snapToGrid w:val="0"/>
          <w:spacing w:val="10"/>
          <w:kern w:val="0"/>
          <w:szCs w:val="21"/>
        </w:rPr>
        <w:t>货物质量进行鉴定。货物符合</w:t>
      </w:r>
      <w:r>
        <w:rPr>
          <w:rFonts w:hint="eastAsia" w:asciiTheme="majorEastAsia" w:hAnsiTheme="majorEastAsia" w:eastAsiaTheme="majorEastAsia" w:cstheme="majorEastAsia"/>
          <w:snapToGrid w:val="0"/>
          <w:spacing w:val="9"/>
          <w:kern w:val="0"/>
          <w:szCs w:val="21"/>
        </w:rPr>
        <w:t>标准的，鉴定费由甲方承担；货物不符合标准的，鉴定费由乙方承担。</w:t>
      </w:r>
    </w:p>
    <w:p w14:paraId="33AD66B5">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2、因履行本合同引起的或与本合同有关的争议，甲乙双方应首先通过友好协商解决，如果</w:t>
      </w:r>
      <w:r>
        <w:rPr>
          <w:rFonts w:hint="eastAsia" w:asciiTheme="majorEastAsia" w:hAnsiTheme="majorEastAsia" w:eastAsiaTheme="majorEastAsia" w:cstheme="majorEastAsia"/>
          <w:snapToGrid w:val="0"/>
          <w:spacing w:val="9"/>
          <w:kern w:val="0"/>
          <w:szCs w:val="21"/>
        </w:rPr>
        <w:t>协商不</w:t>
      </w:r>
      <w:r>
        <w:rPr>
          <w:rFonts w:hint="eastAsia" w:asciiTheme="majorEastAsia" w:hAnsiTheme="majorEastAsia" w:eastAsiaTheme="majorEastAsia" w:cstheme="majorEastAsia"/>
          <w:snapToGrid w:val="0"/>
          <w:spacing w:val="8"/>
          <w:kern w:val="0"/>
          <w:szCs w:val="21"/>
        </w:rPr>
        <w:t>能解决，可向甲方所在地人民法院提起诉讼。</w:t>
      </w:r>
    </w:p>
    <w:p w14:paraId="70DC3A07">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3、诉讼期间，本合同继续履行。</w:t>
      </w:r>
    </w:p>
    <w:p w14:paraId="7F121FFC">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第十五条  合同生效及其它</w:t>
      </w:r>
    </w:p>
    <w:p w14:paraId="1EA89279">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1、合同经双方法定代表人或授权代表签字并加盖单位公章后生效。</w:t>
      </w:r>
    </w:p>
    <w:p w14:paraId="111737E4">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2、合同执行中涉及采购资金和采购内容修改或补充的，须经财政部门审批，并签书面补充协议报</w:t>
      </w:r>
      <w:r>
        <w:rPr>
          <w:rFonts w:hint="eastAsia" w:asciiTheme="majorEastAsia" w:hAnsiTheme="majorEastAsia" w:eastAsiaTheme="majorEastAsia" w:cstheme="majorEastAsia"/>
          <w:snapToGrid w:val="0"/>
          <w:spacing w:val="9"/>
          <w:kern w:val="0"/>
          <w:szCs w:val="21"/>
        </w:rPr>
        <w:t>财政部门备案，方可作为主合同不可分割的一部分。</w:t>
      </w:r>
    </w:p>
    <w:p w14:paraId="307F8221">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3、本合同未尽事宜，遵照《中华人民共和国民法典》有关条</w:t>
      </w:r>
      <w:r>
        <w:rPr>
          <w:rFonts w:hint="eastAsia" w:asciiTheme="majorEastAsia" w:hAnsiTheme="majorEastAsia" w:eastAsiaTheme="majorEastAsia" w:cstheme="majorEastAsia"/>
          <w:snapToGrid w:val="0"/>
          <w:spacing w:val="8"/>
          <w:kern w:val="0"/>
          <w:szCs w:val="21"/>
        </w:rPr>
        <w:t>文执行。</w:t>
      </w:r>
    </w:p>
    <w:p w14:paraId="671D1BE7">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第十六条  合同的变更、终止与转让</w:t>
      </w:r>
    </w:p>
    <w:p w14:paraId="2208527C">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1、除《中华人民共和国政府采购法》第五十条规定的情形外，本</w:t>
      </w:r>
      <w:r>
        <w:rPr>
          <w:rFonts w:hint="eastAsia" w:asciiTheme="majorEastAsia" w:hAnsiTheme="majorEastAsia" w:eastAsiaTheme="majorEastAsia" w:cstheme="majorEastAsia"/>
          <w:snapToGrid w:val="0"/>
          <w:spacing w:val="9"/>
          <w:kern w:val="0"/>
          <w:szCs w:val="21"/>
        </w:rPr>
        <w:t>合同一经签订，甲乙双方不得擅</w:t>
      </w:r>
      <w:r>
        <w:rPr>
          <w:rFonts w:hint="eastAsia" w:asciiTheme="majorEastAsia" w:hAnsiTheme="majorEastAsia" w:eastAsiaTheme="majorEastAsia" w:cstheme="majorEastAsia"/>
          <w:snapToGrid w:val="0"/>
          <w:spacing w:val="4"/>
          <w:kern w:val="0"/>
          <w:szCs w:val="21"/>
        </w:rPr>
        <w:t>自变更、中止或终止。</w:t>
      </w:r>
    </w:p>
    <w:p w14:paraId="5BB4F222">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2、乙方不得擅自转让其应履行的合同义务。</w:t>
      </w:r>
    </w:p>
    <w:p w14:paraId="7F422FD3">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第十七条  签订本合同依据</w:t>
      </w:r>
    </w:p>
    <w:p w14:paraId="45220D20">
      <w:pPr>
        <w:widowControl/>
        <w:autoSpaceDE w:val="0"/>
        <w:autoSpaceDN w:val="0"/>
        <w:adjustRightInd w:val="0"/>
        <w:snapToGrid w:val="0"/>
        <w:spacing w:line="360" w:lineRule="auto"/>
        <w:ind w:firstLine="43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4"/>
          <w:kern w:val="0"/>
          <w:szCs w:val="21"/>
        </w:rPr>
        <w:t>1、招标文件；</w:t>
      </w:r>
    </w:p>
    <w:p w14:paraId="160BD8C6">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position w:val="11"/>
          <w:szCs w:val="21"/>
        </w:rPr>
        <w:t>2、乙方提供的投标（响应或澄清）文件；</w:t>
      </w:r>
    </w:p>
    <w:p w14:paraId="42027366">
      <w:pPr>
        <w:widowControl/>
        <w:autoSpaceDE w:val="0"/>
        <w:autoSpaceDN w:val="0"/>
        <w:adjustRightInd w:val="0"/>
        <w:snapToGrid w:val="0"/>
        <w:spacing w:line="360" w:lineRule="auto"/>
        <w:ind w:firstLine="440" w:firstLineChars="200"/>
        <w:jc w:val="left"/>
        <w:textAlignment w:val="baseline"/>
        <w:rPr>
          <w:rFonts w:asciiTheme="majorEastAsia" w:hAnsiTheme="majorEastAsia" w:eastAsiaTheme="majorEastAsia" w:cstheme="majorEastAsia"/>
          <w:snapToGrid w:val="0"/>
          <w:spacing w:val="5"/>
          <w:kern w:val="0"/>
          <w:szCs w:val="21"/>
        </w:rPr>
      </w:pPr>
      <w:r>
        <w:rPr>
          <w:rFonts w:hint="eastAsia" w:asciiTheme="majorEastAsia" w:hAnsiTheme="majorEastAsia" w:eastAsiaTheme="majorEastAsia" w:cstheme="majorEastAsia"/>
          <w:snapToGrid w:val="0"/>
          <w:spacing w:val="5"/>
          <w:kern w:val="0"/>
          <w:szCs w:val="21"/>
        </w:rPr>
        <w:t>3、承诺书；</w:t>
      </w:r>
    </w:p>
    <w:p w14:paraId="0EDC7FED">
      <w:pPr>
        <w:widowControl/>
        <w:autoSpaceDE w:val="0"/>
        <w:autoSpaceDN w:val="0"/>
        <w:adjustRightInd w:val="0"/>
        <w:snapToGrid w:val="0"/>
        <w:spacing w:line="360" w:lineRule="auto"/>
        <w:ind w:firstLine="448"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7"/>
          <w:kern w:val="0"/>
          <w:szCs w:val="21"/>
        </w:rPr>
        <w:t>4、中标或成交通知书。</w:t>
      </w:r>
    </w:p>
    <w:p w14:paraId="4BFFE5AF">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第十八条  合同份数与附件</w:t>
      </w:r>
    </w:p>
    <w:p w14:paraId="023275A0">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1、本合同一式伍份，具有同等法律效力，</w:t>
      </w:r>
      <w:r>
        <w:rPr>
          <w:rFonts w:hint="eastAsia" w:asciiTheme="majorEastAsia" w:hAnsiTheme="majorEastAsia" w:eastAsiaTheme="majorEastAsia" w:cstheme="majorEastAsia"/>
          <w:snapToGrid w:val="0"/>
          <w:spacing w:val="6"/>
          <w:kern w:val="0"/>
          <w:szCs w:val="21"/>
        </w:rPr>
        <w:t>甲乙双方各执两份</w:t>
      </w:r>
      <w:r>
        <w:rPr>
          <w:rFonts w:hint="eastAsia" w:asciiTheme="majorEastAsia" w:hAnsiTheme="majorEastAsia" w:eastAsiaTheme="majorEastAsia" w:cstheme="majorEastAsia"/>
          <w:snapToGrid w:val="0"/>
          <w:spacing w:val="10"/>
          <w:kern w:val="0"/>
          <w:szCs w:val="21"/>
        </w:rPr>
        <w:t>，采购代理机构执一</w:t>
      </w:r>
      <w:r>
        <w:rPr>
          <w:rFonts w:hint="eastAsia" w:asciiTheme="majorEastAsia" w:hAnsiTheme="majorEastAsia" w:eastAsiaTheme="majorEastAsia" w:cstheme="majorEastAsia"/>
          <w:snapToGrid w:val="0"/>
          <w:spacing w:val="6"/>
          <w:kern w:val="0"/>
          <w:szCs w:val="21"/>
        </w:rPr>
        <w:t>份（可根据需要另增加）。</w:t>
      </w:r>
    </w:p>
    <w:p w14:paraId="40CF1ECE">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11"/>
          <w:kern w:val="0"/>
          <w:szCs w:val="21"/>
        </w:rPr>
      </w:pPr>
      <w:r>
        <w:rPr>
          <w:rFonts w:hint="eastAsia" w:asciiTheme="majorEastAsia" w:hAnsiTheme="majorEastAsia" w:eastAsiaTheme="majorEastAsia" w:cstheme="majorEastAsia"/>
          <w:snapToGrid w:val="0"/>
          <w:spacing w:val="11"/>
          <w:kern w:val="0"/>
          <w:szCs w:val="21"/>
        </w:rPr>
        <w:t>2、本合同附件</w:t>
      </w:r>
      <w:r>
        <w:rPr>
          <w:rFonts w:hint="eastAsia" w:asciiTheme="majorEastAsia" w:hAnsiTheme="majorEastAsia" w:eastAsiaTheme="majorEastAsia" w:cstheme="majorEastAsia"/>
          <w:snapToGrid w:val="0"/>
          <w:spacing w:val="-6"/>
          <w:kern w:val="0"/>
          <w:szCs w:val="21"/>
        </w:rPr>
        <w:t>：（</w:t>
      </w:r>
      <w:r>
        <w:rPr>
          <w:rFonts w:hint="eastAsia" w:asciiTheme="majorEastAsia" w:hAnsiTheme="majorEastAsia" w:eastAsiaTheme="majorEastAsia" w:cstheme="majorEastAsia"/>
          <w:snapToGrid w:val="0"/>
          <w:spacing w:val="11"/>
          <w:kern w:val="0"/>
          <w:szCs w:val="21"/>
        </w:rPr>
        <w:t>1）产品配置清单</w:t>
      </w:r>
      <w:r>
        <w:rPr>
          <w:rFonts w:hint="eastAsia" w:asciiTheme="majorEastAsia" w:hAnsiTheme="majorEastAsia" w:eastAsiaTheme="majorEastAsia" w:cstheme="majorEastAsia"/>
          <w:snapToGrid w:val="0"/>
          <w:spacing w:val="-6"/>
          <w:kern w:val="0"/>
          <w:szCs w:val="21"/>
        </w:rPr>
        <w:t>；（</w:t>
      </w:r>
      <w:r>
        <w:rPr>
          <w:rFonts w:hint="eastAsia" w:asciiTheme="majorEastAsia" w:hAnsiTheme="majorEastAsia" w:eastAsiaTheme="majorEastAsia" w:cstheme="majorEastAsia"/>
          <w:snapToGrid w:val="0"/>
          <w:spacing w:val="11"/>
          <w:kern w:val="0"/>
          <w:szCs w:val="21"/>
        </w:rPr>
        <w:t>2）售后服务承</w:t>
      </w:r>
      <w:r>
        <w:rPr>
          <w:rFonts w:hint="eastAsia" w:asciiTheme="majorEastAsia" w:hAnsiTheme="majorEastAsia" w:eastAsiaTheme="majorEastAsia" w:cstheme="majorEastAsia"/>
          <w:snapToGrid w:val="0"/>
          <w:spacing w:val="10"/>
          <w:kern w:val="0"/>
          <w:szCs w:val="21"/>
        </w:rPr>
        <w:t>诺书。（具体</w:t>
      </w:r>
      <w:r>
        <w:rPr>
          <w:rFonts w:hint="eastAsia" w:asciiTheme="majorEastAsia" w:hAnsiTheme="majorEastAsia" w:eastAsiaTheme="majorEastAsia" w:cstheme="majorEastAsia"/>
          <w:snapToGrid w:val="0"/>
          <w:spacing w:val="11"/>
          <w:kern w:val="0"/>
          <w:szCs w:val="21"/>
        </w:rPr>
        <w:t>见供应商投标文件响应的内容）</w:t>
      </w:r>
    </w:p>
    <w:p w14:paraId="058C0CEA">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11"/>
          <w:kern w:val="0"/>
          <w:szCs w:val="21"/>
        </w:rPr>
      </w:pPr>
      <w:r>
        <w:rPr>
          <w:rFonts w:hint="eastAsia" w:asciiTheme="majorEastAsia" w:hAnsiTheme="majorEastAsia" w:eastAsiaTheme="majorEastAsia" w:cstheme="majorEastAsia"/>
          <w:snapToGrid w:val="0"/>
          <w:spacing w:val="11"/>
          <w:kern w:val="0"/>
          <w:szCs w:val="21"/>
        </w:rPr>
        <w:t>3、本合同落款处甲乙双方所留联系方式均为真实、合法、有效信息，作为双方通知、法院诉讼文书等送达地址；任何一方联系方式变更的，应在变更之日起2日内书面通知对方，否则因此导致的一切不利后果均由未尽到通知义务的一方承担；双方通知、法院诉讼文书等根据所留信息送达，一经发出，满3日均视为送达成功。</w:t>
      </w:r>
    </w:p>
    <w:tbl>
      <w:tblPr>
        <w:tblStyle w:val="112"/>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8"/>
        <w:gridCol w:w="4519"/>
      </w:tblGrid>
      <w:tr w14:paraId="27D39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4518" w:type="dxa"/>
          </w:tcPr>
          <w:p w14:paraId="0AAD4B34">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9"/>
                <w:kern w:val="0"/>
                <w:szCs w:val="21"/>
                <w:lang w:eastAsia="en-US"/>
              </w:rPr>
              <w:t>甲方（章）</w:t>
            </w:r>
          </w:p>
          <w:p w14:paraId="236E357E">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p>
          <w:p w14:paraId="02C813B7">
            <w:pPr>
              <w:widowControl/>
              <w:autoSpaceDE w:val="0"/>
              <w:autoSpaceDN w:val="0"/>
              <w:adjustRightInd w:val="0"/>
              <w:snapToGrid w:val="0"/>
              <w:spacing w:line="360" w:lineRule="auto"/>
              <w:ind w:firstLine="2688" w:firstLineChars="1400"/>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9"/>
                <w:kern w:val="0"/>
                <w:szCs w:val="21"/>
                <w:lang w:eastAsia="en-US"/>
              </w:rPr>
              <w:t>年   月   日</w:t>
            </w:r>
          </w:p>
        </w:tc>
        <w:tc>
          <w:tcPr>
            <w:tcW w:w="4519" w:type="dxa"/>
          </w:tcPr>
          <w:p w14:paraId="257AE3E8">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7"/>
                <w:kern w:val="0"/>
                <w:szCs w:val="21"/>
                <w:lang w:eastAsia="en-US"/>
              </w:rPr>
              <w:t>乙方（章）</w:t>
            </w:r>
          </w:p>
          <w:p w14:paraId="69CB5D08">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p>
          <w:p w14:paraId="532ED70B">
            <w:pPr>
              <w:widowControl/>
              <w:autoSpaceDE w:val="0"/>
              <w:autoSpaceDN w:val="0"/>
              <w:adjustRightInd w:val="0"/>
              <w:snapToGrid w:val="0"/>
              <w:spacing w:line="360" w:lineRule="auto"/>
              <w:ind w:firstLine="2880" w:firstLineChars="1500"/>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9"/>
                <w:kern w:val="0"/>
                <w:szCs w:val="21"/>
                <w:lang w:eastAsia="en-US"/>
              </w:rPr>
              <w:t>年   月  日</w:t>
            </w:r>
          </w:p>
        </w:tc>
      </w:tr>
      <w:tr w14:paraId="086E2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18" w:type="dxa"/>
          </w:tcPr>
          <w:p w14:paraId="3903A300">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单位地址：</w:t>
            </w:r>
          </w:p>
        </w:tc>
        <w:tc>
          <w:tcPr>
            <w:tcW w:w="4519" w:type="dxa"/>
          </w:tcPr>
          <w:p w14:paraId="38846106">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单位地址：</w:t>
            </w:r>
          </w:p>
        </w:tc>
      </w:tr>
      <w:tr w14:paraId="0ABCA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18" w:type="dxa"/>
          </w:tcPr>
          <w:p w14:paraId="6785BB1C">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6"/>
                <w:kern w:val="0"/>
                <w:szCs w:val="21"/>
                <w:lang w:eastAsia="en-US"/>
              </w:rPr>
              <w:t>法定代表人：</w:t>
            </w:r>
          </w:p>
        </w:tc>
        <w:tc>
          <w:tcPr>
            <w:tcW w:w="4519" w:type="dxa"/>
          </w:tcPr>
          <w:p w14:paraId="2D542A97">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6"/>
                <w:kern w:val="0"/>
                <w:szCs w:val="21"/>
                <w:lang w:eastAsia="en-US"/>
              </w:rPr>
              <w:t>法定代表人：</w:t>
            </w:r>
          </w:p>
        </w:tc>
      </w:tr>
      <w:tr w14:paraId="2C4B1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18" w:type="dxa"/>
          </w:tcPr>
          <w:p w14:paraId="1F6FFC5F">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7"/>
                <w:kern w:val="0"/>
                <w:szCs w:val="21"/>
                <w:lang w:eastAsia="en-US"/>
              </w:rPr>
              <w:t>授权委托代理人：</w:t>
            </w:r>
          </w:p>
        </w:tc>
        <w:tc>
          <w:tcPr>
            <w:tcW w:w="4519" w:type="dxa"/>
          </w:tcPr>
          <w:p w14:paraId="3A3A4910">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8"/>
                <w:kern w:val="0"/>
                <w:szCs w:val="21"/>
                <w:lang w:eastAsia="en-US"/>
              </w:rPr>
              <w:t>授权委托代理人</w:t>
            </w:r>
          </w:p>
        </w:tc>
      </w:tr>
      <w:tr w14:paraId="3EAD1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18" w:type="dxa"/>
          </w:tcPr>
          <w:p w14:paraId="0DA356EE">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8"/>
                <w:kern w:val="0"/>
                <w:szCs w:val="21"/>
                <w:lang w:eastAsia="en-US"/>
              </w:rPr>
              <w:t>电话：</w:t>
            </w:r>
          </w:p>
        </w:tc>
        <w:tc>
          <w:tcPr>
            <w:tcW w:w="4519" w:type="dxa"/>
          </w:tcPr>
          <w:p w14:paraId="43D1FD7F">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8"/>
                <w:kern w:val="0"/>
                <w:szCs w:val="21"/>
                <w:lang w:eastAsia="en-US"/>
              </w:rPr>
              <w:t>电话：</w:t>
            </w:r>
          </w:p>
        </w:tc>
      </w:tr>
      <w:tr w14:paraId="33D73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18" w:type="dxa"/>
          </w:tcPr>
          <w:p w14:paraId="6E243EE1">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1"/>
                <w:kern w:val="0"/>
                <w:szCs w:val="21"/>
                <w:lang w:eastAsia="en-US"/>
              </w:rPr>
              <w:t>电子邮箱：</w:t>
            </w:r>
          </w:p>
        </w:tc>
        <w:tc>
          <w:tcPr>
            <w:tcW w:w="4519" w:type="dxa"/>
          </w:tcPr>
          <w:p w14:paraId="3383E348">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1"/>
                <w:kern w:val="0"/>
                <w:szCs w:val="21"/>
                <w:lang w:eastAsia="en-US"/>
              </w:rPr>
              <w:t>电子邮箱：</w:t>
            </w:r>
          </w:p>
        </w:tc>
      </w:tr>
      <w:tr w14:paraId="7C0E7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18" w:type="dxa"/>
          </w:tcPr>
          <w:p w14:paraId="153DA636">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开户银行：</w:t>
            </w:r>
          </w:p>
        </w:tc>
        <w:tc>
          <w:tcPr>
            <w:tcW w:w="4519" w:type="dxa"/>
          </w:tcPr>
          <w:p w14:paraId="4EBDE6CB">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开户银行：</w:t>
            </w:r>
          </w:p>
        </w:tc>
      </w:tr>
      <w:tr w14:paraId="75B30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18" w:type="dxa"/>
          </w:tcPr>
          <w:p w14:paraId="15D47E10">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账号：</w:t>
            </w:r>
          </w:p>
        </w:tc>
        <w:tc>
          <w:tcPr>
            <w:tcW w:w="4519" w:type="dxa"/>
          </w:tcPr>
          <w:p w14:paraId="67D62EEF">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账号：</w:t>
            </w:r>
          </w:p>
        </w:tc>
      </w:tr>
      <w:tr w14:paraId="53637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18" w:type="dxa"/>
          </w:tcPr>
          <w:p w14:paraId="3142E8C2">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2"/>
                <w:kern w:val="0"/>
                <w:szCs w:val="21"/>
                <w:lang w:eastAsia="en-US"/>
              </w:rPr>
              <w:t>邮政编码：</w:t>
            </w:r>
          </w:p>
        </w:tc>
        <w:tc>
          <w:tcPr>
            <w:tcW w:w="4519" w:type="dxa"/>
          </w:tcPr>
          <w:p w14:paraId="43FFAF5F">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2"/>
                <w:kern w:val="0"/>
                <w:szCs w:val="21"/>
                <w:lang w:eastAsia="en-US"/>
              </w:rPr>
              <w:t>邮政编码：</w:t>
            </w:r>
          </w:p>
        </w:tc>
      </w:tr>
    </w:tbl>
    <w:p w14:paraId="58A1DA56">
      <w:pP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br w:type="page"/>
      </w:r>
    </w:p>
    <w:p w14:paraId="4649FD14">
      <w:pPr>
        <w:widowControl/>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项目采购（货物、服务类）廉洁协议</w:t>
      </w:r>
    </w:p>
    <w:p w14:paraId="2ACEB643">
      <w:pPr>
        <w:autoSpaceDE w:val="0"/>
        <w:autoSpaceDN w:val="0"/>
        <w:adjustRightInd w:val="0"/>
        <w:spacing w:line="590" w:lineRule="exact"/>
        <w:ind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项目名称：             </w:t>
      </w:r>
    </w:p>
    <w:p w14:paraId="2104C97C">
      <w:pPr>
        <w:autoSpaceDE w:val="0"/>
        <w:autoSpaceDN w:val="0"/>
        <w:adjustRightInd w:val="0"/>
        <w:spacing w:line="590" w:lineRule="exact"/>
        <w:ind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项目编号： </w:t>
      </w:r>
    </w:p>
    <w:p w14:paraId="0EEDAF13">
      <w:pPr>
        <w:autoSpaceDE w:val="0"/>
        <w:autoSpaceDN w:val="0"/>
        <w:adjustRightInd w:val="0"/>
        <w:spacing w:line="590" w:lineRule="exact"/>
        <w:ind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甲方（采购单位）： </w:t>
      </w:r>
    </w:p>
    <w:p w14:paraId="0A8B8BD8">
      <w:pPr>
        <w:autoSpaceDE w:val="0"/>
        <w:autoSpaceDN w:val="0"/>
        <w:adjustRightInd w:val="0"/>
        <w:spacing w:line="590" w:lineRule="exact"/>
        <w:ind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乙方（成交/中标供应商）： </w:t>
      </w:r>
    </w:p>
    <w:p w14:paraId="706A0A12">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为进一步加强医疗卫生行风建设，规范甲乙双方的购销行为，有效防范商业贿赂，营造公平交易、诚实守信的购销环境，维护医院正常医疗秩序，经甲、乙双方协商，同意签订本协议，并共同遵守：</w:t>
      </w:r>
    </w:p>
    <w:p w14:paraId="5D935E68">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一、甲乙双方按照《中华人民共和国民法典》《中华人民共和国政府采购法》及政府采购合同约定履行合同内容。</w:t>
      </w:r>
    </w:p>
    <w:p w14:paraId="417EC527">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二、甲方应当严格执行货物、服务类采购合同的验收、入库等制度，对采购内容及发票进行查验，不得违反有关规定合同外采购、违价采购或从非规定渠道采购。</w:t>
      </w:r>
    </w:p>
    <w:p w14:paraId="56367310">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甲方严禁接受乙方以任何名义、形式给予的回扣，不得将接受捐赠资助与采购挂钩。甲方工作人员不得参加乙方安排并支付费用的宴请、旅游和营业性娱乐活动等，不得以任何形式向乙方索要现金、有价证券、支付凭证和贵重礼品等。</w:t>
      </w:r>
    </w:p>
    <w:p w14:paraId="656AC0A9">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四、乙方不得以回扣、宴请等方式影响甲方工作人员的采购工作，不得在学术活动中提供旅游、超标准支付食宿费用。</w:t>
      </w:r>
    </w:p>
    <w:p w14:paraId="53C50F54">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五、乙方不得以围标、相互串通投标，或者排挤其他供应商的公平竞争，损害采购人或者其他供应商的合法权益，严禁以他人名义投标或允许他人以自己的名义投标，不得提供虚假资料参与投标或以其他方式弄虚作假、骗取中标。甲方发现乙方违反规定者，按甲方有关管理规定，列入医院招投标不良行为黑名单。</w:t>
      </w:r>
    </w:p>
    <w:p w14:paraId="5C94443E">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六、乙方指定作为授权代表对接业务。授权代表必须在工作时间到甲方指定地点联系对接。不得借故到甲方相关领导、部门负责人及相关工作人员家中访谈并提供任何好处费，甲方发现乙方违反规定者，列入医院招投标不良行为黑名单。</w:t>
      </w:r>
    </w:p>
    <w:p w14:paraId="61EF223F">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七、乙方如违反本协议，一经发现，甲方有权终止采购合同。如乙方被列入政府采购严重违法失信行为记录名单，则严格按照《中华人民共和国政府采购法》相关规定处理。</w:t>
      </w:r>
    </w:p>
    <w:p w14:paraId="550E853E">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八、本协议作为采购合同的重要组成部分，与采购合同一并执行，具有同等的法律效力，从签订之日起生效。</w:t>
      </w:r>
    </w:p>
    <w:p w14:paraId="5BA07C49">
      <w:pPr>
        <w:autoSpaceDE w:val="0"/>
        <w:autoSpaceDN w:val="0"/>
        <w:adjustRightInd w:val="0"/>
        <w:spacing w:line="590" w:lineRule="exact"/>
        <w:ind w:right="-25" w:rightChars="-1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甲方（盖章）：                             乙方（盖章）： </w:t>
      </w:r>
    </w:p>
    <w:p w14:paraId="0A0885D0">
      <w:pPr>
        <w:autoSpaceDE w:val="0"/>
        <w:autoSpaceDN w:val="0"/>
        <w:adjustRightInd w:val="0"/>
        <w:spacing w:line="590" w:lineRule="exact"/>
        <w:ind w:left="4200" w:right="-25" w:rightChars="-12" w:hanging="4200" w:hangingChars="20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地址：                                     地址：</w:t>
      </w:r>
    </w:p>
    <w:p w14:paraId="1737D079">
      <w:pPr>
        <w:autoSpaceDE w:val="0"/>
        <w:autoSpaceDN w:val="0"/>
        <w:adjustRightInd w:val="0"/>
        <w:spacing w:line="590" w:lineRule="exact"/>
        <w:ind w:right="-25" w:rightChars="-1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                               法定代表人：</w:t>
      </w:r>
    </w:p>
    <w:p w14:paraId="2750DA4F">
      <w:pPr>
        <w:autoSpaceDE w:val="0"/>
        <w:autoSpaceDN w:val="0"/>
        <w:adjustRightInd w:val="0"/>
        <w:spacing w:line="590" w:lineRule="exact"/>
        <w:ind w:right="-25" w:rightChars="-1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经办人签名：                               经办人签名：</w:t>
      </w:r>
    </w:p>
    <w:p w14:paraId="5CBCE694">
      <w:pPr>
        <w:autoSpaceDE w:val="0"/>
        <w:autoSpaceDN w:val="0"/>
        <w:adjustRightInd w:val="0"/>
        <w:spacing w:line="590" w:lineRule="exact"/>
        <w:ind w:right="-25" w:rightChars="-1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日期：    年    月    日                   日期：    年   月  日</w:t>
      </w:r>
    </w:p>
    <w:p w14:paraId="17E0E079">
      <w:pPr>
        <w:snapToGrid w:val="0"/>
        <w:spacing w:line="360" w:lineRule="auto"/>
        <w:jc w:val="left"/>
        <w:rPr>
          <w:rFonts w:asciiTheme="majorEastAsia" w:hAnsiTheme="majorEastAsia" w:eastAsiaTheme="majorEastAsia" w:cstheme="majorEastAsia"/>
          <w:szCs w:val="21"/>
        </w:rPr>
      </w:pPr>
    </w:p>
    <w:p w14:paraId="2295760A">
      <w:pPr>
        <w:snapToGrid w:val="0"/>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
          <w:szCs w:val="21"/>
        </w:rPr>
        <w:br w:type="page"/>
      </w:r>
    </w:p>
    <w:bookmarkEnd w:id="142"/>
    <w:p w14:paraId="4A00EEAE">
      <w:pPr>
        <w:snapToGrid w:val="0"/>
        <w:spacing w:line="480" w:lineRule="auto"/>
        <w:rPr>
          <w:rFonts w:asciiTheme="majorEastAsia" w:hAnsiTheme="majorEastAsia" w:eastAsiaTheme="majorEastAsia" w:cstheme="majorEastAsia"/>
          <w:bCs/>
          <w:sz w:val="32"/>
          <w:szCs w:val="32"/>
        </w:rPr>
      </w:pPr>
    </w:p>
    <w:p w14:paraId="16399828">
      <w:pPr>
        <w:snapToGrid w:val="0"/>
        <w:jc w:val="center"/>
        <w:rPr>
          <w:rFonts w:asciiTheme="majorEastAsia" w:hAnsiTheme="majorEastAsia" w:eastAsiaTheme="majorEastAsia" w:cstheme="majorEastAsia"/>
          <w:bCs/>
          <w:sz w:val="32"/>
          <w:szCs w:val="32"/>
        </w:rPr>
      </w:pPr>
    </w:p>
    <w:p w14:paraId="09F48A1A">
      <w:pPr>
        <w:snapToGrid w:val="0"/>
        <w:jc w:val="center"/>
        <w:rPr>
          <w:rFonts w:asciiTheme="majorEastAsia" w:hAnsiTheme="majorEastAsia" w:eastAsiaTheme="majorEastAsia" w:cstheme="majorEastAsia"/>
          <w:bCs/>
          <w:sz w:val="32"/>
          <w:szCs w:val="32"/>
        </w:rPr>
      </w:pPr>
    </w:p>
    <w:p w14:paraId="1BE6C8A6">
      <w:pPr>
        <w:snapToGrid w:val="0"/>
        <w:jc w:val="center"/>
        <w:rPr>
          <w:rFonts w:asciiTheme="majorEastAsia" w:hAnsiTheme="majorEastAsia" w:eastAsiaTheme="majorEastAsia" w:cstheme="majorEastAsia"/>
          <w:bCs/>
          <w:sz w:val="32"/>
          <w:szCs w:val="32"/>
        </w:rPr>
      </w:pPr>
    </w:p>
    <w:p w14:paraId="7ECD1537">
      <w:pPr>
        <w:snapToGrid w:val="0"/>
        <w:jc w:val="center"/>
        <w:rPr>
          <w:rFonts w:asciiTheme="majorEastAsia" w:hAnsiTheme="majorEastAsia" w:eastAsiaTheme="majorEastAsia" w:cstheme="majorEastAsia"/>
          <w:bCs/>
          <w:sz w:val="32"/>
          <w:szCs w:val="32"/>
        </w:rPr>
      </w:pPr>
    </w:p>
    <w:p w14:paraId="5A9DC488">
      <w:pPr>
        <w:snapToGrid w:val="0"/>
        <w:jc w:val="center"/>
        <w:rPr>
          <w:rFonts w:asciiTheme="majorEastAsia" w:hAnsiTheme="majorEastAsia" w:eastAsiaTheme="majorEastAsia" w:cstheme="majorEastAsia"/>
          <w:bCs/>
          <w:sz w:val="32"/>
          <w:szCs w:val="32"/>
        </w:rPr>
      </w:pPr>
    </w:p>
    <w:p w14:paraId="7F775545">
      <w:pPr>
        <w:snapToGrid w:val="0"/>
        <w:jc w:val="center"/>
        <w:rPr>
          <w:rFonts w:asciiTheme="majorEastAsia" w:hAnsiTheme="majorEastAsia" w:eastAsiaTheme="majorEastAsia" w:cstheme="majorEastAsia"/>
          <w:bCs/>
          <w:sz w:val="32"/>
          <w:szCs w:val="32"/>
        </w:rPr>
      </w:pPr>
    </w:p>
    <w:p w14:paraId="4933D7E1">
      <w:pPr>
        <w:snapToGrid w:val="0"/>
        <w:jc w:val="center"/>
        <w:rPr>
          <w:rFonts w:asciiTheme="majorEastAsia" w:hAnsiTheme="majorEastAsia" w:eastAsiaTheme="majorEastAsia" w:cstheme="majorEastAsia"/>
          <w:bCs/>
          <w:sz w:val="32"/>
          <w:szCs w:val="32"/>
        </w:rPr>
      </w:pPr>
    </w:p>
    <w:p w14:paraId="1BF318F3">
      <w:pPr>
        <w:snapToGrid w:val="0"/>
        <w:jc w:val="center"/>
        <w:rPr>
          <w:rFonts w:asciiTheme="majorEastAsia" w:hAnsiTheme="majorEastAsia" w:eastAsiaTheme="majorEastAsia" w:cstheme="majorEastAsia"/>
          <w:bCs/>
          <w:sz w:val="32"/>
          <w:szCs w:val="32"/>
        </w:rPr>
      </w:pPr>
    </w:p>
    <w:p w14:paraId="1CCA466B">
      <w:pPr>
        <w:snapToGrid w:val="0"/>
        <w:jc w:val="center"/>
        <w:rPr>
          <w:rFonts w:asciiTheme="majorEastAsia" w:hAnsiTheme="majorEastAsia" w:eastAsiaTheme="majorEastAsia" w:cstheme="majorEastAsia"/>
          <w:bCs/>
          <w:sz w:val="32"/>
          <w:szCs w:val="32"/>
        </w:rPr>
      </w:pPr>
    </w:p>
    <w:p w14:paraId="6D954944">
      <w:pPr>
        <w:snapToGrid w:val="0"/>
        <w:jc w:val="center"/>
        <w:rPr>
          <w:rFonts w:asciiTheme="majorEastAsia" w:hAnsiTheme="majorEastAsia" w:eastAsiaTheme="majorEastAsia" w:cstheme="majorEastAsia"/>
          <w:bCs/>
          <w:sz w:val="32"/>
          <w:szCs w:val="32"/>
        </w:rPr>
      </w:pPr>
    </w:p>
    <w:p w14:paraId="3A8A58B1">
      <w:pPr>
        <w:snapToGrid w:val="0"/>
        <w:jc w:val="center"/>
        <w:rPr>
          <w:rFonts w:asciiTheme="majorEastAsia" w:hAnsiTheme="majorEastAsia" w:eastAsiaTheme="majorEastAsia" w:cstheme="majorEastAsia"/>
          <w:bCs/>
          <w:sz w:val="32"/>
          <w:szCs w:val="32"/>
        </w:rPr>
      </w:pPr>
    </w:p>
    <w:p w14:paraId="74716852">
      <w:pPr>
        <w:pStyle w:val="2"/>
        <w:jc w:val="center"/>
        <w:rPr>
          <w:rFonts w:asciiTheme="majorEastAsia" w:hAnsiTheme="majorEastAsia" w:eastAsiaTheme="majorEastAsia" w:cstheme="majorEastAsia"/>
        </w:rPr>
      </w:pPr>
      <w:bookmarkStart w:id="143" w:name="_Toc74320805"/>
      <w:r>
        <w:rPr>
          <w:rFonts w:hint="eastAsia" w:asciiTheme="majorEastAsia" w:hAnsiTheme="majorEastAsia" w:eastAsiaTheme="majorEastAsia" w:cstheme="majorEastAsia"/>
        </w:rPr>
        <w:t>第六章　投标文件格式</w:t>
      </w:r>
      <w:bookmarkEnd w:id="143"/>
    </w:p>
    <w:p w14:paraId="2A09DF63">
      <w:pPr>
        <w:snapToGrid w:val="0"/>
        <w:spacing w:before="50" w:after="50"/>
        <w:outlineLvl w:val="1"/>
        <w:rPr>
          <w:rFonts w:asciiTheme="majorEastAsia" w:hAnsiTheme="majorEastAsia" w:eastAsiaTheme="majorEastAsia" w:cstheme="majorEastAsia"/>
          <w:sz w:val="32"/>
          <w:szCs w:val="20"/>
        </w:rPr>
      </w:pPr>
    </w:p>
    <w:p w14:paraId="750D3F57">
      <w:pPr>
        <w:snapToGrid w:val="0"/>
        <w:spacing w:before="50" w:after="50"/>
        <w:outlineLvl w:val="1"/>
        <w:rPr>
          <w:rFonts w:asciiTheme="majorEastAsia" w:hAnsiTheme="majorEastAsia" w:eastAsiaTheme="majorEastAsia" w:cstheme="majorEastAsia"/>
          <w:sz w:val="32"/>
          <w:szCs w:val="20"/>
        </w:rPr>
      </w:pPr>
    </w:p>
    <w:p w14:paraId="02AFDB43">
      <w:pPr>
        <w:snapToGrid w:val="0"/>
        <w:spacing w:before="50" w:after="50"/>
        <w:outlineLvl w:val="1"/>
        <w:rPr>
          <w:rFonts w:asciiTheme="majorEastAsia" w:hAnsiTheme="majorEastAsia" w:eastAsiaTheme="majorEastAsia" w:cstheme="majorEastAsia"/>
          <w:sz w:val="32"/>
          <w:szCs w:val="20"/>
        </w:rPr>
      </w:pPr>
    </w:p>
    <w:p w14:paraId="3A7F229E">
      <w:pPr>
        <w:snapToGrid w:val="0"/>
        <w:spacing w:before="50" w:after="50"/>
        <w:outlineLvl w:val="1"/>
        <w:rPr>
          <w:rFonts w:asciiTheme="majorEastAsia" w:hAnsiTheme="majorEastAsia" w:eastAsiaTheme="majorEastAsia" w:cstheme="majorEastAsia"/>
          <w:sz w:val="32"/>
          <w:szCs w:val="20"/>
        </w:rPr>
      </w:pPr>
    </w:p>
    <w:p w14:paraId="351DB9BE">
      <w:pPr>
        <w:snapToGrid w:val="0"/>
        <w:spacing w:before="50" w:after="50"/>
        <w:outlineLvl w:val="1"/>
        <w:rPr>
          <w:rFonts w:asciiTheme="majorEastAsia" w:hAnsiTheme="majorEastAsia" w:eastAsiaTheme="majorEastAsia" w:cstheme="majorEastAsia"/>
          <w:sz w:val="32"/>
          <w:szCs w:val="20"/>
        </w:rPr>
      </w:pPr>
    </w:p>
    <w:p w14:paraId="25E47ACC">
      <w:pPr>
        <w:snapToGrid w:val="0"/>
        <w:spacing w:before="50" w:after="50"/>
        <w:outlineLvl w:val="1"/>
        <w:rPr>
          <w:rFonts w:asciiTheme="majorEastAsia" w:hAnsiTheme="majorEastAsia" w:eastAsiaTheme="majorEastAsia" w:cstheme="majorEastAsia"/>
          <w:sz w:val="32"/>
          <w:szCs w:val="20"/>
        </w:rPr>
      </w:pPr>
    </w:p>
    <w:p w14:paraId="6DBCDFE1">
      <w:pPr>
        <w:snapToGrid w:val="0"/>
        <w:spacing w:before="50" w:after="50"/>
        <w:outlineLvl w:val="1"/>
        <w:rPr>
          <w:rFonts w:asciiTheme="majorEastAsia" w:hAnsiTheme="majorEastAsia" w:eastAsiaTheme="majorEastAsia" w:cstheme="majorEastAsia"/>
          <w:sz w:val="32"/>
          <w:szCs w:val="20"/>
        </w:rPr>
      </w:pPr>
    </w:p>
    <w:p w14:paraId="1907DD77">
      <w:pPr>
        <w:snapToGrid w:val="0"/>
        <w:spacing w:before="50" w:after="50"/>
        <w:outlineLvl w:val="1"/>
        <w:rPr>
          <w:rFonts w:asciiTheme="majorEastAsia" w:hAnsiTheme="majorEastAsia" w:eastAsiaTheme="majorEastAsia" w:cstheme="majorEastAsia"/>
          <w:sz w:val="32"/>
          <w:szCs w:val="20"/>
        </w:rPr>
      </w:pPr>
    </w:p>
    <w:p w14:paraId="65670058">
      <w:pPr>
        <w:snapToGrid w:val="0"/>
        <w:spacing w:before="50" w:after="50"/>
        <w:outlineLvl w:val="1"/>
        <w:rPr>
          <w:rFonts w:asciiTheme="majorEastAsia" w:hAnsiTheme="majorEastAsia" w:eastAsiaTheme="majorEastAsia" w:cstheme="majorEastAsia"/>
          <w:sz w:val="32"/>
          <w:szCs w:val="20"/>
        </w:rPr>
      </w:pPr>
    </w:p>
    <w:p w14:paraId="0B8FEA88">
      <w:pPr>
        <w:snapToGrid w:val="0"/>
        <w:spacing w:before="50" w:after="50"/>
        <w:outlineLvl w:val="1"/>
        <w:rPr>
          <w:rFonts w:asciiTheme="majorEastAsia" w:hAnsiTheme="majorEastAsia" w:eastAsiaTheme="majorEastAsia" w:cstheme="majorEastAsia"/>
          <w:sz w:val="32"/>
          <w:szCs w:val="20"/>
        </w:rPr>
      </w:pPr>
    </w:p>
    <w:p w14:paraId="1C982B3A">
      <w:pPr>
        <w:snapToGrid w:val="0"/>
        <w:spacing w:before="50" w:after="50"/>
        <w:outlineLvl w:val="1"/>
        <w:rPr>
          <w:rFonts w:asciiTheme="majorEastAsia" w:hAnsiTheme="majorEastAsia" w:eastAsiaTheme="majorEastAsia" w:cstheme="majorEastAsia"/>
          <w:sz w:val="32"/>
          <w:szCs w:val="20"/>
        </w:rPr>
      </w:pPr>
    </w:p>
    <w:p w14:paraId="3038AE45">
      <w:pPr>
        <w:snapToGrid w:val="0"/>
        <w:spacing w:before="50" w:after="50"/>
        <w:outlineLvl w:val="1"/>
        <w:rPr>
          <w:rFonts w:asciiTheme="majorEastAsia" w:hAnsiTheme="majorEastAsia" w:eastAsiaTheme="majorEastAsia" w:cstheme="majorEastAsia"/>
          <w:sz w:val="32"/>
          <w:szCs w:val="20"/>
        </w:rPr>
      </w:pPr>
    </w:p>
    <w:p w14:paraId="5122C02C">
      <w:pPr>
        <w:snapToGrid w:val="0"/>
        <w:spacing w:before="50" w:after="50"/>
        <w:outlineLvl w:val="1"/>
        <w:rPr>
          <w:rFonts w:asciiTheme="majorEastAsia" w:hAnsiTheme="majorEastAsia" w:eastAsiaTheme="majorEastAsia" w:cstheme="majorEastAsia"/>
          <w:sz w:val="32"/>
          <w:szCs w:val="20"/>
        </w:rPr>
      </w:pPr>
    </w:p>
    <w:p w14:paraId="117C05F9">
      <w:pPr>
        <w:snapToGrid w:val="0"/>
        <w:spacing w:before="120" w:beforeLines="50" w:after="50"/>
        <w:jc w:val="center"/>
        <w:outlineLvl w:val="1"/>
        <w:rPr>
          <w:rFonts w:asciiTheme="majorEastAsia" w:hAnsiTheme="majorEastAsia" w:eastAsiaTheme="majorEastAsia" w:cstheme="majorEastAsia"/>
        </w:rPr>
      </w:pPr>
    </w:p>
    <w:p w14:paraId="5A451EAF">
      <w:pPr>
        <w:rPr>
          <w:rFonts w:asciiTheme="majorEastAsia" w:hAnsiTheme="majorEastAsia" w:eastAsiaTheme="majorEastAsia" w:cstheme="majorEastAsia"/>
          <w:b/>
          <w:sz w:val="28"/>
          <w:szCs w:val="28"/>
        </w:rPr>
      </w:pPr>
      <w:bookmarkStart w:id="144" w:name="_Toc19686836"/>
      <w:bookmarkStart w:id="145" w:name="_Toc254970698"/>
      <w:bookmarkStart w:id="146" w:name="_Toc254970557"/>
      <w:r>
        <w:rPr>
          <w:rFonts w:hint="eastAsia" w:asciiTheme="majorEastAsia" w:hAnsiTheme="majorEastAsia" w:eastAsiaTheme="majorEastAsia" w:cstheme="majorEastAsia"/>
          <w:b/>
          <w:sz w:val="28"/>
          <w:szCs w:val="28"/>
        </w:rPr>
        <w:t>一、报价文件格式</w:t>
      </w:r>
      <w:bookmarkEnd w:id="144"/>
    </w:p>
    <w:p w14:paraId="4AD20F85">
      <w:pPr>
        <w:snapToGrid w:val="0"/>
        <w:spacing w:before="120" w:beforeLines="50" w:after="50" w:line="360" w:lineRule="auto"/>
        <w:ind w:left="14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1. 报价文件封面格式： </w:t>
      </w:r>
    </w:p>
    <w:p w14:paraId="45E20EBC">
      <w:pPr>
        <w:snapToGrid w:val="0"/>
        <w:spacing w:before="120" w:beforeLines="50" w:after="50" w:line="360" w:lineRule="auto"/>
        <w:ind w:left="142"/>
        <w:jc w:val="center"/>
        <w:rPr>
          <w:rFonts w:asciiTheme="majorEastAsia" w:hAnsiTheme="majorEastAsia" w:eastAsiaTheme="majorEastAsia" w:cstheme="majorEastAsia"/>
          <w:bCs/>
          <w:sz w:val="48"/>
          <w:szCs w:val="48"/>
        </w:rPr>
      </w:pPr>
      <w:r>
        <w:rPr>
          <w:rFonts w:hint="eastAsia" w:asciiTheme="majorEastAsia" w:hAnsiTheme="majorEastAsia" w:eastAsiaTheme="majorEastAsia" w:cstheme="majorEastAsia"/>
          <w:bCs/>
          <w:sz w:val="48"/>
          <w:szCs w:val="48"/>
        </w:rPr>
        <w:t>电子投标文件</w:t>
      </w:r>
    </w:p>
    <w:p w14:paraId="0258A41B">
      <w:pPr>
        <w:snapToGrid w:val="0"/>
        <w:spacing w:before="120" w:beforeLines="50" w:after="50" w:line="400" w:lineRule="exact"/>
        <w:jc w:val="left"/>
        <w:rPr>
          <w:rFonts w:asciiTheme="majorEastAsia" w:hAnsiTheme="majorEastAsia" w:eastAsiaTheme="majorEastAsia" w:cstheme="majorEastAsia"/>
          <w:bCs/>
          <w:sz w:val="48"/>
          <w:szCs w:val="48"/>
        </w:rPr>
      </w:pPr>
    </w:p>
    <w:p w14:paraId="71C5BA2B">
      <w:pPr>
        <w:snapToGrid w:val="0"/>
        <w:spacing w:before="120" w:beforeLines="50" w:after="50" w:line="400" w:lineRule="exact"/>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报  价  文  件</w:t>
      </w:r>
    </w:p>
    <w:p w14:paraId="12C0D890">
      <w:pPr>
        <w:snapToGrid w:val="0"/>
        <w:spacing w:before="120" w:beforeLines="50" w:after="50" w:line="400" w:lineRule="exact"/>
        <w:rPr>
          <w:rFonts w:asciiTheme="majorEastAsia" w:hAnsiTheme="majorEastAsia" w:eastAsiaTheme="majorEastAsia" w:cstheme="majorEastAsia"/>
          <w:bCs/>
          <w:sz w:val="24"/>
          <w:szCs w:val="20"/>
        </w:rPr>
      </w:pPr>
    </w:p>
    <w:p w14:paraId="0F75A1B8">
      <w:pPr>
        <w:snapToGrid w:val="0"/>
        <w:spacing w:before="120" w:beforeLines="50" w:after="50" w:line="400" w:lineRule="exact"/>
        <w:rPr>
          <w:rFonts w:asciiTheme="majorEastAsia" w:hAnsiTheme="majorEastAsia" w:eastAsiaTheme="majorEastAsia" w:cstheme="majorEastAsia"/>
          <w:bCs/>
          <w:sz w:val="24"/>
          <w:szCs w:val="20"/>
        </w:rPr>
      </w:pPr>
    </w:p>
    <w:p w14:paraId="03BF4617">
      <w:pPr>
        <w:snapToGrid w:val="0"/>
        <w:spacing w:before="120" w:beforeLines="50" w:after="50" w:line="400" w:lineRule="exact"/>
        <w:rPr>
          <w:rFonts w:asciiTheme="majorEastAsia" w:hAnsiTheme="majorEastAsia" w:eastAsiaTheme="majorEastAsia" w:cstheme="majorEastAsia"/>
          <w:bCs/>
          <w:sz w:val="24"/>
          <w:szCs w:val="20"/>
        </w:rPr>
      </w:pPr>
    </w:p>
    <w:p w14:paraId="77CD21E7">
      <w:pPr>
        <w:snapToGrid w:val="0"/>
        <w:spacing w:before="120" w:beforeLines="50" w:after="50" w:line="400" w:lineRule="exact"/>
        <w:rPr>
          <w:rFonts w:asciiTheme="majorEastAsia" w:hAnsiTheme="majorEastAsia" w:eastAsiaTheme="majorEastAsia" w:cstheme="majorEastAsia"/>
          <w:bCs/>
          <w:sz w:val="24"/>
          <w:szCs w:val="20"/>
        </w:rPr>
      </w:pPr>
    </w:p>
    <w:p w14:paraId="17C8E870">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项目名称： </w:t>
      </w:r>
    </w:p>
    <w:p w14:paraId="2968DD5B">
      <w:pPr>
        <w:snapToGrid w:val="0"/>
        <w:spacing w:before="120" w:beforeLines="50" w:after="50" w:line="400" w:lineRule="exact"/>
        <w:ind w:firstLine="360" w:firstLineChars="150"/>
        <w:rPr>
          <w:rFonts w:asciiTheme="majorEastAsia" w:hAnsiTheme="majorEastAsia" w:eastAsiaTheme="majorEastAsia" w:cstheme="majorEastAsia"/>
          <w:bCs/>
          <w:sz w:val="24"/>
        </w:rPr>
      </w:pPr>
    </w:p>
    <w:p w14:paraId="6C4FBE99">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项目编号： </w:t>
      </w:r>
    </w:p>
    <w:p w14:paraId="4CF4B485">
      <w:pPr>
        <w:snapToGrid w:val="0"/>
        <w:spacing w:before="120" w:beforeLines="50" w:after="50" w:line="400" w:lineRule="exact"/>
        <w:ind w:firstLine="360" w:firstLineChars="150"/>
        <w:rPr>
          <w:rFonts w:asciiTheme="majorEastAsia" w:hAnsiTheme="majorEastAsia" w:eastAsiaTheme="majorEastAsia" w:cstheme="majorEastAsia"/>
          <w:bCs/>
          <w:sz w:val="24"/>
        </w:rPr>
      </w:pPr>
    </w:p>
    <w:p w14:paraId="71D3C5F6">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所投分标：</w:t>
      </w:r>
    </w:p>
    <w:p w14:paraId="57652491">
      <w:pPr>
        <w:snapToGrid w:val="0"/>
        <w:spacing w:before="120" w:beforeLines="50" w:after="50" w:line="400" w:lineRule="exact"/>
        <w:ind w:firstLine="360" w:firstLineChars="150"/>
        <w:rPr>
          <w:rFonts w:asciiTheme="majorEastAsia" w:hAnsiTheme="majorEastAsia" w:eastAsiaTheme="majorEastAsia" w:cstheme="majorEastAsia"/>
          <w:bCs/>
          <w:sz w:val="24"/>
        </w:rPr>
      </w:pPr>
    </w:p>
    <w:p w14:paraId="495070B5">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投标人名称：</w:t>
      </w:r>
    </w:p>
    <w:p w14:paraId="43D67ABB">
      <w:pPr>
        <w:snapToGrid w:val="0"/>
        <w:spacing w:before="120" w:beforeLines="50" w:after="50" w:line="400" w:lineRule="exact"/>
        <w:ind w:firstLine="360" w:firstLineChars="150"/>
        <w:rPr>
          <w:rFonts w:asciiTheme="majorEastAsia" w:hAnsiTheme="majorEastAsia" w:eastAsiaTheme="majorEastAsia" w:cstheme="majorEastAsia"/>
          <w:bCs/>
          <w:sz w:val="24"/>
        </w:rPr>
      </w:pPr>
    </w:p>
    <w:p w14:paraId="33295F34">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投标人地址：</w:t>
      </w:r>
    </w:p>
    <w:p w14:paraId="47613221">
      <w:pPr>
        <w:pStyle w:val="7"/>
        <w:snapToGrid w:val="0"/>
        <w:spacing w:before="50" w:after="50" w:line="400" w:lineRule="exact"/>
        <w:ind w:firstLine="960" w:firstLineChars="400"/>
        <w:rPr>
          <w:rFonts w:asciiTheme="majorEastAsia" w:hAnsiTheme="majorEastAsia" w:eastAsiaTheme="majorEastAsia" w:cstheme="majorEastAsia"/>
          <w:bCs/>
          <w:sz w:val="24"/>
          <w:szCs w:val="24"/>
        </w:rPr>
      </w:pPr>
    </w:p>
    <w:p w14:paraId="715A56D3">
      <w:pPr>
        <w:snapToGrid w:val="0"/>
        <w:spacing w:before="120" w:beforeLines="50" w:after="50" w:line="400" w:lineRule="exact"/>
        <w:rPr>
          <w:rFonts w:asciiTheme="majorEastAsia" w:hAnsiTheme="majorEastAsia" w:eastAsiaTheme="majorEastAsia" w:cstheme="majorEastAsia"/>
          <w:sz w:val="30"/>
          <w:szCs w:val="20"/>
        </w:rPr>
      </w:pPr>
      <w:r>
        <w:rPr>
          <w:rFonts w:hint="eastAsia" w:asciiTheme="majorEastAsia" w:hAnsiTheme="majorEastAsia" w:eastAsiaTheme="majorEastAsia" w:cstheme="majorEastAsia"/>
          <w:sz w:val="24"/>
        </w:rPr>
        <w:t xml:space="preserve">                                   年  月  日</w:t>
      </w:r>
    </w:p>
    <w:p w14:paraId="2868CB92">
      <w:pPr>
        <w:snapToGrid w:val="0"/>
        <w:spacing w:before="120" w:beforeLines="50" w:after="50" w:line="360" w:lineRule="auto"/>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2.</w:t>
      </w:r>
      <w:r>
        <w:rPr>
          <w:rFonts w:hint="eastAsia" w:asciiTheme="majorEastAsia" w:hAnsiTheme="majorEastAsia" w:eastAsiaTheme="majorEastAsia" w:cstheme="majorEastAsia"/>
          <w:b/>
          <w:bCs/>
          <w:sz w:val="24"/>
        </w:rPr>
        <w:t>报价文件目录</w:t>
      </w:r>
    </w:p>
    <w:p w14:paraId="1CAD7319">
      <w:pPr>
        <w:snapToGrid w:val="0"/>
        <w:spacing w:before="50" w:after="120" w:afterLines="50" w:line="360" w:lineRule="auto"/>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szCs w:val="21"/>
        </w:rPr>
        <w:t>根据招标文件规定及投标人提供的材料自行编写目录。</w:t>
      </w:r>
    </w:p>
    <w:p w14:paraId="2EF65D5A">
      <w:pPr>
        <w:snapToGrid w:val="0"/>
        <w:spacing w:before="120" w:beforeLines="50" w:after="50"/>
        <w:rPr>
          <w:rFonts w:asciiTheme="majorEastAsia" w:hAnsiTheme="majorEastAsia" w:eastAsiaTheme="majorEastAsia" w:cstheme="majorEastAsia"/>
          <w:b/>
          <w:sz w:val="24"/>
        </w:rPr>
      </w:pPr>
    </w:p>
    <w:p w14:paraId="223A27A1">
      <w:pPr>
        <w:snapToGrid w:val="0"/>
        <w:spacing w:before="120" w:beforeLines="50" w:after="50"/>
        <w:rPr>
          <w:rFonts w:asciiTheme="majorEastAsia" w:hAnsiTheme="majorEastAsia" w:eastAsiaTheme="majorEastAsia" w:cstheme="majorEastAsia"/>
          <w:b/>
          <w:sz w:val="24"/>
        </w:rPr>
      </w:pPr>
    </w:p>
    <w:p w14:paraId="49B12236">
      <w:pPr>
        <w:snapToGrid w:val="0"/>
        <w:spacing w:before="120" w:beforeLines="50" w:after="50"/>
        <w:rPr>
          <w:rFonts w:asciiTheme="majorEastAsia" w:hAnsiTheme="majorEastAsia" w:eastAsiaTheme="majorEastAsia" w:cstheme="majorEastAsia"/>
          <w:b/>
          <w:sz w:val="24"/>
        </w:rPr>
      </w:pPr>
    </w:p>
    <w:p w14:paraId="42560E13">
      <w:pPr>
        <w:snapToGrid w:val="0"/>
        <w:spacing w:before="120" w:beforeLines="50" w:after="50"/>
        <w:ind w:left="14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3. 投标函格式：</w:t>
      </w:r>
    </w:p>
    <w:p w14:paraId="731B838F">
      <w:pPr>
        <w:snapToGrid w:val="0"/>
        <w:spacing w:before="120" w:beforeLines="50" w:after="50" w:line="360" w:lineRule="auto"/>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投 标 函</w:t>
      </w:r>
    </w:p>
    <w:p w14:paraId="4F243B59">
      <w:pPr>
        <w:snapToGrid w:val="0"/>
        <w:spacing w:before="120" w:beforeLines="50" w:after="50" w:line="320" w:lineRule="exact"/>
        <w:jc w:val="center"/>
        <w:rPr>
          <w:rFonts w:asciiTheme="majorEastAsia" w:hAnsiTheme="majorEastAsia" w:eastAsiaTheme="majorEastAsia" w:cstheme="majorEastAsia"/>
          <w:b/>
          <w:sz w:val="32"/>
          <w:szCs w:val="32"/>
        </w:rPr>
      </w:pPr>
    </w:p>
    <w:p w14:paraId="33407E3D">
      <w:pPr>
        <w:spacing w:line="360" w:lineRule="auto"/>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致：</w:t>
      </w:r>
      <w:r>
        <w:rPr>
          <w:rFonts w:hint="eastAsia" w:asciiTheme="majorEastAsia" w:hAnsiTheme="majorEastAsia" w:eastAsiaTheme="majorEastAsia" w:cstheme="majorEastAsia"/>
          <w:sz w:val="24"/>
          <w:u w:val="single"/>
        </w:rPr>
        <w:t>采购人名称</w:t>
      </w:r>
      <w:r>
        <w:rPr>
          <w:rFonts w:hint="eastAsia" w:asciiTheme="majorEastAsia" w:hAnsiTheme="majorEastAsia" w:eastAsiaTheme="majorEastAsia" w:cstheme="majorEastAsia"/>
          <w:sz w:val="24"/>
        </w:rPr>
        <w:t>：</w:t>
      </w:r>
    </w:p>
    <w:p w14:paraId="0E46FFEA">
      <w:pPr>
        <w:spacing w:line="360" w:lineRule="auto"/>
        <w:ind w:firstLine="48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根据贵方</w:t>
      </w:r>
      <w:r>
        <w:rPr>
          <w:rFonts w:hint="eastAsia" w:asciiTheme="majorEastAsia" w:hAnsiTheme="majorEastAsia" w:eastAsiaTheme="majorEastAsia" w:cstheme="majorEastAsia"/>
          <w:sz w:val="24"/>
          <w:u w:val="single"/>
        </w:rPr>
        <w:t xml:space="preserve">        项目名称</w:t>
      </w:r>
      <w:r>
        <w:rPr>
          <w:rFonts w:hint="eastAsia" w:asciiTheme="majorEastAsia" w:hAnsiTheme="majorEastAsia" w:eastAsiaTheme="majorEastAsia" w:cstheme="majorEastAsia"/>
          <w:sz w:val="24"/>
        </w:rPr>
        <w:t>（项目编号：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）的招标文件，签字代表______（姓名）经正式授权并代表投标人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（投标人名称）提交投标文件。</w:t>
      </w:r>
    </w:p>
    <w:p w14:paraId="24FF830E">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据此函，我方宣布同意如下：</w:t>
      </w:r>
    </w:p>
    <w:p w14:paraId="58B69556">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1.我方已详细审查全部“招标文件”，包括修改文件（如有的话）以及全部参考资料和有关附件，已经了解我方对于招标文件、采购过程、采购结果有依法进行询问、质疑、投诉的权利及相关渠道和要求。</w:t>
      </w:r>
    </w:p>
    <w:p w14:paraId="5B0613FA">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2.我方在投标之前已经完全理解并接受招标文件的各项规定和要求，对招标文件的合理性、合法性不再有异议。</w:t>
      </w:r>
    </w:p>
    <w:p w14:paraId="6E12BDF0">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3.本投标有效期自投标截止之日起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w:t>
      </w:r>
    </w:p>
    <w:p w14:paraId="551DC067">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4.如中标，本投标文件至本项目合同履行完毕止均保持有效，我方将按“招标文件”及政府采购法律、法规的规定履行合同责任和义务。</w:t>
      </w:r>
    </w:p>
    <w:p w14:paraId="4641ECF6">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5.我方同意按照贵方要求提供与投标有关的一切数据或者资料。</w:t>
      </w:r>
    </w:p>
    <w:p w14:paraId="5D2595F7">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6.我方向贵方提交的所有投标文件、资料都是准确的和真实的。</w:t>
      </w:r>
    </w:p>
    <w:p w14:paraId="62D7889A">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7.以上事项如有虚假或者隐瞒，我方愿意承担一切后果，并不再寻求任何旨在减轻或者免除法律责任的辩解。</w:t>
      </w:r>
    </w:p>
    <w:p w14:paraId="427DF7A8">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3EFF8809">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□我方本次投标文件</w:t>
      </w:r>
      <w:r>
        <w:rPr>
          <w:rFonts w:hint="eastAsia" w:asciiTheme="majorEastAsia" w:hAnsiTheme="majorEastAsia" w:eastAsiaTheme="majorEastAsia" w:cstheme="majorEastAsia"/>
          <w:kern w:val="0"/>
          <w:sz w:val="24"/>
        </w:rPr>
        <w:t>内容中</w:t>
      </w:r>
      <w:r>
        <w:rPr>
          <w:rFonts w:hint="eastAsia" w:asciiTheme="majorEastAsia" w:hAnsiTheme="majorEastAsia" w:eastAsiaTheme="majorEastAsia" w:cstheme="majorEastAsia"/>
          <w:sz w:val="24"/>
        </w:rPr>
        <w:t>未</w:t>
      </w:r>
      <w:r>
        <w:rPr>
          <w:rFonts w:hint="eastAsia" w:asciiTheme="majorEastAsia" w:hAnsiTheme="majorEastAsia" w:eastAsiaTheme="majorEastAsia" w:cstheme="majorEastAsia"/>
          <w:kern w:val="0"/>
          <w:sz w:val="24"/>
        </w:rPr>
        <w:t>涉及商业秘密；</w:t>
      </w:r>
    </w:p>
    <w:p w14:paraId="67589447">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□我方本次投标文件</w:t>
      </w:r>
      <w:r>
        <w:rPr>
          <w:rFonts w:hint="eastAsia" w:asciiTheme="majorEastAsia" w:hAnsiTheme="majorEastAsia" w:eastAsiaTheme="majorEastAsia" w:cstheme="majorEastAsia"/>
          <w:kern w:val="0"/>
          <w:sz w:val="24"/>
        </w:rPr>
        <w:t>涉及商业秘密的内容有：</w:t>
      </w:r>
      <w:r>
        <w:rPr>
          <w:rFonts w:hint="eastAsia" w:asciiTheme="majorEastAsia" w:hAnsiTheme="majorEastAsia" w:eastAsiaTheme="majorEastAsia" w:cstheme="majorEastAsia"/>
          <w:kern w:val="0"/>
          <w:sz w:val="24"/>
          <w:u w:val="single"/>
        </w:rPr>
        <w:t xml:space="preserve">                </w:t>
      </w:r>
      <w:r>
        <w:rPr>
          <w:rFonts w:hint="eastAsia" w:asciiTheme="majorEastAsia" w:hAnsiTheme="majorEastAsia" w:eastAsiaTheme="majorEastAsia" w:cstheme="majorEastAsia"/>
          <w:kern w:val="0"/>
          <w:sz w:val="24"/>
        </w:rPr>
        <w:t>；</w:t>
      </w:r>
    </w:p>
    <w:p w14:paraId="7D4E1544">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9.与本项目有关的一切正式往来信函请寄：</w:t>
      </w:r>
    </w:p>
    <w:p w14:paraId="768D94BA">
      <w:pPr>
        <w:spacing w:line="360" w:lineRule="auto"/>
        <w:ind w:firstLine="480" w:firstLineChars="200"/>
        <w:contextualSpacing/>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地址：</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邮编：</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5F777FC4">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电话：</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传真：</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545D5322">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电子邮箱：</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4367135E">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投标人名称：</w:t>
      </w:r>
      <w:r>
        <w:rPr>
          <w:rFonts w:hint="eastAsia" w:asciiTheme="majorEastAsia" w:hAnsiTheme="majorEastAsia" w:eastAsiaTheme="majorEastAsia" w:cstheme="majorEastAsia"/>
          <w:sz w:val="24"/>
          <w:u w:val="single"/>
        </w:rPr>
        <w:t xml:space="preserve">                         </w:t>
      </w:r>
    </w:p>
    <w:p w14:paraId="36E49D5C">
      <w:pPr>
        <w:spacing w:line="360" w:lineRule="auto"/>
        <w:ind w:firstLine="480" w:firstLineChars="200"/>
        <w:contextualSpacing/>
        <w:jc w:val="left"/>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开户银行：</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银行账号：</w:t>
      </w:r>
      <w:r>
        <w:rPr>
          <w:rFonts w:hint="eastAsia" w:asciiTheme="majorEastAsia" w:hAnsiTheme="majorEastAsia" w:eastAsiaTheme="majorEastAsia" w:cstheme="majorEastAsia"/>
          <w:sz w:val="24"/>
          <w:u w:val="single"/>
        </w:rPr>
        <w:t xml:space="preserve">                   </w:t>
      </w:r>
    </w:p>
    <w:p w14:paraId="5289C195">
      <w:pPr>
        <w:pStyle w:val="19"/>
        <w:rPr>
          <w:rFonts w:asciiTheme="majorEastAsia" w:hAnsiTheme="majorEastAsia" w:eastAsiaTheme="majorEastAsia" w:cstheme="majorEastAsia"/>
        </w:rPr>
      </w:pPr>
    </w:p>
    <w:p w14:paraId="36DB2CC4">
      <w:pPr>
        <w:spacing w:line="360" w:lineRule="auto"/>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法定代表人或者委托代理人（签字或者电子签名）：_______ </w:t>
      </w:r>
    </w:p>
    <w:p w14:paraId="517ABB89">
      <w:pPr>
        <w:pStyle w:val="25"/>
        <w:spacing w:line="360" w:lineRule="auto"/>
        <w:contextualSpacing/>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p>
    <w:p w14:paraId="764ABA94">
      <w:pPr>
        <w:pStyle w:val="25"/>
        <w:spacing w:line="360" w:lineRule="auto"/>
        <w:contextualSpacing/>
        <w:jc w:val="center"/>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rPr>
        <w:t>投标人名称（电子签章）：</w:t>
      </w:r>
    </w:p>
    <w:p w14:paraId="3C2466F5">
      <w:pPr>
        <w:snapToGrid w:val="0"/>
        <w:spacing w:before="120" w:beforeLines="50" w:after="50"/>
        <w:jc w:val="righ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sz w:val="24"/>
        </w:rPr>
        <w:t>年     月    日</w:t>
      </w:r>
      <w:r>
        <w:rPr>
          <w:rFonts w:hint="eastAsia" w:asciiTheme="majorEastAsia" w:hAnsiTheme="majorEastAsia" w:eastAsiaTheme="majorEastAsia" w:cstheme="majorEastAsia"/>
          <w:u w:val="single"/>
        </w:rPr>
        <w:br w:type="page"/>
      </w:r>
      <w:r>
        <w:rPr>
          <w:rFonts w:hint="eastAsia" w:asciiTheme="majorEastAsia" w:hAnsiTheme="majorEastAsia" w:eastAsiaTheme="majorEastAsia" w:cstheme="majorEastAsia"/>
          <w:b/>
          <w:sz w:val="24"/>
        </w:rPr>
        <w:t>4. 开标一览表</w:t>
      </w:r>
    </w:p>
    <w:p w14:paraId="2D427B25">
      <w:pPr>
        <w:snapToGrid w:val="0"/>
        <w:spacing w:before="50" w:after="50"/>
        <w:jc w:val="center"/>
        <w:rPr>
          <w:rFonts w:asciiTheme="majorEastAsia" w:hAnsiTheme="majorEastAsia" w:eastAsiaTheme="majorEastAsia" w:cstheme="majorEastAsia"/>
          <w:b/>
          <w:sz w:val="30"/>
        </w:rPr>
      </w:pPr>
      <w:r>
        <w:rPr>
          <w:rFonts w:hint="eastAsia" w:asciiTheme="majorEastAsia" w:hAnsiTheme="majorEastAsia" w:eastAsiaTheme="majorEastAsia" w:cstheme="majorEastAsia"/>
          <w:b/>
          <w:sz w:val="30"/>
        </w:rPr>
        <w:t>开标一览表</w:t>
      </w:r>
    </w:p>
    <w:p w14:paraId="1DC9F921">
      <w:pPr>
        <w:snapToGrid w:val="0"/>
        <w:spacing w:before="50" w:after="50" w:line="360" w:lineRule="auto"/>
        <w:jc w:val="center"/>
        <w:rPr>
          <w:rFonts w:asciiTheme="majorEastAsia" w:hAnsiTheme="majorEastAsia" w:eastAsiaTheme="majorEastAsia" w:cstheme="majorEastAsia"/>
          <w:b/>
          <w:sz w:val="30"/>
          <w:szCs w:val="20"/>
        </w:rPr>
      </w:pPr>
    </w:p>
    <w:p w14:paraId="7AB2C001">
      <w:pPr>
        <w:snapToGrid w:val="0"/>
        <w:spacing w:before="50" w:after="50" w:line="360" w:lineRule="auto"/>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项目名称：</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项目编号：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分标：</w:t>
      </w:r>
      <w:r>
        <w:rPr>
          <w:rFonts w:hint="eastAsia" w:asciiTheme="majorEastAsia" w:hAnsiTheme="majorEastAsia" w:eastAsiaTheme="majorEastAsia" w:cstheme="majorEastAsia"/>
          <w:sz w:val="24"/>
          <w:u w:val="single"/>
        </w:rPr>
        <w:t xml:space="preserve">       </w:t>
      </w:r>
    </w:p>
    <w:p w14:paraId="1452ABB8">
      <w:pPr>
        <w:snapToGrid w:val="0"/>
        <w:spacing w:before="50" w:after="50"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投标人名称：</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单位：元</w:t>
      </w:r>
    </w:p>
    <w:tbl>
      <w:tblPr>
        <w:tblStyle w:val="46"/>
        <w:tblW w:w="87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3"/>
        <w:gridCol w:w="1910"/>
        <w:gridCol w:w="937"/>
        <w:gridCol w:w="1376"/>
        <w:gridCol w:w="1477"/>
        <w:gridCol w:w="755"/>
        <w:gridCol w:w="1552"/>
      </w:tblGrid>
      <w:tr w14:paraId="77511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208E7DC">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序号</w:t>
            </w:r>
          </w:p>
        </w:tc>
        <w:tc>
          <w:tcPr>
            <w:tcW w:w="1910" w:type="dxa"/>
            <w:tcBorders>
              <w:top w:val="single" w:color="auto" w:sz="4" w:space="0"/>
              <w:left w:val="single" w:color="auto" w:sz="4" w:space="0"/>
              <w:bottom w:val="single" w:color="auto" w:sz="4" w:space="0"/>
              <w:right w:val="single" w:color="auto" w:sz="4" w:space="0"/>
            </w:tcBorders>
            <w:vAlign w:val="center"/>
          </w:tcPr>
          <w:p w14:paraId="32237B76">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标的的名称</w:t>
            </w:r>
          </w:p>
        </w:tc>
        <w:tc>
          <w:tcPr>
            <w:tcW w:w="937" w:type="dxa"/>
            <w:tcBorders>
              <w:top w:val="single" w:color="auto" w:sz="4" w:space="0"/>
              <w:left w:val="single" w:color="auto" w:sz="4" w:space="0"/>
              <w:bottom w:val="single" w:color="auto" w:sz="4" w:space="0"/>
              <w:right w:val="single" w:color="auto" w:sz="4" w:space="0"/>
            </w:tcBorders>
            <w:vAlign w:val="center"/>
          </w:tcPr>
          <w:p w14:paraId="0C1F2D34">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品牌</w:t>
            </w:r>
          </w:p>
        </w:tc>
        <w:tc>
          <w:tcPr>
            <w:tcW w:w="1376" w:type="dxa"/>
            <w:tcBorders>
              <w:top w:val="single" w:color="auto" w:sz="4" w:space="0"/>
              <w:left w:val="single" w:color="auto" w:sz="4" w:space="0"/>
              <w:bottom w:val="single" w:color="auto" w:sz="4" w:space="0"/>
              <w:right w:val="single" w:color="auto" w:sz="4" w:space="0"/>
            </w:tcBorders>
            <w:vAlign w:val="center"/>
          </w:tcPr>
          <w:p w14:paraId="21D55A2A">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规格型号</w:t>
            </w:r>
          </w:p>
        </w:tc>
        <w:tc>
          <w:tcPr>
            <w:tcW w:w="1477" w:type="dxa"/>
            <w:tcBorders>
              <w:top w:val="single" w:color="auto" w:sz="4" w:space="0"/>
              <w:left w:val="single" w:color="auto" w:sz="4" w:space="0"/>
              <w:bottom w:val="single" w:color="auto" w:sz="4" w:space="0"/>
              <w:right w:val="single" w:color="auto" w:sz="4" w:space="0"/>
            </w:tcBorders>
            <w:vAlign w:val="center"/>
          </w:tcPr>
          <w:p w14:paraId="6BFE8E33">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数量及单位①</w:t>
            </w:r>
          </w:p>
        </w:tc>
        <w:tc>
          <w:tcPr>
            <w:tcW w:w="755" w:type="dxa"/>
            <w:tcBorders>
              <w:top w:val="single" w:color="auto" w:sz="4" w:space="0"/>
              <w:left w:val="single" w:color="auto" w:sz="4" w:space="0"/>
              <w:bottom w:val="single" w:color="auto" w:sz="4" w:space="0"/>
              <w:right w:val="single" w:color="auto" w:sz="4" w:space="0"/>
            </w:tcBorders>
            <w:vAlign w:val="center"/>
          </w:tcPr>
          <w:p w14:paraId="55378715">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单价</w:t>
            </w:r>
          </w:p>
          <w:p w14:paraId="65EB6052">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②</w:t>
            </w:r>
          </w:p>
        </w:tc>
        <w:tc>
          <w:tcPr>
            <w:tcW w:w="1552" w:type="dxa"/>
            <w:tcBorders>
              <w:top w:val="single" w:color="auto" w:sz="4" w:space="0"/>
              <w:left w:val="single" w:color="auto" w:sz="4" w:space="0"/>
              <w:bottom w:val="single" w:color="auto" w:sz="4" w:space="0"/>
              <w:right w:val="single" w:color="auto" w:sz="4" w:space="0"/>
            </w:tcBorders>
            <w:vAlign w:val="center"/>
          </w:tcPr>
          <w:p w14:paraId="3B56DD52">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投标报价</w:t>
            </w:r>
          </w:p>
          <w:p w14:paraId="4682B9A0">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③=①×②</w:t>
            </w:r>
          </w:p>
        </w:tc>
      </w:tr>
      <w:tr w14:paraId="45BE1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BC091B0">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w:t>
            </w:r>
          </w:p>
        </w:tc>
        <w:tc>
          <w:tcPr>
            <w:tcW w:w="1910" w:type="dxa"/>
            <w:tcBorders>
              <w:top w:val="single" w:color="auto" w:sz="4" w:space="0"/>
              <w:left w:val="single" w:color="auto" w:sz="4" w:space="0"/>
              <w:bottom w:val="single" w:color="auto" w:sz="4" w:space="0"/>
              <w:right w:val="single" w:color="auto" w:sz="4" w:space="0"/>
            </w:tcBorders>
            <w:vAlign w:val="center"/>
          </w:tcPr>
          <w:p w14:paraId="0D51636F">
            <w:pPr>
              <w:snapToGrid w:val="0"/>
              <w:spacing w:before="50" w:after="50" w:line="360" w:lineRule="auto"/>
              <w:jc w:val="center"/>
              <w:rPr>
                <w:rFonts w:asciiTheme="majorEastAsia" w:hAnsiTheme="majorEastAsia" w:eastAsiaTheme="majorEastAsia" w:cstheme="majorEastAsia"/>
                <w:b/>
                <w:sz w:val="24"/>
              </w:rPr>
            </w:pPr>
          </w:p>
        </w:tc>
        <w:tc>
          <w:tcPr>
            <w:tcW w:w="937" w:type="dxa"/>
            <w:tcBorders>
              <w:top w:val="single" w:color="auto" w:sz="4" w:space="0"/>
              <w:left w:val="single" w:color="auto" w:sz="4" w:space="0"/>
              <w:bottom w:val="single" w:color="auto" w:sz="4" w:space="0"/>
              <w:right w:val="single" w:color="auto" w:sz="4" w:space="0"/>
            </w:tcBorders>
            <w:vAlign w:val="center"/>
          </w:tcPr>
          <w:p w14:paraId="541F3FED">
            <w:pPr>
              <w:snapToGrid w:val="0"/>
              <w:spacing w:before="50" w:after="50" w:line="360" w:lineRule="auto"/>
              <w:rPr>
                <w:rFonts w:asciiTheme="majorEastAsia" w:hAnsiTheme="majorEastAsia" w:eastAsiaTheme="majorEastAsia" w:cstheme="majorEastAsia"/>
                <w:sz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2DBBCCF2">
            <w:pPr>
              <w:snapToGrid w:val="0"/>
              <w:spacing w:before="50" w:after="50" w:line="360" w:lineRule="auto"/>
              <w:rPr>
                <w:rFonts w:asciiTheme="majorEastAsia" w:hAnsiTheme="majorEastAsia" w:eastAsiaTheme="majorEastAsia" w:cstheme="majorEastAsia"/>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6ABA79E5">
            <w:pPr>
              <w:snapToGrid w:val="0"/>
              <w:spacing w:before="50" w:after="50" w:line="360" w:lineRule="auto"/>
              <w:rPr>
                <w:rFonts w:asciiTheme="majorEastAsia" w:hAnsiTheme="majorEastAsia" w:eastAsiaTheme="majorEastAsia" w:cstheme="majorEastAsia"/>
                <w:sz w:val="24"/>
              </w:rPr>
            </w:pPr>
          </w:p>
        </w:tc>
        <w:tc>
          <w:tcPr>
            <w:tcW w:w="755" w:type="dxa"/>
            <w:tcBorders>
              <w:top w:val="single" w:color="auto" w:sz="4" w:space="0"/>
              <w:left w:val="single" w:color="auto" w:sz="4" w:space="0"/>
              <w:bottom w:val="single" w:color="auto" w:sz="4" w:space="0"/>
              <w:right w:val="single" w:color="auto" w:sz="4" w:space="0"/>
            </w:tcBorders>
            <w:vAlign w:val="center"/>
          </w:tcPr>
          <w:p w14:paraId="23BA78EF">
            <w:pPr>
              <w:snapToGrid w:val="0"/>
              <w:spacing w:before="50" w:after="50" w:line="360" w:lineRule="auto"/>
              <w:rPr>
                <w:rFonts w:asciiTheme="majorEastAsia" w:hAnsiTheme="majorEastAsia" w:eastAsiaTheme="majorEastAsia" w:cstheme="majorEastAsia"/>
                <w:sz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15BA1FEF">
            <w:pPr>
              <w:snapToGrid w:val="0"/>
              <w:spacing w:before="50" w:after="50" w:line="360" w:lineRule="auto"/>
              <w:rPr>
                <w:rFonts w:asciiTheme="majorEastAsia" w:hAnsiTheme="majorEastAsia" w:eastAsiaTheme="majorEastAsia" w:cstheme="majorEastAsia"/>
                <w:sz w:val="24"/>
              </w:rPr>
            </w:pPr>
          </w:p>
        </w:tc>
      </w:tr>
      <w:tr w14:paraId="564B6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F8CE5BD">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w:t>
            </w:r>
          </w:p>
        </w:tc>
        <w:tc>
          <w:tcPr>
            <w:tcW w:w="1910" w:type="dxa"/>
            <w:tcBorders>
              <w:top w:val="single" w:color="auto" w:sz="4" w:space="0"/>
              <w:left w:val="single" w:color="auto" w:sz="4" w:space="0"/>
              <w:bottom w:val="single" w:color="auto" w:sz="4" w:space="0"/>
              <w:right w:val="single" w:color="auto" w:sz="4" w:space="0"/>
            </w:tcBorders>
            <w:vAlign w:val="center"/>
          </w:tcPr>
          <w:p w14:paraId="767A7CEE">
            <w:pPr>
              <w:snapToGrid w:val="0"/>
              <w:spacing w:before="50" w:after="50" w:line="360" w:lineRule="auto"/>
              <w:jc w:val="center"/>
              <w:rPr>
                <w:rFonts w:asciiTheme="majorEastAsia" w:hAnsiTheme="majorEastAsia" w:eastAsiaTheme="majorEastAsia" w:cstheme="majorEastAsia"/>
                <w:b/>
                <w:sz w:val="24"/>
              </w:rPr>
            </w:pPr>
          </w:p>
        </w:tc>
        <w:tc>
          <w:tcPr>
            <w:tcW w:w="937" w:type="dxa"/>
            <w:tcBorders>
              <w:top w:val="single" w:color="auto" w:sz="4" w:space="0"/>
              <w:left w:val="single" w:color="auto" w:sz="4" w:space="0"/>
              <w:bottom w:val="single" w:color="auto" w:sz="4" w:space="0"/>
              <w:right w:val="single" w:color="auto" w:sz="4" w:space="0"/>
            </w:tcBorders>
            <w:vAlign w:val="center"/>
          </w:tcPr>
          <w:p w14:paraId="74F9E944">
            <w:pPr>
              <w:snapToGrid w:val="0"/>
              <w:spacing w:before="50" w:after="50" w:line="360" w:lineRule="auto"/>
              <w:rPr>
                <w:rFonts w:asciiTheme="majorEastAsia" w:hAnsiTheme="majorEastAsia" w:eastAsiaTheme="majorEastAsia" w:cstheme="majorEastAsia"/>
                <w:sz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2BAB99C6">
            <w:pPr>
              <w:snapToGrid w:val="0"/>
              <w:spacing w:before="50" w:after="50" w:line="360" w:lineRule="auto"/>
              <w:rPr>
                <w:rFonts w:asciiTheme="majorEastAsia" w:hAnsiTheme="majorEastAsia" w:eastAsiaTheme="majorEastAsia" w:cstheme="majorEastAsia"/>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308E22EF">
            <w:pPr>
              <w:snapToGrid w:val="0"/>
              <w:spacing w:before="50" w:after="50" w:line="360" w:lineRule="auto"/>
              <w:rPr>
                <w:rFonts w:asciiTheme="majorEastAsia" w:hAnsiTheme="majorEastAsia" w:eastAsiaTheme="majorEastAsia" w:cstheme="majorEastAsia"/>
                <w:sz w:val="24"/>
              </w:rPr>
            </w:pPr>
          </w:p>
        </w:tc>
        <w:tc>
          <w:tcPr>
            <w:tcW w:w="755" w:type="dxa"/>
            <w:tcBorders>
              <w:top w:val="single" w:color="auto" w:sz="4" w:space="0"/>
              <w:left w:val="single" w:color="auto" w:sz="4" w:space="0"/>
              <w:bottom w:val="single" w:color="auto" w:sz="4" w:space="0"/>
              <w:right w:val="single" w:color="auto" w:sz="4" w:space="0"/>
            </w:tcBorders>
            <w:vAlign w:val="center"/>
          </w:tcPr>
          <w:p w14:paraId="6B713D4A">
            <w:pPr>
              <w:snapToGrid w:val="0"/>
              <w:spacing w:before="50" w:after="50" w:line="360" w:lineRule="auto"/>
              <w:rPr>
                <w:rFonts w:asciiTheme="majorEastAsia" w:hAnsiTheme="majorEastAsia" w:eastAsiaTheme="majorEastAsia" w:cstheme="majorEastAsia"/>
                <w:sz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520EDBB6">
            <w:pPr>
              <w:snapToGrid w:val="0"/>
              <w:spacing w:before="50" w:after="50" w:line="360" w:lineRule="auto"/>
              <w:rPr>
                <w:rFonts w:asciiTheme="majorEastAsia" w:hAnsiTheme="majorEastAsia" w:eastAsiaTheme="majorEastAsia" w:cstheme="majorEastAsia"/>
                <w:sz w:val="24"/>
              </w:rPr>
            </w:pPr>
          </w:p>
        </w:tc>
      </w:tr>
      <w:tr w14:paraId="20E54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A496237">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w:t>
            </w:r>
          </w:p>
        </w:tc>
        <w:tc>
          <w:tcPr>
            <w:tcW w:w="1910" w:type="dxa"/>
            <w:tcBorders>
              <w:top w:val="single" w:color="auto" w:sz="4" w:space="0"/>
              <w:left w:val="single" w:color="auto" w:sz="4" w:space="0"/>
              <w:bottom w:val="single" w:color="auto" w:sz="4" w:space="0"/>
              <w:right w:val="single" w:color="auto" w:sz="4" w:space="0"/>
            </w:tcBorders>
            <w:vAlign w:val="center"/>
          </w:tcPr>
          <w:p w14:paraId="1862BD73">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w:t>
            </w:r>
          </w:p>
        </w:tc>
        <w:tc>
          <w:tcPr>
            <w:tcW w:w="937" w:type="dxa"/>
            <w:tcBorders>
              <w:top w:val="single" w:color="auto" w:sz="4" w:space="0"/>
              <w:left w:val="single" w:color="auto" w:sz="4" w:space="0"/>
              <w:bottom w:val="single" w:color="auto" w:sz="4" w:space="0"/>
              <w:right w:val="single" w:color="auto" w:sz="4" w:space="0"/>
            </w:tcBorders>
            <w:vAlign w:val="center"/>
          </w:tcPr>
          <w:p w14:paraId="1DD8C8D0">
            <w:pPr>
              <w:snapToGrid w:val="0"/>
              <w:spacing w:before="50" w:after="50" w:line="360" w:lineRule="auto"/>
              <w:rPr>
                <w:rFonts w:asciiTheme="majorEastAsia" w:hAnsiTheme="majorEastAsia" w:eastAsiaTheme="majorEastAsia" w:cstheme="majorEastAsia"/>
                <w:sz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215FF89D">
            <w:pPr>
              <w:snapToGrid w:val="0"/>
              <w:spacing w:before="50" w:after="50" w:line="360" w:lineRule="auto"/>
              <w:rPr>
                <w:rFonts w:asciiTheme="majorEastAsia" w:hAnsiTheme="majorEastAsia" w:eastAsiaTheme="majorEastAsia" w:cstheme="majorEastAsia"/>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52E7AE3E">
            <w:pPr>
              <w:snapToGrid w:val="0"/>
              <w:spacing w:before="50" w:after="50" w:line="360" w:lineRule="auto"/>
              <w:rPr>
                <w:rFonts w:asciiTheme="majorEastAsia" w:hAnsiTheme="majorEastAsia" w:eastAsiaTheme="majorEastAsia" w:cstheme="majorEastAsia"/>
                <w:sz w:val="24"/>
              </w:rPr>
            </w:pPr>
          </w:p>
        </w:tc>
        <w:tc>
          <w:tcPr>
            <w:tcW w:w="755" w:type="dxa"/>
            <w:tcBorders>
              <w:top w:val="single" w:color="auto" w:sz="4" w:space="0"/>
              <w:left w:val="single" w:color="auto" w:sz="4" w:space="0"/>
              <w:bottom w:val="single" w:color="auto" w:sz="4" w:space="0"/>
              <w:right w:val="single" w:color="auto" w:sz="4" w:space="0"/>
            </w:tcBorders>
            <w:vAlign w:val="center"/>
          </w:tcPr>
          <w:p w14:paraId="5A64C4D8">
            <w:pPr>
              <w:snapToGrid w:val="0"/>
              <w:spacing w:before="50" w:after="50" w:line="360" w:lineRule="auto"/>
              <w:rPr>
                <w:rFonts w:asciiTheme="majorEastAsia" w:hAnsiTheme="majorEastAsia" w:eastAsiaTheme="majorEastAsia" w:cstheme="majorEastAsia"/>
                <w:sz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2204109F">
            <w:pPr>
              <w:snapToGrid w:val="0"/>
              <w:spacing w:before="50" w:after="50" w:line="360" w:lineRule="auto"/>
              <w:rPr>
                <w:rFonts w:asciiTheme="majorEastAsia" w:hAnsiTheme="majorEastAsia" w:eastAsiaTheme="majorEastAsia" w:cstheme="majorEastAsia"/>
                <w:sz w:val="24"/>
              </w:rPr>
            </w:pPr>
          </w:p>
        </w:tc>
      </w:tr>
      <w:tr w14:paraId="2AD65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8720" w:type="dxa"/>
            <w:gridSpan w:val="7"/>
            <w:tcBorders>
              <w:top w:val="single" w:color="auto" w:sz="4" w:space="0"/>
              <w:left w:val="single" w:color="auto" w:sz="4" w:space="0"/>
              <w:bottom w:val="single" w:color="auto" w:sz="4" w:space="0"/>
              <w:right w:val="single" w:color="auto" w:sz="4" w:space="0"/>
            </w:tcBorders>
            <w:vAlign w:val="center"/>
          </w:tcPr>
          <w:p w14:paraId="5B30C864">
            <w:pPr>
              <w:snapToGrid w:val="0"/>
              <w:spacing w:before="50" w:after="50"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合计金额大写：人民币（</w:t>
            </w:r>
            <w:r>
              <w:rPr>
                <w:rFonts w:hint="eastAsia" w:asciiTheme="majorEastAsia" w:hAnsiTheme="majorEastAsia" w:eastAsiaTheme="majorEastAsia" w:cstheme="majorEastAsia"/>
                <w:sz w:val="24"/>
                <w:u w:val="single"/>
              </w:rPr>
              <w:t>¥</w:t>
            </w:r>
            <w:r>
              <w:rPr>
                <w:rFonts w:hint="eastAsia" w:asciiTheme="majorEastAsia" w:hAnsiTheme="majorEastAsia" w:eastAsiaTheme="majorEastAsia" w:cstheme="majorEastAsia"/>
                <w:sz w:val="24"/>
              </w:rPr>
              <w:t>）</w:t>
            </w:r>
          </w:p>
          <w:p w14:paraId="09303F59">
            <w:pPr>
              <w:snapToGrid w:val="0"/>
              <w:spacing w:before="50" w:after="50"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投标货物中，属于优先采购节能产品总值为</w:t>
            </w:r>
            <w:r>
              <w:rPr>
                <w:rFonts w:hint="eastAsia" w:asciiTheme="majorEastAsia" w:hAnsiTheme="majorEastAsia" w:eastAsiaTheme="majorEastAsia" w:cstheme="majorEastAsia"/>
                <w:sz w:val="24"/>
                <w:u w:val="single"/>
              </w:rPr>
              <w:t>¥       （具体明细详见附表，附表格式自拟）</w:t>
            </w:r>
            <w:r>
              <w:rPr>
                <w:rFonts w:hint="eastAsia" w:asciiTheme="majorEastAsia" w:hAnsiTheme="majorEastAsia" w:eastAsiaTheme="majorEastAsia" w:cstheme="majorEastAsia"/>
                <w:sz w:val="24"/>
              </w:rPr>
              <w:t>，占本投标报价的比例为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；属于优先采购环境标志产品总值为</w:t>
            </w:r>
            <w:r>
              <w:rPr>
                <w:rFonts w:hint="eastAsia" w:asciiTheme="majorEastAsia" w:hAnsiTheme="majorEastAsia" w:eastAsiaTheme="majorEastAsia" w:cstheme="majorEastAsia"/>
                <w:sz w:val="24"/>
                <w:u w:val="single"/>
              </w:rPr>
              <w:t>¥          （具体明细详见附表，附表格式自拟）</w:t>
            </w:r>
            <w:r>
              <w:rPr>
                <w:rFonts w:hint="eastAsia" w:asciiTheme="majorEastAsia" w:hAnsiTheme="majorEastAsia" w:eastAsiaTheme="majorEastAsia" w:cstheme="majorEastAsia"/>
                <w:sz w:val="24"/>
              </w:rPr>
              <w:t>，占本投标报价的比例为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w:t>
            </w:r>
          </w:p>
        </w:tc>
      </w:tr>
    </w:tbl>
    <w:p w14:paraId="5F57E8F6">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注: </w:t>
      </w:r>
    </w:p>
    <w:p w14:paraId="0514428D">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1.投标人的开标一览表必须加盖投标人电子签章并由法定代表人或者委托代理人签字或者电子签名，</w:t>
      </w:r>
      <w:r>
        <w:rPr>
          <w:rFonts w:hint="eastAsia" w:asciiTheme="majorEastAsia" w:hAnsiTheme="majorEastAsia" w:eastAsiaTheme="majorEastAsia" w:cstheme="majorEastAsia"/>
          <w:b/>
          <w:sz w:val="24"/>
        </w:rPr>
        <w:t>否则其投标作无效标处理</w:t>
      </w:r>
      <w:r>
        <w:rPr>
          <w:rFonts w:hint="eastAsia" w:asciiTheme="majorEastAsia" w:hAnsiTheme="majorEastAsia" w:eastAsiaTheme="majorEastAsia" w:cstheme="majorEastAsia"/>
          <w:sz w:val="24"/>
        </w:rPr>
        <w:t>。</w:t>
      </w:r>
    </w:p>
    <w:p w14:paraId="51FA1DED">
      <w:pPr>
        <w:snapToGrid w:val="0"/>
        <w:spacing w:line="360" w:lineRule="auto"/>
        <w:ind w:firstLine="480" w:firstLineChars="20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Cs/>
          <w:sz w:val="24"/>
        </w:rPr>
        <w:t>2.</w:t>
      </w:r>
      <w:r>
        <w:rPr>
          <w:rFonts w:hint="eastAsia" w:asciiTheme="majorEastAsia" w:hAnsiTheme="majorEastAsia" w:eastAsiaTheme="majorEastAsia" w:cstheme="majorEastAsia"/>
          <w:sz w:val="24"/>
        </w:rPr>
        <w:t>报价一经涂改，应在涂改处加盖投标人公章或者加盖电子签章或者由法定代表人或者委托代理人签字（或者电子签名）</w:t>
      </w:r>
      <w:r>
        <w:rPr>
          <w:rFonts w:hint="eastAsia" w:asciiTheme="majorEastAsia" w:hAnsiTheme="majorEastAsia" w:eastAsiaTheme="majorEastAsia" w:cstheme="majorEastAsia"/>
          <w:b/>
          <w:sz w:val="24"/>
        </w:rPr>
        <w:t>，否则其投标作无效标处理。</w:t>
      </w:r>
    </w:p>
    <w:p w14:paraId="0DE5BDE0">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3.招标文件中列明采购专用耗材的，应按招标文件规定的耗材量或者按耗材的常规试用量提供报价。</w:t>
      </w:r>
    </w:p>
    <w:p w14:paraId="7C4905B3">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4.如为联合体投标，“投标人名称”处必须列明联合体各方名称，并标注联合体牵头人名称，</w:t>
      </w:r>
      <w:r>
        <w:rPr>
          <w:rFonts w:hint="eastAsia" w:asciiTheme="majorEastAsia" w:hAnsiTheme="majorEastAsia" w:eastAsiaTheme="majorEastAsia" w:cstheme="majorEastAsia"/>
          <w:b/>
          <w:sz w:val="24"/>
        </w:rPr>
        <w:t>否则其投标作无效标处理。</w:t>
      </w:r>
    </w:p>
    <w:p w14:paraId="335C3702">
      <w:pPr>
        <w:snapToGrid w:val="0"/>
        <w:spacing w:line="360" w:lineRule="auto"/>
        <w:ind w:firstLine="456" w:firstLineChars="200"/>
        <w:jc w:val="left"/>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5.如为联合体投标，盖章处须加盖联合体牵头人电子签章，</w:t>
      </w:r>
      <w:r>
        <w:rPr>
          <w:rFonts w:hint="eastAsia" w:asciiTheme="majorEastAsia" w:hAnsiTheme="majorEastAsia" w:eastAsiaTheme="majorEastAsia" w:cstheme="majorEastAsia"/>
          <w:b/>
          <w:spacing w:val="-6"/>
          <w:sz w:val="24"/>
        </w:rPr>
        <w:t>否则其投标作无效标处理。</w:t>
      </w:r>
    </w:p>
    <w:p w14:paraId="646BDEE9">
      <w:pPr>
        <w:snapToGrid w:val="0"/>
        <w:spacing w:line="360" w:lineRule="auto"/>
        <w:ind w:firstLine="480"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rPr>
        <w:t>6.如有多分标，按分标分别提供开标一览表，</w:t>
      </w:r>
      <w:r>
        <w:rPr>
          <w:rFonts w:hint="eastAsia" w:asciiTheme="majorEastAsia" w:hAnsiTheme="majorEastAsia" w:eastAsiaTheme="majorEastAsia" w:cstheme="majorEastAsia"/>
          <w:b/>
          <w:sz w:val="24"/>
        </w:rPr>
        <w:t>否则投标无效。</w:t>
      </w:r>
    </w:p>
    <w:p w14:paraId="60E7A8D1">
      <w:pPr>
        <w:pStyle w:val="19"/>
        <w:spacing w:line="360" w:lineRule="auto"/>
        <w:rPr>
          <w:rFonts w:asciiTheme="majorEastAsia" w:hAnsiTheme="majorEastAsia" w:eastAsiaTheme="majorEastAsia" w:cstheme="majorEastAsia"/>
        </w:rPr>
      </w:pPr>
    </w:p>
    <w:p w14:paraId="6AF03F42">
      <w:pPr>
        <w:snapToGrid w:val="0"/>
        <w:spacing w:line="360" w:lineRule="auto"/>
        <w:ind w:left="-2" w:leftChars="-1" w:right="-817" w:rightChars="-389"/>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法定代表人或者委托代理人（签字或者电子签名）： </w:t>
      </w:r>
    </w:p>
    <w:p w14:paraId="66382AA1">
      <w:pPr>
        <w:snapToGrid w:val="0"/>
        <w:spacing w:line="360" w:lineRule="auto"/>
        <w:ind w:left="-3" w:leftChars="-15" w:right="-817" w:rightChars="-389" w:hanging="28" w:hangingChars="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p>
    <w:p w14:paraId="4A49C467">
      <w:pPr>
        <w:snapToGrid w:val="0"/>
        <w:spacing w:line="360" w:lineRule="auto"/>
        <w:ind w:left="-3" w:leftChars="-15" w:right="-817" w:rightChars="-389" w:hanging="28" w:hangingChars="12"/>
        <w:rPr>
          <w:rFonts w:asciiTheme="majorEastAsia" w:hAnsiTheme="majorEastAsia" w:eastAsiaTheme="majorEastAsia" w:cstheme="majorEastAsia"/>
          <w:szCs w:val="21"/>
        </w:rPr>
      </w:pPr>
      <w:r>
        <w:rPr>
          <w:rFonts w:hint="eastAsia" w:asciiTheme="majorEastAsia" w:hAnsiTheme="majorEastAsia" w:eastAsiaTheme="majorEastAsia" w:cstheme="majorEastAsia"/>
          <w:sz w:val="24"/>
        </w:rPr>
        <w:t xml:space="preserve">                                  日期：    年   月   日</w:t>
      </w:r>
    </w:p>
    <w:p w14:paraId="4D8EAE2B">
      <w:pP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bCs/>
          <w:sz w:val="24"/>
        </w:rPr>
        <w:br w:type="page"/>
      </w:r>
      <w:bookmarkStart w:id="147" w:name="_Toc19686837"/>
      <w:r>
        <w:rPr>
          <w:rFonts w:hint="eastAsia" w:asciiTheme="majorEastAsia" w:hAnsiTheme="majorEastAsia" w:eastAsiaTheme="majorEastAsia" w:cstheme="majorEastAsia"/>
          <w:b/>
          <w:sz w:val="28"/>
          <w:szCs w:val="28"/>
        </w:rPr>
        <w:t>二、资格证明文件格式</w:t>
      </w:r>
      <w:bookmarkEnd w:id="145"/>
      <w:bookmarkEnd w:id="146"/>
      <w:bookmarkEnd w:id="147"/>
    </w:p>
    <w:p w14:paraId="2F084950">
      <w:pPr>
        <w:snapToGrid w:val="0"/>
        <w:spacing w:before="120" w:beforeLines="50" w:after="50" w:line="360" w:lineRule="auto"/>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1.资格证明文件封面格式： </w:t>
      </w:r>
    </w:p>
    <w:p w14:paraId="0403021D">
      <w:pPr>
        <w:snapToGrid w:val="0"/>
        <w:spacing w:before="120" w:beforeLines="50" w:after="50"/>
        <w:jc w:val="center"/>
        <w:rPr>
          <w:rFonts w:asciiTheme="majorEastAsia" w:hAnsiTheme="majorEastAsia" w:eastAsiaTheme="majorEastAsia" w:cstheme="majorEastAsia"/>
          <w:bCs/>
          <w:sz w:val="48"/>
          <w:szCs w:val="48"/>
        </w:rPr>
      </w:pPr>
      <w:r>
        <w:rPr>
          <w:rFonts w:hint="eastAsia" w:asciiTheme="majorEastAsia" w:hAnsiTheme="majorEastAsia" w:eastAsiaTheme="majorEastAsia" w:cstheme="majorEastAsia"/>
          <w:bCs/>
          <w:sz w:val="48"/>
          <w:szCs w:val="48"/>
        </w:rPr>
        <w:t>电子投标文件</w:t>
      </w:r>
    </w:p>
    <w:p w14:paraId="07B42E84">
      <w:pPr>
        <w:snapToGrid w:val="0"/>
        <w:spacing w:before="120" w:beforeLines="50" w:after="50"/>
        <w:jc w:val="center"/>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32"/>
          <w:szCs w:val="32"/>
        </w:rPr>
        <w:t>资格证明文件</w:t>
      </w:r>
    </w:p>
    <w:p w14:paraId="7F8C12F2">
      <w:pPr>
        <w:snapToGrid w:val="0"/>
        <w:spacing w:before="120" w:beforeLines="50" w:after="50"/>
        <w:rPr>
          <w:rFonts w:asciiTheme="majorEastAsia" w:hAnsiTheme="majorEastAsia" w:eastAsiaTheme="majorEastAsia" w:cstheme="majorEastAsia"/>
          <w:bCs/>
          <w:sz w:val="24"/>
          <w:szCs w:val="20"/>
        </w:rPr>
      </w:pPr>
    </w:p>
    <w:p w14:paraId="0F887BE4">
      <w:pPr>
        <w:snapToGrid w:val="0"/>
        <w:spacing w:before="120" w:beforeLines="50" w:after="50"/>
        <w:rPr>
          <w:rFonts w:asciiTheme="majorEastAsia" w:hAnsiTheme="majorEastAsia" w:eastAsiaTheme="majorEastAsia" w:cstheme="majorEastAsia"/>
          <w:bCs/>
          <w:sz w:val="24"/>
          <w:szCs w:val="20"/>
        </w:rPr>
      </w:pPr>
    </w:p>
    <w:p w14:paraId="09F24CDD">
      <w:pPr>
        <w:snapToGrid w:val="0"/>
        <w:spacing w:before="120" w:beforeLines="50" w:after="50"/>
        <w:rPr>
          <w:rFonts w:asciiTheme="majorEastAsia" w:hAnsiTheme="majorEastAsia" w:eastAsiaTheme="majorEastAsia" w:cstheme="majorEastAsia"/>
          <w:bCs/>
          <w:sz w:val="24"/>
          <w:szCs w:val="20"/>
        </w:rPr>
      </w:pPr>
    </w:p>
    <w:p w14:paraId="1341210A">
      <w:pPr>
        <w:snapToGrid w:val="0"/>
        <w:spacing w:before="120" w:beforeLines="50" w:after="50"/>
        <w:rPr>
          <w:rFonts w:asciiTheme="majorEastAsia" w:hAnsiTheme="majorEastAsia" w:eastAsiaTheme="majorEastAsia" w:cstheme="majorEastAsia"/>
          <w:bCs/>
          <w:sz w:val="24"/>
          <w:szCs w:val="20"/>
        </w:rPr>
      </w:pPr>
    </w:p>
    <w:p w14:paraId="768BD85B">
      <w:pPr>
        <w:snapToGrid w:val="0"/>
        <w:spacing w:before="120" w:beforeLines="50" w:after="50"/>
        <w:rPr>
          <w:rFonts w:asciiTheme="majorEastAsia" w:hAnsiTheme="majorEastAsia" w:eastAsiaTheme="majorEastAsia" w:cstheme="majorEastAsia"/>
          <w:bCs/>
          <w:sz w:val="24"/>
          <w:szCs w:val="20"/>
        </w:rPr>
      </w:pPr>
    </w:p>
    <w:p w14:paraId="7BCD4E16">
      <w:pPr>
        <w:snapToGrid w:val="0"/>
        <w:spacing w:before="120" w:beforeLines="50" w:after="50"/>
        <w:rPr>
          <w:rFonts w:asciiTheme="majorEastAsia" w:hAnsiTheme="majorEastAsia" w:eastAsiaTheme="majorEastAsia" w:cstheme="majorEastAsia"/>
          <w:bCs/>
          <w:sz w:val="24"/>
          <w:szCs w:val="20"/>
        </w:rPr>
      </w:pPr>
    </w:p>
    <w:p w14:paraId="427C6B22">
      <w:pPr>
        <w:snapToGrid w:val="0"/>
        <w:spacing w:before="120" w:beforeLines="50" w:after="50"/>
        <w:rPr>
          <w:rFonts w:asciiTheme="majorEastAsia" w:hAnsiTheme="majorEastAsia" w:eastAsiaTheme="majorEastAsia" w:cstheme="majorEastAsia"/>
          <w:bCs/>
          <w:sz w:val="24"/>
          <w:szCs w:val="20"/>
        </w:rPr>
      </w:pPr>
    </w:p>
    <w:p w14:paraId="4FAA8FEB">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项目名称：</w:t>
      </w:r>
    </w:p>
    <w:p w14:paraId="0EBDA51F">
      <w:pPr>
        <w:snapToGrid w:val="0"/>
        <w:spacing w:before="120" w:beforeLines="50" w:after="50"/>
        <w:ind w:firstLine="540" w:firstLineChars="225"/>
        <w:rPr>
          <w:rFonts w:asciiTheme="majorEastAsia" w:hAnsiTheme="majorEastAsia" w:eastAsiaTheme="majorEastAsia" w:cstheme="majorEastAsia"/>
          <w:bCs/>
          <w:sz w:val="24"/>
          <w:szCs w:val="20"/>
        </w:rPr>
      </w:pPr>
    </w:p>
    <w:p w14:paraId="6D12FBEF">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项目编号：</w:t>
      </w:r>
    </w:p>
    <w:p w14:paraId="180BEC85">
      <w:pPr>
        <w:snapToGrid w:val="0"/>
        <w:spacing w:before="120" w:beforeLines="50" w:after="50"/>
        <w:ind w:firstLine="540" w:firstLineChars="225"/>
        <w:rPr>
          <w:rFonts w:asciiTheme="majorEastAsia" w:hAnsiTheme="majorEastAsia" w:eastAsiaTheme="majorEastAsia" w:cstheme="majorEastAsia"/>
          <w:bCs/>
          <w:sz w:val="24"/>
          <w:szCs w:val="20"/>
        </w:rPr>
      </w:pPr>
    </w:p>
    <w:p w14:paraId="28FE1F7B">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所投分标：</w:t>
      </w:r>
    </w:p>
    <w:p w14:paraId="04061127">
      <w:pPr>
        <w:pStyle w:val="7"/>
        <w:snapToGrid w:val="0"/>
        <w:spacing w:before="50" w:after="50"/>
        <w:ind w:firstLine="540" w:firstLineChars="225"/>
        <w:rPr>
          <w:rFonts w:asciiTheme="majorEastAsia" w:hAnsiTheme="majorEastAsia" w:eastAsiaTheme="majorEastAsia" w:cstheme="majorEastAsia"/>
          <w:bCs/>
          <w:sz w:val="24"/>
          <w:szCs w:val="24"/>
        </w:rPr>
      </w:pPr>
    </w:p>
    <w:p w14:paraId="688F8FE3">
      <w:pPr>
        <w:pStyle w:val="7"/>
        <w:snapToGrid w:val="0"/>
        <w:spacing w:before="50" w:after="50"/>
        <w:ind w:firstLine="540" w:firstLineChars="22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投标人名称：</w:t>
      </w:r>
    </w:p>
    <w:p w14:paraId="0BA59496">
      <w:pPr>
        <w:pStyle w:val="7"/>
        <w:snapToGrid w:val="0"/>
        <w:spacing w:before="50" w:after="50"/>
        <w:ind w:firstLine="540" w:firstLineChars="225"/>
        <w:rPr>
          <w:rFonts w:asciiTheme="majorEastAsia" w:hAnsiTheme="majorEastAsia" w:eastAsiaTheme="majorEastAsia" w:cstheme="majorEastAsia"/>
          <w:bCs/>
          <w:sz w:val="24"/>
          <w:szCs w:val="24"/>
        </w:rPr>
      </w:pPr>
    </w:p>
    <w:p w14:paraId="201BFE7B">
      <w:pPr>
        <w:pStyle w:val="7"/>
        <w:snapToGrid w:val="0"/>
        <w:spacing w:before="50" w:after="50"/>
        <w:ind w:firstLine="960" w:firstLineChars="400"/>
        <w:rPr>
          <w:rFonts w:asciiTheme="majorEastAsia" w:hAnsiTheme="majorEastAsia" w:eastAsiaTheme="majorEastAsia" w:cstheme="majorEastAsia"/>
          <w:bCs/>
          <w:sz w:val="24"/>
          <w:szCs w:val="24"/>
        </w:rPr>
      </w:pPr>
    </w:p>
    <w:p w14:paraId="4CE1692B">
      <w:pPr>
        <w:snapToGrid w:val="0"/>
        <w:spacing w:before="120" w:beforeLines="50" w:after="50"/>
        <w:ind w:firstLine="645"/>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  月  日</w:t>
      </w:r>
    </w:p>
    <w:p w14:paraId="265DE63D">
      <w:pPr>
        <w:snapToGrid w:val="0"/>
        <w:spacing w:before="120" w:beforeLines="50" w:after="50"/>
        <w:rPr>
          <w:rFonts w:asciiTheme="majorEastAsia" w:hAnsiTheme="majorEastAsia" w:eastAsiaTheme="majorEastAsia" w:cstheme="majorEastAsia"/>
          <w:sz w:val="24"/>
          <w:szCs w:val="20"/>
        </w:rPr>
      </w:pPr>
    </w:p>
    <w:p w14:paraId="4B54D359">
      <w:pPr>
        <w:snapToGrid w:val="0"/>
        <w:spacing w:before="120" w:beforeLines="50" w:after="50"/>
        <w:rPr>
          <w:rFonts w:asciiTheme="majorEastAsia" w:hAnsiTheme="majorEastAsia" w:eastAsiaTheme="majorEastAsia" w:cstheme="majorEastAsia"/>
          <w:sz w:val="24"/>
          <w:szCs w:val="20"/>
        </w:rPr>
      </w:pPr>
    </w:p>
    <w:p w14:paraId="08D649E5">
      <w:pPr>
        <w:snapToGrid w:val="0"/>
        <w:spacing w:before="120" w:beforeLines="50" w:after="50" w:line="360" w:lineRule="auto"/>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b/>
          <w:bCs/>
          <w:sz w:val="24"/>
        </w:rPr>
        <w:br w:type="page"/>
      </w:r>
      <w:r>
        <w:rPr>
          <w:rFonts w:hint="eastAsia" w:asciiTheme="majorEastAsia" w:hAnsiTheme="majorEastAsia" w:eastAsiaTheme="majorEastAsia" w:cstheme="majorEastAsia"/>
          <w:b/>
          <w:bCs/>
          <w:sz w:val="24"/>
        </w:rPr>
        <w:t>2.资格证明文件目录</w:t>
      </w:r>
    </w:p>
    <w:p w14:paraId="725CC998">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根据招标文件规定及投标人提供的材料自行编写目录。</w:t>
      </w:r>
    </w:p>
    <w:p w14:paraId="2F85FDE8">
      <w:pPr>
        <w:snapToGrid w:val="0"/>
        <w:spacing w:before="50" w:after="120" w:afterLines="50"/>
        <w:jc w:val="left"/>
        <w:rPr>
          <w:rFonts w:asciiTheme="majorEastAsia" w:hAnsiTheme="majorEastAsia" w:eastAsiaTheme="majorEastAsia" w:cstheme="majorEastAsia"/>
          <w:sz w:val="24"/>
        </w:rPr>
      </w:pPr>
    </w:p>
    <w:p w14:paraId="0DF0F05C">
      <w:pPr>
        <w:snapToGrid w:val="0"/>
        <w:spacing w:before="50" w:after="120" w:afterLines="50"/>
        <w:jc w:val="left"/>
        <w:rPr>
          <w:rFonts w:asciiTheme="majorEastAsia" w:hAnsiTheme="majorEastAsia" w:eastAsiaTheme="majorEastAsia" w:cstheme="majorEastAsia"/>
          <w:sz w:val="24"/>
        </w:rPr>
      </w:pPr>
    </w:p>
    <w:p w14:paraId="546DD29D">
      <w:pPr>
        <w:snapToGrid w:val="0"/>
        <w:spacing w:before="120" w:beforeLines="50" w:after="5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3.</w:t>
      </w:r>
      <w:r>
        <w:rPr>
          <w:rFonts w:hint="eastAsia" w:asciiTheme="majorEastAsia" w:hAnsiTheme="majorEastAsia" w:eastAsiaTheme="majorEastAsia" w:cstheme="majorEastAsia"/>
          <w:b/>
          <w:sz w:val="28"/>
          <w:szCs w:val="28"/>
        </w:rPr>
        <w:t>投标人直接控股股东信息表</w:t>
      </w:r>
    </w:p>
    <w:p w14:paraId="7C3733B2">
      <w:pPr>
        <w:snapToGrid w:val="0"/>
        <w:spacing w:before="50" w:after="120" w:afterLines="50"/>
        <w:jc w:val="center"/>
        <w:rPr>
          <w:rFonts w:asciiTheme="majorEastAsia" w:hAnsiTheme="majorEastAsia" w:eastAsiaTheme="majorEastAsia" w:cstheme="majorEastAsia"/>
          <w:b/>
          <w:sz w:val="28"/>
          <w:szCs w:val="28"/>
        </w:rPr>
      </w:pPr>
    </w:p>
    <w:p w14:paraId="7ABD2423">
      <w:pPr>
        <w:snapToGrid w:val="0"/>
        <w:spacing w:before="50" w:after="120" w:afterLines="50" w:line="360" w:lineRule="auto"/>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投标人直接控股股东信息表</w:t>
      </w:r>
    </w:p>
    <w:tbl>
      <w:tblPr>
        <w:tblStyle w:val="46"/>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464744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F648B3">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DF132F3">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8727DD">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80DC2F5">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5D5871">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备注</w:t>
            </w:r>
          </w:p>
        </w:tc>
      </w:tr>
      <w:tr w14:paraId="5A1DF36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E3C589">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D64A9D">
            <w:pPr>
              <w:spacing w:line="360" w:lineRule="auto"/>
              <w:jc w:val="center"/>
              <w:rPr>
                <w:rFonts w:asciiTheme="majorEastAsia" w:hAnsiTheme="majorEastAsia" w:eastAsiaTheme="majorEastAsia" w:cstheme="maj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374FAF">
            <w:pPr>
              <w:spacing w:line="360" w:lineRule="auto"/>
              <w:jc w:val="center"/>
              <w:rPr>
                <w:rFonts w:asciiTheme="majorEastAsia" w:hAnsiTheme="majorEastAsia" w:eastAsiaTheme="majorEastAsia" w:cstheme="maj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ECD2CC">
            <w:pPr>
              <w:spacing w:line="360" w:lineRule="auto"/>
              <w:jc w:val="center"/>
              <w:rPr>
                <w:rFonts w:asciiTheme="majorEastAsia" w:hAnsiTheme="majorEastAsia" w:eastAsiaTheme="majorEastAsia" w:cstheme="maj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9E31AC">
            <w:pPr>
              <w:spacing w:line="360" w:lineRule="auto"/>
              <w:jc w:val="center"/>
              <w:rPr>
                <w:rFonts w:asciiTheme="majorEastAsia" w:hAnsiTheme="majorEastAsia" w:eastAsiaTheme="majorEastAsia" w:cstheme="majorEastAsia"/>
                <w:kern w:val="0"/>
                <w:sz w:val="24"/>
              </w:rPr>
            </w:pPr>
          </w:p>
        </w:tc>
      </w:tr>
      <w:tr w14:paraId="0341989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8C1235">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325E14">
            <w:pPr>
              <w:spacing w:line="360" w:lineRule="auto"/>
              <w:jc w:val="center"/>
              <w:rPr>
                <w:rFonts w:asciiTheme="majorEastAsia" w:hAnsiTheme="majorEastAsia" w:eastAsiaTheme="majorEastAsia" w:cstheme="maj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C69F20">
            <w:pPr>
              <w:spacing w:line="360" w:lineRule="auto"/>
              <w:jc w:val="center"/>
              <w:rPr>
                <w:rFonts w:asciiTheme="majorEastAsia" w:hAnsiTheme="majorEastAsia" w:eastAsiaTheme="majorEastAsia" w:cstheme="maj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353029">
            <w:pPr>
              <w:spacing w:line="360" w:lineRule="auto"/>
              <w:jc w:val="center"/>
              <w:rPr>
                <w:rFonts w:asciiTheme="majorEastAsia" w:hAnsiTheme="majorEastAsia" w:eastAsiaTheme="majorEastAsia" w:cstheme="maj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7AAB54">
            <w:pPr>
              <w:spacing w:line="360" w:lineRule="auto"/>
              <w:jc w:val="center"/>
              <w:rPr>
                <w:rFonts w:asciiTheme="majorEastAsia" w:hAnsiTheme="majorEastAsia" w:eastAsiaTheme="majorEastAsia" w:cstheme="majorEastAsia"/>
                <w:kern w:val="0"/>
                <w:sz w:val="24"/>
              </w:rPr>
            </w:pPr>
          </w:p>
        </w:tc>
      </w:tr>
      <w:tr w14:paraId="5778BD0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9B21BD">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4971C9">
            <w:pPr>
              <w:spacing w:line="360" w:lineRule="auto"/>
              <w:jc w:val="center"/>
              <w:rPr>
                <w:rFonts w:asciiTheme="majorEastAsia" w:hAnsiTheme="majorEastAsia" w:eastAsiaTheme="majorEastAsia" w:cstheme="maj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D8869B">
            <w:pPr>
              <w:spacing w:line="360" w:lineRule="auto"/>
              <w:jc w:val="center"/>
              <w:rPr>
                <w:rFonts w:asciiTheme="majorEastAsia" w:hAnsiTheme="majorEastAsia" w:eastAsiaTheme="majorEastAsia" w:cstheme="maj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05AF80">
            <w:pPr>
              <w:spacing w:line="360" w:lineRule="auto"/>
              <w:jc w:val="center"/>
              <w:rPr>
                <w:rFonts w:asciiTheme="majorEastAsia" w:hAnsiTheme="majorEastAsia" w:eastAsiaTheme="majorEastAsia" w:cstheme="maj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ACB62A">
            <w:pPr>
              <w:spacing w:line="360" w:lineRule="auto"/>
              <w:jc w:val="center"/>
              <w:rPr>
                <w:rFonts w:asciiTheme="majorEastAsia" w:hAnsiTheme="majorEastAsia" w:eastAsiaTheme="majorEastAsia" w:cstheme="majorEastAsia"/>
                <w:kern w:val="0"/>
                <w:sz w:val="24"/>
              </w:rPr>
            </w:pPr>
          </w:p>
        </w:tc>
      </w:tr>
      <w:tr w14:paraId="52BBD1E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86E230">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EB0AF6">
            <w:pPr>
              <w:spacing w:line="360" w:lineRule="auto"/>
              <w:jc w:val="center"/>
              <w:rPr>
                <w:rFonts w:asciiTheme="majorEastAsia" w:hAnsiTheme="majorEastAsia" w:eastAsiaTheme="majorEastAsia" w:cstheme="maj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AEB252">
            <w:pPr>
              <w:spacing w:line="360" w:lineRule="auto"/>
              <w:jc w:val="center"/>
              <w:rPr>
                <w:rFonts w:asciiTheme="majorEastAsia" w:hAnsiTheme="majorEastAsia" w:eastAsiaTheme="majorEastAsia" w:cstheme="maj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24241F">
            <w:pPr>
              <w:spacing w:line="360" w:lineRule="auto"/>
              <w:jc w:val="center"/>
              <w:rPr>
                <w:rFonts w:asciiTheme="majorEastAsia" w:hAnsiTheme="majorEastAsia" w:eastAsiaTheme="majorEastAsia" w:cstheme="maj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D34F02">
            <w:pPr>
              <w:spacing w:line="360" w:lineRule="auto"/>
              <w:jc w:val="center"/>
              <w:rPr>
                <w:rFonts w:asciiTheme="majorEastAsia" w:hAnsiTheme="majorEastAsia" w:eastAsiaTheme="majorEastAsia" w:cstheme="majorEastAsia"/>
                <w:kern w:val="0"/>
                <w:sz w:val="24"/>
              </w:rPr>
            </w:pPr>
          </w:p>
        </w:tc>
      </w:tr>
    </w:tbl>
    <w:p w14:paraId="4B8B9163">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w:t>
      </w:r>
    </w:p>
    <w:p w14:paraId="149DB2AC">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382FEDE">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2.本表所指的控股关系仅限于直接控股关系，不包括间接的控股关系。公司实际控制人与公司之间的关系不属于本表所指的直接控股关系。</w:t>
      </w:r>
    </w:p>
    <w:p w14:paraId="1E2EAD55">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3.供应商不存在直接控股股东的，则在“</w:t>
      </w:r>
      <w:r>
        <w:rPr>
          <w:rFonts w:hint="eastAsia" w:asciiTheme="majorEastAsia" w:hAnsiTheme="majorEastAsia" w:eastAsiaTheme="majorEastAsia" w:cstheme="majorEastAsia"/>
          <w:b/>
          <w:bCs/>
          <w:kern w:val="0"/>
          <w:sz w:val="24"/>
        </w:rPr>
        <w:t>直接控股股东名称</w:t>
      </w:r>
      <w:r>
        <w:rPr>
          <w:rFonts w:hint="eastAsia" w:asciiTheme="majorEastAsia" w:hAnsiTheme="majorEastAsia" w:eastAsiaTheme="majorEastAsia" w:cstheme="majorEastAsia"/>
          <w:sz w:val="24"/>
        </w:rPr>
        <w:t>”中填“无”。</w:t>
      </w:r>
    </w:p>
    <w:p w14:paraId="2735A0D8">
      <w:pPr>
        <w:snapToGrid w:val="0"/>
        <w:spacing w:line="360" w:lineRule="auto"/>
        <w:jc w:val="left"/>
        <w:rPr>
          <w:rFonts w:asciiTheme="majorEastAsia" w:hAnsiTheme="majorEastAsia" w:eastAsiaTheme="majorEastAsia" w:cstheme="majorEastAsia"/>
          <w:sz w:val="24"/>
        </w:rPr>
      </w:pPr>
    </w:p>
    <w:p w14:paraId="13627A85">
      <w:pPr>
        <w:snapToGrid w:val="0"/>
        <w:spacing w:line="360" w:lineRule="auto"/>
        <w:jc w:val="left"/>
        <w:rPr>
          <w:rFonts w:asciiTheme="majorEastAsia" w:hAnsiTheme="majorEastAsia" w:eastAsiaTheme="majorEastAsia" w:cstheme="majorEastAsia"/>
          <w:sz w:val="24"/>
        </w:rPr>
      </w:pPr>
    </w:p>
    <w:p w14:paraId="1F6285DD">
      <w:pPr>
        <w:snapToGrid w:val="0"/>
        <w:spacing w:line="360" w:lineRule="auto"/>
        <w:jc w:val="left"/>
        <w:rPr>
          <w:rFonts w:asciiTheme="majorEastAsia" w:hAnsiTheme="majorEastAsia" w:eastAsiaTheme="majorEastAsia" w:cstheme="majorEastAsia"/>
          <w:sz w:val="24"/>
        </w:rPr>
      </w:pPr>
    </w:p>
    <w:p w14:paraId="16F2F253">
      <w:pPr>
        <w:snapToGrid w:val="0"/>
        <w:spacing w:line="360" w:lineRule="auto"/>
        <w:ind w:left="-2" w:leftChars="-1" w:right="-817" w:rightChars="-389"/>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法定代表人或者委托代理人（签字或者电子签名）：</w:t>
      </w:r>
    </w:p>
    <w:p w14:paraId="63B3B48B">
      <w:pPr>
        <w:snapToGrid w:val="0"/>
        <w:spacing w:line="360" w:lineRule="auto"/>
        <w:ind w:left="-3" w:leftChars="-15" w:right="-817" w:rightChars="-389" w:hanging="28" w:hangingChars="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p>
    <w:p w14:paraId="7CA32252">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 w:val="24"/>
        </w:rPr>
        <w:t xml:space="preserve">                                    日期：    年   月   日</w:t>
      </w:r>
    </w:p>
    <w:p w14:paraId="6D641DF5">
      <w:pPr>
        <w:snapToGrid w:val="0"/>
        <w:jc w:val="center"/>
        <w:rPr>
          <w:rFonts w:asciiTheme="majorEastAsia" w:hAnsiTheme="majorEastAsia" w:eastAsiaTheme="majorEastAsia" w:cstheme="majorEastAsia"/>
          <w:b/>
          <w:sz w:val="28"/>
          <w:szCs w:val="28"/>
        </w:rPr>
      </w:pPr>
    </w:p>
    <w:p w14:paraId="10A81144">
      <w:pPr>
        <w:snapToGrid w:val="0"/>
        <w:spacing w:line="360" w:lineRule="auto"/>
        <w:jc w:val="left"/>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br w:type="page"/>
      </w:r>
      <w:r>
        <w:rPr>
          <w:rFonts w:hint="eastAsia" w:asciiTheme="majorEastAsia" w:hAnsiTheme="majorEastAsia" w:eastAsiaTheme="majorEastAsia" w:cstheme="majorEastAsia"/>
          <w:b/>
          <w:sz w:val="24"/>
        </w:rPr>
        <w:t>4.</w:t>
      </w:r>
      <w:r>
        <w:rPr>
          <w:rFonts w:hint="eastAsia" w:asciiTheme="majorEastAsia" w:hAnsiTheme="majorEastAsia" w:eastAsiaTheme="majorEastAsia" w:cstheme="majorEastAsia"/>
          <w:b/>
          <w:sz w:val="28"/>
          <w:szCs w:val="28"/>
        </w:rPr>
        <w:t>投标人直接管理关系信息表</w:t>
      </w:r>
    </w:p>
    <w:p w14:paraId="30FF95BD">
      <w:pPr>
        <w:snapToGrid w:val="0"/>
        <w:spacing w:line="360" w:lineRule="auto"/>
        <w:jc w:val="center"/>
        <w:rPr>
          <w:rFonts w:asciiTheme="majorEastAsia" w:hAnsiTheme="majorEastAsia" w:eastAsiaTheme="majorEastAsia" w:cstheme="majorEastAsia"/>
          <w:sz w:val="32"/>
          <w:szCs w:val="32"/>
        </w:rPr>
      </w:pPr>
      <w:r>
        <w:rPr>
          <w:rFonts w:hint="eastAsia" w:asciiTheme="majorEastAsia" w:hAnsiTheme="majorEastAsia" w:eastAsiaTheme="majorEastAsia" w:cstheme="majorEastAsia"/>
          <w:b/>
          <w:sz w:val="32"/>
          <w:szCs w:val="32"/>
        </w:rPr>
        <w:t>投标人直接管理关系信息表</w:t>
      </w:r>
    </w:p>
    <w:tbl>
      <w:tblPr>
        <w:tblStyle w:val="46"/>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4C988472">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29B15F">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F8DA87">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2890512">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7B63206">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备注</w:t>
            </w:r>
          </w:p>
        </w:tc>
      </w:tr>
      <w:tr w14:paraId="3E71F0C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945DD5">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946060">
            <w:pPr>
              <w:spacing w:line="360" w:lineRule="auto"/>
              <w:jc w:val="center"/>
              <w:rPr>
                <w:rFonts w:asciiTheme="majorEastAsia" w:hAnsiTheme="majorEastAsia" w:eastAsiaTheme="majorEastAsia" w:cstheme="maj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41D8BC">
            <w:pPr>
              <w:spacing w:line="360" w:lineRule="auto"/>
              <w:jc w:val="center"/>
              <w:rPr>
                <w:rFonts w:asciiTheme="majorEastAsia" w:hAnsiTheme="majorEastAsia" w:eastAsiaTheme="majorEastAsia" w:cstheme="maj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49703F">
            <w:pPr>
              <w:spacing w:line="360" w:lineRule="auto"/>
              <w:jc w:val="center"/>
              <w:rPr>
                <w:rFonts w:asciiTheme="majorEastAsia" w:hAnsiTheme="majorEastAsia" w:eastAsiaTheme="majorEastAsia" w:cstheme="majorEastAsia"/>
                <w:kern w:val="0"/>
                <w:sz w:val="24"/>
              </w:rPr>
            </w:pPr>
          </w:p>
        </w:tc>
      </w:tr>
      <w:tr w14:paraId="2FD3C23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E32FA4">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B6E240">
            <w:pPr>
              <w:spacing w:line="360" w:lineRule="auto"/>
              <w:jc w:val="center"/>
              <w:rPr>
                <w:rFonts w:asciiTheme="majorEastAsia" w:hAnsiTheme="majorEastAsia" w:eastAsiaTheme="majorEastAsia" w:cstheme="maj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FA41A1">
            <w:pPr>
              <w:spacing w:line="360" w:lineRule="auto"/>
              <w:jc w:val="center"/>
              <w:rPr>
                <w:rFonts w:asciiTheme="majorEastAsia" w:hAnsiTheme="majorEastAsia" w:eastAsiaTheme="majorEastAsia" w:cstheme="maj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A2BB09">
            <w:pPr>
              <w:spacing w:line="360" w:lineRule="auto"/>
              <w:jc w:val="center"/>
              <w:rPr>
                <w:rFonts w:asciiTheme="majorEastAsia" w:hAnsiTheme="majorEastAsia" w:eastAsiaTheme="majorEastAsia" w:cstheme="majorEastAsia"/>
                <w:kern w:val="0"/>
                <w:sz w:val="24"/>
              </w:rPr>
            </w:pPr>
          </w:p>
        </w:tc>
      </w:tr>
      <w:tr w14:paraId="5DBF60B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FF7FAE">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18FB67">
            <w:pPr>
              <w:spacing w:line="360" w:lineRule="auto"/>
              <w:jc w:val="center"/>
              <w:rPr>
                <w:rFonts w:asciiTheme="majorEastAsia" w:hAnsiTheme="majorEastAsia" w:eastAsiaTheme="majorEastAsia" w:cstheme="maj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DB498A">
            <w:pPr>
              <w:spacing w:line="360" w:lineRule="auto"/>
              <w:jc w:val="center"/>
              <w:rPr>
                <w:rFonts w:asciiTheme="majorEastAsia" w:hAnsiTheme="majorEastAsia" w:eastAsiaTheme="majorEastAsia" w:cstheme="maj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342722">
            <w:pPr>
              <w:spacing w:line="360" w:lineRule="auto"/>
              <w:jc w:val="center"/>
              <w:rPr>
                <w:rFonts w:asciiTheme="majorEastAsia" w:hAnsiTheme="majorEastAsia" w:eastAsiaTheme="majorEastAsia" w:cstheme="majorEastAsia"/>
                <w:kern w:val="0"/>
                <w:sz w:val="24"/>
              </w:rPr>
            </w:pPr>
          </w:p>
        </w:tc>
      </w:tr>
      <w:tr w14:paraId="1115A22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550680">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1118E0">
            <w:pPr>
              <w:spacing w:line="360" w:lineRule="auto"/>
              <w:jc w:val="center"/>
              <w:rPr>
                <w:rFonts w:asciiTheme="majorEastAsia" w:hAnsiTheme="majorEastAsia" w:eastAsiaTheme="majorEastAsia" w:cstheme="maj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413920">
            <w:pPr>
              <w:spacing w:line="360" w:lineRule="auto"/>
              <w:jc w:val="center"/>
              <w:rPr>
                <w:rFonts w:asciiTheme="majorEastAsia" w:hAnsiTheme="majorEastAsia" w:eastAsiaTheme="majorEastAsia" w:cstheme="maj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ED0C7A">
            <w:pPr>
              <w:spacing w:line="360" w:lineRule="auto"/>
              <w:jc w:val="center"/>
              <w:rPr>
                <w:rFonts w:asciiTheme="majorEastAsia" w:hAnsiTheme="majorEastAsia" w:eastAsiaTheme="majorEastAsia" w:cstheme="majorEastAsia"/>
                <w:kern w:val="0"/>
                <w:sz w:val="24"/>
              </w:rPr>
            </w:pPr>
          </w:p>
        </w:tc>
      </w:tr>
    </w:tbl>
    <w:p w14:paraId="7AC613FA">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w:t>
      </w:r>
    </w:p>
    <w:p w14:paraId="2863D8AD">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1.管理关系：是指不具有出资持股关系的其他单位之间存在的管理与被管理关系，如一些上下级关系的事业单位和团体组织。</w:t>
      </w:r>
    </w:p>
    <w:p w14:paraId="4B5DA878">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pacing w:val="-6"/>
          <w:sz w:val="24"/>
        </w:rPr>
        <w:t>本表所指的管理关系仅限于直接管理关系，不包括间接的管理关系。</w:t>
      </w:r>
    </w:p>
    <w:p w14:paraId="6093E549">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3.供应商不存在直接管理关系的，则在“</w:t>
      </w:r>
      <w:r>
        <w:rPr>
          <w:rFonts w:hint="eastAsia" w:asciiTheme="majorEastAsia" w:hAnsiTheme="majorEastAsia" w:eastAsiaTheme="majorEastAsia" w:cstheme="majorEastAsia"/>
          <w:b/>
          <w:bCs/>
          <w:kern w:val="0"/>
          <w:sz w:val="24"/>
        </w:rPr>
        <w:t>直接管理关系单位名称</w:t>
      </w:r>
      <w:r>
        <w:rPr>
          <w:rFonts w:hint="eastAsia" w:asciiTheme="majorEastAsia" w:hAnsiTheme="majorEastAsia" w:eastAsiaTheme="majorEastAsia" w:cstheme="majorEastAsia"/>
          <w:sz w:val="24"/>
        </w:rPr>
        <w:t>”中填“无”。</w:t>
      </w:r>
    </w:p>
    <w:p w14:paraId="3A49D285">
      <w:pPr>
        <w:snapToGrid w:val="0"/>
        <w:spacing w:line="360" w:lineRule="auto"/>
        <w:jc w:val="left"/>
        <w:rPr>
          <w:rFonts w:asciiTheme="majorEastAsia" w:hAnsiTheme="majorEastAsia" w:eastAsiaTheme="majorEastAsia" w:cstheme="majorEastAsia"/>
          <w:sz w:val="24"/>
        </w:rPr>
      </w:pPr>
    </w:p>
    <w:p w14:paraId="796EE2EA">
      <w:pPr>
        <w:snapToGrid w:val="0"/>
        <w:spacing w:line="360" w:lineRule="auto"/>
        <w:jc w:val="left"/>
        <w:rPr>
          <w:rFonts w:asciiTheme="majorEastAsia" w:hAnsiTheme="majorEastAsia" w:eastAsiaTheme="majorEastAsia" w:cstheme="majorEastAsia"/>
          <w:sz w:val="24"/>
        </w:rPr>
      </w:pPr>
    </w:p>
    <w:p w14:paraId="19F062FD">
      <w:pPr>
        <w:snapToGrid w:val="0"/>
        <w:spacing w:line="360" w:lineRule="auto"/>
        <w:jc w:val="left"/>
        <w:rPr>
          <w:rFonts w:asciiTheme="majorEastAsia" w:hAnsiTheme="majorEastAsia" w:eastAsiaTheme="majorEastAsia" w:cstheme="majorEastAsia"/>
          <w:sz w:val="24"/>
        </w:rPr>
      </w:pPr>
    </w:p>
    <w:p w14:paraId="45DF87F0">
      <w:pPr>
        <w:snapToGrid w:val="0"/>
        <w:spacing w:line="360" w:lineRule="auto"/>
        <w:jc w:val="left"/>
        <w:rPr>
          <w:rFonts w:asciiTheme="majorEastAsia" w:hAnsiTheme="majorEastAsia" w:eastAsiaTheme="majorEastAsia" w:cstheme="majorEastAsia"/>
          <w:sz w:val="24"/>
        </w:rPr>
      </w:pPr>
    </w:p>
    <w:p w14:paraId="01FA6CAC">
      <w:pPr>
        <w:snapToGrid w:val="0"/>
        <w:spacing w:line="360" w:lineRule="auto"/>
        <w:ind w:left="-2" w:leftChars="-1" w:right="-817" w:rightChars="-389"/>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法定代表人或者委托代理人（签字或者电子签名）：</w:t>
      </w:r>
    </w:p>
    <w:p w14:paraId="07EBA3C5">
      <w:pPr>
        <w:snapToGrid w:val="0"/>
        <w:spacing w:line="360" w:lineRule="auto"/>
        <w:ind w:left="-3" w:leftChars="-15" w:right="-817" w:rightChars="-389" w:hanging="28" w:hangingChars="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p>
    <w:p w14:paraId="22B06408">
      <w:pPr>
        <w:snapToGrid w:val="0"/>
        <w:spacing w:line="360" w:lineRule="auto"/>
        <w:ind w:right="480" w:firstLine="240" w:firstLineChars="1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 w:val="24"/>
        </w:rPr>
        <w:t xml:space="preserve">                                日期：    年   月   日</w:t>
      </w:r>
    </w:p>
    <w:p w14:paraId="037ECEC1">
      <w:pPr>
        <w:snapToGrid w:val="0"/>
        <w:spacing w:before="120" w:beforeLines="50" w:after="50"/>
        <w:jc w:val="left"/>
        <w:rPr>
          <w:rFonts w:asciiTheme="majorEastAsia" w:hAnsiTheme="majorEastAsia" w:eastAsiaTheme="majorEastAsia" w:cstheme="majorEastAsia"/>
          <w:b/>
          <w:sz w:val="24"/>
          <w:szCs w:val="20"/>
        </w:rPr>
      </w:pPr>
    </w:p>
    <w:p w14:paraId="2193D74E">
      <w:pPr>
        <w:snapToGrid w:val="0"/>
        <w:spacing w:before="120" w:beforeLines="50" w:after="50"/>
        <w:jc w:val="lef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5.投标声明</w:t>
      </w:r>
    </w:p>
    <w:p w14:paraId="5988C8B5">
      <w:pPr>
        <w:snapToGrid w:val="0"/>
        <w:spacing w:before="50" w:after="120" w:afterLines="50"/>
        <w:jc w:val="left"/>
        <w:rPr>
          <w:rFonts w:asciiTheme="majorEastAsia" w:hAnsiTheme="majorEastAsia" w:eastAsiaTheme="majorEastAsia" w:cstheme="majorEastAsia"/>
        </w:rPr>
      </w:pPr>
    </w:p>
    <w:p w14:paraId="2BC71AA4">
      <w:pPr>
        <w:snapToGrid w:val="0"/>
        <w:spacing w:before="50" w:after="120" w:afterLines="50"/>
        <w:jc w:val="center"/>
        <w:rPr>
          <w:rFonts w:asciiTheme="majorEastAsia" w:hAnsiTheme="majorEastAsia" w:eastAsiaTheme="majorEastAsia" w:cstheme="majorEastAsia"/>
          <w:bCs/>
          <w:sz w:val="44"/>
          <w:szCs w:val="44"/>
        </w:rPr>
      </w:pPr>
      <w:bookmarkStart w:id="148" w:name="_Toc19686838"/>
      <w:r>
        <w:rPr>
          <w:rFonts w:hint="eastAsia" w:asciiTheme="majorEastAsia" w:hAnsiTheme="majorEastAsia" w:eastAsiaTheme="majorEastAsia" w:cstheme="majorEastAsia"/>
          <w:bCs/>
          <w:sz w:val="44"/>
          <w:szCs w:val="44"/>
        </w:rPr>
        <w:t>投标声明</w:t>
      </w:r>
    </w:p>
    <w:p w14:paraId="7EA8559D">
      <w:pPr>
        <w:spacing w:line="400" w:lineRule="exact"/>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u w:val="single"/>
        </w:rPr>
        <w:t xml:space="preserve">（采购人名称）         </w:t>
      </w:r>
      <w:r>
        <w:rPr>
          <w:rFonts w:hint="eastAsia" w:asciiTheme="majorEastAsia" w:hAnsiTheme="majorEastAsia" w:eastAsiaTheme="majorEastAsia" w:cstheme="majorEastAsia"/>
          <w:sz w:val="24"/>
        </w:rPr>
        <w:t xml:space="preserve"> ：</w:t>
      </w:r>
    </w:p>
    <w:p w14:paraId="7EA5E764">
      <w:pPr>
        <w:spacing w:line="400" w:lineRule="exact"/>
        <w:ind w:firstLine="523" w:firstLineChars="218"/>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我方参加贵单位组织</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项目（项目编号：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）的政府采购活动。我方在此郑重声明：</w:t>
      </w:r>
    </w:p>
    <w:p w14:paraId="54A55B31">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5267613">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2.我方不是为本次采购项目提供整体设计、规范编制或者项目管理、监理、检测等服务的供应商。</w:t>
      </w:r>
    </w:p>
    <w:p w14:paraId="540F6977">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 我方承诺符合《中华人民共和国政府采购法》第二十二条规定：</w:t>
      </w:r>
    </w:p>
    <w:p w14:paraId="702583BA">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（一）具有独立承担民事责任的能力；</w:t>
      </w:r>
    </w:p>
    <w:p w14:paraId="56587855">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（二）具有良好的商业信誉和健全的财务会计制度；</w:t>
      </w:r>
    </w:p>
    <w:p w14:paraId="746EA323">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（三）具有履行合同所必需的设备和专业技术能力；</w:t>
      </w:r>
    </w:p>
    <w:p w14:paraId="0D98E08D">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（四）有依法缴纳税收和社会保障资金的良好记录；</w:t>
      </w:r>
    </w:p>
    <w:p w14:paraId="4698888F">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（五）参加政府采购活动前三年内，在经营活动中没有重大违法记录；</w:t>
      </w:r>
    </w:p>
    <w:p w14:paraId="0E96A90C">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（六）法律、行政法规规定的其他条件。</w:t>
      </w:r>
    </w:p>
    <w:p w14:paraId="600481EB">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4.以上事项如有虚假或者隐瞒，我方愿意承担一切后果，并不再寻求任何旨在减轻或者免除法律责任的辩解。</w:t>
      </w:r>
    </w:p>
    <w:p w14:paraId="5D1A9279">
      <w:pPr>
        <w:spacing w:line="400" w:lineRule="exact"/>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特此承诺。</w:t>
      </w:r>
    </w:p>
    <w:p w14:paraId="190CBFF7">
      <w:pPr>
        <w:snapToGrid w:val="0"/>
        <w:spacing w:before="50" w:after="50"/>
        <w:rPr>
          <w:rFonts w:asciiTheme="majorEastAsia" w:hAnsiTheme="majorEastAsia" w:eastAsiaTheme="majorEastAsia" w:cstheme="majorEastAsia"/>
          <w:sz w:val="24"/>
        </w:rPr>
      </w:pPr>
    </w:p>
    <w:p w14:paraId="4584519D">
      <w:pPr>
        <w:snapToGrid w:val="0"/>
        <w:spacing w:before="50" w:after="50"/>
        <w:ind w:firstLine="840" w:firstLineChars="350"/>
        <w:rPr>
          <w:rFonts w:asciiTheme="majorEastAsia" w:hAnsiTheme="majorEastAsia" w:eastAsiaTheme="majorEastAsia" w:cstheme="majorEastAsia"/>
          <w:spacing w:val="20"/>
          <w:sz w:val="24"/>
          <w:u w:val="single"/>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r>
        <w:rPr>
          <w:rFonts w:hint="eastAsia" w:asciiTheme="majorEastAsia" w:hAnsiTheme="majorEastAsia" w:eastAsiaTheme="majorEastAsia" w:cstheme="majorEastAsia"/>
          <w:spacing w:val="20"/>
          <w:sz w:val="24"/>
          <w:u w:val="single"/>
        </w:rPr>
        <w:t xml:space="preserve">          </w:t>
      </w:r>
    </w:p>
    <w:p w14:paraId="42E89281">
      <w:pPr>
        <w:spacing w:line="400" w:lineRule="exact"/>
        <w:contextualSpacing/>
        <w:jc w:val="left"/>
        <w:rPr>
          <w:rFonts w:asciiTheme="majorEastAsia" w:hAnsiTheme="majorEastAsia" w:eastAsiaTheme="majorEastAsia" w:cstheme="majorEastAsia"/>
          <w:sz w:val="24"/>
        </w:rPr>
      </w:pPr>
    </w:p>
    <w:p w14:paraId="2D452E20">
      <w:pPr>
        <w:spacing w:line="400" w:lineRule="exact"/>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r>
        <w:rPr>
          <w:rFonts w:hint="eastAsia" w:asciiTheme="majorEastAsia" w:hAnsiTheme="majorEastAsia" w:eastAsiaTheme="majorEastAsia" w:cstheme="majorEastAsia"/>
          <w:sz w:val="24"/>
          <w:u w:val="single"/>
        </w:rPr>
        <w:t xml:space="preserve">                   </w:t>
      </w:r>
    </w:p>
    <w:p w14:paraId="6BB1C7B4">
      <w:pPr>
        <w:spacing w:line="400" w:lineRule="exact"/>
        <w:contextualSpacing/>
        <w:jc w:val="left"/>
        <w:rPr>
          <w:rFonts w:asciiTheme="majorEastAsia" w:hAnsiTheme="majorEastAsia" w:eastAsiaTheme="majorEastAsia" w:cstheme="majorEastAsia"/>
        </w:rPr>
      </w:pPr>
      <w:r>
        <w:rPr>
          <w:rFonts w:hint="eastAsia" w:asciiTheme="majorEastAsia" w:hAnsiTheme="majorEastAsia" w:eastAsiaTheme="majorEastAsia" w:cstheme="majorEastAsia"/>
          <w:sz w:val="24"/>
        </w:rPr>
        <w:t xml:space="preserve">                                                  年    月    日</w:t>
      </w:r>
    </w:p>
    <w:p w14:paraId="7F411AFF">
      <w:pPr>
        <w:spacing w:line="440" w:lineRule="exact"/>
        <w:contextualSpacing/>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注：如为联合体投标，盖章处须加盖联合体牵头人电子签章并由联合体牵头人法定代表人签字或者盖章或者电子签名，否则投标无效。</w:t>
      </w:r>
    </w:p>
    <w:p w14:paraId="4AE0AE8F">
      <w:pP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br w:type="page"/>
      </w:r>
      <w:r>
        <w:rPr>
          <w:rFonts w:hint="eastAsia" w:asciiTheme="majorEastAsia" w:hAnsiTheme="majorEastAsia" w:eastAsiaTheme="majorEastAsia" w:cstheme="majorEastAsia"/>
          <w:b/>
          <w:sz w:val="28"/>
          <w:szCs w:val="28"/>
        </w:rPr>
        <w:t>三、商务及技术文件格式</w:t>
      </w:r>
      <w:bookmarkEnd w:id="148"/>
    </w:p>
    <w:p w14:paraId="5BC32530">
      <w:pPr>
        <w:snapToGrid w:val="0"/>
        <w:spacing w:before="120" w:beforeLines="50" w:after="50" w:line="360" w:lineRule="auto"/>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1.商务及技术文件封面格式： </w:t>
      </w:r>
    </w:p>
    <w:p w14:paraId="721E6DF3">
      <w:pPr>
        <w:snapToGrid w:val="0"/>
        <w:spacing w:before="120" w:beforeLines="50" w:after="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Cs/>
          <w:sz w:val="48"/>
          <w:szCs w:val="48"/>
        </w:rPr>
        <w:t>电子投标文件</w:t>
      </w:r>
    </w:p>
    <w:p w14:paraId="1AF40858">
      <w:pPr>
        <w:snapToGrid w:val="0"/>
        <w:spacing w:before="120" w:beforeLines="50" w:after="50"/>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商务及技术文件</w:t>
      </w:r>
    </w:p>
    <w:p w14:paraId="4949BB95">
      <w:pPr>
        <w:snapToGrid w:val="0"/>
        <w:spacing w:before="120" w:beforeLines="50" w:after="50"/>
        <w:rPr>
          <w:rFonts w:asciiTheme="majorEastAsia" w:hAnsiTheme="majorEastAsia" w:eastAsiaTheme="majorEastAsia" w:cstheme="majorEastAsia"/>
          <w:bCs/>
          <w:sz w:val="24"/>
          <w:szCs w:val="20"/>
        </w:rPr>
      </w:pPr>
    </w:p>
    <w:p w14:paraId="58687980">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项目名称：</w:t>
      </w:r>
    </w:p>
    <w:p w14:paraId="551B4FB4">
      <w:pPr>
        <w:snapToGrid w:val="0"/>
        <w:spacing w:before="120" w:beforeLines="50" w:after="50"/>
        <w:ind w:firstLine="540" w:firstLineChars="225"/>
        <w:rPr>
          <w:rFonts w:asciiTheme="majorEastAsia" w:hAnsiTheme="majorEastAsia" w:eastAsiaTheme="majorEastAsia" w:cstheme="majorEastAsia"/>
          <w:bCs/>
          <w:sz w:val="24"/>
          <w:szCs w:val="20"/>
        </w:rPr>
      </w:pPr>
    </w:p>
    <w:p w14:paraId="674F15B0">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项目编号：</w:t>
      </w:r>
    </w:p>
    <w:p w14:paraId="0A6E8450">
      <w:pPr>
        <w:snapToGrid w:val="0"/>
        <w:spacing w:before="120" w:beforeLines="50" w:after="50"/>
        <w:ind w:firstLine="540" w:firstLineChars="225"/>
        <w:rPr>
          <w:rFonts w:asciiTheme="majorEastAsia" w:hAnsiTheme="majorEastAsia" w:eastAsiaTheme="majorEastAsia" w:cstheme="majorEastAsia"/>
          <w:bCs/>
          <w:sz w:val="24"/>
          <w:szCs w:val="20"/>
        </w:rPr>
      </w:pPr>
    </w:p>
    <w:p w14:paraId="7CFBF2D2">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所投分标：</w:t>
      </w:r>
    </w:p>
    <w:p w14:paraId="21597B20">
      <w:pPr>
        <w:snapToGrid w:val="0"/>
        <w:spacing w:before="120" w:beforeLines="50" w:after="50"/>
        <w:ind w:firstLine="540" w:firstLineChars="225"/>
        <w:rPr>
          <w:rFonts w:asciiTheme="majorEastAsia" w:hAnsiTheme="majorEastAsia" w:eastAsiaTheme="majorEastAsia" w:cstheme="majorEastAsia"/>
          <w:bCs/>
          <w:sz w:val="24"/>
          <w:szCs w:val="20"/>
        </w:rPr>
      </w:pPr>
    </w:p>
    <w:p w14:paraId="118AAB68">
      <w:pPr>
        <w:pStyle w:val="7"/>
        <w:snapToGrid w:val="0"/>
        <w:spacing w:before="50" w:after="50"/>
        <w:ind w:firstLine="540" w:firstLineChars="22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投标人名称：</w:t>
      </w:r>
    </w:p>
    <w:p w14:paraId="769AE1D2">
      <w:pPr>
        <w:pStyle w:val="7"/>
        <w:snapToGrid w:val="0"/>
        <w:spacing w:before="50" w:after="50"/>
        <w:ind w:firstLine="540" w:firstLineChars="225"/>
        <w:rPr>
          <w:rFonts w:asciiTheme="majorEastAsia" w:hAnsiTheme="majorEastAsia" w:eastAsiaTheme="majorEastAsia" w:cstheme="majorEastAsia"/>
          <w:bCs/>
          <w:sz w:val="24"/>
          <w:szCs w:val="24"/>
        </w:rPr>
      </w:pPr>
    </w:p>
    <w:p w14:paraId="1705D85B">
      <w:pPr>
        <w:pStyle w:val="7"/>
        <w:snapToGrid w:val="0"/>
        <w:spacing w:before="50" w:after="50"/>
        <w:ind w:firstLine="540" w:firstLineChars="22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投标人地址：</w:t>
      </w:r>
    </w:p>
    <w:p w14:paraId="6EC8D0CE">
      <w:pPr>
        <w:pStyle w:val="7"/>
        <w:snapToGrid w:val="0"/>
        <w:spacing w:before="50" w:after="50"/>
        <w:ind w:firstLine="960" w:firstLineChars="400"/>
        <w:rPr>
          <w:rFonts w:asciiTheme="majorEastAsia" w:hAnsiTheme="majorEastAsia" w:eastAsiaTheme="majorEastAsia" w:cstheme="majorEastAsia"/>
          <w:bCs/>
          <w:sz w:val="24"/>
          <w:szCs w:val="24"/>
        </w:rPr>
      </w:pPr>
    </w:p>
    <w:p w14:paraId="60128442">
      <w:pPr>
        <w:snapToGrid w:val="0"/>
        <w:spacing w:before="120" w:beforeLines="50" w:after="50"/>
        <w:ind w:firstLine="64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年  月  日</w:t>
      </w:r>
    </w:p>
    <w:p w14:paraId="2459895A">
      <w:pPr>
        <w:snapToGrid w:val="0"/>
        <w:spacing w:before="120" w:beforeLines="50" w:after="50"/>
        <w:rPr>
          <w:rFonts w:asciiTheme="majorEastAsia" w:hAnsiTheme="majorEastAsia" w:eastAsiaTheme="majorEastAsia" w:cstheme="majorEastAsia"/>
          <w:sz w:val="24"/>
          <w:szCs w:val="20"/>
        </w:rPr>
      </w:pPr>
    </w:p>
    <w:p w14:paraId="4BD4D66B">
      <w:pPr>
        <w:snapToGrid w:val="0"/>
        <w:spacing w:line="360" w:lineRule="auto"/>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szCs w:val="20"/>
        </w:rPr>
        <w:br w:type="page"/>
      </w:r>
      <w:r>
        <w:rPr>
          <w:rFonts w:hint="eastAsia" w:asciiTheme="majorEastAsia" w:hAnsiTheme="majorEastAsia" w:eastAsiaTheme="majorEastAsia" w:cstheme="majorEastAsia"/>
          <w:b/>
          <w:sz w:val="24"/>
        </w:rPr>
        <w:t>2.商务及技术文件目录</w:t>
      </w:r>
    </w:p>
    <w:p w14:paraId="51075D0E">
      <w:pPr>
        <w:snapToGrid w:val="0"/>
        <w:spacing w:before="50" w:after="120" w:afterLines="50" w:line="360" w:lineRule="auto"/>
        <w:ind w:firstLine="560" w:firstLineChars="200"/>
        <w:jc w:val="left"/>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sz w:val="28"/>
          <w:szCs w:val="28"/>
        </w:rPr>
        <w:t>根据招标文件规定及投标人提供的材料自行编写目录。</w:t>
      </w:r>
    </w:p>
    <w:p w14:paraId="43463425">
      <w:pPr>
        <w:snapToGrid w:val="0"/>
        <w:spacing w:before="50" w:after="120" w:afterLines="50"/>
        <w:jc w:val="left"/>
        <w:rPr>
          <w:rFonts w:asciiTheme="majorEastAsia" w:hAnsiTheme="majorEastAsia" w:eastAsiaTheme="majorEastAsia" w:cstheme="majorEastAsia"/>
        </w:rPr>
      </w:pPr>
    </w:p>
    <w:p w14:paraId="537B7D37">
      <w:pPr>
        <w:snapToGrid w:val="0"/>
        <w:spacing w:before="120" w:beforeLines="50" w:after="5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3.投标人参加本项目无围标串标行为的承诺</w:t>
      </w:r>
    </w:p>
    <w:p w14:paraId="167049C8">
      <w:pPr>
        <w:snapToGrid w:val="0"/>
        <w:spacing w:before="120" w:beforeLines="50" w:after="50"/>
        <w:jc w:val="left"/>
        <w:rPr>
          <w:rFonts w:asciiTheme="majorEastAsia" w:hAnsiTheme="majorEastAsia" w:eastAsiaTheme="majorEastAsia" w:cstheme="majorEastAsia"/>
          <w:b/>
          <w:sz w:val="24"/>
        </w:rPr>
      </w:pPr>
    </w:p>
    <w:p w14:paraId="11F54BF9">
      <w:pPr>
        <w:spacing w:line="360" w:lineRule="auto"/>
        <w:ind w:left="420"/>
        <w:contextualSpacing/>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Cs/>
          <w:spacing w:val="-11"/>
          <w:sz w:val="44"/>
          <w:szCs w:val="44"/>
        </w:rPr>
        <w:t>投标人参加本项目无围标串标行为的承诺函</w:t>
      </w:r>
    </w:p>
    <w:p w14:paraId="37FF6A50">
      <w:pPr>
        <w:spacing w:line="440" w:lineRule="exact"/>
        <w:contextualSpacing/>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一、我方承诺无下列相互串通投标的情形：</w:t>
      </w:r>
    </w:p>
    <w:p w14:paraId="231A6D6D">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1.不同投标人的投标文件由同一单位或者个人编制；</w:t>
      </w:r>
    </w:p>
    <w:p w14:paraId="6369F6F7">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2.不同投标人委托同一单位或者个人办理投标事宜；</w:t>
      </w:r>
    </w:p>
    <w:p w14:paraId="615497E3">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3.不同的投标人的投标文件载明的项目管理员为同一个人；</w:t>
      </w:r>
    </w:p>
    <w:p w14:paraId="11D2B8C3">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4.不同投标人的投标文件异常一致或者投标报价呈规律性差异；</w:t>
      </w:r>
    </w:p>
    <w:p w14:paraId="3E4904F1">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5.不同投标人的投标文件相互混装；</w:t>
      </w:r>
    </w:p>
    <w:p w14:paraId="580EF6EB">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6.不同投标人的投标保证金从同一单位或者个人账户转出。</w:t>
      </w:r>
    </w:p>
    <w:p w14:paraId="01A876E5">
      <w:pPr>
        <w:spacing w:line="440" w:lineRule="exact"/>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b/>
          <w:sz w:val="24"/>
        </w:rPr>
        <w:t>二、我方承诺无下列恶意串通的情形：</w:t>
      </w:r>
    </w:p>
    <w:p w14:paraId="42DAA663">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1.投标人直接或者间接从采购人或者采购代理机构处获得其他投标人的相关信息并修改其投标文件或者响应文件；</w:t>
      </w:r>
    </w:p>
    <w:p w14:paraId="651DC86E">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2.投标人按照采购人或者采购代理机构的授意撤换、修改投标文件或者响应文件；</w:t>
      </w:r>
    </w:p>
    <w:p w14:paraId="13878DA1">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3.投标人之间协商报价、技术方案等投标文件或者响应文件的实质性内容；</w:t>
      </w:r>
    </w:p>
    <w:p w14:paraId="737C4AB2">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4.属于同一集团、协会、商会等组织成员的投标人按照该组织要求协同参加政府采购活动；</w:t>
      </w:r>
    </w:p>
    <w:p w14:paraId="3F7A7D4B">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5.投标人之间事先约定一致抬高或者压低投标报价，或者在招标项目中事先约定轮流以高价位或者低价位中标，或者事先约定由某一特定投标人中标，然后再参加投标；</w:t>
      </w:r>
    </w:p>
    <w:p w14:paraId="051E045D">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6.投标人之间商定部分投标人放弃参加政府采购活动或者放弃中标；</w:t>
      </w:r>
    </w:p>
    <w:p w14:paraId="331D1A2A">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7.投标人与采购人或者采购代理机构之间、投标人相互之间，为谋求特定投标人中标或者排斥其他投标人的其他串通行为。</w:t>
      </w:r>
    </w:p>
    <w:p w14:paraId="50C498C7">
      <w:pPr>
        <w:spacing w:line="440" w:lineRule="exact"/>
        <w:ind w:firstLine="472" w:firstLineChars="196"/>
        <w:contextualSpacing/>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以上情形一经核查属实，我方愿意承担一切后果，并不再寻求任何旨在减轻或者免除法律责任的辩解。</w:t>
      </w:r>
    </w:p>
    <w:p w14:paraId="1452A67D">
      <w:pPr>
        <w:pStyle w:val="25"/>
        <w:spacing w:line="440" w:lineRule="exact"/>
        <w:ind w:firstLine="960" w:firstLineChars="400"/>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p>
    <w:p w14:paraId="47A2D3EC">
      <w:pPr>
        <w:pStyle w:val="25"/>
        <w:spacing w:line="440" w:lineRule="exact"/>
        <w:contextualSpacing/>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投标人名称（电子签章）</w:t>
      </w:r>
    </w:p>
    <w:p w14:paraId="378D0664">
      <w:pPr>
        <w:pStyle w:val="25"/>
        <w:spacing w:line="440" w:lineRule="exact"/>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年月日</w:t>
      </w:r>
    </w:p>
    <w:p w14:paraId="68450F18">
      <w:pPr>
        <w:snapToGrid w:val="0"/>
        <w:spacing w:before="120" w:beforeLines="50" w:after="50"/>
        <w:jc w:val="lef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24"/>
        </w:rPr>
        <w:t>4.法定代表人身份证明</w:t>
      </w:r>
    </w:p>
    <w:p w14:paraId="73C7D6E1">
      <w:pPr>
        <w:spacing w:before="240" w:beforeLines="100" w:after="120" w:afterLines="50"/>
        <w:ind w:left="540"/>
        <w:jc w:val="center"/>
        <w:rPr>
          <w:rFonts w:asciiTheme="majorEastAsia" w:hAnsiTheme="majorEastAsia" w:eastAsiaTheme="majorEastAsia" w:cstheme="majorEastAsia"/>
          <w:b/>
          <w:sz w:val="32"/>
          <w:szCs w:val="32"/>
        </w:rPr>
      </w:pPr>
    </w:p>
    <w:p w14:paraId="79AEE703">
      <w:pPr>
        <w:spacing w:before="240" w:beforeLines="100" w:after="120" w:afterLines="50"/>
        <w:ind w:left="540"/>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法定代表人身份证明</w:t>
      </w:r>
    </w:p>
    <w:p w14:paraId="23D8F9C7">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 标 人：</w:t>
      </w:r>
      <w:r>
        <w:rPr>
          <w:rFonts w:hint="eastAsia" w:asciiTheme="majorEastAsia" w:hAnsiTheme="majorEastAsia" w:eastAsiaTheme="majorEastAsia" w:cstheme="majorEastAsia"/>
          <w:sz w:val="24"/>
          <w:u w:val="single"/>
        </w:rPr>
        <w:t xml:space="preserve">                                           </w:t>
      </w:r>
    </w:p>
    <w:p w14:paraId="1FF1D443">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地    址：</w:t>
      </w:r>
      <w:r>
        <w:rPr>
          <w:rFonts w:hint="eastAsia" w:asciiTheme="majorEastAsia" w:hAnsiTheme="majorEastAsia" w:eastAsiaTheme="majorEastAsia" w:cstheme="majorEastAsia"/>
          <w:sz w:val="24"/>
          <w:u w:val="single"/>
        </w:rPr>
        <w:t xml:space="preserve">                                          </w:t>
      </w:r>
    </w:p>
    <w:p w14:paraId="5A051FF7">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姓    名：</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性      别：</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6BE12173">
      <w:pPr>
        <w:spacing w:line="500" w:lineRule="exact"/>
        <w:ind w:left="540"/>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年    龄：</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职      务：</w:t>
      </w:r>
      <w:r>
        <w:rPr>
          <w:rFonts w:hint="eastAsia" w:asciiTheme="majorEastAsia" w:hAnsiTheme="majorEastAsia" w:eastAsiaTheme="majorEastAsia" w:cstheme="majorEastAsia"/>
          <w:sz w:val="24"/>
          <w:u w:val="single"/>
        </w:rPr>
        <w:t xml:space="preserve">             </w:t>
      </w:r>
    </w:p>
    <w:p w14:paraId="0F55337E">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身份证号码：</w:t>
      </w:r>
      <w:r>
        <w:rPr>
          <w:rFonts w:hint="eastAsia" w:asciiTheme="majorEastAsia" w:hAnsiTheme="majorEastAsia" w:eastAsiaTheme="majorEastAsia" w:cstheme="majorEastAsia"/>
          <w:sz w:val="24"/>
          <w:u w:val="single"/>
        </w:rPr>
        <w:t xml:space="preserve">                                         </w:t>
      </w:r>
    </w:p>
    <w:p w14:paraId="61A4F559">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系</w:t>
      </w:r>
      <w:r>
        <w:rPr>
          <w:rFonts w:hint="eastAsia" w:asciiTheme="majorEastAsia" w:hAnsiTheme="majorEastAsia" w:eastAsiaTheme="majorEastAsia" w:cstheme="majorEastAsia"/>
          <w:sz w:val="24"/>
          <w:u w:val="single"/>
        </w:rPr>
        <w:t xml:space="preserve">            （投标人名称）              </w:t>
      </w:r>
      <w:r>
        <w:rPr>
          <w:rFonts w:hint="eastAsia" w:asciiTheme="majorEastAsia" w:hAnsiTheme="majorEastAsia" w:eastAsiaTheme="majorEastAsia" w:cstheme="majorEastAsia"/>
          <w:sz w:val="24"/>
        </w:rPr>
        <w:t>的法定代表人。</w:t>
      </w:r>
    </w:p>
    <w:p w14:paraId="38EE2210">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特此证明。</w:t>
      </w:r>
    </w:p>
    <w:p w14:paraId="2B419295">
      <w:pPr>
        <w:spacing w:line="500" w:lineRule="exact"/>
        <w:ind w:left="540"/>
        <w:rPr>
          <w:rFonts w:asciiTheme="majorEastAsia" w:hAnsiTheme="majorEastAsia" w:eastAsiaTheme="majorEastAsia" w:cstheme="majorEastAsia"/>
          <w:sz w:val="24"/>
        </w:rPr>
      </w:pPr>
    </w:p>
    <w:p w14:paraId="5EE31092">
      <w:pPr>
        <w:spacing w:line="500" w:lineRule="exact"/>
        <w:ind w:left="540"/>
        <w:rPr>
          <w:rFonts w:asciiTheme="majorEastAsia" w:hAnsiTheme="majorEastAsia" w:eastAsiaTheme="majorEastAsia" w:cstheme="majorEastAsia"/>
          <w:sz w:val="24"/>
        </w:rPr>
      </w:pPr>
    </w:p>
    <w:p w14:paraId="6CC6FEFC">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附件：法定代表人有效身份证正反面复印件</w:t>
      </w:r>
    </w:p>
    <w:p w14:paraId="45D34235">
      <w:pPr>
        <w:spacing w:line="500" w:lineRule="exact"/>
        <w:ind w:left="540"/>
        <w:rPr>
          <w:rFonts w:asciiTheme="majorEastAsia" w:hAnsiTheme="majorEastAsia" w:eastAsiaTheme="majorEastAsia" w:cstheme="majorEastAsia"/>
          <w:sz w:val="24"/>
        </w:rPr>
      </w:pPr>
    </w:p>
    <w:p w14:paraId="22BF8834">
      <w:pPr>
        <w:wordWrap w:val="0"/>
        <w:spacing w:line="500" w:lineRule="exact"/>
        <w:ind w:left="540"/>
        <w:jc w:val="righ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投标人名称（电子签章）</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7A9A762E">
      <w:pPr>
        <w:spacing w:line="500" w:lineRule="exact"/>
        <w:ind w:left="540"/>
        <w:jc w:val="right"/>
        <w:rPr>
          <w:rFonts w:asciiTheme="majorEastAsia" w:hAnsiTheme="majorEastAsia" w:eastAsiaTheme="majorEastAsia" w:cstheme="majorEastAsia"/>
          <w:sz w:val="24"/>
        </w:rPr>
      </w:pPr>
    </w:p>
    <w:p w14:paraId="031F5106">
      <w:pPr>
        <w:snapToGrid w:val="0"/>
        <w:spacing w:before="120" w:beforeLines="50" w:after="50"/>
        <w:ind w:left="540"/>
        <w:jc w:val="righ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    月    日</w:t>
      </w:r>
    </w:p>
    <w:p w14:paraId="12F3E585">
      <w:pPr>
        <w:snapToGrid w:val="0"/>
        <w:spacing w:before="120" w:beforeLines="50" w:after="50"/>
        <w:jc w:val="center"/>
        <w:rPr>
          <w:rFonts w:asciiTheme="majorEastAsia" w:hAnsiTheme="majorEastAsia" w:eastAsiaTheme="majorEastAsia" w:cstheme="majorEastAsia"/>
          <w:b/>
          <w:sz w:val="24"/>
        </w:rPr>
      </w:pPr>
    </w:p>
    <w:p w14:paraId="7C53BAE9">
      <w:pPr>
        <w:snapToGrid w:val="0"/>
        <w:spacing w:before="120" w:beforeLines="50" w:after="50"/>
        <w:jc w:val="lef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sz w:val="24"/>
        </w:rPr>
        <w:t>注：自然人投标的无需提供</w:t>
      </w:r>
    </w:p>
    <w:p w14:paraId="0D569386">
      <w:pP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p>
    <w:p w14:paraId="5E779676">
      <w:pPr>
        <w:snapToGrid w:val="0"/>
        <w:spacing w:before="120" w:beforeLines="50" w:after="50"/>
        <w:jc w:val="lef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24"/>
        </w:rPr>
        <w:t>5.授权委托书格式</w:t>
      </w:r>
    </w:p>
    <w:p w14:paraId="51B97FAB">
      <w:pPr>
        <w:spacing w:line="360" w:lineRule="auto"/>
        <w:contextualSpacing/>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授权委托书</w:t>
      </w:r>
    </w:p>
    <w:p w14:paraId="796616F5">
      <w:pPr>
        <w:spacing w:line="360" w:lineRule="auto"/>
        <w:contextualSpacing/>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（非联合体投标格式）</w:t>
      </w:r>
    </w:p>
    <w:p w14:paraId="58D268E6">
      <w:pPr>
        <w:spacing w:line="360" w:lineRule="auto"/>
        <w:contextualSpacing/>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32"/>
          <w:szCs w:val="32"/>
        </w:rPr>
        <w:t>（如有委托时）</w:t>
      </w:r>
    </w:p>
    <w:p w14:paraId="32591B47">
      <w:pPr>
        <w:spacing w:line="440" w:lineRule="exact"/>
        <w:contextualSpacing/>
        <w:jc w:val="center"/>
        <w:rPr>
          <w:rFonts w:asciiTheme="majorEastAsia" w:hAnsiTheme="majorEastAsia" w:eastAsiaTheme="majorEastAsia" w:cstheme="majorEastAsia"/>
          <w:b/>
          <w:sz w:val="24"/>
        </w:rPr>
      </w:pPr>
    </w:p>
    <w:p w14:paraId="6A6E04A7">
      <w:pPr>
        <w:spacing w:line="440" w:lineRule="exact"/>
        <w:contextualSpacing/>
        <w:rPr>
          <w:rFonts w:asciiTheme="majorEastAsia" w:hAnsiTheme="majorEastAsia" w:eastAsiaTheme="majorEastAsia" w:cstheme="majorEastAsia"/>
          <w:b/>
          <w:bCs/>
          <w:sz w:val="24"/>
        </w:rPr>
      </w:pPr>
      <w:r>
        <w:rPr>
          <w:rFonts w:hint="eastAsia" w:asciiTheme="majorEastAsia" w:hAnsiTheme="majorEastAsia" w:eastAsiaTheme="majorEastAsia" w:cstheme="majorEastAsia"/>
          <w:bCs/>
          <w:sz w:val="24"/>
        </w:rPr>
        <w:t>致：</w:t>
      </w:r>
      <w:r>
        <w:rPr>
          <w:rFonts w:hint="eastAsia" w:asciiTheme="majorEastAsia" w:hAnsiTheme="majorEastAsia" w:eastAsiaTheme="majorEastAsia" w:cstheme="majorEastAsia"/>
          <w:sz w:val="24"/>
          <w:u w:val="single"/>
        </w:rPr>
        <w:t>采购人名称</w:t>
      </w:r>
      <w:r>
        <w:rPr>
          <w:rFonts w:hint="eastAsia" w:asciiTheme="majorEastAsia" w:hAnsiTheme="majorEastAsia" w:eastAsiaTheme="majorEastAsia" w:cstheme="majorEastAsia"/>
          <w:sz w:val="24"/>
        </w:rPr>
        <w:t>：</w:t>
      </w:r>
    </w:p>
    <w:p w14:paraId="1BEF1610">
      <w:pPr>
        <w:spacing w:line="440" w:lineRule="exact"/>
        <w:ind w:firstLine="566" w:firstLineChars="236"/>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（姓名）系 </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（投标人名称）的法定代表人，现授权委托</w:t>
      </w:r>
      <w:r>
        <w:rPr>
          <w:rFonts w:hint="eastAsia" w:asciiTheme="majorEastAsia" w:hAnsiTheme="majorEastAsia" w:eastAsiaTheme="majorEastAsia" w:cstheme="majorEastAsia"/>
          <w:sz w:val="24"/>
          <w:u w:val="single"/>
        </w:rPr>
        <w:t xml:space="preserve">              （姓名）</w:t>
      </w:r>
      <w:r>
        <w:rPr>
          <w:rFonts w:hint="eastAsia" w:asciiTheme="majorEastAsia" w:hAnsiTheme="majorEastAsia" w:eastAsiaTheme="majorEastAsia" w:cstheme="majorEastAsia"/>
          <w:sz w:val="24"/>
        </w:rPr>
        <w:t>以我方的名义参加项目的投标活动，并代表我方全权办理针对上述项目的所有采购程序和环节的具体事务和签署相关文件。</w:t>
      </w:r>
    </w:p>
    <w:p w14:paraId="14337DE0">
      <w:pPr>
        <w:spacing w:line="440" w:lineRule="exact"/>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我方对委托代理人的签字或者电子签名事项负全部责任。</w:t>
      </w:r>
    </w:p>
    <w:p w14:paraId="44FC0B05">
      <w:pPr>
        <w:spacing w:line="440" w:lineRule="exact"/>
        <w:ind w:firstLine="48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u w:val="single"/>
        </w:rPr>
        <w:t>本授权书自签署之日起生效，在撤销授权的书面通知以前，本授权书一直有效。委托代理人在授权书有效期内签署的所有文件不因授权的撤销而失效。</w:t>
      </w:r>
    </w:p>
    <w:p w14:paraId="6EF9DFFA">
      <w:pPr>
        <w:spacing w:line="440" w:lineRule="exact"/>
        <w:ind w:firstLine="48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委托代理人无转委托权，特此委托。</w:t>
      </w:r>
    </w:p>
    <w:p w14:paraId="13F8B518">
      <w:pPr>
        <w:spacing w:line="440" w:lineRule="exact"/>
        <w:ind w:firstLine="48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附：法定代表人身份证明及委托代理人有效身份证正反面复印件</w:t>
      </w:r>
    </w:p>
    <w:p w14:paraId="03B8F211">
      <w:pPr>
        <w:spacing w:line="440" w:lineRule="exact"/>
        <w:contextualSpacing/>
        <w:rPr>
          <w:rFonts w:asciiTheme="majorEastAsia" w:hAnsiTheme="majorEastAsia" w:eastAsiaTheme="majorEastAsia" w:cstheme="majorEastAsia"/>
          <w:sz w:val="24"/>
        </w:rPr>
      </w:pPr>
    </w:p>
    <w:p w14:paraId="63D9AFD3">
      <w:pPr>
        <w:spacing w:line="440" w:lineRule="exact"/>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委托代理人（签字或者电子签名）：</w:t>
      </w:r>
      <w:r>
        <w:rPr>
          <w:rFonts w:hint="eastAsia" w:asciiTheme="majorEastAsia" w:hAnsiTheme="majorEastAsia" w:eastAsiaTheme="majorEastAsia" w:cstheme="majorEastAsia"/>
          <w:sz w:val="24"/>
          <w:u w:val="single"/>
        </w:rPr>
        <w:t xml:space="preserve">                          </w:t>
      </w:r>
    </w:p>
    <w:p w14:paraId="5D31D2CD">
      <w:pPr>
        <w:spacing w:line="440" w:lineRule="exact"/>
        <w:contextualSpacing/>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委托代理人身份证号码：</w:t>
      </w:r>
      <w:r>
        <w:rPr>
          <w:rFonts w:hint="eastAsia" w:asciiTheme="majorEastAsia" w:hAnsiTheme="majorEastAsia" w:eastAsiaTheme="majorEastAsia" w:cstheme="majorEastAsia"/>
          <w:sz w:val="24"/>
          <w:u w:val="single"/>
        </w:rPr>
        <w:t xml:space="preserve">                      </w:t>
      </w:r>
    </w:p>
    <w:p w14:paraId="53FBCA4F">
      <w:pPr>
        <w:spacing w:line="440" w:lineRule="exact"/>
        <w:contextualSpacing/>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法定代表人（签字或者盖章或者电子签名）：</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56A5A18E">
      <w:pPr>
        <w:spacing w:line="440" w:lineRule="exact"/>
        <w:contextualSpacing/>
        <w:rPr>
          <w:rFonts w:asciiTheme="majorEastAsia" w:hAnsiTheme="majorEastAsia" w:eastAsiaTheme="majorEastAsia" w:cstheme="majorEastAsia"/>
          <w:sz w:val="24"/>
        </w:rPr>
      </w:pPr>
    </w:p>
    <w:p w14:paraId="05543369">
      <w:pPr>
        <w:spacing w:line="440" w:lineRule="exact"/>
        <w:contextualSpacing/>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p>
    <w:p w14:paraId="7E36F920">
      <w:pPr>
        <w:spacing w:line="440" w:lineRule="exact"/>
        <w:contextualSpacing/>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年    月    日</w:t>
      </w:r>
    </w:p>
    <w:p w14:paraId="3D56DA2A">
      <w:pPr>
        <w:spacing w:line="440" w:lineRule="exact"/>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注：1.</w:t>
      </w:r>
      <w:bookmarkStart w:id="149" w:name="_Hlk65851555"/>
      <w:bookmarkStart w:id="150" w:name="_Hlk65851620"/>
      <w:r>
        <w:rPr>
          <w:rFonts w:hint="eastAsia" w:asciiTheme="majorEastAsia" w:hAnsiTheme="majorEastAsia" w:eastAsiaTheme="majorEastAsia" w:cstheme="majorEastAsia"/>
          <w:sz w:val="24"/>
        </w:rPr>
        <w:t>法定代表人必须在授权委托书上签字或者盖章或者电子签名，</w:t>
      </w:r>
      <w:bookmarkEnd w:id="149"/>
      <w:r>
        <w:rPr>
          <w:rFonts w:hint="eastAsia" w:asciiTheme="majorEastAsia" w:hAnsiTheme="majorEastAsia" w:eastAsiaTheme="majorEastAsia" w:cstheme="majorEastAsia"/>
          <w:sz w:val="24"/>
        </w:rPr>
        <w:t>委托代理人必须在授权委托书上签字或者电子签名，</w:t>
      </w:r>
      <w:r>
        <w:rPr>
          <w:rFonts w:hint="eastAsia" w:asciiTheme="majorEastAsia" w:hAnsiTheme="majorEastAsia" w:eastAsiaTheme="majorEastAsia" w:cstheme="majorEastAsia"/>
          <w:b/>
          <w:bCs/>
          <w:sz w:val="24"/>
        </w:rPr>
        <w:t>否则按无效投标处理</w:t>
      </w:r>
      <w:r>
        <w:rPr>
          <w:rFonts w:hint="eastAsia" w:asciiTheme="majorEastAsia" w:hAnsiTheme="majorEastAsia" w:eastAsiaTheme="majorEastAsia" w:cstheme="majorEastAsia"/>
          <w:sz w:val="24"/>
        </w:rPr>
        <w:t>；</w:t>
      </w:r>
      <w:bookmarkEnd w:id="150"/>
    </w:p>
    <w:p w14:paraId="36F82224">
      <w:pPr>
        <w:spacing w:line="44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2.法人、其他组织投标时“我方”是指“我单位”，自然人投标时“我方”是指“本人”。</w:t>
      </w:r>
    </w:p>
    <w:p w14:paraId="2193718E">
      <w:pPr>
        <w:spacing w:line="44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br w:type="page"/>
      </w:r>
    </w:p>
    <w:p w14:paraId="097911F4">
      <w:pPr>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24"/>
        </w:rPr>
        <w:t>6.商务要求偏离表格式</w:t>
      </w:r>
    </w:p>
    <w:p w14:paraId="2B73403C">
      <w:pPr>
        <w:snapToGrid w:val="0"/>
        <w:spacing w:before="50"/>
        <w:jc w:val="left"/>
        <w:rPr>
          <w:rFonts w:asciiTheme="majorEastAsia" w:hAnsiTheme="majorEastAsia" w:eastAsiaTheme="majorEastAsia" w:cstheme="majorEastAsia"/>
          <w:sz w:val="24"/>
        </w:rPr>
      </w:pPr>
    </w:p>
    <w:p w14:paraId="74C93A99">
      <w:pPr>
        <w:pStyle w:val="2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所投分标：分标</w:t>
      </w:r>
    </w:p>
    <w:p w14:paraId="61F03014">
      <w:pPr>
        <w:snapToGrid w:val="0"/>
        <w:spacing w:before="50"/>
        <w:jc w:val="left"/>
        <w:rPr>
          <w:rFonts w:asciiTheme="majorEastAsia" w:hAnsiTheme="majorEastAsia" w:eastAsiaTheme="majorEastAsia" w:cstheme="majorEastAsia"/>
          <w:sz w:val="24"/>
          <w:u w:val="single"/>
        </w:rPr>
      </w:pPr>
    </w:p>
    <w:tbl>
      <w:tblPr>
        <w:tblStyle w:val="46"/>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18"/>
        <w:gridCol w:w="2528"/>
        <w:gridCol w:w="1760"/>
        <w:gridCol w:w="2035"/>
      </w:tblGrid>
      <w:tr w14:paraId="41F0E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18" w:type="dxa"/>
            <w:tcBorders>
              <w:top w:val="single" w:color="auto" w:sz="4" w:space="0"/>
              <w:left w:val="single" w:color="auto" w:sz="4" w:space="0"/>
              <w:bottom w:val="single" w:color="auto" w:sz="4" w:space="0"/>
              <w:right w:val="single" w:color="auto" w:sz="4" w:space="0"/>
            </w:tcBorders>
          </w:tcPr>
          <w:p w14:paraId="037C7E09">
            <w:pPr>
              <w:snapToGrid w:val="0"/>
              <w:spacing w:before="120" w:beforeLines="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w:t>
            </w:r>
          </w:p>
        </w:tc>
        <w:tc>
          <w:tcPr>
            <w:tcW w:w="2528" w:type="dxa"/>
            <w:tcBorders>
              <w:top w:val="single" w:color="auto" w:sz="4" w:space="0"/>
              <w:left w:val="single" w:color="auto" w:sz="4" w:space="0"/>
              <w:bottom w:val="single" w:color="auto" w:sz="4" w:space="0"/>
              <w:right w:val="single" w:color="auto" w:sz="4" w:space="0"/>
            </w:tcBorders>
          </w:tcPr>
          <w:p w14:paraId="6C636BB9">
            <w:pPr>
              <w:snapToGrid w:val="0"/>
              <w:spacing w:before="120" w:beforeLines="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6E40F87A">
            <w:pPr>
              <w:snapToGrid w:val="0"/>
              <w:spacing w:before="120" w:beforeLines="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30D5788F">
            <w:pPr>
              <w:snapToGrid w:val="0"/>
              <w:spacing w:before="120" w:beforeLines="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偏离说明</w:t>
            </w:r>
          </w:p>
        </w:tc>
      </w:tr>
      <w:tr w14:paraId="3920D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1DBBF923">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Cs w:val="21"/>
              </w:rPr>
              <w:t>交付时间和地点</w:t>
            </w:r>
          </w:p>
        </w:tc>
        <w:tc>
          <w:tcPr>
            <w:tcW w:w="2528" w:type="dxa"/>
            <w:tcBorders>
              <w:top w:val="single" w:color="auto" w:sz="4" w:space="0"/>
              <w:left w:val="single" w:color="auto" w:sz="4" w:space="0"/>
              <w:bottom w:val="single" w:color="auto" w:sz="4" w:space="0"/>
              <w:right w:val="single" w:color="auto" w:sz="4" w:space="0"/>
            </w:tcBorders>
            <w:vAlign w:val="center"/>
          </w:tcPr>
          <w:p w14:paraId="73FEC80F">
            <w:pPr>
              <w:pStyle w:val="122"/>
              <w:autoSpaceDE/>
              <w:autoSpaceDN/>
              <w:adjustRightInd/>
              <w:spacing w:line="440" w:lineRule="exact"/>
              <w:rPr>
                <w:rFonts w:asciiTheme="majorEastAsia" w:hAnsiTheme="majorEastAsia" w:eastAsiaTheme="majorEastAsia" w:cstheme="majorEastAsia"/>
              </w:rPr>
            </w:pPr>
          </w:p>
        </w:tc>
        <w:tc>
          <w:tcPr>
            <w:tcW w:w="1760" w:type="dxa"/>
            <w:tcBorders>
              <w:top w:val="single" w:color="auto" w:sz="4" w:space="0"/>
              <w:left w:val="single" w:color="auto" w:sz="4" w:space="0"/>
              <w:bottom w:val="single" w:color="auto" w:sz="4" w:space="0"/>
              <w:right w:val="single" w:color="auto" w:sz="4" w:space="0"/>
            </w:tcBorders>
          </w:tcPr>
          <w:p w14:paraId="0666D334">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7D3DC646">
            <w:pPr>
              <w:snapToGrid w:val="0"/>
              <w:spacing w:before="120" w:beforeLines="50"/>
              <w:jc w:val="center"/>
              <w:rPr>
                <w:rFonts w:asciiTheme="majorEastAsia" w:hAnsiTheme="majorEastAsia" w:eastAsiaTheme="majorEastAsia" w:cstheme="majorEastAsia"/>
                <w:sz w:val="24"/>
              </w:rPr>
            </w:pPr>
          </w:p>
        </w:tc>
      </w:tr>
      <w:tr w14:paraId="6FA37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77E65D22">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Cs w:val="21"/>
              </w:rPr>
              <w:t>合同签订时间</w:t>
            </w:r>
          </w:p>
        </w:tc>
        <w:tc>
          <w:tcPr>
            <w:tcW w:w="2528" w:type="dxa"/>
            <w:tcBorders>
              <w:top w:val="single" w:color="auto" w:sz="4" w:space="0"/>
              <w:left w:val="single" w:color="auto" w:sz="4" w:space="0"/>
              <w:bottom w:val="single" w:color="auto" w:sz="4" w:space="0"/>
              <w:right w:val="single" w:color="auto" w:sz="4" w:space="0"/>
            </w:tcBorders>
            <w:vAlign w:val="center"/>
          </w:tcPr>
          <w:p w14:paraId="2D9E0951">
            <w:pPr>
              <w:pStyle w:val="17"/>
              <w:spacing w:line="440" w:lineRule="exact"/>
              <w:rPr>
                <w:rFonts w:asciiTheme="majorEastAsia" w:hAnsiTheme="majorEastAsia" w:eastAsiaTheme="majorEastAsia" w:cstheme="majorEastAsia"/>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6C62FA5B">
            <w:pPr>
              <w:snapToGrid w:val="0"/>
              <w:spacing w:before="120" w:beforeLines="50"/>
              <w:ind w:left="43"/>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3C56432A">
            <w:pPr>
              <w:snapToGrid w:val="0"/>
              <w:spacing w:before="120" w:beforeLines="50"/>
              <w:ind w:left="43"/>
              <w:jc w:val="center"/>
              <w:rPr>
                <w:rFonts w:asciiTheme="majorEastAsia" w:hAnsiTheme="majorEastAsia" w:eastAsiaTheme="majorEastAsia" w:cstheme="majorEastAsia"/>
                <w:sz w:val="24"/>
              </w:rPr>
            </w:pPr>
          </w:p>
        </w:tc>
      </w:tr>
      <w:tr w14:paraId="2869C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7A86F2E1">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Cs w:val="21"/>
              </w:rPr>
              <w:t>付款方式</w:t>
            </w:r>
          </w:p>
        </w:tc>
        <w:tc>
          <w:tcPr>
            <w:tcW w:w="2528" w:type="dxa"/>
            <w:tcBorders>
              <w:top w:val="single" w:color="auto" w:sz="4" w:space="0"/>
              <w:left w:val="single" w:color="auto" w:sz="4" w:space="0"/>
              <w:bottom w:val="single" w:color="auto" w:sz="4" w:space="0"/>
              <w:right w:val="single" w:color="auto" w:sz="4" w:space="0"/>
            </w:tcBorders>
            <w:vAlign w:val="center"/>
          </w:tcPr>
          <w:p w14:paraId="24C83155">
            <w:pPr>
              <w:widowControl/>
              <w:spacing w:line="440" w:lineRule="exact"/>
              <w:rPr>
                <w:rFonts w:asciiTheme="majorEastAsia" w:hAnsiTheme="majorEastAsia" w:eastAsiaTheme="majorEastAsia" w:cstheme="majorEastAsia"/>
                <w:sz w:val="24"/>
              </w:rPr>
            </w:pPr>
          </w:p>
        </w:tc>
        <w:tc>
          <w:tcPr>
            <w:tcW w:w="1760" w:type="dxa"/>
            <w:tcBorders>
              <w:top w:val="single" w:color="auto" w:sz="4" w:space="0"/>
              <w:left w:val="single" w:color="auto" w:sz="4" w:space="0"/>
              <w:bottom w:val="single" w:color="auto" w:sz="4" w:space="0"/>
              <w:right w:val="single" w:color="auto" w:sz="4" w:space="0"/>
            </w:tcBorders>
          </w:tcPr>
          <w:p w14:paraId="49D53A48">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1084B361">
            <w:pPr>
              <w:snapToGrid w:val="0"/>
              <w:spacing w:before="120" w:beforeLines="50"/>
              <w:jc w:val="center"/>
              <w:rPr>
                <w:rFonts w:asciiTheme="majorEastAsia" w:hAnsiTheme="majorEastAsia" w:eastAsiaTheme="majorEastAsia" w:cstheme="majorEastAsia"/>
                <w:sz w:val="24"/>
              </w:rPr>
            </w:pPr>
          </w:p>
        </w:tc>
      </w:tr>
      <w:tr w14:paraId="6C3B4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293EB52B">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Cs w:val="21"/>
              </w:rPr>
              <w:t>质保期</w:t>
            </w:r>
          </w:p>
        </w:tc>
        <w:tc>
          <w:tcPr>
            <w:tcW w:w="2528" w:type="dxa"/>
            <w:tcBorders>
              <w:top w:val="single" w:color="auto" w:sz="4" w:space="0"/>
              <w:left w:val="single" w:color="auto" w:sz="4" w:space="0"/>
              <w:bottom w:val="single" w:color="auto" w:sz="4" w:space="0"/>
              <w:right w:val="single" w:color="auto" w:sz="4" w:space="0"/>
            </w:tcBorders>
            <w:vAlign w:val="center"/>
          </w:tcPr>
          <w:p w14:paraId="6D060206">
            <w:pPr>
              <w:widowControl/>
              <w:spacing w:line="440" w:lineRule="exact"/>
              <w:rPr>
                <w:rFonts w:asciiTheme="majorEastAsia" w:hAnsiTheme="majorEastAsia" w:eastAsiaTheme="majorEastAsia" w:cstheme="majorEastAsia"/>
                <w:sz w:val="24"/>
              </w:rPr>
            </w:pPr>
          </w:p>
        </w:tc>
        <w:tc>
          <w:tcPr>
            <w:tcW w:w="1760" w:type="dxa"/>
            <w:tcBorders>
              <w:top w:val="single" w:color="auto" w:sz="4" w:space="0"/>
              <w:left w:val="single" w:color="auto" w:sz="4" w:space="0"/>
              <w:bottom w:val="single" w:color="auto" w:sz="4" w:space="0"/>
              <w:right w:val="single" w:color="auto" w:sz="4" w:space="0"/>
            </w:tcBorders>
          </w:tcPr>
          <w:p w14:paraId="454D37F5">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65C3A5D2">
            <w:pPr>
              <w:snapToGrid w:val="0"/>
              <w:spacing w:before="120" w:beforeLines="50"/>
              <w:jc w:val="center"/>
              <w:rPr>
                <w:rFonts w:asciiTheme="majorEastAsia" w:hAnsiTheme="majorEastAsia" w:eastAsiaTheme="majorEastAsia" w:cstheme="majorEastAsia"/>
                <w:sz w:val="24"/>
              </w:rPr>
            </w:pPr>
          </w:p>
        </w:tc>
      </w:tr>
      <w:tr w14:paraId="31101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47848D9A">
            <w:pPr>
              <w:widowControl/>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kern w:val="0"/>
                <w:szCs w:val="21"/>
              </w:rPr>
              <w:t>售后服务要求</w:t>
            </w:r>
          </w:p>
        </w:tc>
        <w:tc>
          <w:tcPr>
            <w:tcW w:w="2528" w:type="dxa"/>
            <w:tcBorders>
              <w:top w:val="single" w:color="auto" w:sz="4" w:space="0"/>
              <w:left w:val="single" w:color="auto" w:sz="4" w:space="0"/>
              <w:bottom w:val="single" w:color="auto" w:sz="4" w:space="0"/>
              <w:right w:val="single" w:color="auto" w:sz="4" w:space="0"/>
            </w:tcBorders>
            <w:vAlign w:val="center"/>
          </w:tcPr>
          <w:p w14:paraId="54BBC656">
            <w:pPr>
              <w:widowControl/>
              <w:spacing w:line="440" w:lineRule="exact"/>
              <w:jc w:val="left"/>
              <w:rPr>
                <w:rFonts w:asciiTheme="majorEastAsia" w:hAnsiTheme="majorEastAsia" w:eastAsiaTheme="majorEastAsia" w:cstheme="majorEastAsia"/>
                <w:sz w:val="24"/>
              </w:rPr>
            </w:pPr>
          </w:p>
        </w:tc>
        <w:tc>
          <w:tcPr>
            <w:tcW w:w="1760" w:type="dxa"/>
            <w:tcBorders>
              <w:top w:val="single" w:color="auto" w:sz="4" w:space="0"/>
              <w:left w:val="single" w:color="auto" w:sz="4" w:space="0"/>
              <w:bottom w:val="single" w:color="auto" w:sz="4" w:space="0"/>
              <w:right w:val="single" w:color="auto" w:sz="4" w:space="0"/>
            </w:tcBorders>
          </w:tcPr>
          <w:p w14:paraId="68CD9D63">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6585E914">
            <w:pPr>
              <w:snapToGrid w:val="0"/>
              <w:spacing w:before="120" w:beforeLines="50"/>
              <w:jc w:val="center"/>
              <w:rPr>
                <w:rFonts w:asciiTheme="majorEastAsia" w:hAnsiTheme="majorEastAsia" w:eastAsiaTheme="majorEastAsia" w:cstheme="majorEastAsia"/>
                <w:sz w:val="24"/>
              </w:rPr>
            </w:pPr>
          </w:p>
        </w:tc>
      </w:tr>
      <w:tr w14:paraId="365F4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7D478FBD">
            <w:pPr>
              <w:widowControl/>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kern w:val="0"/>
                <w:szCs w:val="21"/>
              </w:rPr>
              <w:t>投标报价要求</w:t>
            </w:r>
          </w:p>
        </w:tc>
        <w:tc>
          <w:tcPr>
            <w:tcW w:w="2528" w:type="dxa"/>
            <w:tcBorders>
              <w:top w:val="single" w:color="auto" w:sz="4" w:space="0"/>
              <w:left w:val="single" w:color="auto" w:sz="4" w:space="0"/>
              <w:bottom w:val="single" w:color="auto" w:sz="4" w:space="0"/>
              <w:right w:val="single" w:color="auto" w:sz="4" w:space="0"/>
            </w:tcBorders>
            <w:vAlign w:val="center"/>
          </w:tcPr>
          <w:p w14:paraId="69702044">
            <w:pPr>
              <w:widowControl/>
              <w:spacing w:line="440" w:lineRule="exact"/>
              <w:jc w:val="left"/>
              <w:rPr>
                <w:rFonts w:asciiTheme="majorEastAsia" w:hAnsiTheme="majorEastAsia" w:eastAsiaTheme="majorEastAsia" w:cstheme="majorEastAsia"/>
                <w:sz w:val="24"/>
              </w:rPr>
            </w:pPr>
          </w:p>
        </w:tc>
        <w:tc>
          <w:tcPr>
            <w:tcW w:w="1760" w:type="dxa"/>
            <w:tcBorders>
              <w:top w:val="single" w:color="auto" w:sz="4" w:space="0"/>
              <w:left w:val="single" w:color="auto" w:sz="4" w:space="0"/>
              <w:bottom w:val="single" w:color="auto" w:sz="4" w:space="0"/>
              <w:right w:val="single" w:color="auto" w:sz="4" w:space="0"/>
            </w:tcBorders>
          </w:tcPr>
          <w:p w14:paraId="27A07F45">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368BBA1D">
            <w:pPr>
              <w:snapToGrid w:val="0"/>
              <w:spacing w:before="120" w:beforeLines="50"/>
              <w:jc w:val="center"/>
              <w:rPr>
                <w:rFonts w:asciiTheme="majorEastAsia" w:hAnsiTheme="majorEastAsia" w:eastAsiaTheme="majorEastAsia" w:cstheme="majorEastAsia"/>
                <w:sz w:val="24"/>
              </w:rPr>
            </w:pPr>
          </w:p>
        </w:tc>
      </w:tr>
    </w:tbl>
    <w:p w14:paraId="095596A5">
      <w:pPr>
        <w:pStyle w:val="18"/>
        <w:rPr>
          <w:rFonts w:asciiTheme="majorEastAsia" w:hAnsiTheme="majorEastAsia" w:eastAsiaTheme="majorEastAsia" w:cstheme="majorEastAsia"/>
        </w:rPr>
      </w:pPr>
      <w:r>
        <w:rPr>
          <w:rFonts w:hint="eastAsia" w:asciiTheme="majorEastAsia" w:hAnsiTheme="majorEastAsia" w:eastAsiaTheme="majorEastAsia" w:cstheme="majorEastAsia"/>
        </w:rPr>
        <w:t>注：</w:t>
      </w:r>
    </w:p>
    <w:p w14:paraId="48470796">
      <w:pPr>
        <w:pStyle w:val="20"/>
        <w:spacing w:line="520" w:lineRule="exact"/>
        <w:ind w:firstLine="0" w:firstLineChars="0"/>
        <w:rPr>
          <w:rFonts w:asciiTheme="majorEastAsia" w:hAnsiTheme="majorEastAsia" w:eastAsiaTheme="majorEastAsia" w:cstheme="majorEastAsia"/>
          <w:szCs w:val="32"/>
        </w:rPr>
      </w:pPr>
      <w:r>
        <w:rPr>
          <w:rFonts w:hint="eastAsia" w:asciiTheme="majorEastAsia" w:hAnsiTheme="majorEastAsia" w:eastAsiaTheme="majorEastAsia" w:cstheme="majorEastAsia"/>
          <w:sz w:val="24"/>
          <w:szCs w:val="24"/>
        </w:rPr>
        <w:t>1.说明：应对照招标文件“第二章 采购需求”中的商务要求逐条作明确的投标响应，并作出偏离说明。</w:t>
      </w:r>
    </w:p>
    <w:p w14:paraId="5B8EFB4B">
      <w:pPr>
        <w:pStyle w:val="18"/>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rPr>
        <w:t>2.投标人应根据自身的承诺，对照招标文件要求在“偏离说明”中注明“</w:t>
      </w:r>
      <w:r>
        <w:rPr>
          <w:rFonts w:hint="eastAsia" w:asciiTheme="majorEastAsia" w:hAnsiTheme="majorEastAsia" w:eastAsiaTheme="majorEastAsia" w:cstheme="majorEastAsia"/>
        </w:rPr>
        <w:t>正偏离</w:t>
      </w:r>
      <w:r>
        <w:rPr>
          <w:rFonts w:hint="eastAsia" w:asciiTheme="majorEastAsia" w:hAnsiTheme="majorEastAsia" w:eastAsiaTheme="majorEastAsia" w:cstheme="majorEastAsia"/>
          <w:b w:val="0"/>
          <w:bCs w:val="0"/>
        </w:rPr>
        <w:t>”、“</w:t>
      </w:r>
      <w:r>
        <w:rPr>
          <w:rFonts w:hint="eastAsia" w:asciiTheme="majorEastAsia" w:hAnsiTheme="majorEastAsia" w:eastAsiaTheme="majorEastAsia" w:cstheme="majorEastAsia"/>
        </w:rPr>
        <w:t>负偏离</w:t>
      </w:r>
      <w:r>
        <w:rPr>
          <w:rFonts w:hint="eastAsia" w:asciiTheme="majorEastAsia" w:hAnsiTheme="majorEastAsia" w:eastAsiaTheme="majorEastAsia" w:cstheme="majorEastAsia"/>
          <w:b w:val="0"/>
          <w:bCs w:val="0"/>
        </w:rPr>
        <w:t>”或者“</w:t>
      </w:r>
      <w:r>
        <w:rPr>
          <w:rFonts w:hint="eastAsia" w:asciiTheme="majorEastAsia" w:hAnsiTheme="majorEastAsia" w:eastAsiaTheme="majorEastAsia" w:cstheme="majorEastAsia"/>
        </w:rPr>
        <w:t>无偏离</w:t>
      </w:r>
      <w:r>
        <w:rPr>
          <w:rFonts w:hint="eastAsia" w:asciiTheme="majorEastAsia" w:hAnsiTheme="majorEastAsia" w:eastAsiaTheme="majorEastAsia" w:cstheme="majorEastAsia"/>
          <w:b w:val="0"/>
          <w:bCs w:val="0"/>
        </w:rPr>
        <w:t>”。既不属于“</w:t>
      </w:r>
      <w:r>
        <w:rPr>
          <w:rFonts w:hint="eastAsia" w:asciiTheme="majorEastAsia" w:hAnsiTheme="majorEastAsia" w:eastAsiaTheme="majorEastAsia" w:cstheme="majorEastAsia"/>
        </w:rPr>
        <w:t>正偏离</w:t>
      </w:r>
      <w:r>
        <w:rPr>
          <w:rFonts w:hint="eastAsia" w:asciiTheme="majorEastAsia" w:hAnsiTheme="majorEastAsia" w:eastAsiaTheme="majorEastAsia" w:cstheme="majorEastAsia"/>
          <w:b w:val="0"/>
          <w:bCs w:val="0"/>
        </w:rPr>
        <w:t>”也不属于“</w:t>
      </w:r>
      <w:r>
        <w:rPr>
          <w:rFonts w:hint="eastAsia" w:asciiTheme="majorEastAsia" w:hAnsiTheme="majorEastAsia" w:eastAsiaTheme="majorEastAsia" w:cstheme="majorEastAsia"/>
        </w:rPr>
        <w:t>负偏离</w:t>
      </w:r>
      <w:r>
        <w:rPr>
          <w:rFonts w:hint="eastAsia" w:asciiTheme="majorEastAsia" w:hAnsiTheme="majorEastAsia" w:eastAsiaTheme="majorEastAsia" w:cstheme="majorEastAsia"/>
          <w:b w:val="0"/>
          <w:bCs w:val="0"/>
        </w:rPr>
        <w:t>”即为“</w:t>
      </w:r>
      <w:r>
        <w:rPr>
          <w:rFonts w:hint="eastAsia" w:asciiTheme="majorEastAsia" w:hAnsiTheme="majorEastAsia" w:eastAsiaTheme="majorEastAsia" w:cstheme="majorEastAsia"/>
        </w:rPr>
        <w:t>无偏离</w:t>
      </w:r>
      <w:r>
        <w:rPr>
          <w:rFonts w:hint="eastAsia" w:asciiTheme="majorEastAsia" w:hAnsiTheme="majorEastAsia" w:eastAsiaTheme="majorEastAsia" w:cstheme="majorEastAsia"/>
          <w:b w:val="0"/>
          <w:bCs w:val="0"/>
        </w:rPr>
        <w:t>”。</w:t>
      </w:r>
    </w:p>
    <w:p w14:paraId="76862E76">
      <w:pPr>
        <w:snapToGrid w:val="0"/>
        <w:spacing w:before="50" w:after="50"/>
        <w:rPr>
          <w:rFonts w:asciiTheme="majorEastAsia" w:hAnsiTheme="majorEastAsia" w:eastAsiaTheme="majorEastAsia" w:cstheme="majorEastAsia"/>
          <w:sz w:val="24"/>
        </w:rPr>
      </w:pPr>
    </w:p>
    <w:p w14:paraId="463BD548">
      <w:pPr>
        <w:snapToGrid w:val="0"/>
        <w:spacing w:before="50" w:after="50"/>
        <w:rPr>
          <w:rFonts w:asciiTheme="majorEastAsia" w:hAnsiTheme="majorEastAsia" w:eastAsiaTheme="majorEastAsia" w:cstheme="majorEastAsia"/>
          <w:spacing w:val="20"/>
          <w:sz w:val="24"/>
          <w:u w:val="single"/>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p>
    <w:p w14:paraId="43977C47">
      <w:pPr>
        <w:snapToGrid w:val="0"/>
        <w:spacing w:before="120" w:beforeLines="50"/>
        <w:rPr>
          <w:rFonts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投标人名称（电子签章）：</w:t>
      </w:r>
    </w:p>
    <w:p w14:paraId="2158D65A">
      <w:pPr>
        <w:snapToGrid w:val="0"/>
        <w:spacing w:before="120" w:beforeLines="50"/>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pacing w:val="20"/>
          <w:sz w:val="24"/>
        </w:rPr>
        <w:t>日  期：</w:t>
      </w:r>
    </w:p>
    <w:p w14:paraId="318413E4">
      <w:pPr>
        <w:snapToGrid w:val="0"/>
        <w:spacing w:before="120" w:beforeLines="50" w:after="5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szCs w:val="20"/>
        </w:rPr>
        <w:br w:type="page"/>
      </w:r>
      <w:r>
        <w:rPr>
          <w:rFonts w:hint="eastAsia" w:asciiTheme="majorEastAsia" w:hAnsiTheme="majorEastAsia" w:eastAsiaTheme="majorEastAsia" w:cstheme="majorEastAsia"/>
          <w:b/>
          <w:sz w:val="24"/>
        </w:rPr>
        <w:t>7.投标人业绩证明材料</w:t>
      </w:r>
    </w:p>
    <w:p w14:paraId="286EFC97">
      <w:pPr>
        <w:pStyle w:val="35"/>
        <w:snapToGrid w:val="0"/>
        <w:ind w:left="480" w:hanging="480"/>
        <w:rPr>
          <w:rFonts w:asciiTheme="majorEastAsia" w:hAnsiTheme="majorEastAsia" w:eastAsiaTheme="majorEastAsia" w:cstheme="majorEastAsia"/>
          <w:sz w:val="24"/>
        </w:rPr>
      </w:pPr>
    </w:p>
    <w:p w14:paraId="6FD86DBD">
      <w:pPr>
        <w:pStyle w:val="35"/>
        <w:snapToGrid w:val="0"/>
        <w:ind w:left="480" w:hanging="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投标人业绩情况一览表格式： </w:t>
      </w:r>
    </w:p>
    <w:tbl>
      <w:tblPr>
        <w:tblStyle w:val="46"/>
        <w:tblW w:w="87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80"/>
        <w:gridCol w:w="1810"/>
        <w:gridCol w:w="1810"/>
        <w:gridCol w:w="2920"/>
      </w:tblGrid>
      <w:tr w14:paraId="7BBD0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80" w:type="dxa"/>
            <w:vMerge w:val="restart"/>
            <w:tcBorders>
              <w:top w:val="single" w:color="auto" w:sz="4" w:space="0"/>
              <w:left w:val="single" w:color="auto" w:sz="4" w:space="0"/>
              <w:bottom w:val="single" w:color="auto" w:sz="4" w:space="0"/>
              <w:right w:val="single" w:color="auto" w:sz="4" w:space="0"/>
            </w:tcBorders>
            <w:vAlign w:val="center"/>
          </w:tcPr>
          <w:p w14:paraId="0F208EB9">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采购人名称</w:t>
            </w:r>
          </w:p>
        </w:tc>
        <w:tc>
          <w:tcPr>
            <w:tcW w:w="1810" w:type="dxa"/>
            <w:vMerge w:val="restart"/>
            <w:tcBorders>
              <w:top w:val="single" w:color="auto" w:sz="4" w:space="0"/>
              <w:left w:val="single" w:color="auto" w:sz="4" w:space="0"/>
              <w:bottom w:val="single" w:color="auto" w:sz="4" w:space="0"/>
              <w:right w:val="single" w:color="auto" w:sz="4" w:space="0"/>
            </w:tcBorders>
            <w:vAlign w:val="center"/>
          </w:tcPr>
          <w:p w14:paraId="5A01EFB0">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项目名称</w:t>
            </w:r>
          </w:p>
        </w:tc>
        <w:tc>
          <w:tcPr>
            <w:tcW w:w="1810" w:type="dxa"/>
            <w:vMerge w:val="restart"/>
            <w:tcBorders>
              <w:top w:val="single" w:color="auto" w:sz="4" w:space="0"/>
              <w:left w:val="single" w:color="auto" w:sz="4" w:space="0"/>
              <w:bottom w:val="single" w:color="auto" w:sz="4" w:space="0"/>
              <w:right w:val="single" w:color="auto" w:sz="4" w:space="0"/>
            </w:tcBorders>
            <w:vAlign w:val="center"/>
          </w:tcPr>
          <w:p w14:paraId="73A77CA9">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合同金额</w:t>
            </w:r>
          </w:p>
          <w:p w14:paraId="3BFFEF5B">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（万元）</w:t>
            </w:r>
          </w:p>
        </w:tc>
        <w:tc>
          <w:tcPr>
            <w:tcW w:w="2920" w:type="dxa"/>
            <w:vMerge w:val="restart"/>
            <w:tcBorders>
              <w:top w:val="single" w:color="auto" w:sz="4" w:space="0"/>
              <w:left w:val="single" w:color="auto" w:sz="4" w:space="0"/>
              <w:bottom w:val="single" w:color="auto" w:sz="4" w:space="0"/>
              <w:right w:val="single" w:color="auto" w:sz="4" w:space="0"/>
            </w:tcBorders>
            <w:vAlign w:val="center"/>
          </w:tcPr>
          <w:p w14:paraId="2A462298">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采购人联系人及</w:t>
            </w:r>
          </w:p>
          <w:p w14:paraId="22088569">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联系电话</w:t>
            </w:r>
          </w:p>
        </w:tc>
      </w:tr>
      <w:tr w14:paraId="1A90F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80" w:type="dxa"/>
            <w:vMerge w:val="continue"/>
            <w:tcBorders>
              <w:top w:val="single" w:color="auto" w:sz="4" w:space="0"/>
              <w:left w:val="single" w:color="auto" w:sz="4" w:space="0"/>
              <w:bottom w:val="single" w:color="auto" w:sz="4" w:space="0"/>
              <w:right w:val="single" w:color="auto" w:sz="4" w:space="0"/>
            </w:tcBorders>
            <w:vAlign w:val="center"/>
          </w:tcPr>
          <w:p w14:paraId="5082E3DC">
            <w:pPr>
              <w:jc w:val="left"/>
              <w:rPr>
                <w:rFonts w:asciiTheme="majorEastAsia" w:hAnsiTheme="majorEastAsia" w:eastAsiaTheme="majorEastAsia" w:cstheme="majorEastAsia"/>
                <w:sz w:val="24"/>
              </w:rPr>
            </w:pPr>
          </w:p>
        </w:tc>
        <w:tc>
          <w:tcPr>
            <w:tcW w:w="1810" w:type="dxa"/>
            <w:vMerge w:val="continue"/>
            <w:tcBorders>
              <w:top w:val="single" w:color="auto" w:sz="4" w:space="0"/>
              <w:left w:val="single" w:color="auto" w:sz="4" w:space="0"/>
              <w:bottom w:val="single" w:color="auto" w:sz="4" w:space="0"/>
              <w:right w:val="single" w:color="auto" w:sz="4" w:space="0"/>
            </w:tcBorders>
            <w:vAlign w:val="center"/>
          </w:tcPr>
          <w:p w14:paraId="7CA5F551">
            <w:pPr>
              <w:jc w:val="left"/>
              <w:rPr>
                <w:rFonts w:asciiTheme="majorEastAsia" w:hAnsiTheme="majorEastAsia" w:eastAsiaTheme="majorEastAsia" w:cstheme="majorEastAsia"/>
                <w:sz w:val="24"/>
              </w:rPr>
            </w:pPr>
          </w:p>
        </w:tc>
        <w:tc>
          <w:tcPr>
            <w:tcW w:w="1810" w:type="dxa"/>
            <w:vMerge w:val="continue"/>
            <w:tcBorders>
              <w:top w:val="single" w:color="auto" w:sz="4" w:space="0"/>
              <w:left w:val="single" w:color="auto" w:sz="4" w:space="0"/>
              <w:bottom w:val="single" w:color="auto" w:sz="4" w:space="0"/>
              <w:right w:val="single" w:color="auto" w:sz="4" w:space="0"/>
            </w:tcBorders>
            <w:vAlign w:val="center"/>
          </w:tcPr>
          <w:p w14:paraId="3104F6E1">
            <w:pPr>
              <w:jc w:val="left"/>
              <w:rPr>
                <w:rFonts w:asciiTheme="majorEastAsia" w:hAnsiTheme="majorEastAsia" w:eastAsiaTheme="majorEastAsia" w:cstheme="majorEastAsia"/>
                <w:sz w:val="24"/>
              </w:rPr>
            </w:pPr>
          </w:p>
        </w:tc>
        <w:tc>
          <w:tcPr>
            <w:tcW w:w="2920" w:type="dxa"/>
            <w:vMerge w:val="continue"/>
            <w:tcBorders>
              <w:top w:val="single" w:color="auto" w:sz="4" w:space="0"/>
              <w:left w:val="single" w:color="auto" w:sz="4" w:space="0"/>
              <w:bottom w:val="single" w:color="auto" w:sz="4" w:space="0"/>
              <w:right w:val="single" w:color="auto" w:sz="4" w:space="0"/>
            </w:tcBorders>
            <w:vAlign w:val="center"/>
          </w:tcPr>
          <w:p w14:paraId="1AA84054">
            <w:pPr>
              <w:jc w:val="left"/>
              <w:rPr>
                <w:rFonts w:asciiTheme="majorEastAsia" w:hAnsiTheme="majorEastAsia" w:eastAsiaTheme="majorEastAsia" w:cstheme="majorEastAsia"/>
                <w:sz w:val="24"/>
              </w:rPr>
            </w:pPr>
          </w:p>
        </w:tc>
      </w:tr>
      <w:tr w14:paraId="5A1FD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80" w:type="dxa"/>
            <w:tcBorders>
              <w:top w:val="single" w:color="auto" w:sz="4" w:space="0"/>
              <w:left w:val="single" w:color="auto" w:sz="4" w:space="0"/>
              <w:bottom w:val="single" w:color="auto" w:sz="4" w:space="0"/>
              <w:right w:val="single" w:color="auto" w:sz="4" w:space="0"/>
            </w:tcBorders>
          </w:tcPr>
          <w:p w14:paraId="702C6A05">
            <w:pPr>
              <w:snapToGrid w:val="0"/>
              <w:spacing w:line="24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786B8DAB">
            <w:pPr>
              <w:snapToGrid w:val="0"/>
              <w:spacing w:line="24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6205507A">
            <w:pPr>
              <w:snapToGrid w:val="0"/>
              <w:spacing w:line="24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6D089870">
            <w:pPr>
              <w:snapToGrid w:val="0"/>
              <w:spacing w:line="240" w:lineRule="exact"/>
              <w:jc w:val="left"/>
              <w:rPr>
                <w:rFonts w:asciiTheme="majorEastAsia" w:hAnsiTheme="majorEastAsia" w:eastAsiaTheme="majorEastAsia" w:cstheme="majorEastAsia"/>
                <w:sz w:val="24"/>
              </w:rPr>
            </w:pPr>
          </w:p>
        </w:tc>
      </w:tr>
      <w:tr w14:paraId="34BC2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14:paraId="21F35D02">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471B21CC">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326A39AF">
            <w:pPr>
              <w:snapToGrid w:val="0"/>
              <w:spacing w:before="50" w:after="120" w:afterLines="50" w:line="40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628710ED">
            <w:pPr>
              <w:snapToGrid w:val="0"/>
              <w:spacing w:before="50" w:after="120" w:afterLines="50" w:line="400" w:lineRule="exact"/>
              <w:jc w:val="left"/>
              <w:rPr>
                <w:rFonts w:asciiTheme="majorEastAsia" w:hAnsiTheme="majorEastAsia" w:eastAsiaTheme="majorEastAsia" w:cstheme="majorEastAsia"/>
                <w:sz w:val="24"/>
              </w:rPr>
            </w:pPr>
          </w:p>
        </w:tc>
      </w:tr>
      <w:tr w14:paraId="37ABE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80" w:type="dxa"/>
            <w:tcBorders>
              <w:top w:val="single" w:color="auto" w:sz="4" w:space="0"/>
              <w:left w:val="single" w:color="auto" w:sz="4" w:space="0"/>
              <w:bottom w:val="single" w:color="auto" w:sz="4" w:space="0"/>
              <w:right w:val="single" w:color="auto" w:sz="4" w:space="0"/>
            </w:tcBorders>
          </w:tcPr>
          <w:p w14:paraId="35E18DCD">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3FC24B71">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0207934C">
            <w:pPr>
              <w:snapToGrid w:val="0"/>
              <w:spacing w:before="50" w:after="120" w:afterLines="50" w:line="40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15EE64A7">
            <w:pPr>
              <w:snapToGrid w:val="0"/>
              <w:spacing w:before="50" w:after="120" w:afterLines="50" w:line="400" w:lineRule="exact"/>
              <w:jc w:val="left"/>
              <w:rPr>
                <w:rFonts w:asciiTheme="majorEastAsia" w:hAnsiTheme="majorEastAsia" w:eastAsiaTheme="majorEastAsia" w:cstheme="majorEastAsia"/>
                <w:sz w:val="24"/>
              </w:rPr>
            </w:pPr>
          </w:p>
        </w:tc>
      </w:tr>
      <w:tr w14:paraId="671B9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14:paraId="103918AF">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5C319C72">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42F908A2">
            <w:pPr>
              <w:snapToGrid w:val="0"/>
              <w:spacing w:before="50" w:after="120" w:afterLines="50" w:line="40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3D0CAC64">
            <w:pPr>
              <w:snapToGrid w:val="0"/>
              <w:spacing w:before="50" w:after="120" w:afterLines="50" w:line="400" w:lineRule="exact"/>
              <w:jc w:val="left"/>
              <w:rPr>
                <w:rFonts w:asciiTheme="majorEastAsia" w:hAnsiTheme="majorEastAsia" w:eastAsiaTheme="majorEastAsia" w:cstheme="majorEastAsia"/>
                <w:sz w:val="24"/>
              </w:rPr>
            </w:pPr>
          </w:p>
        </w:tc>
      </w:tr>
      <w:tr w14:paraId="71DAA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14:paraId="4BA3E829">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57EB3D0E">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0F41CA40">
            <w:pPr>
              <w:snapToGrid w:val="0"/>
              <w:spacing w:before="50" w:after="120" w:afterLines="50" w:line="40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209835B2">
            <w:pPr>
              <w:snapToGrid w:val="0"/>
              <w:spacing w:before="50" w:after="120" w:afterLines="50" w:line="400" w:lineRule="exact"/>
              <w:jc w:val="left"/>
              <w:rPr>
                <w:rFonts w:asciiTheme="majorEastAsia" w:hAnsiTheme="majorEastAsia" w:eastAsiaTheme="majorEastAsia" w:cstheme="majorEastAsia"/>
                <w:sz w:val="24"/>
              </w:rPr>
            </w:pPr>
          </w:p>
        </w:tc>
      </w:tr>
    </w:tbl>
    <w:p w14:paraId="3F4AE8E3">
      <w:pPr>
        <w:pStyle w:val="14"/>
        <w:spacing w:before="0" w:after="0" w:line="360" w:lineRule="auto"/>
        <w:contextualSpacing/>
        <w:rPr>
          <w:rFonts w:asciiTheme="majorEastAsia" w:hAnsiTheme="majorEastAsia" w:eastAsiaTheme="majorEastAsia" w:cstheme="majorEastAsia"/>
          <w:sz w:val="24"/>
          <w:szCs w:val="24"/>
        </w:rPr>
      </w:pPr>
    </w:p>
    <w:p w14:paraId="0D71E523">
      <w:pPr>
        <w:pStyle w:val="14"/>
        <w:spacing w:before="0" w:after="0" w:line="360" w:lineRule="auto"/>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w:t>
      </w:r>
      <w:r>
        <w:rPr>
          <w:rFonts w:hint="eastAsia" w:asciiTheme="majorEastAsia" w:hAnsiTheme="majorEastAsia" w:eastAsiaTheme="majorEastAsia" w:cstheme="majorEastAsia"/>
          <w:sz w:val="24"/>
        </w:rPr>
        <w:t>投标人根据评标标准具体要求附业绩证明材料。</w:t>
      </w:r>
    </w:p>
    <w:p w14:paraId="44B6605D">
      <w:pPr>
        <w:pStyle w:val="14"/>
        <w:spacing w:before="0" w:after="0" w:line="360" w:lineRule="auto"/>
        <w:contextualSpacing/>
        <w:jc w:val="left"/>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法定代表人或者委托代理人（签字或者电子签名）：</w:t>
      </w:r>
      <w:r>
        <w:rPr>
          <w:rFonts w:hint="eastAsia" w:asciiTheme="majorEastAsia" w:hAnsiTheme="majorEastAsia" w:eastAsiaTheme="majorEastAsia" w:cstheme="majorEastAsia"/>
          <w:sz w:val="24"/>
          <w:szCs w:val="24"/>
          <w:u w:val="single"/>
        </w:rPr>
        <w:t>　　　　　</w:t>
      </w:r>
    </w:p>
    <w:p w14:paraId="1645200E">
      <w:pPr>
        <w:spacing w:line="360" w:lineRule="auto"/>
        <w:ind w:right="480"/>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rPr>
        <w:t>投标人名称（电子签章）：                                                               年    月    日</w:t>
      </w:r>
    </w:p>
    <w:p w14:paraId="6B6D417F">
      <w:pPr>
        <w:snapToGrid w:val="0"/>
        <w:spacing w:before="50"/>
        <w:ind w:firstLine="480" w:firstLineChars="200"/>
        <w:jc w:val="left"/>
        <w:rPr>
          <w:rFonts w:asciiTheme="majorEastAsia" w:hAnsiTheme="majorEastAsia" w:eastAsiaTheme="majorEastAsia" w:cstheme="majorEastAsia"/>
          <w:sz w:val="24"/>
          <w:szCs w:val="20"/>
        </w:rPr>
      </w:pPr>
    </w:p>
    <w:p w14:paraId="50B06312">
      <w:pPr>
        <w:snapToGrid w:val="0"/>
        <w:spacing w:before="120" w:beforeLines="50" w:after="5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sz w:val="24"/>
        </w:rPr>
        <w:br w:type="page"/>
      </w:r>
      <w:r>
        <w:rPr>
          <w:rFonts w:hint="eastAsia" w:asciiTheme="majorEastAsia" w:hAnsiTheme="majorEastAsia" w:eastAsiaTheme="majorEastAsia" w:cstheme="majorEastAsia"/>
          <w:b/>
          <w:bCs/>
          <w:sz w:val="24"/>
        </w:rPr>
        <w:t>8. 代理服务费承诺书</w:t>
      </w:r>
    </w:p>
    <w:p w14:paraId="6EF52C99">
      <w:pPr>
        <w:snapToGrid w:val="0"/>
        <w:spacing w:before="120" w:beforeLines="50" w:after="50"/>
        <w:jc w:val="left"/>
        <w:rPr>
          <w:rFonts w:asciiTheme="majorEastAsia" w:hAnsiTheme="majorEastAsia" w:eastAsiaTheme="majorEastAsia" w:cstheme="majorEastAsia"/>
          <w:bCs/>
          <w:szCs w:val="21"/>
        </w:rPr>
      </w:pPr>
    </w:p>
    <w:p w14:paraId="5DC57867">
      <w:pPr>
        <w:snapToGrid w:val="0"/>
        <w:spacing w:before="120" w:beforeLines="50" w:after="50"/>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代理服务费承诺书</w:t>
      </w:r>
    </w:p>
    <w:p w14:paraId="217E5FDA">
      <w:pPr>
        <w:snapToGrid w:val="0"/>
        <w:spacing w:before="120" w:beforeLines="50" w:after="50"/>
        <w:jc w:val="center"/>
        <w:rPr>
          <w:rFonts w:asciiTheme="majorEastAsia" w:hAnsiTheme="majorEastAsia" w:eastAsiaTheme="majorEastAsia" w:cstheme="majorEastAsia"/>
          <w:b/>
          <w:sz w:val="24"/>
        </w:rPr>
      </w:pPr>
    </w:p>
    <w:p w14:paraId="11410992">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Cs/>
          <w:sz w:val="24"/>
        </w:rPr>
        <w:t>致：</w:t>
      </w:r>
      <w:r>
        <w:rPr>
          <w:rFonts w:hint="eastAsia" w:asciiTheme="majorEastAsia" w:hAnsiTheme="majorEastAsia" w:eastAsiaTheme="majorEastAsia" w:cstheme="majorEastAsia"/>
          <w:sz w:val="24"/>
          <w:u w:val="single"/>
        </w:rPr>
        <w:t>招标代理机构名称</w:t>
      </w:r>
      <w:r>
        <w:rPr>
          <w:rFonts w:hint="eastAsia" w:asciiTheme="majorEastAsia" w:hAnsiTheme="majorEastAsia" w:eastAsiaTheme="majorEastAsia" w:cstheme="majorEastAsia"/>
          <w:sz w:val="24"/>
        </w:rPr>
        <w:t>：</w:t>
      </w:r>
    </w:p>
    <w:p w14:paraId="412B9ED2">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本单位参加了贵方组织的</w:t>
      </w:r>
      <w:r>
        <w:rPr>
          <w:rFonts w:hint="eastAsia" w:asciiTheme="majorEastAsia" w:hAnsiTheme="majorEastAsia" w:eastAsiaTheme="majorEastAsia" w:cstheme="majorEastAsia"/>
          <w:sz w:val="24"/>
          <w:u w:val="single"/>
        </w:rPr>
        <w:t xml:space="preserve">  项目名称（项目编号）  </w:t>
      </w:r>
      <w:r>
        <w:rPr>
          <w:rFonts w:hint="eastAsia" w:asciiTheme="majorEastAsia" w:hAnsiTheme="majorEastAsia" w:eastAsiaTheme="majorEastAsia" w:cstheme="majorEastAsia"/>
          <w:sz w:val="24"/>
        </w:rPr>
        <w:t>项目， 在此说明如下：</w:t>
      </w:r>
    </w:p>
    <w:p w14:paraId="6FE21D50">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1.我方承诺，若本单位中标，保证在发出中标通知书之后，按本项目招标文件的规定标准向贵单位一次性足额支付代理服务费。</w:t>
      </w:r>
    </w:p>
    <w:p w14:paraId="2159BA3F">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2.本单位选择第种方式作为代理服务费开票类型：</w:t>
      </w:r>
    </w:p>
    <w:p w14:paraId="3232B97E">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第一种方式：开具增值税普通发票。开票信息如下：</w:t>
      </w:r>
    </w:p>
    <w:p w14:paraId="51D9A54D">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（1）公司名称</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5849737C">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（2）纳税人识别号</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24FF7883">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第二种方式：开具增值税专用发票，开票信息如下：</w:t>
      </w:r>
    </w:p>
    <w:p w14:paraId="39FAC48A">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（1）公司名称</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1E7B4F6C">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（2）纳税人识别号</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783DADF0">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（3）在税局登记的地址</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15D4DE1F">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（4）在税局登记的电话</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662BC2FA">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（5）开户银行</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3C8C6725">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（6）银行账户</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7FB443A4">
      <w:pPr>
        <w:spacing w:line="440" w:lineRule="exact"/>
        <w:rPr>
          <w:rFonts w:asciiTheme="majorEastAsia" w:hAnsiTheme="majorEastAsia" w:eastAsiaTheme="majorEastAsia" w:cstheme="majorEastAsia"/>
          <w:sz w:val="24"/>
        </w:rPr>
      </w:pPr>
    </w:p>
    <w:p w14:paraId="72EDA515">
      <w:pPr>
        <w:spacing w:line="440" w:lineRule="exact"/>
        <w:rPr>
          <w:rFonts w:asciiTheme="majorEastAsia" w:hAnsiTheme="majorEastAsia" w:eastAsiaTheme="majorEastAsia" w:cstheme="majorEastAsia"/>
          <w:sz w:val="24"/>
        </w:rPr>
      </w:pPr>
    </w:p>
    <w:p w14:paraId="4B506606">
      <w:pPr>
        <w:spacing w:line="440" w:lineRule="exact"/>
        <w:rPr>
          <w:rFonts w:asciiTheme="majorEastAsia" w:hAnsiTheme="majorEastAsia" w:eastAsiaTheme="majorEastAsia" w:cstheme="majorEastAsia"/>
          <w:sz w:val="24"/>
        </w:rPr>
      </w:pPr>
    </w:p>
    <w:p w14:paraId="4ABFE28F">
      <w:pPr>
        <w:snapToGrid w:val="0"/>
        <w:spacing w:line="360" w:lineRule="auto"/>
        <w:ind w:left="-2" w:leftChars="-1" w:right="-817" w:rightChars="-389" w:firstLine="1920" w:firstLineChars="8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法定代表人或者委托代理人（签字或者电子签名）： </w:t>
      </w:r>
    </w:p>
    <w:p w14:paraId="12901030">
      <w:pPr>
        <w:snapToGrid w:val="0"/>
        <w:spacing w:line="360" w:lineRule="auto"/>
        <w:ind w:left="-3" w:leftChars="-15" w:right="-817" w:rightChars="-389" w:hanging="28" w:hangingChars="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供应商公章（电子签章）：</w:t>
      </w:r>
    </w:p>
    <w:p w14:paraId="0E741062">
      <w:pPr>
        <w:snapToGrid w:val="0"/>
        <w:spacing w:line="360" w:lineRule="auto"/>
        <w:ind w:right="480" w:firstLine="240" w:firstLineChars="1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 w:val="24"/>
        </w:rPr>
        <w:t xml:space="preserve">                                    日期：    年   月   日</w:t>
      </w:r>
    </w:p>
    <w:p w14:paraId="78C649C9">
      <w:pPr>
        <w:rPr>
          <w:rFonts w:asciiTheme="majorEastAsia" w:hAnsiTheme="majorEastAsia" w:eastAsiaTheme="majorEastAsia" w:cstheme="majorEastAsia"/>
        </w:rPr>
      </w:pPr>
    </w:p>
    <w:p w14:paraId="60503135">
      <w:pPr>
        <w:snapToGrid w:val="0"/>
        <w:spacing w:before="50"/>
        <w:jc w:val="left"/>
        <w:rPr>
          <w:rFonts w:asciiTheme="majorEastAsia" w:hAnsiTheme="majorEastAsia" w:eastAsiaTheme="majorEastAsia" w:cstheme="majorEastAsia"/>
          <w:sz w:val="24"/>
        </w:rPr>
      </w:pPr>
    </w:p>
    <w:p w14:paraId="58E24D2E">
      <w:pPr>
        <w:snapToGrid w:val="0"/>
        <w:spacing w:before="120" w:beforeLines="50"/>
        <w:rPr>
          <w:rFonts w:asciiTheme="majorEastAsia" w:hAnsiTheme="majorEastAsia" w:eastAsiaTheme="majorEastAsia" w:cstheme="majorEastAsia"/>
          <w:sz w:val="24"/>
          <w:szCs w:val="20"/>
        </w:rPr>
        <w:sectPr>
          <w:footerReference r:id="rId5" w:type="first"/>
          <w:headerReference r:id="rId3" w:type="default"/>
          <w:footerReference r:id="rId4" w:type="default"/>
          <w:pgSz w:w="11906" w:h="16838"/>
          <w:pgMar w:top="1701" w:right="1701" w:bottom="1701" w:left="1701" w:header="851" w:footer="992" w:gutter="0"/>
          <w:cols w:space="720" w:num="1"/>
          <w:titlePg/>
          <w:docGrid w:linePitch="312" w:charSpace="0"/>
        </w:sectPr>
      </w:pPr>
    </w:p>
    <w:p w14:paraId="0AB144AC">
      <w:pPr>
        <w:snapToGrid w:val="0"/>
        <w:spacing w:before="120" w:beforeLines="50" w:after="50"/>
        <w:ind w:left="14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9. 技术要求偏离表格式</w:t>
      </w:r>
    </w:p>
    <w:p w14:paraId="24B552ED">
      <w:pPr>
        <w:snapToGrid w:val="0"/>
        <w:spacing w:before="120" w:beforeLines="50" w:after="50"/>
        <w:ind w:left="142"/>
        <w:jc w:val="left"/>
        <w:rPr>
          <w:rFonts w:asciiTheme="majorEastAsia" w:hAnsiTheme="majorEastAsia" w:eastAsiaTheme="majorEastAsia" w:cstheme="majorEastAsia"/>
          <w:b/>
          <w:sz w:val="24"/>
        </w:rPr>
      </w:pPr>
    </w:p>
    <w:p w14:paraId="6A813B1D">
      <w:pPr>
        <w:snapToGrid w:val="0"/>
        <w:spacing w:before="120" w:beforeLines="50" w:after="50"/>
        <w:ind w:left="142"/>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技术要求偏离表</w:t>
      </w:r>
    </w:p>
    <w:p w14:paraId="1AFD0D38">
      <w:pPr>
        <w:pStyle w:val="2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所投分标：分标</w:t>
      </w:r>
    </w:p>
    <w:tbl>
      <w:tblPr>
        <w:tblStyle w:val="4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19A9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74244051">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项号</w:t>
            </w:r>
          </w:p>
        </w:tc>
        <w:tc>
          <w:tcPr>
            <w:tcW w:w="2143" w:type="dxa"/>
            <w:vAlign w:val="center"/>
          </w:tcPr>
          <w:p w14:paraId="6D4E7671">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标的的名称</w:t>
            </w:r>
          </w:p>
        </w:tc>
        <w:tc>
          <w:tcPr>
            <w:tcW w:w="1834" w:type="dxa"/>
            <w:vAlign w:val="center"/>
          </w:tcPr>
          <w:p w14:paraId="138AC4B0">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技术要求</w:t>
            </w:r>
          </w:p>
        </w:tc>
        <w:tc>
          <w:tcPr>
            <w:tcW w:w="2181" w:type="dxa"/>
            <w:vAlign w:val="center"/>
          </w:tcPr>
          <w:p w14:paraId="6A867D21">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投标响应</w:t>
            </w:r>
          </w:p>
        </w:tc>
        <w:tc>
          <w:tcPr>
            <w:tcW w:w="1934" w:type="dxa"/>
            <w:vAlign w:val="center"/>
          </w:tcPr>
          <w:p w14:paraId="37BA1939">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偏离说明</w:t>
            </w:r>
          </w:p>
        </w:tc>
      </w:tr>
      <w:tr w14:paraId="6B5B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6760521">
            <w:pPr>
              <w:pStyle w:val="25"/>
              <w:spacing w:line="600" w:lineRule="exact"/>
              <w:jc w:val="center"/>
              <w:rPr>
                <w:rFonts w:asciiTheme="majorEastAsia" w:hAnsiTheme="majorEastAsia" w:eastAsiaTheme="majorEastAsia" w:cstheme="majorEastAsia"/>
                <w:kern w:val="2"/>
                <w:sz w:val="24"/>
                <w:szCs w:val="24"/>
              </w:rPr>
            </w:pPr>
          </w:p>
        </w:tc>
        <w:tc>
          <w:tcPr>
            <w:tcW w:w="2143" w:type="dxa"/>
            <w:vAlign w:val="center"/>
          </w:tcPr>
          <w:p w14:paraId="35E1FE2D">
            <w:pPr>
              <w:pStyle w:val="25"/>
              <w:spacing w:line="600" w:lineRule="exact"/>
              <w:jc w:val="center"/>
              <w:rPr>
                <w:rFonts w:asciiTheme="majorEastAsia" w:hAnsiTheme="majorEastAsia" w:eastAsiaTheme="majorEastAsia" w:cstheme="majorEastAsia"/>
                <w:kern w:val="2"/>
                <w:sz w:val="24"/>
                <w:szCs w:val="24"/>
              </w:rPr>
            </w:pPr>
          </w:p>
        </w:tc>
        <w:tc>
          <w:tcPr>
            <w:tcW w:w="1834" w:type="dxa"/>
            <w:vAlign w:val="center"/>
          </w:tcPr>
          <w:p w14:paraId="05D5EAE1">
            <w:pPr>
              <w:pStyle w:val="25"/>
              <w:spacing w:line="600" w:lineRule="exact"/>
              <w:jc w:val="center"/>
              <w:rPr>
                <w:rFonts w:asciiTheme="majorEastAsia" w:hAnsiTheme="majorEastAsia" w:eastAsiaTheme="majorEastAsia" w:cstheme="majorEastAsia"/>
                <w:kern w:val="2"/>
                <w:sz w:val="24"/>
                <w:szCs w:val="24"/>
              </w:rPr>
            </w:pPr>
          </w:p>
        </w:tc>
        <w:tc>
          <w:tcPr>
            <w:tcW w:w="2181" w:type="dxa"/>
            <w:vAlign w:val="center"/>
          </w:tcPr>
          <w:p w14:paraId="47AA4388">
            <w:pPr>
              <w:pStyle w:val="25"/>
              <w:spacing w:line="600" w:lineRule="exact"/>
              <w:jc w:val="center"/>
              <w:rPr>
                <w:rFonts w:asciiTheme="majorEastAsia" w:hAnsiTheme="majorEastAsia" w:eastAsiaTheme="majorEastAsia" w:cstheme="majorEastAsia"/>
                <w:kern w:val="2"/>
                <w:sz w:val="24"/>
                <w:szCs w:val="24"/>
              </w:rPr>
            </w:pPr>
          </w:p>
        </w:tc>
        <w:tc>
          <w:tcPr>
            <w:tcW w:w="1934" w:type="dxa"/>
            <w:vAlign w:val="center"/>
          </w:tcPr>
          <w:p w14:paraId="7BF6DAFA">
            <w:pPr>
              <w:pStyle w:val="25"/>
              <w:spacing w:line="600" w:lineRule="exact"/>
              <w:jc w:val="center"/>
              <w:rPr>
                <w:rFonts w:asciiTheme="majorEastAsia" w:hAnsiTheme="majorEastAsia" w:eastAsiaTheme="majorEastAsia" w:cstheme="majorEastAsia"/>
                <w:kern w:val="2"/>
                <w:sz w:val="24"/>
                <w:szCs w:val="24"/>
              </w:rPr>
            </w:pPr>
          </w:p>
        </w:tc>
      </w:tr>
      <w:tr w14:paraId="113A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126FE4C">
            <w:pPr>
              <w:pStyle w:val="25"/>
              <w:spacing w:line="600" w:lineRule="exact"/>
              <w:rPr>
                <w:rFonts w:asciiTheme="majorEastAsia" w:hAnsiTheme="majorEastAsia" w:eastAsiaTheme="majorEastAsia" w:cstheme="majorEastAsia"/>
                <w:kern w:val="2"/>
                <w:sz w:val="24"/>
                <w:szCs w:val="24"/>
              </w:rPr>
            </w:pPr>
          </w:p>
        </w:tc>
        <w:tc>
          <w:tcPr>
            <w:tcW w:w="2143" w:type="dxa"/>
          </w:tcPr>
          <w:p w14:paraId="1D10444D">
            <w:pPr>
              <w:pStyle w:val="25"/>
              <w:spacing w:line="600" w:lineRule="exact"/>
              <w:rPr>
                <w:rFonts w:asciiTheme="majorEastAsia" w:hAnsiTheme="majorEastAsia" w:eastAsiaTheme="majorEastAsia" w:cstheme="majorEastAsia"/>
                <w:kern w:val="2"/>
                <w:sz w:val="24"/>
                <w:szCs w:val="24"/>
              </w:rPr>
            </w:pPr>
          </w:p>
        </w:tc>
        <w:tc>
          <w:tcPr>
            <w:tcW w:w="1834" w:type="dxa"/>
          </w:tcPr>
          <w:p w14:paraId="3CBE38A7">
            <w:pPr>
              <w:pStyle w:val="25"/>
              <w:spacing w:line="600" w:lineRule="exact"/>
              <w:rPr>
                <w:rFonts w:asciiTheme="majorEastAsia" w:hAnsiTheme="majorEastAsia" w:eastAsiaTheme="majorEastAsia" w:cstheme="majorEastAsia"/>
                <w:kern w:val="2"/>
                <w:sz w:val="24"/>
                <w:szCs w:val="24"/>
              </w:rPr>
            </w:pPr>
          </w:p>
        </w:tc>
        <w:tc>
          <w:tcPr>
            <w:tcW w:w="2181" w:type="dxa"/>
          </w:tcPr>
          <w:p w14:paraId="5F3E112B">
            <w:pPr>
              <w:pStyle w:val="25"/>
              <w:spacing w:line="600" w:lineRule="exact"/>
              <w:rPr>
                <w:rFonts w:asciiTheme="majorEastAsia" w:hAnsiTheme="majorEastAsia" w:eastAsiaTheme="majorEastAsia" w:cstheme="majorEastAsia"/>
                <w:kern w:val="2"/>
                <w:sz w:val="24"/>
                <w:szCs w:val="24"/>
              </w:rPr>
            </w:pPr>
          </w:p>
        </w:tc>
        <w:tc>
          <w:tcPr>
            <w:tcW w:w="1934" w:type="dxa"/>
          </w:tcPr>
          <w:p w14:paraId="2ACE3043">
            <w:pPr>
              <w:pStyle w:val="25"/>
              <w:spacing w:line="600" w:lineRule="exact"/>
              <w:rPr>
                <w:rFonts w:asciiTheme="majorEastAsia" w:hAnsiTheme="majorEastAsia" w:eastAsiaTheme="majorEastAsia" w:cstheme="majorEastAsia"/>
                <w:kern w:val="2"/>
                <w:sz w:val="24"/>
                <w:szCs w:val="24"/>
              </w:rPr>
            </w:pPr>
          </w:p>
        </w:tc>
      </w:tr>
      <w:tr w14:paraId="16F5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05B19D3">
            <w:pPr>
              <w:pStyle w:val="25"/>
              <w:spacing w:line="600" w:lineRule="exact"/>
              <w:rPr>
                <w:rFonts w:asciiTheme="majorEastAsia" w:hAnsiTheme="majorEastAsia" w:eastAsiaTheme="majorEastAsia" w:cstheme="majorEastAsia"/>
                <w:kern w:val="2"/>
                <w:sz w:val="24"/>
                <w:szCs w:val="24"/>
              </w:rPr>
            </w:pPr>
          </w:p>
        </w:tc>
        <w:tc>
          <w:tcPr>
            <w:tcW w:w="2143" w:type="dxa"/>
          </w:tcPr>
          <w:p w14:paraId="1DD1D66B">
            <w:pPr>
              <w:pStyle w:val="25"/>
              <w:spacing w:line="600" w:lineRule="exact"/>
              <w:rPr>
                <w:rFonts w:asciiTheme="majorEastAsia" w:hAnsiTheme="majorEastAsia" w:eastAsiaTheme="majorEastAsia" w:cstheme="majorEastAsia"/>
                <w:kern w:val="2"/>
                <w:sz w:val="24"/>
                <w:szCs w:val="24"/>
              </w:rPr>
            </w:pPr>
          </w:p>
        </w:tc>
        <w:tc>
          <w:tcPr>
            <w:tcW w:w="1834" w:type="dxa"/>
          </w:tcPr>
          <w:p w14:paraId="5D57D3C1">
            <w:pPr>
              <w:pStyle w:val="25"/>
              <w:spacing w:line="600" w:lineRule="exact"/>
              <w:rPr>
                <w:rFonts w:asciiTheme="majorEastAsia" w:hAnsiTheme="majorEastAsia" w:eastAsiaTheme="majorEastAsia" w:cstheme="majorEastAsia"/>
                <w:kern w:val="2"/>
                <w:sz w:val="24"/>
                <w:szCs w:val="24"/>
              </w:rPr>
            </w:pPr>
          </w:p>
        </w:tc>
        <w:tc>
          <w:tcPr>
            <w:tcW w:w="2181" w:type="dxa"/>
          </w:tcPr>
          <w:p w14:paraId="372AA2DE">
            <w:pPr>
              <w:pStyle w:val="25"/>
              <w:spacing w:line="600" w:lineRule="exact"/>
              <w:rPr>
                <w:rFonts w:asciiTheme="majorEastAsia" w:hAnsiTheme="majorEastAsia" w:eastAsiaTheme="majorEastAsia" w:cstheme="majorEastAsia"/>
                <w:kern w:val="2"/>
                <w:sz w:val="24"/>
                <w:szCs w:val="24"/>
              </w:rPr>
            </w:pPr>
          </w:p>
        </w:tc>
        <w:tc>
          <w:tcPr>
            <w:tcW w:w="1934" w:type="dxa"/>
          </w:tcPr>
          <w:p w14:paraId="35A68DC8">
            <w:pPr>
              <w:pStyle w:val="25"/>
              <w:spacing w:line="600" w:lineRule="exact"/>
              <w:rPr>
                <w:rFonts w:asciiTheme="majorEastAsia" w:hAnsiTheme="majorEastAsia" w:eastAsiaTheme="majorEastAsia" w:cstheme="majorEastAsia"/>
                <w:kern w:val="2"/>
                <w:sz w:val="24"/>
                <w:szCs w:val="24"/>
              </w:rPr>
            </w:pPr>
          </w:p>
        </w:tc>
      </w:tr>
      <w:tr w14:paraId="5D37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DCF8E0B">
            <w:pPr>
              <w:pStyle w:val="25"/>
              <w:spacing w:line="600" w:lineRule="exact"/>
              <w:rPr>
                <w:rFonts w:asciiTheme="majorEastAsia" w:hAnsiTheme="majorEastAsia" w:eastAsiaTheme="majorEastAsia" w:cstheme="majorEastAsia"/>
                <w:kern w:val="2"/>
                <w:sz w:val="24"/>
                <w:szCs w:val="24"/>
              </w:rPr>
            </w:pPr>
          </w:p>
        </w:tc>
        <w:tc>
          <w:tcPr>
            <w:tcW w:w="2143" w:type="dxa"/>
          </w:tcPr>
          <w:p w14:paraId="73344F63">
            <w:pPr>
              <w:pStyle w:val="25"/>
              <w:spacing w:line="600" w:lineRule="exact"/>
              <w:rPr>
                <w:rFonts w:asciiTheme="majorEastAsia" w:hAnsiTheme="majorEastAsia" w:eastAsiaTheme="majorEastAsia" w:cstheme="majorEastAsia"/>
                <w:kern w:val="2"/>
                <w:sz w:val="24"/>
                <w:szCs w:val="24"/>
              </w:rPr>
            </w:pPr>
          </w:p>
        </w:tc>
        <w:tc>
          <w:tcPr>
            <w:tcW w:w="1834" w:type="dxa"/>
          </w:tcPr>
          <w:p w14:paraId="6745E7A9">
            <w:pPr>
              <w:pStyle w:val="25"/>
              <w:spacing w:line="600" w:lineRule="exact"/>
              <w:rPr>
                <w:rFonts w:asciiTheme="majorEastAsia" w:hAnsiTheme="majorEastAsia" w:eastAsiaTheme="majorEastAsia" w:cstheme="majorEastAsia"/>
                <w:kern w:val="2"/>
                <w:sz w:val="24"/>
                <w:szCs w:val="24"/>
              </w:rPr>
            </w:pPr>
          </w:p>
        </w:tc>
        <w:tc>
          <w:tcPr>
            <w:tcW w:w="2181" w:type="dxa"/>
          </w:tcPr>
          <w:p w14:paraId="7337E0C2">
            <w:pPr>
              <w:pStyle w:val="25"/>
              <w:spacing w:line="600" w:lineRule="exact"/>
              <w:rPr>
                <w:rFonts w:asciiTheme="majorEastAsia" w:hAnsiTheme="majorEastAsia" w:eastAsiaTheme="majorEastAsia" w:cstheme="majorEastAsia"/>
                <w:kern w:val="2"/>
                <w:sz w:val="24"/>
                <w:szCs w:val="24"/>
              </w:rPr>
            </w:pPr>
          </w:p>
        </w:tc>
        <w:tc>
          <w:tcPr>
            <w:tcW w:w="1934" w:type="dxa"/>
          </w:tcPr>
          <w:p w14:paraId="4D35B646">
            <w:pPr>
              <w:pStyle w:val="25"/>
              <w:spacing w:line="600" w:lineRule="exact"/>
              <w:rPr>
                <w:rFonts w:asciiTheme="majorEastAsia" w:hAnsiTheme="majorEastAsia" w:eastAsiaTheme="majorEastAsia" w:cstheme="majorEastAsia"/>
                <w:kern w:val="2"/>
                <w:sz w:val="24"/>
                <w:szCs w:val="24"/>
              </w:rPr>
            </w:pPr>
          </w:p>
        </w:tc>
      </w:tr>
      <w:tr w14:paraId="71F7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E5D61BB">
            <w:pPr>
              <w:pStyle w:val="25"/>
              <w:spacing w:line="600" w:lineRule="exact"/>
              <w:rPr>
                <w:rFonts w:asciiTheme="majorEastAsia" w:hAnsiTheme="majorEastAsia" w:eastAsiaTheme="majorEastAsia" w:cstheme="majorEastAsia"/>
                <w:kern w:val="2"/>
                <w:sz w:val="24"/>
                <w:szCs w:val="24"/>
              </w:rPr>
            </w:pPr>
          </w:p>
        </w:tc>
        <w:tc>
          <w:tcPr>
            <w:tcW w:w="2143" w:type="dxa"/>
          </w:tcPr>
          <w:p w14:paraId="50A376B8">
            <w:pPr>
              <w:pStyle w:val="25"/>
              <w:spacing w:line="600" w:lineRule="exact"/>
              <w:rPr>
                <w:rFonts w:asciiTheme="majorEastAsia" w:hAnsiTheme="majorEastAsia" w:eastAsiaTheme="majorEastAsia" w:cstheme="majorEastAsia"/>
                <w:kern w:val="2"/>
                <w:sz w:val="24"/>
                <w:szCs w:val="24"/>
              </w:rPr>
            </w:pPr>
          </w:p>
        </w:tc>
        <w:tc>
          <w:tcPr>
            <w:tcW w:w="1834" w:type="dxa"/>
          </w:tcPr>
          <w:p w14:paraId="3309ED32">
            <w:pPr>
              <w:pStyle w:val="25"/>
              <w:spacing w:line="600" w:lineRule="exact"/>
              <w:rPr>
                <w:rFonts w:asciiTheme="majorEastAsia" w:hAnsiTheme="majorEastAsia" w:eastAsiaTheme="majorEastAsia" w:cstheme="majorEastAsia"/>
                <w:kern w:val="2"/>
                <w:sz w:val="24"/>
                <w:szCs w:val="24"/>
              </w:rPr>
            </w:pPr>
          </w:p>
        </w:tc>
        <w:tc>
          <w:tcPr>
            <w:tcW w:w="2181" w:type="dxa"/>
          </w:tcPr>
          <w:p w14:paraId="768C4965">
            <w:pPr>
              <w:pStyle w:val="25"/>
              <w:spacing w:line="600" w:lineRule="exact"/>
              <w:rPr>
                <w:rFonts w:asciiTheme="majorEastAsia" w:hAnsiTheme="majorEastAsia" w:eastAsiaTheme="majorEastAsia" w:cstheme="majorEastAsia"/>
                <w:kern w:val="2"/>
                <w:sz w:val="24"/>
                <w:szCs w:val="24"/>
              </w:rPr>
            </w:pPr>
          </w:p>
        </w:tc>
        <w:tc>
          <w:tcPr>
            <w:tcW w:w="1934" w:type="dxa"/>
          </w:tcPr>
          <w:p w14:paraId="706D2AFF">
            <w:pPr>
              <w:pStyle w:val="25"/>
              <w:spacing w:line="600" w:lineRule="exact"/>
              <w:rPr>
                <w:rFonts w:asciiTheme="majorEastAsia" w:hAnsiTheme="majorEastAsia" w:eastAsiaTheme="majorEastAsia" w:cstheme="majorEastAsia"/>
                <w:kern w:val="2"/>
                <w:sz w:val="24"/>
                <w:szCs w:val="24"/>
              </w:rPr>
            </w:pPr>
          </w:p>
        </w:tc>
      </w:tr>
      <w:tr w14:paraId="666C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09581D7">
            <w:pPr>
              <w:pStyle w:val="25"/>
              <w:spacing w:line="600" w:lineRule="exact"/>
              <w:rPr>
                <w:rFonts w:asciiTheme="majorEastAsia" w:hAnsiTheme="majorEastAsia" w:eastAsiaTheme="majorEastAsia" w:cstheme="majorEastAsia"/>
                <w:kern w:val="2"/>
                <w:sz w:val="24"/>
                <w:szCs w:val="24"/>
              </w:rPr>
            </w:pPr>
          </w:p>
        </w:tc>
        <w:tc>
          <w:tcPr>
            <w:tcW w:w="2143" w:type="dxa"/>
          </w:tcPr>
          <w:p w14:paraId="2DB4731A">
            <w:pPr>
              <w:pStyle w:val="25"/>
              <w:spacing w:line="600" w:lineRule="exact"/>
              <w:rPr>
                <w:rFonts w:asciiTheme="majorEastAsia" w:hAnsiTheme="majorEastAsia" w:eastAsiaTheme="majorEastAsia" w:cstheme="majorEastAsia"/>
                <w:kern w:val="2"/>
                <w:sz w:val="24"/>
                <w:szCs w:val="24"/>
              </w:rPr>
            </w:pPr>
          </w:p>
        </w:tc>
        <w:tc>
          <w:tcPr>
            <w:tcW w:w="1834" w:type="dxa"/>
          </w:tcPr>
          <w:p w14:paraId="771C07C5">
            <w:pPr>
              <w:pStyle w:val="25"/>
              <w:spacing w:line="600" w:lineRule="exact"/>
              <w:rPr>
                <w:rFonts w:asciiTheme="majorEastAsia" w:hAnsiTheme="majorEastAsia" w:eastAsiaTheme="majorEastAsia" w:cstheme="majorEastAsia"/>
                <w:kern w:val="2"/>
                <w:sz w:val="24"/>
                <w:szCs w:val="24"/>
              </w:rPr>
            </w:pPr>
          </w:p>
        </w:tc>
        <w:tc>
          <w:tcPr>
            <w:tcW w:w="2181" w:type="dxa"/>
          </w:tcPr>
          <w:p w14:paraId="48F6E2BE">
            <w:pPr>
              <w:pStyle w:val="25"/>
              <w:spacing w:line="600" w:lineRule="exact"/>
              <w:rPr>
                <w:rFonts w:asciiTheme="majorEastAsia" w:hAnsiTheme="majorEastAsia" w:eastAsiaTheme="majorEastAsia" w:cstheme="majorEastAsia"/>
                <w:kern w:val="2"/>
                <w:sz w:val="24"/>
                <w:szCs w:val="24"/>
              </w:rPr>
            </w:pPr>
          </w:p>
        </w:tc>
        <w:tc>
          <w:tcPr>
            <w:tcW w:w="1934" w:type="dxa"/>
          </w:tcPr>
          <w:p w14:paraId="152F2CC3">
            <w:pPr>
              <w:pStyle w:val="25"/>
              <w:spacing w:line="600" w:lineRule="exact"/>
              <w:rPr>
                <w:rFonts w:asciiTheme="majorEastAsia" w:hAnsiTheme="majorEastAsia" w:eastAsiaTheme="majorEastAsia" w:cstheme="majorEastAsia"/>
                <w:kern w:val="2"/>
                <w:sz w:val="24"/>
                <w:szCs w:val="24"/>
              </w:rPr>
            </w:pPr>
          </w:p>
        </w:tc>
      </w:tr>
    </w:tbl>
    <w:p w14:paraId="4B3221E8">
      <w:pPr>
        <w:pStyle w:val="18"/>
        <w:rPr>
          <w:rFonts w:asciiTheme="majorEastAsia" w:hAnsiTheme="majorEastAsia" w:eastAsiaTheme="majorEastAsia" w:cstheme="majorEastAsia"/>
        </w:rPr>
      </w:pPr>
      <w:r>
        <w:rPr>
          <w:rFonts w:hint="eastAsia" w:asciiTheme="majorEastAsia" w:hAnsiTheme="majorEastAsia" w:eastAsiaTheme="majorEastAsia" w:cstheme="majorEastAsia"/>
        </w:rPr>
        <w:t>注：</w:t>
      </w:r>
    </w:p>
    <w:p w14:paraId="6233E36B">
      <w:pPr>
        <w:pStyle w:val="20"/>
        <w:spacing w:line="360" w:lineRule="auto"/>
        <w:ind w:firstLine="0" w:firstLineChars="0"/>
        <w:rPr>
          <w:rFonts w:asciiTheme="majorEastAsia" w:hAnsiTheme="majorEastAsia" w:eastAsiaTheme="majorEastAsia" w:cstheme="majorEastAsia"/>
          <w:szCs w:val="32"/>
        </w:rPr>
      </w:pPr>
      <w:r>
        <w:rPr>
          <w:rFonts w:hint="eastAsia" w:asciiTheme="majorEastAsia" w:hAnsiTheme="majorEastAsia" w:eastAsiaTheme="majorEastAsia" w:cstheme="majorEastAsia"/>
          <w:sz w:val="24"/>
          <w:szCs w:val="24"/>
        </w:rPr>
        <w:t>1. 说明：应对照招标文件“第二章 采购需求”中的“技术要求”逐条作明确的投标响应，并作出偏离说明。</w:t>
      </w:r>
    </w:p>
    <w:p w14:paraId="5623D243">
      <w:pPr>
        <w:pStyle w:val="18"/>
        <w:spacing w:line="360" w:lineRule="auto"/>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rPr>
        <w:t>2.投标人根据投标货物的性能指标，对照招标文件技术要求，在“偏离说明”中注明“</w:t>
      </w:r>
      <w:r>
        <w:rPr>
          <w:rFonts w:hint="eastAsia" w:asciiTheme="majorEastAsia" w:hAnsiTheme="majorEastAsia" w:eastAsiaTheme="majorEastAsia" w:cstheme="majorEastAsia"/>
        </w:rPr>
        <w:t>正偏离</w:t>
      </w:r>
      <w:r>
        <w:rPr>
          <w:rFonts w:hint="eastAsia" w:asciiTheme="majorEastAsia" w:hAnsiTheme="majorEastAsia" w:eastAsiaTheme="majorEastAsia" w:cstheme="majorEastAsia"/>
          <w:b w:val="0"/>
          <w:bCs w:val="0"/>
        </w:rPr>
        <w:t>”、“</w:t>
      </w:r>
      <w:r>
        <w:rPr>
          <w:rFonts w:hint="eastAsia" w:asciiTheme="majorEastAsia" w:hAnsiTheme="majorEastAsia" w:eastAsiaTheme="majorEastAsia" w:cstheme="majorEastAsia"/>
        </w:rPr>
        <w:t>负偏离</w:t>
      </w:r>
      <w:r>
        <w:rPr>
          <w:rFonts w:hint="eastAsia" w:asciiTheme="majorEastAsia" w:hAnsiTheme="majorEastAsia" w:eastAsiaTheme="majorEastAsia" w:cstheme="majorEastAsia"/>
          <w:b w:val="0"/>
          <w:bCs w:val="0"/>
        </w:rPr>
        <w:t>”或者“</w:t>
      </w:r>
      <w:r>
        <w:rPr>
          <w:rFonts w:hint="eastAsia" w:asciiTheme="majorEastAsia" w:hAnsiTheme="majorEastAsia" w:eastAsiaTheme="majorEastAsia" w:cstheme="majorEastAsia"/>
        </w:rPr>
        <w:t>无偏离</w:t>
      </w:r>
      <w:r>
        <w:rPr>
          <w:rFonts w:hint="eastAsia" w:asciiTheme="majorEastAsia" w:hAnsiTheme="majorEastAsia" w:eastAsiaTheme="majorEastAsia" w:cstheme="majorEastAsia"/>
          <w:b w:val="0"/>
          <w:bCs w:val="0"/>
        </w:rPr>
        <w:t>”。既不属于“</w:t>
      </w:r>
      <w:r>
        <w:rPr>
          <w:rFonts w:hint="eastAsia" w:asciiTheme="majorEastAsia" w:hAnsiTheme="majorEastAsia" w:eastAsiaTheme="majorEastAsia" w:cstheme="majorEastAsia"/>
        </w:rPr>
        <w:t>正偏离</w:t>
      </w:r>
      <w:r>
        <w:rPr>
          <w:rFonts w:hint="eastAsia" w:asciiTheme="majorEastAsia" w:hAnsiTheme="majorEastAsia" w:eastAsiaTheme="majorEastAsia" w:cstheme="majorEastAsia"/>
          <w:b w:val="0"/>
          <w:bCs w:val="0"/>
        </w:rPr>
        <w:t>”也不属于“</w:t>
      </w:r>
      <w:r>
        <w:rPr>
          <w:rFonts w:hint="eastAsia" w:asciiTheme="majorEastAsia" w:hAnsiTheme="majorEastAsia" w:eastAsiaTheme="majorEastAsia" w:cstheme="majorEastAsia"/>
        </w:rPr>
        <w:t>负偏离</w:t>
      </w:r>
      <w:r>
        <w:rPr>
          <w:rFonts w:hint="eastAsia" w:asciiTheme="majorEastAsia" w:hAnsiTheme="majorEastAsia" w:eastAsiaTheme="majorEastAsia" w:cstheme="majorEastAsia"/>
          <w:b w:val="0"/>
          <w:bCs w:val="0"/>
        </w:rPr>
        <w:t>”即为“</w:t>
      </w:r>
      <w:r>
        <w:rPr>
          <w:rFonts w:hint="eastAsia" w:asciiTheme="majorEastAsia" w:hAnsiTheme="majorEastAsia" w:eastAsiaTheme="majorEastAsia" w:cstheme="majorEastAsia"/>
        </w:rPr>
        <w:t>无偏离</w:t>
      </w:r>
      <w:r>
        <w:rPr>
          <w:rFonts w:hint="eastAsia" w:asciiTheme="majorEastAsia" w:hAnsiTheme="majorEastAsia" w:eastAsiaTheme="majorEastAsia" w:cstheme="majorEastAsia"/>
          <w:b w:val="0"/>
          <w:bCs w:val="0"/>
        </w:rPr>
        <w:t>”。</w:t>
      </w:r>
    </w:p>
    <w:p w14:paraId="05D4455E">
      <w:pPr>
        <w:pStyle w:val="20"/>
        <w:spacing w:line="360" w:lineRule="auto"/>
        <w:ind w:firstLine="0" w:firstLine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如技术要求偏离表中的投标响应与佐证材料不一致的，以佐证材料为准。</w:t>
      </w:r>
    </w:p>
    <w:p w14:paraId="0F8B2376">
      <w:pPr>
        <w:spacing w:line="360" w:lineRule="auto"/>
        <w:jc w:val="left"/>
        <w:rPr>
          <w:rFonts w:asciiTheme="majorEastAsia" w:hAnsiTheme="majorEastAsia" w:eastAsiaTheme="majorEastAsia" w:cstheme="majorEastAsia"/>
        </w:rPr>
      </w:pPr>
      <w:r>
        <w:rPr>
          <w:rFonts w:hint="eastAsia" w:asciiTheme="majorEastAsia" w:hAnsiTheme="majorEastAsia" w:eastAsiaTheme="majorEastAsia" w:cstheme="majorEastAsia"/>
          <w:b/>
          <w:bCs/>
          <w:szCs w:val="21"/>
        </w:rPr>
        <w:t>4.投标人应根据自身实际情况如实响应招标文件，</w:t>
      </w:r>
      <w:r>
        <w:rPr>
          <w:rFonts w:hint="eastAsia" w:asciiTheme="majorEastAsia" w:hAnsiTheme="majorEastAsia" w:eastAsiaTheme="majorEastAsia" w:cstheme="majorEastAsia"/>
          <w:b/>
          <w:bCs/>
          <w:sz w:val="22"/>
          <w:szCs w:val="22"/>
        </w:rPr>
        <w:t>对招标文件提出的要求和条件作出明确响应</w:t>
      </w:r>
      <w:r>
        <w:rPr>
          <w:rFonts w:hint="eastAsia" w:asciiTheme="majorEastAsia" w:hAnsiTheme="majorEastAsia" w:eastAsiaTheme="majorEastAsia" w:cstheme="majorEastAsia"/>
          <w:b/>
          <w:bCs/>
          <w:szCs w:val="21"/>
        </w:rPr>
        <w:t>，不得仅将招标文件内容简单复制粘贴作为投标响应，采购需求中以范围值表述的技术要求，投标人须按照自身产品的实际技术参数如实响应招标文件</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b/>
          <w:bCs/>
          <w:szCs w:val="21"/>
        </w:rPr>
        <w:t>否则将作无效响应处理</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rPr>
        <w:t>对于重要技术条款或技术参数如要求在投标文件中提供技术支持资料，技术支持资料以招标文件中规定的形式为准，</w:t>
      </w:r>
      <w:r>
        <w:rPr>
          <w:rFonts w:hint="eastAsia" w:asciiTheme="majorEastAsia" w:hAnsiTheme="majorEastAsia" w:eastAsiaTheme="majorEastAsia" w:cstheme="majorEastAsia"/>
          <w:b/>
          <w:bCs/>
        </w:rPr>
        <w:t>否则将视为无效技术支持资料</w:t>
      </w:r>
      <w:r>
        <w:rPr>
          <w:rFonts w:hint="eastAsia" w:asciiTheme="majorEastAsia" w:hAnsiTheme="majorEastAsia" w:eastAsiaTheme="majorEastAsia" w:cstheme="majorEastAsia"/>
        </w:rPr>
        <w:t>。</w:t>
      </w:r>
    </w:p>
    <w:p w14:paraId="06122DFA">
      <w:pPr>
        <w:snapToGrid w:val="0"/>
        <w:spacing w:before="50" w:after="50" w:line="360" w:lineRule="auto"/>
        <w:rPr>
          <w:rFonts w:asciiTheme="majorEastAsia" w:hAnsiTheme="majorEastAsia" w:eastAsiaTheme="majorEastAsia" w:cstheme="majorEastAsia"/>
          <w:sz w:val="24"/>
        </w:rPr>
      </w:pPr>
    </w:p>
    <w:p w14:paraId="225AD1E9">
      <w:pPr>
        <w:snapToGrid w:val="0"/>
        <w:spacing w:before="50" w:after="50" w:line="360" w:lineRule="auto"/>
        <w:rPr>
          <w:rFonts w:asciiTheme="majorEastAsia" w:hAnsiTheme="majorEastAsia" w:eastAsiaTheme="majorEastAsia" w:cstheme="majorEastAsia"/>
          <w:spacing w:val="20"/>
          <w:sz w:val="24"/>
          <w:u w:val="single"/>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p>
    <w:p w14:paraId="70A15A69">
      <w:pPr>
        <w:snapToGrid w:val="0"/>
        <w:spacing w:before="50" w:after="50" w:line="360" w:lineRule="auto"/>
        <w:rPr>
          <w:rFonts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投标人名称（电子签章）：</w:t>
      </w:r>
    </w:p>
    <w:p w14:paraId="46E05A18">
      <w:pPr>
        <w:snapToGrid w:val="0"/>
        <w:spacing w:before="50" w:after="50" w:line="360" w:lineRule="auto"/>
        <w:rPr>
          <w:rFonts w:asciiTheme="majorEastAsia" w:hAnsiTheme="majorEastAsia" w:eastAsiaTheme="majorEastAsia" w:cstheme="majorEastAsia"/>
          <w:spacing w:val="20"/>
          <w:sz w:val="24"/>
          <w:u w:val="single"/>
        </w:rPr>
      </w:pPr>
      <w:r>
        <w:rPr>
          <w:rFonts w:hint="eastAsia" w:asciiTheme="majorEastAsia" w:hAnsiTheme="majorEastAsia" w:eastAsiaTheme="majorEastAsia" w:cstheme="majorEastAsia"/>
          <w:spacing w:val="20"/>
          <w:sz w:val="24"/>
        </w:rPr>
        <w:t>日 期：</w:t>
      </w:r>
    </w:p>
    <w:p w14:paraId="3A4693DB">
      <w:pPr>
        <w:snapToGrid w:val="0"/>
        <w:spacing w:before="50" w:after="50" w:line="360" w:lineRule="auto"/>
        <w:rPr>
          <w:rFonts w:asciiTheme="majorEastAsia" w:hAnsiTheme="majorEastAsia" w:eastAsiaTheme="majorEastAsia" w:cstheme="majorEastAsia"/>
          <w:sz w:val="24"/>
          <w:szCs w:val="20"/>
        </w:rPr>
      </w:pPr>
    </w:p>
    <w:p w14:paraId="4BA24D3C">
      <w:pPr>
        <w:snapToGrid w:val="0"/>
        <w:spacing w:before="120" w:beforeLines="50" w:after="5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10. 项目实施人员一览表格式</w:t>
      </w:r>
    </w:p>
    <w:p w14:paraId="73630E88">
      <w:pPr>
        <w:snapToGrid w:val="0"/>
        <w:spacing w:before="120" w:beforeLines="50" w:after="50"/>
        <w:ind w:left="142"/>
        <w:jc w:val="left"/>
        <w:rPr>
          <w:rFonts w:asciiTheme="majorEastAsia" w:hAnsiTheme="majorEastAsia" w:eastAsiaTheme="majorEastAsia" w:cstheme="majorEastAsia"/>
          <w:b/>
          <w:sz w:val="24"/>
        </w:rPr>
      </w:pPr>
    </w:p>
    <w:p w14:paraId="2142BFA1">
      <w:pPr>
        <w:snapToGrid w:val="0"/>
        <w:spacing w:before="120" w:beforeLines="50" w:after="50"/>
        <w:ind w:left="142"/>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项目实施人员一览表</w:t>
      </w:r>
    </w:p>
    <w:p w14:paraId="228EBD27">
      <w:pPr>
        <w:pStyle w:val="2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所投分标：分标</w:t>
      </w:r>
    </w:p>
    <w:tbl>
      <w:tblPr>
        <w:tblStyle w:val="46"/>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A6F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30A0AA4">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姓名</w:t>
            </w:r>
          </w:p>
        </w:tc>
        <w:tc>
          <w:tcPr>
            <w:tcW w:w="709" w:type="dxa"/>
            <w:vAlign w:val="center"/>
          </w:tcPr>
          <w:p w14:paraId="61613214">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职务</w:t>
            </w:r>
          </w:p>
        </w:tc>
        <w:tc>
          <w:tcPr>
            <w:tcW w:w="1701" w:type="dxa"/>
            <w:vAlign w:val="center"/>
          </w:tcPr>
          <w:p w14:paraId="60E847D9">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专业技术资格（职称）或者职业资格或者执业资格证或者其他证书</w:t>
            </w:r>
          </w:p>
        </w:tc>
        <w:tc>
          <w:tcPr>
            <w:tcW w:w="1420" w:type="dxa"/>
            <w:vAlign w:val="center"/>
          </w:tcPr>
          <w:p w14:paraId="48C14522">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证书编号</w:t>
            </w:r>
          </w:p>
        </w:tc>
        <w:tc>
          <w:tcPr>
            <w:tcW w:w="1698" w:type="dxa"/>
            <w:vAlign w:val="center"/>
          </w:tcPr>
          <w:p w14:paraId="08F7C6EE">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参加本单位</w:t>
            </w:r>
          </w:p>
          <w:p w14:paraId="048F1CCF">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工作时间</w:t>
            </w:r>
          </w:p>
        </w:tc>
        <w:tc>
          <w:tcPr>
            <w:tcW w:w="1843" w:type="dxa"/>
            <w:vAlign w:val="center"/>
          </w:tcPr>
          <w:p w14:paraId="6D375D76">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劳动合同编号</w:t>
            </w:r>
          </w:p>
        </w:tc>
      </w:tr>
      <w:tr w14:paraId="789E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4841729">
            <w:pPr>
              <w:snapToGrid w:val="0"/>
              <w:spacing w:before="50" w:after="120" w:afterLines="50"/>
              <w:jc w:val="center"/>
              <w:rPr>
                <w:rFonts w:asciiTheme="majorEastAsia" w:hAnsiTheme="majorEastAsia" w:eastAsiaTheme="majorEastAsia" w:cstheme="majorEastAsia"/>
                <w:sz w:val="24"/>
                <w:szCs w:val="20"/>
              </w:rPr>
            </w:pPr>
          </w:p>
        </w:tc>
        <w:tc>
          <w:tcPr>
            <w:tcW w:w="709" w:type="dxa"/>
            <w:vAlign w:val="center"/>
          </w:tcPr>
          <w:p w14:paraId="10FF5501">
            <w:pPr>
              <w:snapToGrid w:val="0"/>
              <w:spacing w:before="50" w:after="120" w:afterLines="50"/>
              <w:jc w:val="center"/>
              <w:rPr>
                <w:rFonts w:asciiTheme="majorEastAsia" w:hAnsiTheme="majorEastAsia" w:eastAsiaTheme="majorEastAsia" w:cstheme="majorEastAsia"/>
                <w:sz w:val="24"/>
                <w:szCs w:val="20"/>
              </w:rPr>
            </w:pPr>
          </w:p>
        </w:tc>
        <w:tc>
          <w:tcPr>
            <w:tcW w:w="1701" w:type="dxa"/>
            <w:vAlign w:val="center"/>
          </w:tcPr>
          <w:p w14:paraId="007EC75A">
            <w:pPr>
              <w:snapToGrid w:val="0"/>
              <w:spacing w:before="50" w:after="120" w:afterLines="50"/>
              <w:jc w:val="center"/>
              <w:rPr>
                <w:rFonts w:asciiTheme="majorEastAsia" w:hAnsiTheme="majorEastAsia" w:eastAsiaTheme="majorEastAsia" w:cstheme="majorEastAsia"/>
                <w:sz w:val="24"/>
                <w:szCs w:val="20"/>
              </w:rPr>
            </w:pPr>
          </w:p>
        </w:tc>
        <w:tc>
          <w:tcPr>
            <w:tcW w:w="1420" w:type="dxa"/>
            <w:vAlign w:val="center"/>
          </w:tcPr>
          <w:p w14:paraId="5FEC6C9C">
            <w:pPr>
              <w:snapToGrid w:val="0"/>
              <w:spacing w:before="50" w:after="120" w:afterLines="50"/>
              <w:jc w:val="center"/>
              <w:rPr>
                <w:rFonts w:asciiTheme="majorEastAsia" w:hAnsiTheme="majorEastAsia" w:eastAsiaTheme="majorEastAsia" w:cstheme="majorEastAsia"/>
                <w:sz w:val="24"/>
                <w:szCs w:val="20"/>
              </w:rPr>
            </w:pPr>
          </w:p>
        </w:tc>
        <w:tc>
          <w:tcPr>
            <w:tcW w:w="1698" w:type="dxa"/>
            <w:vAlign w:val="center"/>
          </w:tcPr>
          <w:p w14:paraId="4369C6BC">
            <w:pPr>
              <w:snapToGrid w:val="0"/>
              <w:spacing w:before="50" w:after="120" w:afterLines="50"/>
              <w:jc w:val="center"/>
              <w:rPr>
                <w:rFonts w:asciiTheme="majorEastAsia" w:hAnsiTheme="majorEastAsia" w:eastAsiaTheme="majorEastAsia" w:cstheme="majorEastAsia"/>
                <w:sz w:val="24"/>
                <w:szCs w:val="20"/>
              </w:rPr>
            </w:pPr>
          </w:p>
        </w:tc>
        <w:tc>
          <w:tcPr>
            <w:tcW w:w="1843" w:type="dxa"/>
            <w:vAlign w:val="center"/>
          </w:tcPr>
          <w:p w14:paraId="128BB86E">
            <w:pPr>
              <w:snapToGrid w:val="0"/>
              <w:spacing w:before="50" w:after="120" w:afterLines="50"/>
              <w:jc w:val="center"/>
              <w:rPr>
                <w:rFonts w:asciiTheme="majorEastAsia" w:hAnsiTheme="majorEastAsia" w:eastAsiaTheme="majorEastAsia" w:cstheme="majorEastAsia"/>
                <w:sz w:val="24"/>
                <w:szCs w:val="20"/>
              </w:rPr>
            </w:pPr>
          </w:p>
        </w:tc>
      </w:tr>
      <w:tr w14:paraId="65FB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ECC1A79">
            <w:pPr>
              <w:snapToGrid w:val="0"/>
              <w:spacing w:before="50" w:after="120" w:afterLines="50"/>
              <w:jc w:val="center"/>
              <w:rPr>
                <w:rFonts w:asciiTheme="majorEastAsia" w:hAnsiTheme="majorEastAsia" w:eastAsiaTheme="majorEastAsia" w:cstheme="majorEastAsia"/>
                <w:sz w:val="24"/>
                <w:szCs w:val="20"/>
              </w:rPr>
            </w:pPr>
          </w:p>
        </w:tc>
        <w:tc>
          <w:tcPr>
            <w:tcW w:w="709" w:type="dxa"/>
            <w:vAlign w:val="center"/>
          </w:tcPr>
          <w:p w14:paraId="35C11843">
            <w:pPr>
              <w:snapToGrid w:val="0"/>
              <w:spacing w:before="50" w:after="120" w:afterLines="50"/>
              <w:jc w:val="center"/>
              <w:rPr>
                <w:rFonts w:asciiTheme="majorEastAsia" w:hAnsiTheme="majorEastAsia" w:eastAsiaTheme="majorEastAsia" w:cstheme="majorEastAsia"/>
                <w:sz w:val="24"/>
                <w:szCs w:val="20"/>
              </w:rPr>
            </w:pPr>
          </w:p>
        </w:tc>
        <w:tc>
          <w:tcPr>
            <w:tcW w:w="1701" w:type="dxa"/>
            <w:vAlign w:val="center"/>
          </w:tcPr>
          <w:p w14:paraId="79584745">
            <w:pPr>
              <w:snapToGrid w:val="0"/>
              <w:spacing w:before="50" w:after="120" w:afterLines="50"/>
              <w:jc w:val="center"/>
              <w:rPr>
                <w:rFonts w:asciiTheme="majorEastAsia" w:hAnsiTheme="majorEastAsia" w:eastAsiaTheme="majorEastAsia" w:cstheme="majorEastAsia"/>
                <w:sz w:val="24"/>
                <w:szCs w:val="20"/>
              </w:rPr>
            </w:pPr>
          </w:p>
        </w:tc>
        <w:tc>
          <w:tcPr>
            <w:tcW w:w="1420" w:type="dxa"/>
            <w:vAlign w:val="center"/>
          </w:tcPr>
          <w:p w14:paraId="5388B527">
            <w:pPr>
              <w:snapToGrid w:val="0"/>
              <w:spacing w:before="50" w:after="120" w:afterLines="50"/>
              <w:jc w:val="center"/>
              <w:rPr>
                <w:rFonts w:asciiTheme="majorEastAsia" w:hAnsiTheme="majorEastAsia" w:eastAsiaTheme="majorEastAsia" w:cstheme="majorEastAsia"/>
                <w:sz w:val="24"/>
                <w:szCs w:val="20"/>
              </w:rPr>
            </w:pPr>
          </w:p>
        </w:tc>
        <w:tc>
          <w:tcPr>
            <w:tcW w:w="1698" w:type="dxa"/>
            <w:vAlign w:val="center"/>
          </w:tcPr>
          <w:p w14:paraId="65C8C09B">
            <w:pPr>
              <w:snapToGrid w:val="0"/>
              <w:spacing w:before="50" w:after="120" w:afterLines="50"/>
              <w:jc w:val="center"/>
              <w:rPr>
                <w:rFonts w:asciiTheme="majorEastAsia" w:hAnsiTheme="majorEastAsia" w:eastAsiaTheme="majorEastAsia" w:cstheme="majorEastAsia"/>
                <w:sz w:val="24"/>
                <w:szCs w:val="20"/>
              </w:rPr>
            </w:pPr>
          </w:p>
        </w:tc>
        <w:tc>
          <w:tcPr>
            <w:tcW w:w="1843" w:type="dxa"/>
            <w:vAlign w:val="center"/>
          </w:tcPr>
          <w:p w14:paraId="48016A5D">
            <w:pPr>
              <w:snapToGrid w:val="0"/>
              <w:spacing w:before="50" w:after="120" w:afterLines="50"/>
              <w:jc w:val="center"/>
              <w:rPr>
                <w:rFonts w:asciiTheme="majorEastAsia" w:hAnsiTheme="majorEastAsia" w:eastAsiaTheme="majorEastAsia" w:cstheme="majorEastAsia"/>
                <w:sz w:val="24"/>
                <w:szCs w:val="20"/>
              </w:rPr>
            </w:pPr>
          </w:p>
        </w:tc>
      </w:tr>
      <w:tr w14:paraId="1173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6259FB8">
            <w:pPr>
              <w:snapToGrid w:val="0"/>
              <w:spacing w:before="50" w:after="120" w:afterLines="50"/>
              <w:jc w:val="center"/>
              <w:rPr>
                <w:rFonts w:asciiTheme="majorEastAsia" w:hAnsiTheme="majorEastAsia" w:eastAsiaTheme="majorEastAsia" w:cstheme="majorEastAsia"/>
                <w:sz w:val="24"/>
                <w:szCs w:val="20"/>
              </w:rPr>
            </w:pPr>
          </w:p>
        </w:tc>
        <w:tc>
          <w:tcPr>
            <w:tcW w:w="709" w:type="dxa"/>
            <w:vAlign w:val="center"/>
          </w:tcPr>
          <w:p w14:paraId="24E314A4">
            <w:pPr>
              <w:snapToGrid w:val="0"/>
              <w:spacing w:before="50" w:after="120" w:afterLines="50"/>
              <w:jc w:val="center"/>
              <w:rPr>
                <w:rFonts w:asciiTheme="majorEastAsia" w:hAnsiTheme="majorEastAsia" w:eastAsiaTheme="majorEastAsia" w:cstheme="majorEastAsia"/>
                <w:sz w:val="24"/>
                <w:szCs w:val="20"/>
              </w:rPr>
            </w:pPr>
          </w:p>
        </w:tc>
        <w:tc>
          <w:tcPr>
            <w:tcW w:w="1701" w:type="dxa"/>
            <w:vAlign w:val="center"/>
          </w:tcPr>
          <w:p w14:paraId="486C698C">
            <w:pPr>
              <w:snapToGrid w:val="0"/>
              <w:spacing w:before="50" w:after="120" w:afterLines="50"/>
              <w:jc w:val="center"/>
              <w:rPr>
                <w:rFonts w:asciiTheme="majorEastAsia" w:hAnsiTheme="majorEastAsia" w:eastAsiaTheme="majorEastAsia" w:cstheme="majorEastAsia"/>
                <w:sz w:val="24"/>
                <w:szCs w:val="20"/>
              </w:rPr>
            </w:pPr>
          </w:p>
        </w:tc>
        <w:tc>
          <w:tcPr>
            <w:tcW w:w="1420" w:type="dxa"/>
            <w:vAlign w:val="center"/>
          </w:tcPr>
          <w:p w14:paraId="3760E308">
            <w:pPr>
              <w:snapToGrid w:val="0"/>
              <w:spacing w:before="50" w:after="120" w:afterLines="50"/>
              <w:jc w:val="center"/>
              <w:rPr>
                <w:rFonts w:asciiTheme="majorEastAsia" w:hAnsiTheme="majorEastAsia" w:eastAsiaTheme="majorEastAsia" w:cstheme="majorEastAsia"/>
                <w:sz w:val="24"/>
                <w:szCs w:val="20"/>
              </w:rPr>
            </w:pPr>
          </w:p>
        </w:tc>
        <w:tc>
          <w:tcPr>
            <w:tcW w:w="1698" w:type="dxa"/>
            <w:vAlign w:val="center"/>
          </w:tcPr>
          <w:p w14:paraId="68A47737">
            <w:pPr>
              <w:snapToGrid w:val="0"/>
              <w:spacing w:before="50" w:after="120" w:afterLines="50"/>
              <w:jc w:val="center"/>
              <w:rPr>
                <w:rFonts w:asciiTheme="majorEastAsia" w:hAnsiTheme="majorEastAsia" w:eastAsiaTheme="majorEastAsia" w:cstheme="majorEastAsia"/>
                <w:sz w:val="24"/>
                <w:szCs w:val="20"/>
              </w:rPr>
            </w:pPr>
          </w:p>
        </w:tc>
        <w:tc>
          <w:tcPr>
            <w:tcW w:w="1843" w:type="dxa"/>
            <w:vAlign w:val="center"/>
          </w:tcPr>
          <w:p w14:paraId="39025225">
            <w:pPr>
              <w:snapToGrid w:val="0"/>
              <w:spacing w:before="50" w:after="120" w:afterLines="50"/>
              <w:jc w:val="center"/>
              <w:rPr>
                <w:rFonts w:asciiTheme="majorEastAsia" w:hAnsiTheme="majorEastAsia" w:eastAsiaTheme="majorEastAsia" w:cstheme="majorEastAsia"/>
                <w:sz w:val="24"/>
                <w:szCs w:val="20"/>
              </w:rPr>
            </w:pPr>
          </w:p>
        </w:tc>
      </w:tr>
    </w:tbl>
    <w:p w14:paraId="2F3298DA">
      <w:pPr>
        <w:snapToGrid w:val="0"/>
        <w:spacing w:before="50" w:after="120" w:afterLines="50"/>
        <w:jc w:val="left"/>
        <w:rPr>
          <w:rFonts w:asciiTheme="majorEastAsia" w:hAnsiTheme="majorEastAsia" w:eastAsiaTheme="majorEastAsia" w:cstheme="majorEastAsia"/>
          <w:sz w:val="24"/>
          <w:szCs w:val="20"/>
        </w:rPr>
      </w:pPr>
    </w:p>
    <w:p w14:paraId="51D494E9">
      <w:pPr>
        <w:spacing w:line="360" w:lineRule="auto"/>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注：</w:t>
      </w:r>
    </w:p>
    <w:p w14:paraId="4402028E">
      <w:pPr>
        <w:spacing w:line="360" w:lineRule="auto"/>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1.在填写时，如本表格不适合投标单位的实际情况，可根据本表格式自行制表填写。</w:t>
      </w:r>
    </w:p>
    <w:p w14:paraId="7F451986">
      <w:pPr>
        <w:spacing w:line="360" w:lineRule="auto"/>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2.投标人应当附本表所列证书的复印件并加盖投标人电子签章。</w:t>
      </w:r>
    </w:p>
    <w:p w14:paraId="13481477">
      <w:pPr>
        <w:spacing w:line="360" w:lineRule="auto"/>
        <w:contextualSpacing/>
        <w:jc w:val="left"/>
        <w:rPr>
          <w:rFonts w:asciiTheme="majorEastAsia" w:hAnsiTheme="majorEastAsia" w:eastAsiaTheme="majorEastAsia" w:cstheme="majorEastAsia"/>
          <w:sz w:val="24"/>
          <w:szCs w:val="20"/>
        </w:rPr>
      </w:pPr>
    </w:p>
    <w:p w14:paraId="7AAA150C">
      <w:pPr>
        <w:spacing w:line="360" w:lineRule="auto"/>
        <w:contextualSpacing/>
        <w:jc w:val="left"/>
        <w:rPr>
          <w:rFonts w:asciiTheme="majorEastAsia" w:hAnsiTheme="majorEastAsia" w:eastAsiaTheme="majorEastAsia" w:cstheme="majorEastAsia"/>
          <w:sz w:val="24"/>
          <w:szCs w:val="20"/>
        </w:rPr>
      </w:pPr>
    </w:p>
    <w:p w14:paraId="31630BFC">
      <w:pPr>
        <w:spacing w:line="360" w:lineRule="auto"/>
        <w:contextualSpacing/>
        <w:rPr>
          <w:rFonts w:asciiTheme="majorEastAsia" w:hAnsiTheme="majorEastAsia" w:eastAsiaTheme="majorEastAsia" w:cstheme="majorEastAsia"/>
          <w:spacing w:val="20"/>
          <w:sz w:val="24"/>
          <w:szCs w:val="20"/>
          <w:u w:val="single"/>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p>
    <w:p w14:paraId="66B29ADE">
      <w:pPr>
        <w:spacing w:line="360" w:lineRule="auto"/>
        <w:contextualSpacing/>
        <w:jc w:val="left"/>
        <w:rPr>
          <w:rFonts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投标人名称（电子签章）：</w:t>
      </w:r>
    </w:p>
    <w:p w14:paraId="68CA6F45">
      <w:pPr>
        <w:spacing w:line="360" w:lineRule="auto"/>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pacing w:val="20"/>
          <w:sz w:val="24"/>
        </w:rPr>
        <w:t>日 期：</w:t>
      </w:r>
    </w:p>
    <w:p w14:paraId="5D80AAF4">
      <w:pPr>
        <w:snapToGrid w:val="0"/>
        <w:spacing w:before="50" w:after="120" w:afterLines="50"/>
        <w:jc w:val="left"/>
        <w:rPr>
          <w:rFonts w:asciiTheme="majorEastAsia" w:hAnsiTheme="majorEastAsia" w:eastAsiaTheme="majorEastAsia" w:cstheme="majorEastAsia"/>
          <w:sz w:val="24"/>
          <w:szCs w:val="20"/>
        </w:rPr>
      </w:pPr>
    </w:p>
    <w:p w14:paraId="1824D02E">
      <w:pPr>
        <w:spacing w:line="360" w:lineRule="auto"/>
        <w:contextualSpacing/>
        <w:jc w:val="left"/>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8"/>
          <w:szCs w:val="28"/>
        </w:rPr>
        <w:t>四、其他文书、文件格式</w:t>
      </w:r>
    </w:p>
    <w:p w14:paraId="72E13C5C">
      <w:pPr>
        <w:snapToGrid w:val="0"/>
        <w:spacing w:before="120" w:beforeLines="50" w:after="50"/>
        <w:jc w:val="left"/>
        <w:rPr>
          <w:rFonts w:asciiTheme="majorEastAsia" w:hAnsiTheme="majorEastAsia" w:eastAsiaTheme="majorEastAsia" w:cstheme="majorEastAsia"/>
        </w:rPr>
      </w:pPr>
      <w:r>
        <w:rPr>
          <w:rFonts w:hint="eastAsia" w:asciiTheme="majorEastAsia" w:hAnsiTheme="majorEastAsia" w:eastAsiaTheme="majorEastAsia" w:cstheme="majorEastAsia"/>
          <w:b/>
          <w:sz w:val="24"/>
        </w:rPr>
        <w:t>1.中小企业声明函格式</w:t>
      </w:r>
    </w:p>
    <w:p w14:paraId="1F7FE544">
      <w:pPr>
        <w:rPr>
          <w:rFonts w:asciiTheme="majorEastAsia" w:hAnsiTheme="majorEastAsia" w:eastAsiaTheme="majorEastAsia" w:cstheme="majorEastAsia"/>
        </w:rPr>
      </w:pPr>
    </w:p>
    <w:p w14:paraId="4680EE48">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中小企业声明函（货物）</w:t>
      </w:r>
    </w:p>
    <w:p w14:paraId="188C7950">
      <w:pPr>
        <w:spacing w:before="2" w:line="500" w:lineRule="exact"/>
        <w:rPr>
          <w:rFonts w:asciiTheme="majorEastAsia" w:hAnsiTheme="majorEastAsia" w:eastAsiaTheme="majorEastAsia" w:cstheme="majorEastAsia"/>
          <w:b/>
          <w:bCs/>
          <w:sz w:val="27"/>
          <w:szCs w:val="27"/>
        </w:rPr>
      </w:pPr>
    </w:p>
    <w:p w14:paraId="062189A4">
      <w:pPr>
        <w:pStyle w:val="19"/>
        <w:spacing w:line="360" w:lineRule="auto"/>
        <w:ind w:left="-426" w:leftChars="-203" w:right="142" w:firstLine="480" w:firstLineChars="200"/>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本公司（联合体）郑重声明，根据《政府采购促进中小企业发展管理办法》（财库﹝2020﹞46号）的规定，本公司（联合体）参加</w:t>
      </w:r>
      <w:r>
        <w:rPr>
          <w:rFonts w:hint="eastAsia" w:asciiTheme="majorEastAsia" w:hAnsiTheme="majorEastAsia" w:eastAsiaTheme="majorEastAsia" w:cstheme="majorEastAsia"/>
          <w:kern w:val="24"/>
          <w:u w:val="single"/>
        </w:rPr>
        <w:t>（单位名称）</w:t>
      </w:r>
      <w:r>
        <w:rPr>
          <w:rFonts w:hint="eastAsia" w:asciiTheme="majorEastAsia" w:hAnsiTheme="majorEastAsia" w:eastAsiaTheme="majorEastAsia" w:cstheme="majorEastAsia"/>
          <w:kern w:val="24"/>
        </w:rPr>
        <w:t>的</w:t>
      </w:r>
      <w:r>
        <w:rPr>
          <w:rFonts w:hint="eastAsia" w:asciiTheme="majorEastAsia" w:hAnsiTheme="majorEastAsia" w:eastAsiaTheme="majorEastAsia" w:cstheme="majorEastAsia"/>
          <w:kern w:val="24"/>
          <w:u w:val="single"/>
        </w:rPr>
        <w:t>（项目名称）</w:t>
      </w:r>
      <w:r>
        <w:rPr>
          <w:rFonts w:hint="eastAsia" w:asciiTheme="majorEastAsia" w:hAnsiTheme="majorEastAsia" w:eastAsiaTheme="majorEastAsia" w:cstheme="majorEastAsia"/>
          <w:kern w:val="24"/>
        </w:rPr>
        <w:t>采购活动，提供的货物全部由符合政策要求的中小企业制造。相关企业（含联合体中的中小企业、签订分包意向协议的中小企业）的具体情况如下：</w:t>
      </w:r>
    </w:p>
    <w:p w14:paraId="78A6B8A3">
      <w:pPr>
        <w:tabs>
          <w:tab w:val="left" w:pos="1384"/>
          <w:tab w:val="left" w:pos="4562"/>
          <w:tab w:val="left" w:pos="6803"/>
        </w:tabs>
        <w:spacing w:line="360" w:lineRule="auto"/>
        <w:ind w:left="-426" w:right="-58" w:firstLine="655"/>
        <w:contextualSpacing/>
        <w:rPr>
          <w:rFonts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1.</w:t>
      </w:r>
      <w:r>
        <w:rPr>
          <w:rFonts w:hint="eastAsia" w:asciiTheme="majorEastAsia" w:hAnsiTheme="majorEastAsia" w:eastAsiaTheme="majorEastAsia" w:cstheme="majorEastAsia"/>
          <w:kern w:val="24"/>
          <w:sz w:val="24"/>
          <w:u w:val="single"/>
        </w:rPr>
        <w:t>（标的名称）</w:t>
      </w:r>
      <w:r>
        <w:rPr>
          <w:rFonts w:hint="eastAsia" w:asciiTheme="majorEastAsia" w:hAnsiTheme="majorEastAsia" w:eastAsiaTheme="majorEastAsia" w:cstheme="majorEastAsia"/>
          <w:kern w:val="24"/>
          <w:sz w:val="24"/>
        </w:rPr>
        <w:t>，属于</w:t>
      </w:r>
      <w:r>
        <w:rPr>
          <w:rFonts w:hint="eastAsia" w:asciiTheme="majorEastAsia" w:hAnsiTheme="majorEastAsia" w:eastAsiaTheme="majorEastAsia" w:cstheme="majorEastAsia"/>
          <w:kern w:val="24"/>
          <w:sz w:val="24"/>
          <w:u w:val="single"/>
        </w:rPr>
        <w:t>（采购文件中明确的所属行业）</w:t>
      </w:r>
      <w:r>
        <w:rPr>
          <w:rFonts w:hint="eastAsia" w:asciiTheme="majorEastAsia" w:hAnsiTheme="majorEastAsia" w:eastAsiaTheme="majorEastAsia" w:cstheme="majorEastAsia"/>
          <w:kern w:val="24"/>
          <w:sz w:val="24"/>
        </w:rPr>
        <w:t>行业；制造商为</w:t>
      </w:r>
      <w:r>
        <w:rPr>
          <w:rFonts w:hint="eastAsia" w:asciiTheme="majorEastAsia" w:hAnsiTheme="majorEastAsia" w:eastAsiaTheme="majorEastAsia" w:cstheme="majorEastAsia"/>
          <w:kern w:val="24"/>
          <w:sz w:val="24"/>
          <w:u w:val="single"/>
        </w:rPr>
        <w:t>（企业名称）</w:t>
      </w:r>
      <w:r>
        <w:rPr>
          <w:rFonts w:hint="eastAsia" w:asciiTheme="majorEastAsia" w:hAnsiTheme="majorEastAsia" w:eastAsiaTheme="majorEastAsia" w:cstheme="majorEastAsia"/>
          <w:kern w:val="24"/>
          <w:sz w:val="24"/>
        </w:rPr>
        <w:t>，从业人员</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人，营业收入为</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万元，资产总额为</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万元，属于</w:t>
      </w:r>
      <w:r>
        <w:rPr>
          <w:rFonts w:hint="eastAsia" w:asciiTheme="majorEastAsia" w:hAnsiTheme="majorEastAsia" w:eastAsiaTheme="majorEastAsia" w:cstheme="majorEastAsia"/>
          <w:kern w:val="24"/>
          <w:sz w:val="24"/>
          <w:u w:val="single"/>
        </w:rPr>
        <w:t>（中型企业、小型企业、微型企业）</w:t>
      </w:r>
      <w:r>
        <w:rPr>
          <w:rFonts w:hint="eastAsia" w:asciiTheme="majorEastAsia" w:hAnsiTheme="majorEastAsia" w:eastAsiaTheme="majorEastAsia" w:cstheme="majorEastAsia"/>
          <w:kern w:val="24"/>
          <w:sz w:val="24"/>
        </w:rPr>
        <w:t>；</w:t>
      </w:r>
    </w:p>
    <w:p w14:paraId="5226AC44">
      <w:pPr>
        <w:tabs>
          <w:tab w:val="left" w:pos="1065"/>
          <w:tab w:val="left" w:pos="6477"/>
        </w:tabs>
        <w:spacing w:line="360" w:lineRule="auto"/>
        <w:ind w:left="-426" w:right="-58" w:firstLine="655"/>
        <w:contextualSpacing/>
        <w:rPr>
          <w:rFonts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2.</w:t>
      </w:r>
      <w:r>
        <w:rPr>
          <w:rFonts w:hint="eastAsia" w:asciiTheme="majorEastAsia" w:hAnsiTheme="majorEastAsia" w:eastAsiaTheme="majorEastAsia" w:cstheme="majorEastAsia"/>
          <w:kern w:val="24"/>
          <w:sz w:val="24"/>
          <w:u w:val="single"/>
        </w:rPr>
        <w:t>（标的名称）</w:t>
      </w:r>
      <w:r>
        <w:rPr>
          <w:rFonts w:hint="eastAsia" w:asciiTheme="majorEastAsia" w:hAnsiTheme="majorEastAsia" w:eastAsiaTheme="majorEastAsia" w:cstheme="majorEastAsia"/>
          <w:kern w:val="24"/>
          <w:sz w:val="24"/>
        </w:rPr>
        <w:t>，属于</w:t>
      </w:r>
      <w:r>
        <w:rPr>
          <w:rFonts w:hint="eastAsia" w:asciiTheme="majorEastAsia" w:hAnsiTheme="majorEastAsia" w:eastAsiaTheme="majorEastAsia" w:cstheme="majorEastAsia"/>
          <w:kern w:val="24"/>
          <w:sz w:val="24"/>
          <w:u w:val="single"/>
        </w:rPr>
        <w:t>（采购文件中明确的所属行业）</w:t>
      </w:r>
      <w:r>
        <w:rPr>
          <w:rFonts w:hint="eastAsia" w:asciiTheme="majorEastAsia" w:hAnsiTheme="majorEastAsia" w:eastAsiaTheme="majorEastAsia" w:cstheme="majorEastAsia"/>
          <w:kern w:val="24"/>
          <w:sz w:val="24"/>
        </w:rPr>
        <w:t>行业；制造商为</w:t>
      </w:r>
      <w:r>
        <w:rPr>
          <w:rFonts w:hint="eastAsia" w:asciiTheme="majorEastAsia" w:hAnsiTheme="majorEastAsia" w:eastAsiaTheme="majorEastAsia" w:cstheme="majorEastAsia"/>
          <w:kern w:val="24"/>
          <w:sz w:val="24"/>
          <w:u w:val="single"/>
        </w:rPr>
        <w:t>（企业名称）</w:t>
      </w:r>
      <w:r>
        <w:rPr>
          <w:rFonts w:hint="eastAsia" w:asciiTheme="majorEastAsia" w:hAnsiTheme="majorEastAsia" w:eastAsiaTheme="majorEastAsia" w:cstheme="majorEastAsia"/>
          <w:kern w:val="24"/>
          <w:sz w:val="24"/>
        </w:rPr>
        <w:t>，从业人员</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人，营业收入为</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万元，资产总额为</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万元，属于</w:t>
      </w:r>
      <w:r>
        <w:rPr>
          <w:rFonts w:hint="eastAsia" w:asciiTheme="majorEastAsia" w:hAnsiTheme="majorEastAsia" w:eastAsiaTheme="majorEastAsia" w:cstheme="majorEastAsia"/>
          <w:kern w:val="24"/>
          <w:sz w:val="24"/>
          <w:u w:val="single"/>
        </w:rPr>
        <w:t>（中型企业、小型企业、微型企业）</w:t>
      </w:r>
      <w:r>
        <w:rPr>
          <w:rFonts w:hint="eastAsia" w:asciiTheme="majorEastAsia" w:hAnsiTheme="majorEastAsia" w:eastAsiaTheme="majorEastAsia" w:cstheme="majorEastAsia"/>
          <w:kern w:val="24"/>
          <w:sz w:val="24"/>
        </w:rPr>
        <w:t>；</w:t>
      </w:r>
    </w:p>
    <w:p w14:paraId="7D6E79AF">
      <w:pPr>
        <w:pStyle w:val="19"/>
        <w:spacing w:line="360" w:lineRule="auto"/>
        <w:ind w:left="142" w:right="142"/>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 xml:space="preserve">…… </w:t>
      </w:r>
    </w:p>
    <w:p w14:paraId="4EBCB261">
      <w:pPr>
        <w:pStyle w:val="19"/>
        <w:spacing w:line="360" w:lineRule="auto"/>
        <w:ind w:left="-405" w:leftChars="-193" w:right="142" w:firstLine="453" w:firstLineChars="189"/>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以上企业，不属于大企业的分支机构，不存在控股股东为大企业的情形，也不存在与大企业的负责人为同一人的情形。</w:t>
      </w:r>
    </w:p>
    <w:p w14:paraId="64B6280D">
      <w:pPr>
        <w:pStyle w:val="19"/>
        <w:spacing w:line="360" w:lineRule="auto"/>
        <w:ind w:left="-426" w:right="142" w:firstLine="567"/>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本企业对上述声明内容的真实性负责。如有虚假，将依法承担相应责任。</w:t>
      </w:r>
    </w:p>
    <w:p w14:paraId="7A211F39">
      <w:pPr>
        <w:pStyle w:val="19"/>
        <w:spacing w:line="360" w:lineRule="auto"/>
        <w:ind w:left="3960" w:right="1808"/>
        <w:contextualSpacing/>
        <w:rPr>
          <w:rFonts w:asciiTheme="majorEastAsia" w:hAnsiTheme="majorEastAsia" w:eastAsiaTheme="majorEastAsia" w:cstheme="majorEastAsia"/>
          <w:kern w:val="24"/>
        </w:rPr>
      </w:pPr>
    </w:p>
    <w:p w14:paraId="39EFAEE7">
      <w:pPr>
        <w:pStyle w:val="19"/>
        <w:spacing w:line="360" w:lineRule="auto"/>
        <w:ind w:left="3960" w:right="1808"/>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 xml:space="preserve">企业名称（电子签章）： </w:t>
      </w:r>
    </w:p>
    <w:p w14:paraId="1DE6226A">
      <w:pPr>
        <w:pStyle w:val="19"/>
        <w:spacing w:line="360" w:lineRule="auto"/>
        <w:ind w:left="3960" w:right="1808"/>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日 期：</w:t>
      </w:r>
    </w:p>
    <w:p w14:paraId="5803CF64">
      <w:pPr>
        <w:pStyle w:val="19"/>
        <w:spacing w:line="360" w:lineRule="auto"/>
        <w:ind w:left="3960" w:right="1808"/>
        <w:contextualSpacing/>
        <w:rPr>
          <w:rFonts w:asciiTheme="majorEastAsia" w:hAnsiTheme="majorEastAsia" w:eastAsiaTheme="majorEastAsia" w:cstheme="majorEastAsia"/>
          <w:kern w:val="24"/>
        </w:rPr>
      </w:pPr>
    </w:p>
    <w:p w14:paraId="1DBE858F">
      <w:pPr>
        <w:pStyle w:val="19"/>
        <w:spacing w:line="360" w:lineRule="auto"/>
        <w:ind w:left="3960" w:right="1808"/>
        <w:contextualSpacing/>
        <w:rPr>
          <w:rFonts w:asciiTheme="majorEastAsia" w:hAnsiTheme="majorEastAsia" w:eastAsiaTheme="majorEastAsia" w:cstheme="majorEastAsia"/>
          <w:kern w:val="24"/>
        </w:rPr>
      </w:pPr>
    </w:p>
    <w:p w14:paraId="2C0A7728">
      <w:pPr>
        <w:pStyle w:val="19"/>
        <w:spacing w:line="360" w:lineRule="auto"/>
        <w:ind w:left="-426" w:right="142" w:firstLine="567"/>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256E57EF">
      <w:pPr>
        <w:snapToGrid w:val="0"/>
        <w:spacing w:before="120" w:beforeLines="50" w:after="50"/>
        <w:ind w:left="14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2.残疾人福利性单位声明函格式</w:t>
      </w:r>
    </w:p>
    <w:p w14:paraId="59F6937C">
      <w:pPr>
        <w:spacing w:line="588" w:lineRule="exact"/>
        <w:jc w:val="center"/>
        <w:rPr>
          <w:rFonts w:asciiTheme="majorEastAsia" w:hAnsiTheme="majorEastAsia" w:eastAsiaTheme="majorEastAsia" w:cstheme="majorEastAsia"/>
          <w:b/>
          <w:spacing w:val="6"/>
          <w:sz w:val="32"/>
          <w:szCs w:val="32"/>
        </w:rPr>
      </w:pPr>
    </w:p>
    <w:p w14:paraId="04FED7F4">
      <w:pPr>
        <w:spacing w:line="588" w:lineRule="exact"/>
        <w:jc w:val="center"/>
        <w:rPr>
          <w:rFonts w:asciiTheme="majorEastAsia" w:hAnsiTheme="majorEastAsia" w:eastAsiaTheme="majorEastAsia" w:cstheme="majorEastAsia"/>
          <w:bCs/>
          <w:spacing w:val="6"/>
          <w:sz w:val="44"/>
          <w:szCs w:val="44"/>
        </w:rPr>
      </w:pPr>
      <w:r>
        <w:rPr>
          <w:rFonts w:hint="eastAsia" w:asciiTheme="majorEastAsia" w:hAnsiTheme="majorEastAsia" w:eastAsiaTheme="majorEastAsia" w:cstheme="majorEastAsia"/>
          <w:bCs/>
          <w:spacing w:val="6"/>
          <w:sz w:val="44"/>
          <w:szCs w:val="44"/>
        </w:rPr>
        <w:t>残疾人福利性单位声明函</w:t>
      </w:r>
    </w:p>
    <w:p w14:paraId="033789DE">
      <w:pPr>
        <w:spacing w:line="360" w:lineRule="auto"/>
        <w:contextualSpacing/>
        <w:rPr>
          <w:rFonts w:asciiTheme="majorEastAsia" w:hAnsiTheme="majorEastAsia" w:eastAsiaTheme="majorEastAsia" w:cstheme="majorEastAsia"/>
          <w:bCs/>
          <w:spacing w:val="6"/>
          <w:sz w:val="30"/>
          <w:szCs w:val="30"/>
        </w:rPr>
      </w:pPr>
    </w:p>
    <w:p w14:paraId="3F5BD61F">
      <w:pPr>
        <w:spacing w:line="360" w:lineRule="auto"/>
        <w:ind w:firstLine="504" w:firstLineChars="200"/>
        <w:contextualSpacing/>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本单位郑重声明，根据《财政部 民政部 中国残疾人联合会关于促进残疾人就业政府采购政策的通知》（财库</w:t>
      </w:r>
      <w:r>
        <w:rPr>
          <w:rFonts w:hint="eastAsia" w:asciiTheme="majorEastAsia" w:hAnsiTheme="majorEastAsia" w:eastAsiaTheme="majorEastAsia" w:cstheme="majorEastAsia"/>
          <w:sz w:val="24"/>
        </w:rPr>
        <w:t>〔2017〕 141</w:t>
      </w:r>
      <w:r>
        <w:rPr>
          <w:rFonts w:hint="eastAsia" w:asciiTheme="majorEastAsia" w:hAnsiTheme="majorEastAsia" w:eastAsiaTheme="majorEastAsia" w:cstheme="majorEastAsia"/>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Theme="majorEastAsia" w:hAnsiTheme="majorEastAsia" w:eastAsiaTheme="majorEastAsia" w:cstheme="majorEastAsia"/>
          <w:spacing w:val="-6"/>
          <w:sz w:val="24"/>
        </w:rPr>
        <w:t>疾人福利性单位制造的货物（不包括使用非残疾人福利性单位注册商标的货物）。</w:t>
      </w:r>
    </w:p>
    <w:p w14:paraId="3D5D4B5E">
      <w:pPr>
        <w:spacing w:line="360" w:lineRule="auto"/>
        <w:ind w:firstLine="504" w:firstLineChars="200"/>
        <w:contextualSpacing/>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本单位对上述声明的真实性负责。如有虚假，将依法承担相应责任。</w:t>
      </w:r>
    </w:p>
    <w:p w14:paraId="410FD1A8">
      <w:pPr>
        <w:spacing w:line="360" w:lineRule="auto"/>
        <w:ind w:firstLine="504" w:firstLineChars="200"/>
        <w:contextualSpacing/>
        <w:rPr>
          <w:rFonts w:asciiTheme="majorEastAsia" w:hAnsiTheme="majorEastAsia" w:eastAsiaTheme="majorEastAsia" w:cstheme="majorEastAsia"/>
          <w:spacing w:val="6"/>
          <w:sz w:val="24"/>
        </w:rPr>
      </w:pPr>
    </w:p>
    <w:p w14:paraId="1B68420B">
      <w:pPr>
        <w:spacing w:line="360" w:lineRule="auto"/>
        <w:ind w:firstLine="504" w:firstLineChars="200"/>
        <w:contextualSpacing/>
        <w:rPr>
          <w:rFonts w:asciiTheme="majorEastAsia" w:hAnsiTheme="majorEastAsia" w:eastAsiaTheme="majorEastAsia" w:cstheme="majorEastAsia"/>
          <w:spacing w:val="6"/>
          <w:sz w:val="24"/>
        </w:rPr>
      </w:pPr>
    </w:p>
    <w:p w14:paraId="63241782">
      <w:pPr>
        <w:tabs>
          <w:tab w:val="left" w:pos="4860"/>
        </w:tabs>
        <w:spacing w:line="360" w:lineRule="auto"/>
        <w:ind w:right="1560" w:firstLine="504" w:firstLineChars="200"/>
        <w:contextualSpacing/>
        <w:jc w:val="center"/>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单位名称（电子签章）：</w:t>
      </w:r>
    </w:p>
    <w:p w14:paraId="07A4A0CF">
      <w:pPr>
        <w:tabs>
          <w:tab w:val="left" w:pos="4860"/>
        </w:tabs>
        <w:spacing w:line="360" w:lineRule="auto"/>
        <w:ind w:right="1560" w:firstLine="504" w:firstLineChars="200"/>
        <w:contextualSpacing/>
        <w:jc w:val="center"/>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日  期：</w:t>
      </w:r>
    </w:p>
    <w:p w14:paraId="0354D8CB">
      <w:pPr>
        <w:spacing w:line="360" w:lineRule="auto"/>
        <w:contextualSpacing/>
        <w:rPr>
          <w:rFonts w:asciiTheme="majorEastAsia" w:hAnsiTheme="majorEastAsia" w:eastAsiaTheme="majorEastAsia" w:cstheme="majorEastAsia"/>
          <w:sz w:val="24"/>
        </w:rPr>
      </w:pPr>
    </w:p>
    <w:p w14:paraId="6D9B529D">
      <w:pPr>
        <w:spacing w:line="360" w:lineRule="auto"/>
        <w:contextualSpacing/>
        <w:rPr>
          <w:rFonts w:asciiTheme="majorEastAsia" w:hAnsiTheme="majorEastAsia" w:eastAsiaTheme="majorEastAsia" w:cstheme="majorEastAsia"/>
          <w:sz w:val="24"/>
        </w:rPr>
      </w:pPr>
    </w:p>
    <w:p w14:paraId="3F17276A">
      <w:pPr>
        <w:spacing w:line="360" w:lineRule="auto"/>
        <w:contextualSpacing/>
        <w:rPr>
          <w:rFonts w:asciiTheme="majorEastAsia" w:hAnsiTheme="majorEastAsia" w:eastAsiaTheme="majorEastAsia" w:cstheme="majorEastAsia"/>
          <w:sz w:val="24"/>
        </w:rPr>
      </w:pPr>
    </w:p>
    <w:p w14:paraId="186D3667">
      <w:pPr>
        <w:spacing w:line="360" w:lineRule="auto"/>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3FE4931B">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br w:type="page"/>
      </w:r>
      <w:r>
        <w:rPr>
          <w:rFonts w:hint="eastAsia" w:asciiTheme="majorEastAsia" w:hAnsiTheme="majorEastAsia" w:eastAsiaTheme="majorEastAsia" w:cstheme="majorEastAsia"/>
          <w:b/>
          <w:sz w:val="24"/>
        </w:rPr>
        <w:t>3.质疑函（格式）</w:t>
      </w:r>
    </w:p>
    <w:p w14:paraId="3CC9671C">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质疑函（格式）</w:t>
      </w:r>
    </w:p>
    <w:p w14:paraId="23E601FE">
      <w:pPr>
        <w:pStyle w:val="25"/>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59F714CC">
      <w:pPr>
        <w:pStyle w:val="25"/>
        <w:snapToGrid w:val="0"/>
        <w:spacing w:line="360" w:lineRule="auto"/>
        <w:ind w:firstLine="480" w:firstLineChars="200"/>
        <w:rPr>
          <w:rFonts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1820E299">
      <w:pPr>
        <w:pStyle w:val="25"/>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4C51CEB8">
      <w:pPr>
        <w:pStyle w:val="25"/>
        <w:snapToGrid w:val="0"/>
        <w:spacing w:line="360" w:lineRule="auto"/>
        <w:ind w:firstLine="480" w:firstLineChars="200"/>
        <w:rPr>
          <w:rFonts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4A5C9BE1">
      <w:pPr>
        <w:pStyle w:val="25"/>
        <w:snapToGrid w:val="0"/>
        <w:spacing w:line="360" w:lineRule="auto"/>
        <w:ind w:firstLine="480" w:firstLineChars="200"/>
        <w:rPr>
          <w:rFonts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118C1CFE">
      <w:pPr>
        <w:pStyle w:val="25"/>
        <w:snapToGrid w:val="0"/>
        <w:spacing w:line="360" w:lineRule="auto"/>
        <w:ind w:firstLine="480" w:firstLineChars="200"/>
        <w:rPr>
          <w:rFonts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04EF31E7">
      <w:pPr>
        <w:pStyle w:val="25"/>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9DB8C3D">
      <w:pPr>
        <w:pStyle w:val="25"/>
        <w:snapToGrid w:val="0"/>
        <w:spacing w:line="360" w:lineRule="auto"/>
        <w:ind w:firstLine="482" w:firstLineChars="200"/>
        <w:rPr>
          <w:rFonts w:hAnsi="宋体"/>
          <w:b/>
          <w:bCs/>
          <w:sz w:val="24"/>
          <w:szCs w:val="24"/>
        </w:rPr>
      </w:pPr>
      <w:r>
        <w:rPr>
          <w:rFonts w:hint="eastAsia" w:hAnsi="宋体"/>
          <w:b/>
          <w:bCs/>
          <w:sz w:val="24"/>
          <w:szCs w:val="24"/>
        </w:rPr>
        <w:t>二、质疑项目基本情况：</w:t>
      </w:r>
    </w:p>
    <w:p w14:paraId="342655DD">
      <w:pPr>
        <w:pStyle w:val="25"/>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4E60D686">
      <w:pPr>
        <w:pStyle w:val="25"/>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3BB5455D">
      <w:pPr>
        <w:pStyle w:val="25"/>
        <w:spacing w:line="360" w:lineRule="auto"/>
        <w:ind w:left="25" w:leftChars="12" w:firstLine="472" w:firstLineChars="197"/>
        <w:rPr>
          <w:rFonts w:hAnsi="宋体"/>
          <w:sz w:val="24"/>
          <w:szCs w:val="24"/>
        </w:rPr>
      </w:pPr>
      <w:r>
        <w:rPr>
          <w:rFonts w:hint="eastAsia" w:hAnsi="宋体"/>
          <w:sz w:val="24"/>
          <w:szCs w:val="24"/>
        </w:rPr>
        <w:t>采购人名称：</w:t>
      </w:r>
      <w:r>
        <w:rPr>
          <w:rFonts w:hint="eastAsia" w:hAnsi="宋体"/>
          <w:bCs/>
          <w:sz w:val="24"/>
          <w:szCs w:val="24"/>
          <w:u w:val="single"/>
        </w:rPr>
        <w:t xml:space="preserve">                                         </w:t>
      </w:r>
    </w:p>
    <w:p w14:paraId="0E6B077E">
      <w:pPr>
        <w:pStyle w:val="25"/>
        <w:spacing w:line="360" w:lineRule="auto"/>
        <w:ind w:left="25" w:leftChars="12" w:firstLine="472" w:firstLineChars="197"/>
        <w:rPr>
          <w:rFonts w:hAnsi="宋体"/>
          <w:sz w:val="24"/>
          <w:szCs w:val="24"/>
        </w:rPr>
      </w:pPr>
      <w:r>
        <w:rPr>
          <w:rFonts w:hint="eastAsia" w:hAnsi="宋体"/>
          <w:sz w:val="24"/>
          <w:szCs w:val="24"/>
        </w:rPr>
        <w:t>质疑事项：</w:t>
      </w:r>
    </w:p>
    <w:p w14:paraId="003C7D22">
      <w:pPr>
        <w:pStyle w:val="25"/>
        <w:spacing w:line="360" w:lineRule="auto"/>
        <w:ind w:left="25" w:leftChars="12" w:firstLine="352" w:firstLineChars="147"/>
        <w:rPr>
          <w:rFonts w:hAnsi="宋体"/>
          <w:sz w:val="24"/>
          <w:szCs w:val="24"/>
        </w:rPr>
      </w:pPr>
      <w:r>
        <w:rPr>
          <w:rFonts w:hint="eastAsia" w:hAnsi="宋体"/>
          <w:sz w:val="24"/>
          <w:szCs w:val="24"/>
        </w:rPr>
        <w:t>□招标文件   招标文件获取日期：</w:t>
      </w:r>
      <w:r>
        <w:rPr>
          <w:rFonts w:hint="eastAsia" w:hAnsi="宋体"/>
          <w:bCs/>
          <w:sz w:val="24"/>
          <w:szCs w:val="24"/>
          <w:u w:val="single"/>
        </w:rPr>
        <w:t xml:space="preserve">                                   </w:t>
      </w:r>
    </w:p>
    <w:p w14:paraId="4996CA52">
      <w:pPr>
        <w:pStyle w:val="25"/>
        <w:spacing w:line="360" w:lineRule="auto"/>
        <w:ind w:left="25" w:leftChars="12" w:firstLine="352" w:firstLineChars="147"/>
        <w:rPr>
          <w:rFonts w:hAnsi="宋体"/>
          <w:sz w:val="24"/>
          <w:szCs w:val="24"/>
        </w:rPr>
      </w:pPr>
      <w:r>
        <w:rPr>
          <w:rFonts w:hint="eastAsia" w:hAnsi="宋体"/>
          <w:sz w:val="24"/>
          <w:szCs w:val="24"/>
        </w:rPr>
        <w:t xml:space="preserve">□招标过程   </w:t>
      </w:r>
    </w:p>
    <w:p w14:paraId="7B717408">
      <w:pPr>
        <w:pStyle w:val="25"/>
        <w:spacing w:line="360" w:lineRule="auto"/>
        <w:ind w:left="25" w:leftChars="12" w:firstLine="352" w:firstLineChars="147"/>
        <w:rPr>
          <w:rFonts w:hAnsi="宋体"/>
          <w:bCs/>
          <w:sz w:val="24"/>
          <w:szCs w:val="24"/>
          <w:u w:val="single"/>
        </w:rPr>
      </w:pPr>
      <w:r>
        <w:rPr>
          <w:rFonts w:hint="eastAsia" w:hAnsi="宋体"/>
          <w:sz w:val="24"/>
          <w:szCs w:val="24"/>
        </w:rPr>
        <w:t xml:space="preserve">□招标结果   </w:t>
      </w:r>
    </w:p>
    <w:p w14:paraId="227B7D79">
      <w:pPr>
        <w:pStyle w:val="25"/>
        <w:spacing w:line="360" w:lineRule="auto"/>
        <w:ind w:left="25" w:leftChars="12" w:firstLine="472" w:firstLineChars="196"/>
        <w:rPr>
          <w:rFonts w:hAnsi="宋体"/>
          <w:b/>
          <w:sz w:val="24"/>
          <w:szCs w:val="24"/>
        </w:rPr>
      </w:pPr>
      <w:r>
        <w:rPr>
          <w:rFonts w:hint="eastAsia" w:hAnsi="宋体"/>
          <w:b/>
          <w:sz w:val="24"/>
          <w:szCs w:val="24"/>
        </w:rPr>
        <w:t>三、质疑事项具体内容</w:t>
      </w:r>
    </w:p>
    <w:p w14:paraId="11327957">
      <w:pPr>
        <w:pStyle w:val="25"/>
        <w:spacing w:line="360" w:lineRule="auto"/>
        <w:ind w:left="25" w:leftChars="12" w:firstLine="472" w:firstLineChars="197"/>
        <w:rPr>
          <w:rFonts w:hAnsi="宋体"/>
          <w:sz w:val="24"/>
          <w:szCs w:val="24"/>
        </w:rPr>
      </w:pPr>
      <w:r>
        <w:rPr>
          <w:rFonts w:hint="eastAsia" w:hAnsi="宋体"/>
          <w:sz w:val="24"/>
          <w:szCs w:val="24"/>
        </w:rPr>
        <w:t>质疑事项1：</w:t>
      </w:r>
      <w:r>
        <w:rPr>
          <w:rFonts w:hint="eastAsia" w:hAnsi="宋体"/>
          <w:bCs/>
          <w:sz w:val="24"/>
          <w:szCs w:val="24"/>
          <w:u w:val="single"/>
        </w:rPr>
        <w:t xml:space="preserve">                                                                    </w:t>
      </w:r>
    </w:p>
    <w:p w14:paraId="5FB1CC86">
      <w:pPr>
        <w:pStyle w:val="25"/>
        <w:spacing w:line="360" w:lineRule="auto"/>
        <w:ind w:left="25" w:leftChars="12" w:firstLine="472" w:firstLineChars="197"/>
        <w:rPr>
          <w:rFonts w:hAnsi="宋体"/>
          <w:sz w:val="24"/>
          <w:szCs w:val="24"/>
        </w:rPr>
      </w:pPr>
      <w:r>
        <w:rPr>
          <w:rFonts w:hint="eastAsia" w:hAnsi="宋体"/>
          <w:sz w:val="24"/>
          <w:szCs w:val="24"/>
        </w:rPr>
        <w:t>事实依据：</w:t>
      </w:r>
      <w:r>
        <w:rPr>
          <w:rFonts w:hint="eastAsia" w:hAnsi="宋体"/>
          <w:bCs/>
          <w:sz w:val="24"/>
          <w:szCs w:val="24"/>
          <w:u w:val="single"/>
        </w:rPr>
        <w:t xml:space="preserve">                                                                      </w:t>
      </w:r>
    </w:p>
    <w:p w14:paraId="4D292D7A">
      <w:pPr>
        <w:pStyle w:val="25"/>
        <w:spacing w:line="360" w:lineRule="auto"/>
        <w:ind w:left="25" w:leftChars="12" w:firstLine="472" w:firstLineChars="197"/>
        <w:rPr>
          <w:rFonts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24183513">
      <w:pPr>
        <w:pStyle w:val="25"/>
        <w:spacing w:line="360" w:lineRule="auto"/>
        <w:ind w:left="25" w:leftChars="12" w:firstLine="472" w:firstLineChars="197"/>
        <w:rPr>
          <w:rFonts w:hAnsi="宋体"/>
          <w:sz w:val="24"/>
          <w:szCs w:val="24"/>
        </w:rPr>
      </w:pPr>
      <w:r>
        <w:rPr>
          <w:rFonts w:hint="eastAsia" w:hAnsi="宋体"/>
          <w:sz w:val="24"/>
          <w:szCs w:val="24"/>
        </w:rPr>
        <w:t>质疑事项2</w:t>
      </w:r>
    </w:p>
    <w:p w14:paraId="1E28994E">
      <w:pPr>
        <w:pStyle w:val="25"/>
        <w:spacing w:line="360" w:lineRule="auto"/>
        <w:ind w:left="25" w:leftChars="12" w:firstLine="472" w:firstLineChars="197"/>
        <w:rPr>
          <w:rFonts w:hAnsi="宋体"/>
          <w:sz w:val="24"/>
          <w:szCs w:val="24"/>
        </w:rPr>
      </w:pPr>
      <w:r>
        <w:rPr>
          <w:rFonts w:hAnsi="宋体"/>
          <w:sz w:val="24"/>
          <w:szCs w:val="24"/>
        </w:rPr>
        <w:t>……</w:t>
      </w:r>
    </w:p>
    <w:p w14:paraId="20B658AC">
      <w:pPr>
        <w:pStyle w:val="25"/>
        <w:spacing w:line="360" w:lineRule="auto"/>
        <w:ind w:left="25" w:leftChars="12" w:firstLine="472" w:firstLineChars="197"/>
        <w:rPr>
          <w:rFonts w:hAnsi="宋体"/>
          <w:sz w:val="24"/>
          <w:szCs w:val="24"/>
        </w:rPr>
      </w:pPr>
      <w:r>
        <w:rPr>
          <w:rFonts w:hint="eastAsia" w:hAnsi="宋体"/>
          <w:sz w:val="24"/>
          <w:szCs w:val="24"/>
        </w:rPr>
        <w:t>四、与质疑事项相关的质疑请求：</w:t>
      </w:r>
    </w:p>
    <w:p w14:paraId="0B302009">
      <w:pPr>
        <w:pStyle w:val="25"/>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6D38391E">
      <w:pPr>
        <w:pStyle w:val="25"/>
        <w:spacing w:line="360" w:lineRule="auto"/>
        <w:ind w:left="25" w:leftChars="12" w:firstLine="352" w:firstLineChars="147"/>
        <w:rPr>
          <w:rFonts w:hAnsi="宋体"/>
          <w:sz w:val="24"/>
          <w:szCs w:val="24"/>
        </w:rPr>
      </w:pPr>
    </w:p>
    <w:p w14:paraId="3AF821B8">
      <w:pPr>
        <w:pStyle w:val="25"/>
        <w:spacing w:line="360" w:lineRule="auto"/>
        <w:ind w:left="25" w:leftChars="12" w:firstLine="472" w:firstLineChars="197"/>
        <w:rPr>
          <w:rFonts w:hAnsi="宋体"/>
          <w:sz w:val="24"/>
          <w:szCs w:val="24"/>
        </w:rPr>
      </w:pPr>
      <w:r>
        <w:rPr>
          <w:rFonts w:hint="eastAsia" w:hAnsi="宋体"/>
          <w:sz w:val="24"/>
          <w:szCs w:val="24"/>
        </w:rPr>
        <w:t>签字（签章）：                                       公章：</w:t>
      </w:r>
    </w:p>
    <w:p w14:paraId="2E4827F4">
      <w:pPr>
        <w:pStyle w:val="25"/>
        <w:spacing w:line="360" w:lineRule="auto"/>
        <w:ind w:left="25" w:leftChars="12" w:firstLine="352" w:firstLineChars="147"/>
        <w:rPr>
          <w:rFonts w:hAnsi="宋体"/>
          <w:sz w:val="24"/>
          <w:szCs w:val="24"/>
        </w:rPr>
      </w:pPr>
    </w:p>
    <w:p w14:paraId="376FE3B6">
      <w:pPr>
        <w:pStyle w:val="25"/>
        <w:spacing w:line="360" w:lineRule="auto"/>
        <w:ind w:left="25" w:leftChars="12" w:firstLine="472" w:firstLineChars="197"/>
        <w:rPr>
          <w:rFonts w:hAnsi="宋体"/>
          <w:sz w:val="24"/>
          <w:szCs w:val="24"/>
        </w:rPr>
      </w:pPr>
      <w:r>
        <w:rPr>
          <w:rFonts w:hint="eastAsia" w:hAnsi="宋体"/>
          <w:sz w:val="24"/>
          <w:szCs w:val="24"/>
        </w:rPr>
        <w:t>日期：</w:t>
      </w:r>
    </w:p>
    <w:p w14:paraId="7ABC1A72">
      <w:pPr>
        <w:pStyle w:val="25"/>
        <w:snapToGrid w:val="0"/>
        <w:spacing w:line="360" w:lineRule="auto"/>
        <w:rPr>
          <w:rFonts w:hAnsi="宋体"/>
          <w:b/>
          <w:sz w:val="24"/>
          <w:szCs w:val="24"/>
        </w:rPr>
      </w:pPr>
    </w:p>
    <w:p w14:paraId="44E2906A">
      <w:pPr>
        <w:pStyle w:val="25"/>
        <w:snapToGrid w:val="0"/>
        <w:spacing w:line="360" w:lineRule="auto"/>
        <w:rPr>
          <w:rFonts w:hAnsi="宋体"/>
          <w:b/>
          <w:sz w:val="24"/>
          <w:szCs w:val="24"/>
        </w:rPr>
      </w:pPr>
      <w:r>
        <w:rPr>
          <w:rFonts w:hint="eastAsia" w:hAnsi="宋体"/>
          <w:b/>
          <w:sz w:val="24"/>
          <w:szCs w:val="24"/>
        </w:rPr>
        <w:t>说明：</w:t>
      </w:r>
    </w:p>
    <w:p w14:paraId="5604B82C">
      <w:pPr>
        <w:pStyle w:val="25"/>
        <w:spacing w:line="360" w:lineRule="auto"/>
        <w:ind w:left="25" w:leftChars="12" w:firstLine="354" w:firstLineChars="147"/>
        <w:rPr>
          <w:rFonts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784B2B77">
      <w:pPr>
        <w:pStyle w:val="25"/>
        <w:spacing w:line="360" w:lineRule="auto"/>
        <w:ind w:left="25" w:leftChars="12" w:firstLine="354" w:firstLineChars="147"/>
        <w:rPr>
          <w:rFonts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728DEB">
      <w:pPr>
        <w:pStyle w:val="25"/>
        <w:spacing w:line="360" w:lineRule="auto"/>
        <w:ind w:left="25" w:leftChars="12" w:firstLine="354" w:firstLineChars="147"/>
        <w:rPr>
          <w:rFonts w:hAnsi="宋体"/>
          <w:b/>
          <w:sz w:val="24"/>
          <w:szCs w:val="24"/>
        </w:rPr>
      </w:pPr>
      <w:r>
        <w:rPr>
          <w:rFonts w:hint="eastAsia" w:hAnsi="宋体"/>
          <w:b/>
          <w:sz w:val="24"/>
          <w:szCs w:val="24"/>
        </w:rPr>
        <w:t>3.质疑函的质疑事项应具体、明确，并有必要的事实依据和法律依据。</w:t>
      </w:r>
    </w:p>
    <w:p w14:paraId="6C7BA43A">
      <w:pPr>
        <w:pStyle w:val="25"/>
        <w:spacing w:line="360" w:lineRule="auto"/>
        <w:ind w:left="25" w:leftChars="12" w:firstLine="354" w:firstLineChars="147"/>
        <w:rPr>
          <w:rFonts w:hAnsi="宋体"/>
          <w:b/>
          <w:sz w:val="24"/>
          <w:szCs w:val="24"/>
        </w:rPr>
      </w:pPr>
      <w:r>
        <w:rPr>
          <w:rFonts w:hint="eastAsia" w:hAnsi="宋体"/>
          <w:b/>
          <w:sz w:val="24"/>
          <w:szCs w:val="24"/>
        </w:rPr>
        <w:t>4.质疑函的质疑请求应与质疑事项相关。</w:t>
      </w:r>
    </w:p>
    <w:p w14:paraId="586E8621">
      <w:pPr>
        <w:pStyle w:val="25"/>
        <w:spacing w:line="360" w:lineRule="auto"/>
        <w:ind w:left="25" w:leftChars="12" w:firstLine="354" w:firstLineChars="147"/>
        <w:rPr>
          <w:rFonts w:hAnsi="宋体"/>
          <w:b/>
        </w:rPr>
      </w:pPr>
      <w:r>
        <w:rPr>
          <w:rFonts w:hint="eastAsia" w:hAnsi="宋体"/>
          <w:b/>
          <w:sz w:val="24"/>
          <w:szCs w:val="24"/>
        </w:rPr>
        <w:t>5.质疑供应商为法人或者其他组织的，质疑函应由法定代表人、主要负责人，或者其授权代表签字或者盖章，并加盖公章。</w:t>
      </w:r>
    </w:p>
    <w:p w14:paraId="3B138561">
      <w:pPr>
        <w:pStyle w:val="25"/>
        <w:snapToGrid w:val="0"/>
        <w:rPr>
          <w:b/>
          <w:sz w:val="24"/>
          <w:szCs w:val="24"/>
        </w:rPr>
      </w:pPr>
    </w:p>
    <w:p w14:paraId="5C85A942">
      <w:pPr>
        <w:spacing w:line="360" w:lineRule="auto"/>
        <w:jc w:val="left"/>
        <w:rPr>
          <w:rFonts w:ascii="宋体" w:hAnsi="宋体"/>
          <w:b/>
          <w:bCs/>
          <w:sz w:val="32"/>
          <w:szCs w:val="32"/>
        </w:rPr>
      </w:pPr>
      <w:r>
        <w:rPr>
          <w:rFonts w:eastAsia="隶书"/>
          <w:sz w:val="44"/>
        </w:rPr>
        <w:br w:type="page"/>
      </w:r>
      <w:r>
        <w:rPr>
          <w:rFonts w:hint="eastAsia" w:ascii="宋体" w:hAnsi="宋体" w:eastAsia="隶书"/>
          <w:b/>
          <w:sz w:val="24"/>
        </w:rPr>
        <w:t>4</w:t>
      </w:r>
      <w:r>
        <w:rPr>
          <w:rFonts w:hint="eastAsia" w:ascii="宋体" w:hAnsi="宋体"/>
          <w:b/>
          <w:sz w:val="24"/>
        </w:rPr>
        <w:t>.投诉书（格式）</w:t>
      </w:r>
    </w:p>
    <w:p w14:paraId="395031CD">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投诉书（格式）</w:t>
      </w:r>
    </w:p>
    <w:p w14:paraId="0B9DD9A0">
      <w:pPr>
        <w:pStyle w:val="25"/>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6D60D74D">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投标人：</w:t>
      </w:r>
      <w:r>
        <w:rPr>
          <w:rFonts w:hint="eastAsia" w:hAnsi="宋体"/>
          <w:bCs/>
          <w:sz w:val="24"/>
          <w:szCs w:val="24"/>
          <w:u w:val="single"/>
        </w:rPr>
        <w:t xml:space="preserve">                                                                        </w:t>
      </w:r>
      <w:r>
        <w:rPr>
          <w:rFonts w:hint="eastAsia" w:hAnsi="宋体"/>
          <w:bCs/>
          <w:sz w:val="24"/>
          <w:szCs w:val="24"/>
        </w:rPr>
        <w:t xml:space="preserve">                 </w:t>
      </w:r>
    </w:p>
    <w:p w14:paraId="153D53F2">
      <w:pPr>
        <w:pStyle w:val="25"/>
        <w:snapToGrid w:val="0"/>
        <w:spacing w:line="360" w:lineRule="auto"/>
        <w:ind w:firstLine="480" w:firstLineChars="200"/>
        <w:jc w:val="left"/>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44B2947">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6CCA7F23">
      <w:pPr>
        <w:pStyle w:val="25"/>
        <w:snapToGrid w:val="0"/>
        <w:spacing w:line="360" w:lineRule="auto"/>
        <w:ind w:firstLine="480" w:firstLineChars="200"/>
        <w:jc w:val="left"/>
        <w:rPr>
          <w:rFonts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508FAE92">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4C5CEB4D">
      <w:pPr>
        <w:pStyle w:val="25"/>
        <w:snapToGrid w:val="0"/>
        <w:spacing w:line="360" w:lineRule="auto"/>
        <w:ind w:firstLine="480" w:firstLineChars="200"/>
        <w:jc w:val="left"/>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2E449BE2">
      <w:pPr>
        <w:pStyle w:val="25"/>
        <w:snapToGrid w:val="0"/>
        <w:spacing w:line="360" w:lineRule="auto"/>
        <w:ind w:firstLine="480" w:firstLineChars="200"/>
        <w:jc w:val="left"/>
        <w:rPr>
          <w:rFonts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DA6C556">
      <w:pPr>
        <w:pStyle w:val="25"/>
        <w:snapToGrid w:val="0"/>
        <w:spacing w:line="360" w:lineRule="auto"/>
        <w:ind w:firstLine="480" w:firstLineChars="200"/>
        <w:jc w:val="left"/>
        <w:rPr>
          <w:rFonts w:hAnsi="宋体"/>
          <w:bCs/>
          <w:sz w:val="24"/>
          <w:szCs w:val="24"/>
        </w:rPr>
      </w:pPr>
      <w:r>
        <w:rPr>
          <w:rFonts w:hint="eastAsia" w:hAnsi="宋体"/>
          <w:bCs/>
          <w:sz w:val="24"/>
          <w:szCs w:val="24"/>
        </w:rPr>
        <w:t>被投诉人1：</w:t>
      </w:r>
    </w:p>
    <w:p w14:paraId="6CC61BDC">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19BD50C9">
      <w:pPr>
        <w:pStyle w:val="25"/>
        <w:snapToGrid w:val="0"/>
        <w:spacing w:line="360" w:lineRule="auto"/>
        <w:ind w:firstLine="480" w:firstLineChars="200"/>
        <w:jc w:val="left"/>
        <w:rPr>
          <w:rFonts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5132FDD">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51FB283B">
      <w:pPr>
        <w:pStyle w:val="25"/>
        <w:snapToGrid w:val="0"/>
        <w:spacing w:line="360" w:lineRule="auto"/>
        <w:ind w:firstLine="480" w:firstLineChars="200"/>
        <w:jc w:val="left"/>
        <w:rPr>
          <w:rFonts w:hAnsi="宋体"/>
          <w:bCs/>
          <w:sz w:val="24"/>
          <w:szCs w:val="24"/>
        </w:rPr>
      </w:pPr>
      <w:r>
        <w:rPr>
          <w:rFonts w:hint="eastAsia" w:hAnsi="宋体"/>
          <w:bCs/>
          <w:sz w:val="24"/>
          <w:szCs w:val="24"/>
        </w:rPr>
        <w:t>被投诉人2：</w:t>
      </w:r>
    </w:p>
    <w:p w14:paraId="67B2B590">
      <w:pPr>
        <w:pStyle w:val="25"/>
        <w:snapToGrid w:val="0"/>
        <w:spacing w:line="360" w:lineRule="auto"/>
        <w:ind w:firstLine="480" w:firstLineChars="200"/>
        <w:jc w:val="left"/>
        <w:rPr>
          <w:rFonts w:hAnsi="宋体"/>
          <w:bCs/>
          <w:sz w:val="24"/>
          <w:szCs w:val="24"/>
        </w:rPr>
      </w:pPr>
      <w:r>
        <w:rPr>
          <w:rFonts w:hAnsi="宋体"/>
          <w:bCs/>
          <w:sz w:val="24"/>
          <w:szCs w:val="24"/>
        </w:rPr>
        <w:t>……</w:t>
      </w:r>
    </w:p>
    <w:p w14:paraId="41879F40">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48ADFDE4">
      <w:pPr>
        <w:pStyle w:val="25"/>
        <w:snapToGrid w:val="0"/>
        <w:spacing w:line="360" w:lineRule="auto"/>
        <w:ind w:firstLine="480" w:firstLineChars="200"/>
        <w:jc w:val="left"/>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28141762">
      <w:pPr>
        <w:pStyle w:val="25"/>
        <w:snapToGrid w:val="0"/>
        <w:spacing w:line="360" w:lineRule="auto"/>
        <w:ind w:firstLine="480" w:firstLineChars="200"/>
        <w:jc w:val="left"/>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1D904CF4">
      <w:pPr>
        <w:pStyle w:val="25"/>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01D5CFBE">
      <w:pPr>
        <w:pStyle w:val="25"/>
        <w:spacing w:line="360" w:lineRule="auto"/>
        <w:ind w:left="25" w:leftChars="12" w:firstLine="472" w:firstLineChars="197"/>
        <w:rPr>
          <w:rFonts w:hAnsi="宋体"/>
          <w:sz w:val="24"/>
          <w:szCs w:val="24"/>
        </w:rPr>
      </w:pPr>
      <w:r>
        <w:rPr>
          <w:rFonts w:hint="eastAsia" w:hAnsi="宋体"/>
          <w:sz w:val="24"/>
          <w:szCs w:val="24"/>
        </w:rPr>
        <w:t>招标项目的名称：</w:t>
      </w:r>
      <w:r>
        <w:rPr>
          <w:rFonts w:hint="eastAsia" w:hAnsi="宋体"/>
          <w:bCs/>
          <w:sz w:val="24"/>
          <w:szCs w:val="24"/>
          <w:u w:val="single"/>
        </w:rPr>
        <w:t xml:space="preserve">                                                                   </w:t>
      </w:r>
    </w:p>
    <w:p w14:paraId="5034B828">
      <w:pPr>
        <w:pStyle w:val="25"/>
        <w:spacing w:line="360" w:lineRule="auto"/>
        <w:ind w:left="25" w:leftChars="12" w:firstLine="472" w:firstLineChars="197"/>
        <w:rPr>
          <w:rFonts w:hAnsi="宋体"/>
          <w:sz w:val="24"/>
          <w:szCs w:val="24"/>
        </w:rPr>
      </w:pPr>
      <w:r>
        <w:rPr>
          <w:rFonts w:hint="eastAsia" w:hAnsi="宋体"/>
          <w:sz w:val="24"/>
          <w:szCs w:val="24"/>
        </w:rPr>
        <w:t>招标项目的编号：</w:t>
      </w:r>
      <w:r>
        <w:rPr>
          <w:rFonts w:hint="eastAsia" w:hAnsi="宋体"/>
          <w:bCs/>
          <w:sz w:val="24"/>
          <w:szCs w:val="24"/>
          <w:u w:val="single"/>
        </w:rPr>
        <w:t xml:space="preserve">                                          </w:t>
      </w:r>
    </w:p>
    <w:p w14:paraId="0E8AF7E2">
      <w:pPr>
        <w:pStyle w:val="25"/>
        <w:spacing w:line="360" w:lineRule="auto"/>
        <w:ind w:left="25" w:leftChars="12" w:firstLine="472"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7F80FC1F">
      <w:pPr>
        <w:pStyle w:val="25"/>
        <w:spacing w:line="360" w:lineRule="auto"/>
        <w:ind w:left="25" w:leftChars="12" w:firstLine="472"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00AA215D">
      <w:pPr>
        <w:pStyle w:val="25"/>
        <w:spacing w:line="360" w:lineRule="auto"/>
        <w:ind w:left="25" w:leftChars="12" w:firstLine="472" w:firstLineChars="197"/>
        <w:rPr>
          <w:rFonts w:hAnsi="宋体"/>
          <w:bCs/>
          <w:sz w:val="24"/>
          <w:szCs w:val="24"/>
          <w:u w:val="single"/>
        </w:rPr>
      </w:pPr>
      <w:r>
        <w:rPr>
          <w:rFonts w:hint="eastAsia" w:hAnsi="宋体"/>
          <w:sz w:val="24"/>
          <w:szCs w:val="24"/>
        </w:rPr>
        <w:t>招标</w:t>
      </w:r>
      <w:r>
        <w:rPr>
          <w:rFonts w:hint="eastAsia" w:hAnsi="宋体"/>
          <w:bCs/>
          <w:sz w:val="24"/>
          <w:szCs w:val="24"/>
        </w:rPr>
        <w:t>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1A4B8F96">
      <w:pPr>
        <w:pStyle w:val="25"/>
        <w:spacing w:line="360" w:lineRule="auto"/>
        <w:ind w:left="25" w:leftChars="12" w:firstLine="472" w:firstLineChars="197"/>
        <w:rPr>
          <w:rFonts w:hAnsi="宋体"/>
          <w:b/>
          <w:sz w:val="24"/>
          <w:szCs w:val="24"/>
        </w:rPr>
      </w:pPr>
      <w:r>
        <w:rPr>
          <w:rFonts w:hint="eastAsia" w:hAnsi="宋体"/>
          <w:sz w:val="24"/>
          <w:szCs w:val="24"/>
        </w:rPr>
        <w:t>招标</w:t>
      </w:r>
      <w:r>
        <w:rPr>
          <w:rFonts w:hint="eastAsia" w:hAnsi="宋体"/>
          <w:bCs/>
          <w:sz w:val="24"/>
          <w:szCs w:val="24"/>
        </w:rPr>
        <w:t>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158581C2">
      <w:pPr>
        <w:pStyle w:val="25"/>
        <w:spacing w:line="360" w:lineRule="auto"/>
        <w:ind w:left="25" w:leftChars="12" w:firstLine="472" w:firstLineChars="196"/>
        <w:rPr>
          <w:rFonts w:hAnsi="宋体"/>
          <w:b/>
          <w:sz w:val="24"/>
          <w:szCs w:val="24"/>
        </w:rPr>
      </w:pPr>
      <w:r>
        <w:rPr>
          <w:rFonts w:hint="eastAsia" w:hAnsi="宋体"/>
          <w:b/>
          <w:sz w:val="24"/>
          <w:szCs w:val="24"/>
        </w:rPr>
        <w:t>三、质疑基本情况</w:t>
      </w:r>
    </w:p>
    <w:p w14:paraId="4650E090">
      <w:pPr>
        <w:pStyle w:val="25"/>
        <w:spacing w:line="360" w:lineRule="auto"/>
        <w:ind w:left="25" w:leftChars="12" w:firstLine="480" w:firstLineChars="200"/>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0EB899EB">
      <w:pPr>
        <w:pStyle w:val="25"/>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1F5AFFDC">
      <w:pPr>
        <w:pStyle w:val="25"/>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191803A5">
      <w:pPr>
        <w:pStyle w:val="25"/>
        <w:spacing w:line="360" w:lineRule="auto"/>
        <w:ind w:firstLine="480" w:firstLineChars="200"/>
        <w:rPr>
          <w:rFonts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7C23D3C6">
      <w:pPr>
        <w:pStyle w:val="25"/>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05439DFB">
      <w:pPr>
        <w:pStyle w:val="25"/>
        <w:spacing w:line="360" w:lineRule="auto"/>
        <w:ind w:left="25" w:leftChars="12" w:firstLine="472"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6E669D99">
      <w:pPr>
        <w:pStyle w:val="25"/>
        <w:spacing w:line="360" w:lineRule="auto"/>
        <w:ind w:firstLine="480"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6071DA61">
      <w:pPr>
        <w:pStyle w:val="25"/>
        <w:spacing w:line="360" w:lineRule="auto"/>
        <w:ind w:left="25" w:leftChars="12" w:firstLine="472" w:firstLineChars="197"/>
        <w:rPr>
          <w:rFonts w:hAnsi="宋体"/>
          <w:sz w:val="24"/>
          <w:szCs w:val="24"/>
        </w:rPr>
      </w:pPr>
      <w:r>
        <w:rPr>
          <w:rFonts w:hint="eastAsia" w:hAnsi="宋体"/>
          <w:bCs/>
          <w:sz w:val="24"/>
          <w:szCs w:val="24"/>
          <w:u w:val="single"/>
        </w:rPr>
        <w:t xml:space="preserve">                                                                                        </w:t>
      </w:r>
    </w:p>
    <w:p w14:paraId="02520172">
      <w:pPr>
        <w:pStyle w:val="25"/>
        <w:spacing w:line="360" w:lineRule="auto"/>
        <w:ind w:firstLine="480"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16B11470">
      <w:pPr>
        <w:pStyle w:val="25"/>
        <w:spacing w:line="360" w:lineRule="auto"/>
        <w:ind w:left="25" w:leftChars="12" w:firstLine="352"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16A7AC05">
      <w:pPr>
        <w:pStyle w:val="25"/>
        <w:spacing w:line="360" w:lineRule="auto"/>
        <w:ind w:left="25" w:leftChars="12" w:firstLine="472"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1B03ABFD">
      <w:pPr>
        <w:pStyle w:val="25"/>
        <w:spacing w:line="360" w:lineRule="auto"/>
        <w:ind w:left="25" w:leftChars="12" w:firstLine="472" w:firstLineChars="197"/>
        <w:rPr>
          <w:rFonts w:hAnsi="宋体"/>
          <w:bCs/>
          <w:sz w:val="24"/>
          <w:szCs w:val="24"/>
        </w:rPr>
      </w:pPr>
      <w:r>
        <w:rPr>
          <w:rFonts w:hAnsi="宋体"/>
          <w:bCs/>
          <w:sz w:val="24"/>
          <w:szCs w:val="24"/>
        </w:rPr>
        <w:t>……</w:t>
      </w:r>
    </w:p>
    <w:p w14:paraId="11D175F2">
      <w:pPr>
        <w:pStyle w:val="25"/>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2AC61423">
      <w:pPr>
        <w:pStyle w:val="25"/>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3AC518F3">
      <w:pPr>
        <w:pStyle w:val="25"/>
        <w:spacing w:line="360" w:lineRule="auto"/>
        <w:ind w:left="25" w:leftChars="12" w:firstLine="472" w:firstLineChars="197"/>
        <w:rPr>
          <w:rFonts w:hAnsi="宋体"/>
          <w:sz w:val="24"/>
          <w:szCs w:val="24"/>
        </w:rPr>
      </w:pPr>
      <w:r>
        <w:rPr>
          <w:rFonts w:hint="eastAsia" w:hAnsi="宋体"/>
          <w:sz w:val="24"/>
          <w:szCs w:val="24"/>
        </w:rPr>
        <w:t>签字（签章）：                                     公章：</w:t>
      </w:r>
    </w:p>
    <w:p w14:paraId="5313E8B6">
      <w:pPr>
        <w:pStyle w:val="25"/>
        <w:spacing w:line="360" w:lineRule="auto"/>
        <w:ind w:left="25" w:leftChars="12" w:firstLine="472" w:firstLineChars="197"/>
        <w:rPr>
          <w:rFonts w:hAnsi="宋体"/>
          <w:sz w:val="24"/>
          <w:szCs w:val="24"/>
        </w:rPr>
      </w:pPr>
      <w:r>
        <w:rPr>
          <w:rFonts w:hint="eastAsia" w:hAnsi="宋体"/>
          <w:sz w:val="24"/>
          <w:szCs w:val="24"/>
        </w:rPr>
        <w:t>日期：</w:t>
      </w:r>
    </w:p>
    <w:p w14:paraId="7050E6BC">
      <w:pPr>
        <w:pStyle w:val="25"/>
        <w:spacing w:line="360" w:lineRule="auto"/>
        <w:ind w:left="25" w:leftChars="12" w:firstLine="475" w:firstLineChars="197"/>
        <w:rPr>
          <w:rFonts w:hAnsi="宋体"/>
          <w:b/>
          <w:sz w:val="24"/>
          <w:szCs w:val="24"/>
        </w:rPr>
      </w:pPr>
      <w:r>
        <w:rPr>
          <w:rFonts w:hint="eastAsia" w:hAnsi="宋体"/>
          <w:b/>
          <w:sz w:val="24"/>
          <w:szCs w:val="24"/>
        </w:rPr>
        <w:t>说明：</w:t>
      </w:r>
    </w:p>
    <w:p w14:paraId="0C0C8E91">
      <w:pPr>
        <w:pStyle w:val="25"/>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02C78E6B">
      <w:pPr>
        <w:pStyle w:val="25"/>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8DA3D09">
      <w:pPr>
        <w:pStyle w:val="25"/>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65B05F82">
      <w:pPr>
        <w:pStyle w:val="25"/>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6B315DA1">
      <w:pPr>
        <w:pStyle w:val="25"/>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4A7A75D0">
      <w:pPr>
        <w:pStyle w:val="25"/>
        <w:spacing w:line="360" w:lineRule="auto"/>
        <w:ind w:left="25" w:leftChars="12" w:firstLine="354" w:firstLineChars="147"/>
        <w:rPr>
          <w:rFonts w:asciiTheme="majorEastAsia" w:hAnsiTheme="majorEastAsia" w:eastAsiaTheme="majorEastAsia" w:cstheme="majorEastAsia"/>
          <w:b/>
        </w:rPr>
      </w:pPr>
      <w:r>
        <w:rPr>
          <w:rFonts w:hint="eastAsia" w:hAnsi="宋体"/>
          <w:b/>
          <w:sz w:val="24"/>
          <w:szCs w:val="24"/>
        </w:rPr>
        <w:t>6.投诉人为法人或者其他组织的，投诉书应由法定代表人、主要负责人，或者其授权代表签字或者盖章，并加盖公章。</w:t>
      </w:r>
    </w:p>
    <w:sectPr>
      <w:footerReference r:id="rId9" w:type="first"/>
      <w:headerReference r:id="rId6" w:type="default"/>
      <w:footerReference r:id="rId7" w:type="default"/>
      <w:footerReference r:id="rId8" w:type="even"/>
      <w:pgSz w:w="11906" w:h="16838"/>
      <w:pgMar w:top="1701" w:right="1701" w:bottom="1701"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宋体"/>
    <w:panose1 w:val="00000000000000000000"/>
    <w:charset w:val="86"/>
    <w:family w:val="script"/>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B4E98">
    <w:pPr>
      <w:pStyle w:val="32"/>
      <w:jc w:val="center"/>
    </w:pPr>
    <w:r>
      <w:fldChar w:fldCharType="begin"/>
    </w:r>
    <w:r>
      <w:instrText xml:space="preserve"> PAGE   \* MERGEFORMAT </w:instrText>
    </w:r>
    <w:r>
      <w:fldChar w:fldCharType="separate"/>
    </w:r>
    <w:r>
      <w:rPr>
        <w:lang w:val="zh-CN"/>
      </w:rPr>
      <w:t>84</w:t>
    </w:r>
    <w:r>
      <w:rPr>
        <w:lang w:val="zh-CN"/>
      </w:rPr>
      <w:fldChar w:fldCharType="end"/>
    </w:r>
  </w:p>
  <w:p w14:paraId="7B504699">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E9E">
    <w:pPr>
      <w:pStyle w:val="32"/>
      <w:jc w:val="center"/>
    </w:pPr>
    <w:r>
      <w:fldChar w:fldCharType="begin"/>
    </w:r>
    <w:r>
      <w:instrText xml:space="preserve">PAGE   \* MERGEFORMAT</w:instrText>
    </w:r>
    <w:r>
      <w:fldChar w:fldCharType="separate"/>
    </w:r>
    <w:r>
      <w:rPr>
        <w:lang w:val="zh-CN"/>
      </w:rPr>
      <w:t>1</w:t>
    </w:r>
    <w:r>
      <w:rPr>
        <w:lang w:val="zh-CN"/>
      </w:rPr>
      <w:fldChar w:fldCharType="end"/>
    </w:r>
  </w:p>
  <w:p w14:paraId="20B74889">
    <w:pPr>
      <w:pStyle w:val="32"/>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C18B2">
    <w:pPr>
      <w:pStyle w:val="32"/>
      <w:jc w:val="center"/>
    </w:pPr>
    <w:r>
      <w:fldChar w:fldCharType="begin"/>
    </w:r>
    <w:r>
      <w:instrText xml:space="preserve"> PAGE   \* MERGEFORMAT </w:instrText>
    </w:r>
    <w:r>
      <w:fldChar w:fldCharType="separate"/>
    </w:r>
    <w:r>
      <w:rPr>
        <w:lang w:val="zh-CN"/>
      </w:rPr>
      <w:t>94</w:t>
    </w:r>
    <w:r>
      <w:rPr>
        <w:lang w:val="zh-CN"/>
      </w:rPr>
      <w:fldChar w:fldCharType="end"/>
    </w:r>
  </w:p>
  <w:p w14:paraId="50DEE4BB">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9A30A">
    <w:pPr>
      <w:pStyle w:val="32"/>
      <w:framePr w:wrap="around" w:vAnchor="text" w:hAnchor="margin" w:xAlign="center" w:y="1"/>
      <w:rPr>
        <w:rStyle w:val="50"/>
      </w:rPr>
    </w:pPr>
    <w:r>
      <w:fldChar w:fldCharType="begin"/>
    </w:r>
    <w:r>
      <w:rPr>
        <w:rStyle w:val="50"/>
      </w:rPr>
      <w:instrText xml:space="preserve">PAGE  </w:instrText>
    </w:r>
    <w:r>
      <w:fldChar w:fldCharType="end"/>
    </w:r>
  </w:p>
  <w:p w14:paraId="7E6E5EC6">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D79AF">
    <w:pPr>
      <w:pStyle w:val="3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1EF44">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E0EE">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8CFA5"/>
    <w:multiLevelType w:val="singleLevel"/>
    <w:tmpl w:val="AF78CFA5"/>
    <w:lvl w:ilvl="0" w:tentative="0">
      <w:start w:val="1"/>
      <w:numFmt w:val="chineseCounting"/>
      <w:suff w:val="nothing"/>
      <w:lvlText w:val="%1、"/>
      <w:lvlJc w:val="left"/>
      <w:rPr>
        <w:rFonts w:hint="eastAsia"/>
      </w:rPr>
    </w:lvl>
  </w:abstractNum>
  <w:abstractNum w:abstractNumId="1">
    <w:nsid w:val="C0FDD79D"/>
    <w:multiLevelType w:val="singleLevel"/>
    <w:tmpl w:val="C0FDD79D"/>
    <w:lvl w:ilvl="0" w:tentative="0">
      <w:start w:val="1"/>
      <w:numFmt w:val="decimal"/>
      <w:lvlText w:val="%1."/>
      <w:lvlJc w:val="left"/>
      <w:pPr>
        <w:tabs>
          <w:tab w:val="left" w:pos="312"/>
        </w:tabs>
      </w:pPr>
    </w:lvl>
  </w:abstractNum>
  <w:abstractNum w:abstractNumId="2">
    <w:nsid w:val="F4109120"/>
    <w:multiLevelType w:val="singleLevel"/>
    <w:tmpl w:val="F4109120"/>
    <w:lvl w:ilvl="0" w:tentative="0">
      <w:start w:val="1"/>
      <w:numFmt w:val="decimal"/>
      <w:suff w:val="space"/>
      <w:lvlText w:val="%1."/>
      <w:lvlJc w:val="left"/>
    </w:lvl>
  </w:abstractNum>
  <w:abstractNum w:abstractNumId="3">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4C601917"/>
    <w:multiLevelType w:val="singleLevel"/>
    <w:tmpl w:val="4C601917"/>
    <w:lvl w:ilvl="0" w:tentative="0">
      <w:start w:val="1"/>
      <w:numFmt w:val="decimal"/>
      <w:suff w:val="nothing"/>
      <w:lvlText w:val="（%1）"/>
      <w:lvlJc w:val="left"/>
      <w:pPr>
        <w:ind w:left="-2"/>
      </w:pPr>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6FDF800F"/>
    <w:multiLevelType w:val="singleLevel"/>
    <w:tmpl w:val="6FDF800F"/>
    <w:lvl w:ilvl="0" w:tentative="0">
      <w:start w:val="1"/>
      <w:numFmt w:val="decimal"/>
      <w:lvlText w:val="%1."/>
      <w:lvlJc w:val="left"/>
      <w:pPr>
        <w:tabs>
          <w:tab w:val="left" w:pos="312"/>
        </w:tabs>
      </w:pPr>
    </w:lvl>
  </w:abstractNum>
  <w:num w:numId="1">
    <w:abstractNumId w:val="4"/>
  </w:num>
  <w:num w:numId="2">
    <w:abstractNumId w:val="3"/>
  </w:num>
  <w:num w:numId="3">
    <w:abstractNumId w:val="2"/>
  </w:num>
  <w:num w:numId="4">
    <w:abstractNumId w:val="0"/>
  </w:num>
  <w:num w:numId="5">
    <w:abstractNumId w:val="1"/>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4ZWRiZGZjOGQyMzkzN2NkOWJjZTQ5Mjc1ZDYyYTUifQ=="/>
  </w:docVars>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F87"/>
    <w:rsid w:val="00037FA2"/>
    <w:rsid w:val="000400D0"/>
    <w:rsid w:val="00040343"/>
    <w:rsid w:val="00041DFA"/>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0C54"/>
    <w:rsid w:val="000513F3"/>
    <w:rsid w:val="00052287"/>
    <w:rsid w:val="000522E0"/>
    <w:rsid w:val="000532F4"/>
    <w:rsid w:val="000535A9"/>
    <w:rsid w:val="000536AE"/>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A0A"/>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65F"/>
    <w:rsid w:val="00101E7C"/>
    <w:rsid w:val="001023DC"/>
    <w:rsid w:val="00102572"/>
    <w:rsid w:val="00102946"/>
    <w:rsid w:val="00102FBF"/>
    <w:rsid w:val="0010333D"/>
    <w:rsid w:val="0010372A"/>
    <w:rsid w:val="00103F41"/>
    <w:rsid w:val="00104662"/>
    <w:rsid w:val="00104F34"/>
    <w:rsid w:val="001053C5"/>
    <w:rsid w:val="001055AD"/>
    <w:rsid w:val="00105B3E"/>
    <w:rsid w:val="00105C14"/>
    <w:rsid w:val="0010627F"/>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23E"/>
    <w:rsid w:val="00147884"/>
    <w:rsid w:val="00150664"/>
    <w:rsid w:val="00150827"/>
    <w:rsid w:val="00150B0D"/>
    <w:rsid w:val="00150E10"/>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C87"/>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1178"/>
    <w:rsid w:val="0018119E"/>
    <w:rsid w:val="0018152C"/>
    <w:rsid w:val="00181A74"/>
    <w:rsid w:val="00181DBA"/>
    <w:rsid w:val="00181EEF"/>
    <w:rsid w:val="00181F37"/>
    <w:rsid w:val="00181F3E"/>
    <w:rsid w:val="00182FE0"/>
    <w:rsid w:val="00183911"/>
    <w:rsid w:val="001840C0"/>
    <w:rsid w:val="00184407"/>
    <w:rsid w:val="001845FB"/>
    <w:rsid w:val="00184FB1"/>
    <w:rsid w:val="001857FB"/>
    <w:rsid w:val="00185DA6"/>
    <w:rsid w:val="00185F64"/>
    <w:rsid w:val="00186096"/>
    <w:rsid w:val="001862FE"/>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86F"/>
    <w:rsid w:val="001D2C94"/>
    <w:rsid w:val="001D33D9"/>
    <w:rsid w:val="001D36F6"/>
    <w:rsid w:val="001D4303"/>
    <w:rsid w:val="001D4386"/>
    <w:rsid w:val="001D45E5"/>
    <w:rsid w:val="001D461A"/>
    <w:rsid w:val="001D4A21"/>
    <w:rsid w:val="001D4A9D"/>
    <w:rsid w:val="001D4AAD"/>
    <w:rsid w:val="001D5AFA"/>
    <w:rsid w:val="001D652D"/>
    <w:rsid w:val="001D784A"/>
    <w:rsid w:val="001E04A4"/>
    <w:rsid w:val="001E07C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A0E"/>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74B7"/>
    <w:rsid w:val="0020758D"/>
    <w:rsid w:val="00207C7B"/>
    <w:rsid w:val="00210BA0"/>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670"/>
    <w:rsid w:val="00231D05"/>
    <w:rsid w:val="0023241A"/>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42"/>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D11"/>
    <w:rsid w:val="002B273B"/>
    <w:rsid w:val="002B29AA"/>
    <w:rsid w:val="002B2A7E"/>
    <w:rsid w:val="002B2F1B"/>
    <w:rsid w:val="002B3332"/>
    <w:rsid w:val="002B34C7"/>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1FF"/>
    <w:rsid w:val="002F0F36"/>
    <w:rsid w:val="002F1276"/>
    <w:rsid w:val="002F175B"/>
    <w:rsid w:val="002F1986"/>
    <w:rsid w:val="002F1E5F"/>
    <w:rsid w:val="002F2A49"/>
    <w:rsid w:val="002F2C2F"/>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32D8"/>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32"/>
    <w:rsid w:val="003555ED"/>
    <w:rsid w:val="00355911"/>
    <w:rsid w:val="00355BFC"/>
    <w:rsid w:val="0035636B"/>
    <w:rsid w:val="00356433"/>
    <w:rsid w:val="00357424"/>
    <w:rsid w:val="00357BE9"/>
    <w:rsid w:val="003601A2"/>
    <w:rsid w:val="003605DB"/>
    <w:rsid w:val="00361327"/>
    <w:rsid w:val="00361789"/>
    <w:rsid w:val="0036196D"/>
    <w:rsid w:val="00361A59"/>
    <w:rsid w:val="00361D8E"/>
    <w:rsid w:val="00362136"/>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4DFA"/>
    <w:rsid w:val="0036572E"/>
    <w:rsid w:val="00366168"/>
    <w:rsid w:val="003663D9"/>
    <w:rsid w:val="003666BF"/>
    <w:rsid w:val="00366707"/>
    <w:rsid w:val="00366FA9"/>
    <w:rsid w:val="00367B19"/>
    <w:rsid w:val="00367E49"/>
    <w:rsid w:val="003700E6"/>
    <w:rsid w:val="0037017C"/>
    <w:rsid w:val="00370490"/>
    <w:rsid w:val="00370633"/>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E82"/>
    <w:rsid w:val="003A0FAC"/>
    <w:rsid w:val="003A1584"/>
    <w:rsid w:val="003A184D"/>
    <w:rsid w:val="003A1F68"/>
    <w:rsid w:val="003A1FB7"/>
    <w:rsid w:val="003A371E"/>
    <w:rsid w:val="003A3957"/>
    <w:rsid w:val="003A462A"/>
    <w:rsid w:val="003A595F"/>
    <w:rsid w:val="003A5EEC"/>
    <w:rsid w:val="003A6B7A"/>
    <w:rsid w:val="003A6E38"/>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722"/>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4A8"/>
    <w:rsid w:val="003E5833"/>
    <w:rsid w:val="003E5DA8"/>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10C"/>
    <w:rsid w:val="00426C3E"/>
    <w:rsid w:val="004275CD"/>
    <w:rsid w:val="00427E74"/>
    <w:rsid w:val="00427FEB"/>
    <w:rsid w:val="00427FF2"/>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B0F"/>
    <w:rsid w:val="004425C6"/>
    <w:rsid w:val="00443541"/>
    <w:rsid w:val="00443D5D"/>
    <w:rsid w:val="00445CBA"/>
    <w:rsid w:val="004463CB"/>
    <w:rsid w:val="004466F7"/>
    <w:rsid w:val="00446858"/>
    <w:rsid w:val="00446C99"/>
    <w:rsid w:val="00447304"/>
    <w:rsid w:val="004476F6"/>
    <w:rsid w:val="00447CDD"/>
    <w:rsid w:val="00450127"/>
    <w:rsid w:val="0045075F"/>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5153"/>
    <w:rsid w:val="00465602"/>
    <w:rsid w:val="004656A4"/>
    <w:rsid w:val="0046599C"/>
    <w:rsid w:val="00465F01"/>
    <w:rsid w:val="00466A4A"/>
    <w:rsid w:val="00466AFD"/>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F83"/>
    <w:rsid w:val="0050421C"/>
    <w:rsid w:val="00504A9B"/>
    <w:rsid w:val="00504E9A"/>
    <w:rsid w:val="00504F83"/>
    <w:rsid w:val="005059B9"/>
    <w:rsid w:val="00505F6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34EA"/>
    <w:rsid w:val="005436B8"/>
    <w:rsid w:val="005455FB"/>
    <w:rsid w:val="00545D55"/>
    <w:rsid w:val="005461AB"/>
    <w:rsid w:val="00546C6A"/>
    <w:rsid w:val="00546FBA"/>
    <w:rsid w:val="00547F04"/>
    <w:rsid w:val="00550924"/>
    <w:rsid w:val="00550D63"/>
    <w:rsid w:val="00550EF1"/>
    <w:rsid w:val="00550FC4"/>
    <w:rsid w:val="00551075"/>
    <w:rsid w:val="005513C8"/>
    <w:rsid w:val="00552204"/>
    <w:rsid w:val="0055236E"/>
    <w:rsid w:val="0055352C"/>
    <w:rsid w:val="005538A6"/>
    <w:rsid w:val="00554F94"/>
    <w:rsid w:val="00555161"/>
    <w:rsid w:val="00555A59"/>
    <w:rsid w:val="00555BB7"/>
    <w:rsid w:val="00555DE6"/>
    <w:rsid w:val="00555EB3"/>
    <w:rsid w:val="005567F6"/>
    <w:rsid w:val="0055695F"/>
    <w:rsid w:val="00556E29"/>
    <w:rsid w:val="00557474"/>
    <w:rsid w:val="00557DAA"/>
    <w:rsid w:val="00557DAD"/>
    <w:rsid w:val="00557F7F"/>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E8A"/>
    <w:rsid w:val="005E06FA"/>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BF"/>
    <w:rsid w:val="00603702"/>
    <w:rsid w:val="00603B4B"/>
    <w:rsid w:val="00603F20"/>
    <w:rsid w:val="00604F37"/>
    <w:rsid w:val="0060508A"/>
    <w:rsid w:val="006055AF"/>
    <w:rsid w:val="00605942"/>
    <w:rsid w:val="00605C9F"/>
    <w:rsid w:val="00605DE8"/>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537D"/>
    <w:rsid w:val="0061537F"/>
    <w:rsid w:val="006156D7"/>
    <w:rsid w:val="00615CF1"/>
    <w:rsid w:val="00615DEA"/>
    <w:rsid w:val="00616A60"/>
    <w:rsid w:val="00616D0C"/>
    <w:rsid w:val="00616EE6"/>
    <w:rsid w:val="006171FB"/>
    <w:rsid w:val="00617283"/>
    <w:rsid w:val="00617A2A"/>
    <w:rsid w:val="00617A94"/>
    <w:rsid w:val="006207F4"/>
    <w:rsid w:val="00620A8F"/>
    <w:rsid w:val="00620C67"/>
    <w:rsid w:val="00621479"/>
    <w:rsid w:val="00621646"/>
    <w:rsid w:val="00621803"/>
    <w:rsid w:val="00621A34"/>
    <w:rsid w:val="006220F1"/>
    <w:rsid w:val="00623E46"/>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0A6"/>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600D"/>
    <w:rsid w:val="006963AE"/>
    <w:rsid w:val="00697053"/>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DF6"/>
    <w:rsid w:val="006B233F"/>
    <w:rsid w:val="006B275E"/>
    <w:rsid w:val="006B28EA"/>
    <w:rsid w:val="006B2DA3"/>
    <w:rsid w:val="006B2FBB"/>
    <w:rsid w:val="006B378A"/>
    <w:rsid w:val="006B3BD5"/>
    <w:rsid w:val="006B4185"/>
    <w:rsid w:val="006B4224"/>
    <w:rsid w:val="006B4493"/>
    <w:rsid w:val="006B453E"/>
    <w:rsid w:val="006B4B62"/>
    <w:rsid w:val="006B53DC"/>
    <w:rsid w:val="006B5423"/>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E6E"/>
    <w:rsid w:val="006C3EEA"/>
    <w:rsid w:val="006C3F92"/>
    <w:rsid w:val="006C42FA"/>
    <w:rsid w:val="006C43A6"/>
    <w:rsid w:val="006C4A4A"/>
    <w:rsid w:val="006C4E89"/>
    <w:rsid w:val="006C53EB"/>
    <w:rsid w:val="006C5434"/>
    <w:rsid w:val="006C5D29"/>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5DC6"/>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880"/>
    <w:rsid w:val="00717CA8"/>
    <w:rsid w:val="007205E7"/>
    <w:rsid w:val="007209C4"/>
    <w:rsid w:val="00721E9E"/>
    <w:rsid w:val="007227FE"/>
    <w:rsid w:val="0072323F"/>
    <w:rsid w:val="007233C3"/>
    <w:rsid w:val="007238D7"/>
    <w:rsid w:val="00723C95"/>
    <w:rsid w:val="007244E7"/>
    <w:rsid w:val="0072505F"/>
    <w:rsid w:val="00725B00"/>
    <w:rsid w:val="0072680C"/>
    <w:rsid w:val="00726B3D"/>
    <w:rsid w:val="00726C64"/>
    <w:rsid w:val="007302C6"/>
    <w:rsid w:val="00730FB0"/>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7D8F"/>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253"/>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20189"/>
    <w:rsid w:val="00920203"/>
    <w:rsid w:val="009203A2"/>
    <w:rsid w:val="009206E2"/>
    <w:rsid w:val="00920997"/>
    <w:rsid w:val="00920B1E"/>
    <w:rsid w:val="00920DD5"/>
    <w:rsid w:val="00921161"/>
    <w:rsid w:val="0092128B"/>
    <w:rsid w:val="00922492"/>
    <w:rsid w:val="009224EB"/>
    <w:rsid w:val="0092272F"/>
    <w:rsid w:val="00922BE2"/>
    <w:rsid w:val="00922EDE"/>
    <w:rsid w:val="009237D9"/>
    <w:rsid w:val="0092406C"/>
    <w:rsid w:val="0092409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FA"/>
    <w:rsid w:val="00941503"/>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7CA"/>
    <w:rsid w:val="0097617E"/>
    <w:rsid w:val="00976E76"/>
    <w:rsid w:val="00977A14"/>
    <w:rsid w:val="00977E9B"/>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3102"/>
    <w:rsid w:val="00A233D8"/>
    <w:rsid w:val="00A2343F"/>
    <w:rsid w:val="00A23505"/>
    <w:rsid w:val="00A236AC"/>
    <w:rsid w:val="00A237D0"/>
    <w:rsid w:val="00A23A4D"/>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724"/>
    <w:rsid w:val="00A367AF"/>
    <w:rsid w:val="00A36C13"/>
    <w:rsid w:val="00A374D3"/>
    <w:rsid w:val="00A377C2"/>
    <w:rsid w:val="00A37A31"/>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85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20E1"/>
    <w:rsid w:val="00A92AFD"/>
    <w:rsid w:val="00A933AE"/>
    <w:rsid w:val="00A93863"/>
    <w:rsid w:val="00A93928"/>
    <w:rsid w:val="00A9415E"/>
    <w:rsid w:val="00A9423F"/>
    <w:rsid w:val="00A94EBD"/>
    <w:rsid w:val="00A9510D"/>
    <w:rsid w:val="00A95580"/>
    <w:rsid w:val="00A956AC"/>
    <w:rsid w:val="00A95D2A"/>
    <w:rsid w:val="00A96214"/>
    <w:rsid w:val="00A967E8"/>
    <w:rsid w:val="00A97F4B"/>
    <w:rsid w:val="00AA04C5"/>
    <w:rsid w:val="00AA10B1"/>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37E6"/>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D76"/>
    <w:rsid w:val="00B27032"/>
    <w:rsid w:val="00B27085"/>
    <w:rsid w:val="00B30003"/>
    <w:rsid w:val="00B3015C"/>
    <w:rsid w:val="00B30AD9"/>
    <w:rsid w:val="00B31201"/>
    <w:rsid w:val="00B31B00"/>
    <w:rsid w:val="00B31B4B"/>
    <w:rsid w:val="00B31E36"/>
    <w:rsid w:val="00B32E26"/>
    <w:rsid w:val="00B338B7"/>
    <w:rsid w:val="00B34061"/>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60E"/>
    <w:rsid w:val="00BA19C4"/>
    <w:rsid w:val="00BA3038"/>
    <w:rsid w:val="00BA360A"/>
    <w:rsid w:val="00BA370A"/>
    <w:rsid w:val="00BA48BC"/>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B33"/>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4C2B"/>
    <w:rsid w:val="00BF507A"/>
    <w:rsid w:val="00BF53F1"/>
    <w:rsid w:val="00BF5717"/>
    <w:rsid w:val="00BF585E"/>
    <w:rsid w:val="00BF5B9D"/>
    <w:rsid w:val="00BF5C45"/>
    <w:rsid w:val="00BF5FA3"/>
    <w:rsid w:val="00BF62F2"/>
    <w:rsid w:val="00BF63A5"/>
    <w:rsid w:val="00BF6493"/>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6"/>
    <w:rsid w:val="00C61ACF"/>
    <w:rsid w:val="00C6211D"/>
    <w:rsid w:val="00C62537"/>
    <w:rsid w:val="00C62B32"/>
    <w:rsid w:val="00C63DED"/>
    <w:rsid w:val="00C63E88"/>
    <w:rsid w:val="00C6436D"/>
    <w:rsid w:val="00C64F97"/>
    <w:rsid w:val="00C65585"/>
    <w:rsid w:val="00C656EB"/>
    <w:rsid w:val="00C65DF4"/>
    <w:rsid w:val="00C661C6"/>
    <w:rsid w:val="00C67880"/>
    <w:rsid w:val="00C67B49"/>
    <w:rsid w:val="00C711F5"/>
    <w:rsid w:val="00C71326"/>
    <w:rsid w:val="00C713A1"/>
    <w:rsid w:val="00C71828"/>
    <w:rsid w:val="00C72105"/>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90165"/>
    <w:rsid w:val="00C902DA"/>
    <w:rsid w:val="00C90733"/>
    <w:rsid w:val="00C921C4"/>
    <w:rsid w:val="00C9235F"/>
    <w:rsid w:val="00C9257F"/>
    <w:rsid w:val="00C92BF4"/>
    <w:rsid w:val="00C9319C"/>
    <w:rsid w:val="00C934F6"/>
    <w:rsid w:val="00C93874"/>
    <w:rsid w:val="00C93A4C"/>
    <w:rsid w:val="00C944EB"/>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A9C"/>
    <w:rsid w:val="00D10076"/>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02C"/>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9DF"/>
    <w:rsid w:val="00D31C02"/>
    <w:rsid w:val="00D3225E"/>
    <w:rsid w:val="00D324BC"/>
    <w:rsid w:val="00D32B9F"/>
    <w:rsid w:val="00D33565"/>
    <w:rsid w:val="00D33761"/>
    <w:rsid w:val="00D33762"/>
    <w:rsid w:val="00D33A91"/>
    <w:rsid w:val="00D341C7"/>
    <w:rsid w:val="00D344B7"/>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5291"/>
    <w:rsid w:val="00D55C48"/>
    <w:rsid w:val="00D55E47"/>
    <w:rsid w:val="00D56392"/>
    <w:rsid w:val="00D56997"/>
    <w:rsid w:val="00D570E6"/>
    <w:rsid w:val="00D5730F"/>
    <w:rsid w:val="00D5774F"/>
    <w:rsid w:val="00D60809"/>
    <w:rsid w:val="00D60D7F"/>
    <w:rsid w:val="00D61C9C"/>
    <w:rsid w:val="00D62111"/>
    <w:rsid w:val="00D62229"/>
    <w:rsid w:val="00D625B8"/>
    <w:rsid w:val="00D626F8"/>
    <w:rsid w:val="00D62A03"/>
    <w:rsid w:val="00D636DC"/>
    <w:rsid w:val="00D63F14"/>
    <w:rsid w:val="00D63F4C"/>
    <w:rsid w:val="00D64613"/>
    <w:rsid w:val="00D64702"/>
    <w:rsid w:val="00D659FA"/>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9C7"/>
    <w:rsid w:val="00D87F1E"/>
    <w:rsid w:val="00D90275"/>
    <w:rsid w:val="00D902F5"/>
    <w:rsid w:val="00D9075D"/>
    <w:rsid w:val="00D90959"/>
    <w:rsid w:val="00D91410"/>
    <w:rsid w:val="00D91438"/>
    <w:rsid w:val="00D91594"/>
    <w:rsid w:val="00D91ABE"/>
    <w:rsid w:val="00D91DFB"/>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04D"/>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09EC"/>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1F34"/>
    <w:rsid w:val="00DC3A6F"/>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4BD"/>
    <w:rsid w:val="00DF068D"/>
    <w:rsid w:val="00DF0D3A"/>
    <w:rsid w:val="00DF140A"/>
    <w:rsid w:val="00DF1A9A"/>
    <w:rsid w:val="00DF1C2D"/>
    <w:rsid w:val="00DF1F8A"/>
    <w:rsid w:val="00DF2209"/>
    <w:rsid w:val="00DF248E"/>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2FF"/>
    <w:rsid w:val="00E14EFA"/>
    <w:rsid w:val="00E151B9"/>
    <w:rsid w:val="00E158C4"/>
    <w:rsid w:val="00E161E6"/>
    <w:rsid w:val="00E167C9"/>
    <w:rsid w:val="00E1698C"/>
    <w:rsid w:val="00E16BDB"/>
    <w:rsid w:val="00E172BE"/>
    <w:rsid w:val="00E17991"/>
    <w:rsid w:val="00E17CF7"/>
    <w:rsid w:val="00E205D6"/>
    <w:rsid w:val="00E209AB"/>
    <w:rsid w:val="00E216EC"/>
    <w:rsid w:val="00E2189A"/>
    <w:rsid w:val="00E21A60"/>
    <w:rsid w:val="00E22B5A"/>
    <w:rsid w:val="00E22B68"/>
    <w:rsid w:val="00E231C9"/>
    <w:rsid w:val="00E23EBF"/>
    <w:rsid w:val="00E23FD5"/>
    <w:rsid w:val="00E24669"/>
    <w:rsid w:val="00E24836"/>
    <w:rsid w:val="00E24C48"/>
    <w:rsid w:val="00E24EE4"/>
    <w:rsid w:val="00E25981"/>
    <w:rsid w:val="00E26141"/>
    <w:rsid w:val="00E266F5"/>
    <w:rsid w:val="00E26C97"/>
    <w:rsid w:val="00E26CCC"/>
    <w:rsid w:val="00E270D3"/>
    <w:rsid w:val="00E27FC7"/>
    <w:rsid w:val="00E3050B"/>
    <w:rsid w:val="00E30700"/>
    <w:rsid w:val="00E30FAC"/>
    <w:rsid w:val="00E31360"/>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675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FFE"/>
    <w:rsid w:val="00E43050"/>
    <w:rsid w:val="00E4316E"/>
    <w:rsid w:val="00E435AB"/>
    <w:rsid w:val="00E44275"/>
    <w:rsid w:val="00E44705"/>
    <w:rsid w:val="00E44777"/>
    <w:rsid w:val="00E44F67"/>
    <w:rsid w:val="00E4535F"/>
    <w:rsid w:val="00E455E3"/>
    <w:rsid w:val="00E466BC"/>
    <w:rsid w:val="00E4686A"/>
    <w:rsid w:val="00E469F2"/>
    <w:rsid w:val="00E46EE9"/>
    <w:rsid w:val="00E479FD"/>
    <w:rsid w:val="00E47F1A"/>
    <w:rsid w:val="00E504D6"/>
    <w:rsid w:val="00E50B6F"/>
    <w:rsid w:val="00E50EBE"/>
    <w:rsid w:val="00E50F69"/>
    <w:rsid w:val="00E50FC6"/>
    <w:rsid w:val="00E5227B"/>
    <w:rsid w:val="00E52372"/>
    <w:rsid w:val="00E5265A"/>
    <w:rsid w:val="00E52786"/>
    <w:rsid w:val="00E52F05"/>
    <w:rsid w:val="00E53579"/>
    <w:rsid w:val="00E540C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77F2C"/>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B39"/>
    <w:rsid w:val="00EB0F0F"/>
    <w:rsid w:val="00EB1230"/>
    <w:rsid w:val="00EB12A5"/>
    <w:rsid w:val="00EB1DEF"/>
    <w:rsid w:val="00EB24D8"/>
    <w:rsid w:val="00EB277B"/>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9C0"/>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F3F"/>
    <w:rsid w:val="00F528B5"/>
    <w:rsid w:val="00F528E7"/>
    <w:rsid w:val="00F52C8A"/>
    <w:rsid w:val="00F5352D"/>
    <w:rsid w:val="00F53615"/>
    <w:rsid w:val="00F53A91"/>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5D3"/>
    <w:rsid w:val="00F7281E"/>
    <w:rsid w:val="00F72974"/>
    <w:rsid w:val="00F72C1A"/>
    <w:rsid w:val="00F72C3D"/>
    <w:rsid w:val="00F737AB"/>
    <w:rsid w:val="00F73992"/>
    <w:rsid w:val="00F7406A"/>
    <w:rsid w:val="00F74216"/>
    <w:rsid w:val="00F74F0F"/>
    <w:rsid w:val="00F75731"/>
    <w:rsid w:val="00F75841"/>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40564D"/>
    <w:rsid w:val="017E3F71"/>
    <w:rsid w:val="01AA2C10"/>
    <w:rsid w:val="021D0D94"/>
    <w:rsid w:val="023A109F"/>
    <w:rsid w:val="02BE337B"/>
    <w:rsid w:val="02CB1CF7"/>
    <w:rsid w:val="030A0A72"/>
    <w:rsid w:val="031B78E2"/>
    <w:rsid w:val="037738D8"/>
    <w:rsid w:val="03CA2A2C"/>
    <w:rsid w:val="03D41080"/>
    <w:rsid w:val="046E4522"/>
    <w:rsid w:val="04BC3FEE"/>
    <w:rsid w:val="04EC4BF9"/>
    <w:rsid w:val="055A2489"/>
    <w:rsid w:val="058D6A20"/>
    <w:rsid w:val="05EC37DD"/>
    <w:rsid w:val="06062903"/>
    <w:rsid w:val="060E7748"/>
    <w:rsid w:val="065D579F"/>
    <w:rsid w:val="06865951"/>
    <w:rsid w:val="068955F4"/>
    <w:rsid w:val="06CA0A0A"/>
    <w:rsid w:val="075F0692"/>
    <w:rsid w:val="07BA1FDC"/>
    <w:rsid w:val="07BF1CE5"/>
    <w:rsid w:val="07DB054A"/>
    <w:rsid w:val="07E6534F"/>
    <w:rsid w:val="08167EED"/>
    <w:rsid w:val="083D2AF4"/>
    <w:rsid w:val="08C604B1"/>
    <w:rsid w:val="08F53B23"/>
    <w:rsid w:val="09220A50"/>
    <w:rsid w:val="0927116F"/>
    <w:rsid w:val="09E41D8F"/>
    <w:rsid w:val="0A053C89"/>
    <w:rsid w:val="0A070656"/>
    <w:rsid w:val="0A17534A"/>
    <w:rsid w:val="0A79499C"/>
    <w:rsid w:val="0A913ED8"/>
    <w:rsid w:val="0B030173"/>
    <w:rsid w:val="0B24171E"/>
    <w:rsid w:val="0B5C3243"/>
    <w:rsid w:val="0B665CE2"/>
    <w:rsid w:val="0BA6321E"/>
    <w:rsid w:val="0BAD59A4"/>
    <w:rsid w:val="0BFC043E"/>
    <w:rsid w:val="0C0E7438"/>
    <w:rsid w:val="0C2F22AB"/>
    <w:rsid w:val="0C466B45"/>
    <w:rsid w:val="0C937C0E"/>
    <w:rsid w:val="0D584403"/>
    <w:rsid w:val="0D6B65B1"/>
    <w:rsid w:val="0D7766FF"/>
    <w:rsid w:val="0DEE7765"/>
    <w:rsid w:val="0E591A99"/>
    <w:rsid w:val="0F2B5D1F"/>
    <w:rsid w:val="101C0A97"/>
    <w:rsid w:val="101E59ED"/>
    <w:rsid w:val="10F67974"/>
    <w:rsid w:val="117228D1"/>
    <w:rsid w:val="12685FCD"/>
    <w:rsid w:val="12852A72"/>
    <w:rsid w:val="12C60637"/>
    <w:rsid w:val="12EA5041"/>
    <w:rsid w:val="13214E77"/>
    <w:rsid w:val="134D0507"/>
    <w:rsid w:val="13757C46"/>
    <w:rsid w:val="142851FC"/>
    <w:rsid w:val="14486842"/>
    <w:rsid w:val="144926AB"/>
    <w:rsid w:val="146F2C7A"/>
    <w:rsid w:val="147015A5"/>
    <w:rsid w:val="149E4992"/>
    <w:rsid w:val="15A90594"/>
    <w:rsid w:val="15D114D0"/>
    <w:rsid w:val="162E0AC3"/>
    <w:rsid w:val="170E5D26"/>
    <w:rsid w:val="174979EB"/>
    <w:rsid w:val="1760188C"/>
    <w:rsid w:val="17643FF9"/>
    <w:rsid w:val="17BE59A2"/>
    <w:rsid w:val="17EA7775"/>
    <w:rsid w:val="1802165D"/>
    <w:rsid w:val="18077515"/>
    <w:rsid w:val="18185849"/>
    <w:rsid w:val="18CA5D94"/>
    <w:rsid w:val="18D645D2"/>
    <w:rsid w:val="19194B41"/>
    <w:rsid w:val="195E104B"/>
    <w:rsid w:val="1A442DE9"/>
    <w:rsid w:val="1B1427D2"/>
    <w:rsid w:val="1B2A7AAB"/>
    <w:rsid w:val="1B2F36F2"/>
    <w:rsid w:val="1BA00FB7"/>
    <w:rsid w:val="1BC305D3"/>
    <w:rsid w:val="1BEC1AEC"/>
    <w:rsid w:val="1BF3473E"/>
    <w:rsid w:val="1C230AC0"/>
    <w:rsid w:val="1C903AF6"/>
    <w:rsid w:val="1C9F2115"/>
    <w:rsid w:val="1CB05F57"/>
    <w:rsid w:val="1CD55680"/>
    <w:rsid w:val="1D321E13"/>
    <w:rsid w:val="1DBC044E"/>
    <w:rsid w:val="1E390005"/>
    <w:rsid w:val="1E7F3055"/>
    <w:rsid w:val="1E87598B"/>
    <w:rsid w:val="1E8A1234"/>
    <w:rsid w:val="1F021EE1"/>
    <w:rsid w:val="1F040613"/>
    <w:rsid w:val="1F454D3A"/>
    <w:rsid w:val="1F4849CA"/>
    <w:rsid w:val="1F873477"/>
    <w:rsid w:val="1FDF421E"/>
    <w:rsid w:val="20EB2E46"/>
    <w:rsid w:val="20F53349"/>
    <w:rsid w:val="21455F84"/>
    <w:rsid w:val="22133924"/>
    <w:rsid w:val="232D755C"/>
    <w:rsid w:val="24575886"/>
    <w:rsid w:val="2493163B"/>
    <w:rsid w:val="24977600"/>
    <w:rsid w:val="24B831E2"/>
    <w:rsid w:val="24D11E27"/>
    <w:rsid w:val="250B120F"/>
    <w:rsid w:val="252C7220"/>
    <w:rsid w:val="258D5F08"/>
    <w:rsid w:val="26071ED5"/>
    <w:rsid w:val="26226B65"/>
    <w:rsid w:val="268C02CD"/>
    <w:rsid w:val="26A50560"/>
    <w:rsid w:val="26E75939"/>
    <w:rsid w:val="270F55EE"/>
    <w:rsid w:val="272F1A96"/>
    <w:rsid w:val="27F52753"/>
    <w:rsid w:val="27FD1EFF"/>
    <w:rsid w:val="28650375"/>
    <w:rsid w:val="297B0CF7"/>
    <w:rsid w:val="29A916EC"/>
    <w:rsid w:val="29D46894"/>
    <w:rsid w:val="29D543B0"/>
    <w:rsid w:val="2A16744D"/>
    <w:rsid w:val="2A6C5518"/>
    <w:rsid w:val="2AD92315"/>
    <w:rsid w:val="2AFB54A9"/>
    <w:rsid w:val="2B1B11BE"/>
    <w:rsid w:val="2B654700"/>
    <w:rsid w:val="2B822DA1"/>
    <w:rsid w:val="2C036977"/>
    <w:rsid w:val="2C0A4A07"/>
    <w:rsid w:val="2C3541FE"/>
    <w:rsid w:val="2C541884"/>
    <w:rsid w:val="2CF96FB4"/>
    <w:rsid w:val="2D9D1DE2"/>
    <w:rsid w:val="2DCF682F"/>
    <w:rsid w:val="2DD724C3"/>
    <w:rsid w:val="2E0568C7"/>
    <w:rsid w:val="2E112BAE"/>
    <w:rsid w:val="2E343DB9"/>
    <w:rsid w:val="2E4210BF"/>
    <w:rsid w:val="2E457B9E"/>
    <w:rsid w:val="2E70537D"/>
    <w:rsid w:val="2EA133AF"/>
    <w:rsid w:val="2EDD2DD9"/>
    <w:rsid w:val="2EE1338C"/>
    <w:rsid w:val="2F723467"/>
    <w:rsid w:val="2FA94C44"/>
    <w:rsid w:val="301663F8"/>
    <w:rsid w:val="30197C97"/>
    <w:rsid w:val="306835D0"/>
    <w:rsid w:val="30872DEE"/>
    <w:rsid w:val="30B17ECF"/>
    <w:rsid w:val="30B91060"/>
    <w:rsid w:val="30F71D86"/>
    <w:rsid w:val="31684C94"/>
    <w:rsid w:val="31780008"/>
    <w:rsid w:val="31870883"/>
    <w:rsid w:val="31B72239"/>
    <w:rsid w:val="31BB1708"/>
    <w:rsid w:val="321E77E6"/>
    <w:rsid w:val="32A0292F"/>
    <w:rsid w:val="32A02B99"/>
    <w:rsid w:val="337D5F7B"/>
    <w:rsid w:val="33912639"/>
    <w:rsid w:val="33D414D0"/>
    <w:rsid w:val="341B2B8A"/>
    <w:rsid w:val="3439368F"/>
    <w:rsid w:val="34603E67"/>
    <w:rsid w:val="34A72BA0"/>
    <w:rsid w:val="3502693D"/>
    <w:rsid w:val="35545266"/>
    <w:rsid w:val="35625076"/>
    <w:rsid w:val="35683252"/>
    <w:rsid w:val="35690056"/>
    <w:rsid w:val="358D4674"/>
    <w:rsid w:val="35CD358A"/>
    <w:rsid w:val="35D21729"/>
    <w:rsid w:val="36232DB0"/>
    <w:rsid w:val="36CD370A"/>
    <w:rsid w:val="36DF5796"/>
    <w:rsid w:val="371F47CE"/>
    <w:rsid w:val="378425F3"/>
    <w:rsid w:val="37E17C57"/>
    <w:rsid w:val="385F359C"/>
    <w:rsid w:val="38F00F56"/>
    <w:rsid w:val="39230C69"/>
    <w:rsid w:val="392C517D"/>
    <w:rsid w:val="394D2FF3"/>
    <w:rsid w:val="39764653"/>
    <w:rsid w:val="39B30907"/>
    <w:rsid w:val="3A476502"/>
    <w:rsid w:val="3A514476"/>
    <w:rsid w:val="3AF70D7C"/>
    <w:rsid w:val="3B6049CB"/>
    <w:rsid w:val="3BA12515"/>
    <w:rsid w:val="3BA80B19"/>
    <w:rsid w:val="3BC74A4B"/>
    <w:rsid w:val="3C4240EC"/>
    <w:rsid w:val="3C467655"/>
    <w:rsid w:val="3C9B0CDC"/>
    <w:rsid w:val="3CB61A62"/>
    <w:rsid w:val="3CE75508"/>
    <w:rsid w:val="3D711B40"/>
    <w:rsid w:val="3D7C6034"/>
    <w:rsid w:val="3DF36B81"/>
    <w:rsid w:val="3E1579E5"/>
    <w:rsid w:val="3E800AA6"/>
    <w:rsid w:val="3F3A1FEB"/>
    <w:rsid w:val="3F8F7BFB"/>
    <w:rsid w:val="3FBB2FDA"/>
    <w:rsid w:val="40A67243"/>
    <w:rsid w:val="412070D7"/>
    <w:rsid w:val="415739F6"/>
    <w:rsid w:val="41A522F2"/>
    <w:rsid w:val="41CE268F"/>
    <w:rsid w:val="42253D73"/>
    <w:rsid w:val="42DE0FF8"/>
    <w:rsid w:val="430D71E7"/>
    <w:rsid w:val="43D84756"/>
    <w:rsid w:val="44592171"/>
    <w:rsid w:val="44676118"/>
    <w:rsid w:val="448C6505"/>
    <w:rsid w:val="44D77AAC"/>
    <w:rsid w:val="44E4602A"/>
    <w:rsid w:val="45537845"/>
    <w:rsid w:val="45B80788"/>
    <w:rsid w:val="46051E7A"/>
    <w:rsid w:val="46B654EF"/>
    <w:rsid w:val="47CB7360"/>
    <w:rsid w:val="47E9061B"/>
    <w:rsid w:val="483B0352"/>
    <w:rsid w:val="484245C7"/>
    <w:rsid w:val="48595E5F"/>
    <w:rsid w:val="4884792F"/>
    <w:rsid w:val="488D7CFE"/>
    <w:rsid w:val="48CC3E16"/>
    <w:rsid w:val="49167552"/>
    <w:rsid w:val="49323FD7"/>
    <w:rsid w:val="494E6498"/>
    <w:rsid w:val="4A2D6DC7"/>
    <w:rsid w:val="4AB66B72"/>
    <w:rsid w:val="4ABC3EE6"/>
    <w:rsid w:val="4AD827D0"/>
    <w:rsid w:val="4BD75DE3"/>
    <w:rsid w:val="4BE95365"/>
    <w:rsid w:val="4C12409B"/>
    <w:rsid w:val="4C4243A5"/>
    <w:rsid w:val="4D985826"/>
    <w:rsid w:val="4D9B7742"/>
    <w:rsid w:val="4DB737CA"/>
    <w:rsid w:val="4DC3720E"/>
    <w:rsid w:val="4E0D09E3"/>
    <w:rsid w:val="4E0D6573"/>
    <w:rsid w:val="4E107CFD"/>
    <w:rsid w:val="4E913084"/>
    <w:rsid w:val="4E9B14FE"/>
    <w:rsid w:val="4EAC5711"/>
    <w:rsid w:val="4EB175C0"/>
    <w:rsid w:val="4EDB7DEA"/>
    <w:rsid w:val="4F1C1C89"/>
    <w:rsid w:val="500D0797"/>
    <w:rsid w:val="516B614C"/>
    <w:rsid w:val="51B2004B"/>
    <w:rsid w:val="52904232"/>
    <w:rsid w:val="52F73D3C"/>
    <w:rsid w:val="531D5224"/>
    <w:rsid w:val="53237088"/>
    <w:rsid w:val="53616BB9"/>
    <w:rsid w:val="536E3CD2"/>
    <w:rsid w:val="53D706B9"/>
    <w:rsid w:val="5426478F"/>
    <w:rsid w:val="54556AEA"/>
    <w:rsid w:val="55131A57"/>
    <w:rsid w:val="55622629"/>
    <w:rsid w:val="565417E9"/>
    <w:rsid w:val="57207216"/>
    <w:rsid w:val="577D71D5"/>
    <w:rsid w:val="582B3F35"/>
    <w:rsid w:val="5861178D"/>
    <w:rsid w:val="589B369A"/>
    <w:rsid w:val="58C6432E"/>
    <w:rsid w:val="5908391E"/>
    <w:rsid w:val="59D46859"/>
    <w:rsid w:val="59D9433B"/>
    <w:rsid w:val="59DE6159"/>
    <w:rsid w:val="5A04583D"/>
    <w:rsid w:val="5A0817DD"/>
    <w:rsid w:val="5A3A2DDD"/>
    <w:rsid w:val="5A4B34F1"/>
    <w:rsid w:val="5B0B1E06"/>
    <w:rsid w:val="5B4C0C4A"/>
    <w:rsid w:val="5BF449CD"/>
    <w:rsid w:val="5BF918A2"/>
    <w:rsid w:val="5BFC45BA"/>
    <w:rsid w:val="5C237623"/>
    <w:rsid w:val="5C4968E6"/>
    <w:rsid w:val="5CB55012"/>
    <w:rsid w:val="5ED76139"/>
    <w:rsid w:val="613B316F"/>
    <w:rsid w:val="616B1851"/>
    <w:rsid w:val="6185087E"/>
    <w:rsid w:val="61BF02E0"/>
    <w:rsid w:val="62093465"/>
    <w:rsid w:val="62B8336A"/>
    <w:rsid w:val="63157D64"/>
    <w:rsid w:val="63185A08"/>
    <w:rsid w:val="635F5CFB"/>
    <w:rsid w:val="63927568"/>
    <w:rsid w:val="63E340FD"/>
    <w:rsid w:val="64337579"/>
    <w:rsid w:val="64441196"/>
    <w:rsid w:val="648B53C8"/>
    <w:rsid w:val="65091B75"/>
    <w:rsid w:val="6568774A"/>
    <w:rsid w:val="65954A17"/>
    <w:rsid w:val="65B27F48"/>
    <w:rsid w:val="65BC6440"/>
    <w:rsid w:val="65C36E7F"/>
    <w:rsid w:val="65D21A26"/>
    <w:rsid w:val="663B7430"/>
    <w:rsid w:val="671E1CA4"/>
    <w:rsid w:val="672A0BC3"/>
    <w:rsid w:val="677E1BB2"/>
    <w:rsid w:val="67BC2E06"/>
    <w:rsid w:val="67D0240D"/>
    <w:rsid w:val="67F752AC"/>
    <w:rsid w:val="682B479F"/>
    <w:rsid w:val="687775B2"/>
    <w:rsid w:val="68CB13E7"/>
    <w:rsid w:val="69B24302"/>
    <w:rsid w:val="69E8472F"/>
    <w:rsid w:val="6A125484"/>
    <w:rsid w:val="6A1B14A7"/>
    <w:rsid w:val="6AC87D14"/>
    <w:rsid w:val="6B241A17"/>
    <w:rsid w:val="6BE24E05"/>
    <w:rsid w:val="6C5801EF"/>
    <w:rsid w:val="6DC34565"/>
    <w:rsid w:val="6DCA304C"/>
    <w:rsid w:val="6E110D76"/>
    <w:rsid w:val="6E1148C4"/>
    <w:rsid w:val="6E2E0238"/>
    <w:rsid w:val="6E687F4E"/>
    <w:rsid w:val="6E914282"/>
    <w:rsid w:val="6E9C0F6F"/>
    <w:rsid w:val="6EB47491"/>
    <w:rsid w:val="6EF2117C"/>
    <w:rsid w:val="6F0E4EC3"/>
    <w:rsid w:val="6F4705A6"/>
    <w:rsid w:val="6FAF14A2"/>
    <w:rsid w:val="70557737"/>
    <w:rsid w:val="706D27E8"/>
    <w:rsid w:val="712224EE"/>
    <w:rsid w:val="71597917"/>
    <w:rsid w:val="715D0EE2"/>
    <w:rsid w:val="718451D9"/>
    <w:rsid w:val="71AD7318"/>
    <w:rsid w:val="726D70E7"/>
    <w:rsid w:val="72A63D8F"/>
    <w:rsid w:val="73D2575F"/>
    <w:rsid w:val="747D74F0"/>
    <w:rsid w:val="74C31ECB"/>
    <w:rsid w:val="74DE1061"/>
    <w:rsid w:val="75942919"/>
    <w:rsid w:val="75F31ED6"/>
    <w:rsid w:val="760D34E9"/>
    <w:rsid w:val="76595CC4"/>
    <w:rsid w:val="76844DD8"/>
    <w:rsid w:val="7685544A"/>
    <w:rsid w:val="77240217"/>
    <w:rsid w:val="77277640"/>
    <w:rsid w:val="7837245C"/>
    <w:rsid w:val="79851D4D"/>
    <w:rsid w:val="7997550A"/>
    <w:rsid w:val="79C1276A"/>
    <w:rsid w:val="79E2501D"/>
    <w:rsid w:val="7AAA36FF"/>
    <w:rsid w:val="7B2D3A98"/>
    <w:rsid w:val="7B832A45"/>
    <w:rsid w:val="7B964AEB"/>
    <w:rsid w:val="7BB75966"/>
    <w:rsid w:val="7BB90B5C"/>
    <w:rsid w:val="7BBA6740"/>
    <w:rsid w:val="7C9C4E59"/>
    <w:rsid w:val="7D2D2866"/>
    <w:rsid w:val="7D521C0D"/>
    <w:rsid w:val="7D94336A"/>
    <w:rsid w:val="7DE60785"/>
    <w:rsid w:val="7E092C14"/>
    <w:rsid w:val="7E2B43EA"/>
    <w:rsid w:val="7E2F1D63"/>
    <w:rsid w:val="7E762054"/>
    <w:rsid w:val="7EFC6788"/>
    <w:rsid w:val="7F482401"/>
    <w:rsid w:val="7FAA2F42"/>
    <w:rsid w:val="7FF91E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59"/>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0"/>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1"/>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2"/>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4"/>
    <w:unhideWhenUsed/>
    <w:qFormat/>
    <w:uiPriority w:val="0"/>
    <w:pPr>
      <w:shd w:val="clear" w:color="auto" w:fill="000080"/>
    </w:pPr>
    <w:rPr>
      <w:rFonts w:hint="eastAsia" w:ascii="宋体" w:hAnsi="宋体"/>
      <w:kern w:val="0"/>
      <w:sz w:val="20"/>
      <w:szCs w:val="20"/>
    </w:rPr>
  </w:style>
  <w:style w:type="paragraph" w:styleId="16">
    <w:name w:val="toa heading"/>
    <w:basedOn w:val="1"/>
    <w:next w:val="1"/>
    <w:qFormat/>
    <w:uiPriority w:val="0"/>
    <w:pPr>
      <w:spacing w:before="120"/>
    </w:pPr>
    <w:rPr>
      <w:rFonts w:ascii="Arial" w:hAnsi="Arial"/>
      <w:sz w:val="24"/>
    </w:rPr>
  </w:style>
  <w:style w:type="paragraph" w:styleId="17">
    <w:name w:val="annotation text"/>
    <w:basedOn w:val="1"/>
    <w:link w:val="65"/>
    <w:unhideWhenUsed/>
    <w:qFormat/>
    <w:uiPriority w:val="0"/>
    <w:pPr>
      <w:jc w:val="left"/>
    </w:pPr>
  </w:style>
  <w:style w:type="paragraph" w:styleId="18">
    <w:name w:val="Body Text 3"/>
    <w:basedOn w:val="1"/>
    <w:link w:val="66"/>
    <w:qFormat/>
    <w:uiPriority w:val="0"/>
    <w:pPr>
      <w:spacing w:line="500" w:lineRule="exact"/>
    </w:pPr>
    <w:rPr>
      <w:b/>
      <w:bCs/>
      <w:kern w:val="0"/>
      <w:sz w:val="24"/>
    </w:rPr>
  </w:style>
  <w:style w:type="paragraph" w:styleId="19">
    <w:name w:val="Body Text"/>
    <w:basedOn w:val="1"/>
    <w:link w:val="67"/>
    <w:qFormat/>
    <w:uiPriority w:val="99"/>
    <w:pPr>
      <w:spacing w:line="380" w:lineRule="exact"/>
    </w:pPr>
    <w:rPr>
      <w:kern w:val="0"/>
      <w:sz w:val="24"/>
    </w:rPr>
  </w:style>
  <w:style w:type="paragraph" w:styleId="20">
    <w:name w:val="Body Text Indent"/>
    <w:basedOn w:val="1"/>
    <w:link w:val="68"/>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next w:val="26"/>
    <w:link w:val="69"/>
    <w:qFormat/>
    <w:uiPriority w:val="0"/>
    <w:rPr>
      <w:rFonts w:ascii="宋体" w:hAnsi="Courier New"/>
      <w:kern w:val="0"/>
      <w:sz w:val="20"/>
      <w:szCs w:val="21"/>
    </w:rPr>
  </w:style>
  <w:style w:type="paragraph" w:styleId="2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27">
    <w:name w:val="toc 8"/>
    <w:basedOn w:val="1"/>
    <w:next w:val="1"/>
    <w:unhideWhenUsed/>
    <w:qFormat/>
    <w:uiPriority w:val="39"/>
    <w:pPr>
      <w:ind w:left="2940" w:leftChars="1400"/>
    </w:pPr>
    <w:rPr>
      <w:rFonts w:ascii="Calibri" w:hAnsi="Calibri"/>
      <w:szCs w:val="22"/>
    </w:rPr>
  </w:style>
  <w:style w:type="paragraph" w:styleId="28">
    <w:name w:val="Date"/>
    <w:basedOn w:val="1"/>
    <w:next w:val="1"/>
    <w:link w:val="70"/>
    <w:qFormat/>
    <w:uiPriority w:val="0"/>
    <w:pPr>
      <w:ind w:left="100" w:leftChars="2500"/>
    </w:pPr>
    <w:rPr>
      <w:rFonts w:ascii="宋体" w:hAnsi="Courier New"/>
      <w:kern w:val="0"/>
      <w:sz w:val="20"/>
      <w:szCs w:val="21"/>
    </w:rPr>
  </w:style>
  <w:style w:type="paragraph" w:styleId="29">
    <w:name w:val="Body Text Indent 2"/>
    <w:basedOn w:val="1"/>
    <w:link w:val="71"/>
    <w:qFormat/>
    <w:uiPriority w:val="0"/>
    <w:pPr>
      <w:ind w:firstLine="630"/>
    </w:pPr>
    <w:rPr>
      <w:kern w:val="0"/>
      <w:sz w:val="32"/>
      <w:szCs w:val="20"/>
    </w:rPr>
  </w:style>
  <w:style w:type="paragraph" w:styleId="30">
    <w:name w:val="endnote text"/>
    <w:basedOn w:val="1"/>
    <w:link w:val="72"/>
    <w:unhideWhenUsed/>
    <w:qFormat/>
    <w:uiPriority w:val="99"/>
    <w:pPr>
      <w:snapToGrid w:val="0"/>
      <w:jc w:val="left"/>
    </w:pPr>
  </w:style>
  <w:style w:type="paragraph" w:styleId="31">
    <w:name w:val="Balloon Text"/>
    <w:basedOn w:val="1"/>
    <w:link w:val="73"/>
    <w:semiHidden/>
    <w:qFormat/>
    <w:uiPriority w:val="0"/>
    <w:rPr>
      <w:kern w:val="0"/>
      <w:sz w:val="18"/>
      <w:szCs w:val="18"/>
    </w:rPr>
  </w:style>
  <w:style w:type="paragraph" w:styleId="32">
    <w:name w:val="footer"/>
    <w:basedOn w:val="1"/>
    <w:next w:val="1"/>
    <w:link w:val="74"/>
    <w:unhideWhenUsed/>
    <w:qFormat/>
    <w:uiPriority w:val="99"/>
    <w:pPr>
      <w:tabs>
        <w:tab w:val="center" w:pos="4153"/>
        <w:tab w:val="right" w:pos="8306"/>
      </w:tabs>
      <w:snapToGrid w:val="0"/>
      <w:jc w:val="left"/>
    </w:pPr>
    <w:rPr>
      <w:kern w:val="0"/>
      <w:sz w:val="18"/>
      <w:szCs w:val="18"/>
    </w:rPr>
  </w:style>
  <w:style w:type="paragraph" w:styleId="33">
    <w:name w:val="header"/>
    <w:basedOn w:val="1"/>
    <w:link w:val="75"/>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76"/>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77"/>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78"/>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79"/>
    <w:qFormat/>
    <w:uiPriority w:val="10"/>
    <w:pPr>
      <w:spacing w:before="240" w:after="60"/>
      <w:jc w:val="center"/>
      <w:outlineLvl w:val="0"/>
    </w:pPr>
    <w:rPr>
      <w:rFonts w:ascii="Cambria" w:hAnsi="Cambria"/>
      <w:b/>
      <w:bCs/>
      <w:sz w:val="32"/>
      <w:szCs w:val="32"/>
    </w:rPr>
  </w:style>
  <w:style w:type="paragraph" w:styleId="45">
    <w:name w:val="annotation subject"/>
    <w:basedOn w:val="17"/>
    <w:next w:val="17"/>
    <w:link w:val="80"/>
    <w:unhideWhenUsed/>
    <w:qFormat/>
    <w:uiPriority w:val="99"/>
    <w:rPr>
      <w:b/>
      <w:bCs/>
    </w:rPr>
  </w:style>
  <w:style w:type="table" w:styleId="47">
    <w:name w:val="Table Grid"/>
    <w:basedOn w:val="4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endnote reference"/>
    <w:unhideWhenUsed/>
    <w:qFormat/>
    <w:uiPriority w:val="99"/>
    <w:rPr>
      <w:vertAlign w:val="superscript"/>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basedOn w:val="48"/>
    <w:qFormat/>
    <w:uiPriority w:val="20"/>
    <w:rPr>
      <w:i/>
    </w:rPr>
  </w:style>
  <w:style w:type="character" w:styleId="53">
    <w:name w:val="Hyperlink"/>
    <w:qFormat/>
    <w:uiPriority w:val="99"/>
    <w:rPr>
      <w:color w:val="0000FF"/>
      <w:u w:val="single"/>
    </w:rPr>
  </w:style>
  <w:style w:type="character" w:styleId="54">
    <w:name w:val="annotation reference"/>
    <w:unhideWhenUsed/>
    <w:qFormat/>
    <w:uiPriority w:val="0"/>
    <w:rPr>
      <w:sz w:val="21"/>
      <w:szCs w:val="21"/>
    </w:rPr>
  </w:style>
  <w:style w:type="character" w:styleId="55">
    <w:name w:val="footnote reference"/>
    <w:unhideWhenUsed/>
    <w:qFormat/>
    <w:uiPriority w:val="99"/>
    <w:rPr>
      <w:vertAlign w:val="superscript"/>
    </w:rPr>
  </w:style>
  <w:style w:type="character" w:customStyle="1" w:styleId="56">
    <w:name w:val="标题 2 字符"/>
    <w:link w:val="3"/>
    <w:qFormat/>
    <w:uiPriority w:val="0"/>
    <w:rPr>
      <w:rFonts w:ascii="Arial" w:hAnsi="Arial" w:eastAsia="黑体" w:cs="Times New Roman"/>
      <w:b/>
      <w:bCs/>
      <w:sz w:val="32"/>
      <w:szCs w:val="32"/>
    </w:rPr>
  </w:style>
  <w:style w:type="character" w:customStyle="1" w:styleId="57">
    <w:name w:val="标题 1 字符1"/>
    <w:link w:val="2"/>
    <w:qFormat/>
    <w:uiPriority w:val="0"/>
    <w:rPr>
      <w:rFonts w:ascii="Times New Roman" w:hAnsi="Times New Roman" w:eastAsia="宋体" w:cs="Times New Roman"/>
      <w:b/>
      <w:bCs/>
      <w:kern w:val="44"/>
      <w:sz w:val="44"/>
      <w:szCs w:val="44"/>
    </w:rPr>
  </w:style>
  <w:style w:type="character" w:customStyle="1" w:styleId="58">
    <w:name w:val="标题 3 字符"/>
    <w:link w:val="4"/>
    <w:qFormat/>
    <w:uiPriority w:val="0"/>
    <w:rPr>
      <w:rFonts w:ascii="Times New Roman" w:hAnsi="Times New Roman" w:eastAsia="宋体" w:cs="Times New Roman"/>
      <w:b/>
      <w:bCs/>
      <w:sz w:val="32"/>
      <w:szCs w:val="32"/>
    </w:rPr>
  </w:style>
  <w:style w:type="character" w:customStyle="1" w:styleId="59">
    <w:name w:val="标题 5 字符"/>
    <w:link w:val="6"/>
    <w:qFormat/>
    <w:uiPriority w:val="0"/>
    <w:rPr>
      <w:b/>
      <w:kern w:val="2"/>
      <w:sz w:val="28"/>
      <w:szCs w:val="24"/>
    </w:rPr>
  </w:style>
  <w:style w:type="character" w:customStyle="1" w:styleId="60">
    <w:name w:val="标题 6 字符"/>
    <w:link w:val="8"/>
    <w:qFormat/>
    <w:uiPriority w:val="0"/>
    <w:rPr>
      <w:rFonts w:ascii="Arial" w:hAnsi="Arial" w:eastAsia="黑体"/>
      <w:b/>
      <w:kern w:val="2"/>
      <w:sz w:val="24"/>
      <w:szCs w:val="24"/>
    </w:rPr>
  </w:style>
  <w:style w:type="character" w:customStyle="1" w:styleId="61">
    <w:name w:val="标题 7 字符"/>
    <w:link w:val="9"/>
    <w:qFormat/>
    <w:uiPriority w:val="0"/>
    <w:rPr>
      <w:rFonts w:ascii="Times New Roman" w:hAnsi="Times New Roman"/>
      <w:b/>
      <w:kern w:val="2"/>
      <w:sz w:val="24"/>
      <w:szCs w:val="24"/>
    </w:rPr>
  </w:style>
  <w:style w:type="character" w:customStyle="1" w:styleId="62">
    <w:name w:val="标题 8 字符"/>
    <w:link w:val="10"/>
    <w:qFormat/>
    <w:uiPriority w:val="0"/>
    <w:rPr>
      <w:rFonts w:ascii="Arial" w:hAnsi="Arial" w:eastAsia="黑体"/>
      <w:kern w:val="2"/>
      <w:sz w:val="24"/>
      <w:szCs w:val="24"/>
    </w:rPr>
  </w:style>
  <w:style w:type="character" w:customStyle="1" w:styleId="63">
    <w:name w:val="标题 9 字符"/>
    <w:link w:val="11"/>
    <w:qFormat/>
    <w:uiPriority w:val="0"/>
    <w:rPr>
      <w:rFonts w:ascii="Arial" w:hAnsi="Arial" w:eastAsia="黑体"/>
      <w:kern w:val="2"/>
      <w:sz w:val="21"/>
      <w:szCs w:val="24"/>
    </w:rPr>
  </w:style>
  <w:style w:type="character" w:customStyle="1" w:styleId="64">
    <w:name w:val="文档结构图 字符"/>
    <w:link w:val="15"/>
    <w:qFormat/>
    <w:uiPriority w:val="0"/>
    <w:rPr>
      <w:rFonts w:hint="eastAsia" w:ascii="宋体" w:hAnsi="宋体" w:eastAsia="宋体" w:cs="宋体"/>
    </w:rPr>
  </w:style>
  <w:style w:type="character" w:customStyle="1" w:styleId="65">
    <w:name w:val="批注文字 字符2"/>
    <w:link w:val="17"/>
    <w:qFormat/>
    <w:uiPriority w:val="0"/>
    <w:rPr>
      <w:rFonts w:ascii="Times New Roman" w:hAnsi="Times New Roman"/>
      <w:kern w:val="2"/>
      <w:sz w:val="21"/>
      <w:szCs w:val="24"/>
    </w:rPr>
  </w:style>
  <w:style w:type="character" w:customStyle="1" w:styleId="66">
    <w:name w:val="正文文本 3 字符"/>
    <w:link w:val="18"/>
    <w:qFormat/>
    <w:uiPriority w:val="0"/>
    <w:rPr>
      <w:rFonts w:ascii="Times New Roman" w:hAnsi="Times New Roman" w:eastAsia="宋体" w:cs="Times New Roman"/>
      <w:b/>
      <w:bCs/>
      <w:sz w:val="24"/>
      <w:szCs w:val="24"/>
    </w:rPr>
  </w:style>
  <w:style w:type="character" w:customStyle="1" w:styleId="67">
    <w:name w:val="正文文本 字符"/>
    <w:link w:val="19"/>
    <w:qFormat/>
    <w:uiPriority w:val="99"/>
    <w:rPr>
      <w:rFonts w:ascii="Times New Roman" w:hAnsi="Times New Roman" w:eastAsia="宋体" w:cs="Times New Roman"/>
      <w:sz w:val="24"/>
      <w:szCs w:val="24"/>
    </w:rPr>
  </w:style>
  <w:style w:type="character" w:customStyle="1" w:styleId="68">
    <w:name w:val="正文文本缩进 字符1"/>
    <w:link w:val="20"/>
    <w:qFormat/>
    <w:uiPriority w:val="0"/>
    <w:rPr>
      <w:rFonts w:ascii="仿宋_GB2312" w:hAnsi="Times New Roman" w:eastAsia="仿宋_GB2312" w:cs="Times New Roman"/>
      <w:sz w:val="32"/>
      <w:szCs w:val="20"/>
    </w:rPr>
  </w:style>
  <w:style w:type="character" w:customStyle="1" w:styleId="69">
    <w:name w:val="纯文本 字符2"/>
    <w:link w:val="25"/>
    <w:qFormat/>
    <w:uiPriority w:val="0"/>
    <w:rPr>
      <w:rFonts w:ascii="宋体" w:hAnsi="Courier New" w:eastAsia="宋体" w:cs="Courier New"/>
      <w:szCs w:val="21"/>
    </w:rPr>
  </w:style>
  <w:style w:type="character" w:customStyle="1" w:styleId="70">
    <w:name w:val="日期 字符"/>
    <w:link w:val="28"/>
    <w:qFormat/>
    <w:uiPriority w:val="0"/>
    <w:rPr>
      <w:rFonts w:ascii="宋体" w:hAnsi="Courier New" w:eastAsia="宋体" w:cs="Courier New"/>
      <w:szCs w:val="21"/>
    </w:rPr>
  </w:style>
  <w:style w:type="character" w:customStyle="1" w:styleId="71">
    <w:name w:val="正文文本缩进 2 字符"/>
    <w:link w:val="29"/>
    <w:qFormat/>
    <w:uiPriority w:val="0"/>
    <w:rPr>
      <w:rFonts w:ascii="Times New Roman" w:hAnsi="Times New Roman" w:eastAsia="宋体" w:cs="Times New Roman"/>
      <w:sz w:val="32"/>
      <w:szCs w:val="20"/>
    </w:rPr>
  </w:style>
  <w:style w:type="character" w:customStyle="1" w:styleId="72">
    <w:name w:val="尾注文本 字符"/>
    <w:link w:val="30"/>
    <w:semiHidden/>
    <w:qFormat/>
    <w:uiPriority w:val="99"/>
    <w:rPr>
      <w:rFonts w:ascii="Times New Roman" w:hAnsi="Times New Roman"/>
      <w:kern w:val="2"/>
      <w:sz w:val="21"/>
      <w:szCs w:val="24"/>
    </w:rPr>
  </w:style>
  <w:style w:type="character" w:customStyle="1" w:styleId="73">
    <w:name w:val="批注框文本 字符"/>
    <w:link w:val="31"/>
    <w:semiHidden/>
    <w:qFormat/>
    <w:uiPriority w:val="0"/>
    <w:rPr>
      <w:rFonts w:ascii="Times New Roman" w:hAnsi="Times New Roman" w:eastAsia="宋体" w:cs="Times New Roman"/>
      <w:sz w:val="18"/>
      <w:szCs w:val="18"/>
    </w:rPr>
  </w:style>
  <w:style w:type="character" w:customStyle="1" w:styleId="74">
    <w:name w:val="页脚 字符1"/>
    <w:link w:val="32"/>
    <w:qFormat/>
    <w:uiPriority w:val="99"/>
    <w:rPr>
      <w:sz w:val="18"/>
      <w:szCs w:val="18"/>
    </w:rPr>
  </w:style>
  <w:style w:type="character" w:customStyle="1" w:styleId="75">
    <w:name w:val="页眉 字符"/>
    <w:link w:val="33"/>
    <w:qFormat/>
    <w:uiPriority w:val="99"/>
    <w:rPr>
      <w:rFonts w:ascii="Times New Roman" w:hAnsi="Times New Roman"/>
      <w:kern w:val="2"/>
      <w:sz w:val="18"/>
      <w:szCs w:val="18"/>
    </w:rPr>
  </w:style>
  <w:style w:type="character" w:customStyle="1" w:styleId="76">
    <w:name w:val="脚注文本 字符"/>
    <w:link w:val="36"/>
    <w:semiHidden/>
    <w:qFormat/>
    <w:uiPriority w:val="99"/>
    <w:rPr>
      <w:rFonts w:ascii="Times New Roman" w:hAnsi="Times New Roman"/>
      <w:kern w:val="2"/>
      <w:sz w:val="18"/>
      <w:szCs w:val="18"/>
    </w:rPr>
  </w:style>
  <w:style w:type="character" w:customStyle="1" w:styleId="77">
    <w:name w:val="正文文本缩进 3 字符"/>
    <w:link w:val="38"/>
    <w:qFormat/>
    <w:uiPriority w:val="0"/>
    <w:rPr>
      <w:rFonts w:ascii="Times New Roman" w:hAnsi="Times New Roman" w:eastAsia="宋体" w:cs="Times New Roman"/>
      <w:sz w:val="16"/>
      <w:szCs w:val="16"/>
    </w:rPr>
  </w:style>
  <w:style w:type="character" w:customStyle="1" w:styleId="78">
    <w:name w:val="正文文本 2 字符"/>
    <w:link w:val="41"/>
    <w:qFormat/>
    <w:uiPriority w:val="0"/>
    <w:rPr>
      <w:rFonts w:ascii="Times New Roman" w:hAnsi="Times New Roman" w:eastAsia="宋体" w:cs="Times New Roman"/>
      <w:szCs w:val="24"/>
    </w:rPr>
  </w:style>
  <w:style w:type="character" w:customStyle="1" w:styleId="79">
    <w:name w:val="标题 字符"/>
    <w:link w:val="44"/>
    <w:qFormat/>
    <w:uiPriority w:val="10"/>
    <w:rPr>
      <w:rFonts w:ascii="Cambria" w:hAnsi="Cambria" w:cs="Times New Roman"/>
      <w:b/>
      <w:bCs/>
      <w:kern w:val="2"/>
      <w:sz w:val="32"/>
      <w:szCs w:val="32"/>
    </w:rPr>
  </w:style>
  <w:style w:type="character" w:customStyle="1" w:styleId="80">
    <w:name w:val="批注主题 字符"/>
    <w:link w:val="45"/>
    <w:semiHidden/>
    <w:qFormat/>
    <w:uiPriority w:val="99"/>
    <w:rPr>
      <w:rFonts w:ascii="Times New Roman" w:hAnsi="Times New Roman"/>
      <w:b/>
      <w:bCs/>
      <w:kern w:val="2"/>
      <w:sz w:val="21"/>
      <w:szCs w:val="24"/>
    </w:rPr>
  </w:style>
  <w:style w:type="character" w:customStyle="1" w:styleId="81">
    <w:name w:val="批注文字 Char1"/>
    <w:semiHidden/>
    <w:qFormat/>
    <w:locked/>
    <w:uiPriority w:val="0"/>
    <w:rPr>
      <w:rFonts w:ascii="Times New Roman" w:hAnsi="Times New Roman"/>
      <w:kern w:val="2"/>
      <w:sz w:val="21"/>
      <w:szCs w:val="24"/>
    </w:rPr>
  </w:style>
  <w:style w:type="character" w:customStyle="1" w:styleId="82">
    <w:name w:val="case31"/>
    <w:qFormat/>
    <w:uiPriority w:val="0"/>
    <w:rPr>
      <w:rFonts w:hint="default" w:ascii="_x000B__x000C_" w:hAnsi="_x000B__x000C_"/>
      <w:sz w:val="21"/>
      <w:szCs w:val="21"/>
    </w:rPr>
  </w:style>
  <w:style w:type="character" w:customStyle="1" w:styleId="83">
    <w:name w:val="批注文字 Char"/>
    <w:qFormat/>
    <w:uiPriority w:val="99"/>
    <w:rPr>
      <w:rFonts w:ascii="Times New Roman" w:hAnsi="Times New Roman"/>
      <w:kern w:val="2"/>
      <w:sz w:val="21"/>
      <w:szCs w:val="24"/>
    </w:rPr>
  </w:style>
  <w:style w:type="character" w:customStyle="1" w:styleId="84">
    <w:name w:val="纯文本 Char"/>
    <w:qFormat/>
    <w:uiPriority w:val="0"/>
    <w:rPr>
      <w:rFonts w:ascii="宋体" w:hAnsi="Courier New" w:eastAsia="宋体"/>
      <w:kern w:val="2"/>
      <w:sz w:val="21"/>
      <w:lang w:val="en-US" w:eastAsia="zh-CN" w:bidi="ar-SA"/>
    </w:rPr>
  </w:style>
  <w:style w:type="character" w:customStyle="1" w:styleId="85">
    <w:name w:val="纯文本 字符1"/>
    <w:qFormat/>
    <w:uiPriority w:val="0"/>
    <w:rPr>
      <w:rFonts w:ascii="宋体" w:hAnsi="Courier New"/>
    </w:rPr>
  </w:style>
  <w:style w:type="character" w:customStyle="1" w:styleId="86">
    <w:name w:val="批注文字 字符1"/>
    <w:qFormat/>
    <w:uiPriority w:val="0"/>
    <w:rPr>
      <w:rFonts w:ascii="Times New Roman" w:hAnsi="Times New Roman"/>
      <w:kern w:val="2"/>
      <w:sz w:val="21"/>
      <w:szCs w:val="24"/>
    </w:rPr>
  </w:style>
  <w:style w:type="character" w:customStyle="1" w:styleId="87">
    <w:name w:val="正文文本 Char1"/>
    <w:semiHidden/>
    <w:qFormat/>
    <w:locked/>
    <w:uiPriority w:val="99"/>
    <w:rPr>
      <w:sz w:val="24"/>
      <w:szCs w:val="24"/>
    </w:rPr>
  </w:style>
  <w:style w:type="character" w:customStyle="1" w:styleId="88">
    <w:name w:val="apple-style-span"/>
    <w:qFormat/>
    <w:uiPriority w:val="0"/>
  </w:style>
  <w:style w:type="character" w:customStyle="1" w:styleId="89">
    <w:name w:val="textcontents"/>
    <w:qFormat/>
    <w:uiPriority w:val="0"/>
  </w:style>
  <w:style w:type="character" w:customStyle="1" w:styleId="90">
    <w:name w:val="普通文字 Char Char2"/>
    <w:qFormat/>
    <w:uiPriority w:val="0"/>
    <w:rPr>
      <w:rFonts w:ascii="宋体" w:hAnsi="Courier New" w:eastAsia="宋体"/>
      <w:kern w:val="2"/>
      <w:sz w:val="21"/>
      <w:lang w:val="en-US" w:eastAsia="zh-CN" w:bidi="ar-SA"/>
    </w:rPr>
  </w:style>
  <w:style w:type="character" w:customStyle="1" w:styleId="91">
    <w:name w:val="标题 5 Char"/>
    <w:qFormat/>
    <w:uiPriority w:val="0"/>
    <w:rPr>
      <w:b/>
      <w:kern w:val="2"/>
      <w:sz w:val="28"/>
      <w:szCs w:val="24"/>
    </w:rPr>
  </w:style>
  <w:style w:type="character" w:customStyle="1" w:styleId="92">
    <w:name w:val="批注文字 字符"/>
    <w:qFormat/>
    <w:uiPriority w:val="0"/>
    <w:rPr>
      <w:rFonts w:ascii="Times New Roman" w:hAnsi="Times New Roman"/>
      <w:kern w:val="2"/>
      <w:sz w:val="21"/>
      <w:szCs w:val="24"/>
    </w:rPr>
  </w:style>
  <w:style w:type="character" w:customStyle="1" w:styleId="93">
    <w:name w:val="标题 1 字符"/>
    <w:qFormat/>
    <w:uiPriority w:val="9"/>
    <w:rPr>
      <w:rFonts w:ascii="Times New Roman" w:hAnsi="Times New Roman" w:eastAsia="宋体" w:cs="Times New Roman"/>
      <w:b/>
      <w:bCs/>
      <w:kern w:val="44"/>
      <w:sz w:val="44"/>
      <w:szCs w:val="44"/>
    </w:rPr>
  </w:style>
  <w:style w:type="character" w:customStyle="1" w:styleId="94">
    <w:name w:val="纯文本 字符"/>
    <w:qFormat/>
    <w:uiPriority w:val="0"/>
    <w:rPr>
      <w:rFonts w:ascii="宋体" w:hAnsi="Courier New" w:eastAsia="宋体" w:cs="Courier New"/>
      <w:szCs w:val="21"/>
    </w:rPr>
  </w:style>
  <w:style w:type="character" w:customStyle="1" w:styleId="95">
    <w:name w:val="headline-content4"/>
    <w:qFormat/>
    <w:uiPriority w:val="0"/>
  </w:style>
  <w:style w:type="character" w:customStyle="1" w:styleId="9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7">
    <w:name w:val="正文文本缩进 字符"/>
    <w:qFormat/>
    <w:uiPriority w:val="0"/>
    <w:rPr>
      <w:rFonts w:ascii="仿宋_GB2312" w:hAnsi="Times New Roman" w:eastAsia="仿宋_GB2312" w:cs="Times New Roman"/>
      <w:sz w:val="32"/>
      <w:szCs w:val="20"/>
    </w:rPr>
  </w:style>
  <w:style w:type="paragraph" w:customStyle="1" w:styleId="98">
    <w:name w:val="Char1"/>
    <w:basedOn w:val="1"/>
    <w:qFormat/>
    <w:uiPriority w:val="0"/>
    <w:rPr>
      <w:szCs w:val="21"/>
    </w:rPr>
  </w:style>
  <w:style w:type="paragraph" w:styleId="99">
    <w:name w:val="List Paragraph"/>
    <w:basedOn w:val="1"/>
    <w:qFormat/>
    <w:uiPriority w:val="34"/>
    <w:pPr>
      <w:ind w:firstLine="420" w:firstLineChars="200"/>
    </w:pPr>
  </w:style>
  <w:style w:type="paragraph" w:customStyle="1" w:styleId="10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1">
    <w:name w:val="默认段落字体 Para Char Char Char Char Char Char Char Char Char1 Char Char Char Char"/>
    <w:basedOn w:val="1"/>
    <w:qFormat/>
    <w:uiPriority w:val="0"/>
    <w:rPr>
      <w:rFonts w:ascii="Tahoma" w:hAnsi="Tahoma"/>
      <w:sz w:val="24"/>
      <w:szCs w:val="20"/>
    </w:rPr>
  </w:style>
  <w:style w:type="paragraph" w:customStyle="1" w:styleId="102">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3">
    <w:name w:val="纯文本1"/>
    <w:basedOn w:val="1"/>
    <w:qFormat/>
    <w:uiPriority w:val="0"/>
    <w:rPr>
      <w:rFonts w:ascii="宋体" w:hAnsi="Courier New" w:cs="Century"/>
      <w:szCs w:val="21"/>
    </w:rPr>
  </w:style>
  <w:style w:type="paragraph" w:customStyle="1" w:styleId="104">
    <w:name w:val="Table Paragraph"/>
    <w:basedOn w:val="1"/>
    <w:qFormat/>
    <w:uiPriority w:val="1"/>
    <w:pPr>
      <w:jc w:val="left"/>
    </w:pPr>
    <w:rPr>
      <w:rFonts w:ascii="Calibri" w:hAnsi="Calibri"/>
      <w:kern w:val="0"/>
      <w:sz w:val="22"/>
      <w:szCs w:val="22"/>
      <w:lang w:eastAsia="en-US"/>
    </w:rPr>
  </w:style>
  <w:style w:type="paragraph" w:customStyle="1" w:styleId="10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6">
    <w:name w:val="表格"/>
    <w:basedOn w:val="1"/>
    <w:qFormat/>
    <w:uiPriority w:val="0"/>
    <w:pPr>
      <w:spacing w:line="400" w:lineRule="exact"/>
    </w:pPr>
    <w:rPr>
      <w:sz w:val="24"/>
    </w:rPr>
  </w:style>
  <w:style w:type="paragraph" w:customStyle="1" w:styleId="107">
    <w:name w:val="样式 首行缩进:  2 字符"/>
    <w:basedOn w:val="1"/>
    <w:qFormat/>
    <w:uiPriority w:val="0"/>
    <w:pPr>
      <w:spacing w:line="400" w:lineRule="exact"/>
      <w:ind w:firstLine="200" w:firstLineChars="200"/>
    </w:pPr>
    <w:rPr>
      <w:rFonts w:cs="宋体"/>
      <w:sz w:val="24"/>
    </w:rPr>
  </w:style>
  <w:style w:type="paragraph" w:customStyle="1" w:styleId="108">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0">
    <w:name w:val="正文首行缩进两字符"/>
    <w:basedOn w:val="1"/>
    <w:qFormat/>
    <w:uiPriority w:val="0"/>
    <w:pPr>
      <w:spacing w:line="360" w:lineRule="auto"/>
      <w:ind w:firstLine="200" w:firstLineChars="200"/>
    </w:pPr>
  </w:style>
  <w:style w:type="paragraph" w:customStyle="1" w:styleId="111">
    <w:name w:val="正文段"/>
    <w:basedOn w:val="1"/>
    <w:qFormat/>
    <w:uiPriority w:val="0"/>
    <w:pPr>
      <w:widowControl/>
      <w:snapToGrid w:val="0"/>
      <w:spacing w:afterLines="50"/>
      <w:ind w:firstLine="200" w:firstLineChars="200"/>
    </w:pPr>
    <w:rPr>
      <w:kern w:val="0"/>
      <w:sz w:val="24"/>
      <w:szCs w:val="20"/>
    </w:rPr>
  </w:style>
  <w:style w:type="table" w:customStyle="1" w:styleId="112">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3">
    <w:name w:val="页脚 字符"/>
    <w:qFormat/>
    <w:uiPriority w:val="99"/>
  </w:style>
  <w:style w:type="character" w:customStyle="1" w:styleId="114">
    <w:name w:val="正文2 Char Char"/>
    <w:link w:val="115"/>
    <w:qFormat/>
    <w:uiPriority w:val="0"/>
    <w:rPr>
      <w:kern w:val="2"/>
      <w:sz w:val="24"/>
    </w:rPr>
  </w:style>
  <w:style w:type="paragraph" w:customStyle="1" w:styleId="115">
    <w:name w:val="正文2"/>
    <w:basedOn w:val="1"/>
    <w:link w:val="114"/>
    <w:qFormat/>
    <w:uiPriority w:val="0"/>
    <w:pPr>
      <w:adjustRightInd w:val="0"/>
      <w:spacing w:before="156" w:line="360" w:lineRule="auto"/>
      <w:ind w:firstLine="510" w:firstLineChars="200"/>
    </w:pPr>
    <w:rPr>
      <w:sz w:val="24"/>
      <w:szCs w:val="20"/>
    </w:rPr>
  </w:style>
  <w:style w:type="paragraph" w:customStyle="1" w:styleId="116">
    <w:name w:val="_Style 113"/>
    <w:unhideWhenUsed/>
    <w:qFormat/>
    <w:uiPriority w:val="99"/>
    <w:rPr>
      <w:rFonts w:ascii="Times New Roman" w:hAnsi="Times New Roman" w:eastAsia="宋体" w:cs="Times New Roman"/>
      <w:kern w:val="2"/>
      <w:sz w:val="21"/>
      <w:szCs w:val="24"/>
      <w:lang w:val="en-US" w:eastAsia="zh-CN" w:bidi="ar-SA"/>
    </w:rPr>
  </w:style>
  <w:style w:type="character" w:customStyle="1" w:styleId="117">
    <w:name w:val="表格文字 Char1"/>
    <w:link w:val="118"/>
    <w:qFormat/>
    <w:locked/>
    <w:uiPriority w:val="0"/>
    <w:rPr>
      <w:bCs/>
      <w:spacing w:val="10"/>
      <w:sz w:val="24"/>
    </w:rPr>
  </w:style>
  <w:style w:type="paragraph" w:customStyle="1" w:styleId="118">
    <w:name w:val="表格文字"/>
    <w:basedOn w:val="119"/>
    <w:link w:val="117"/>
    <w:qFormat/>
    <w:uiPriority w:val="0"/>
    <w:pPr>
      <w:spacing w:before="25" w:after="25"/>
      <w:jc w:val="left"/>
    </w:pPr>
    <w:rPr>
      <w:bCs/>
      <w:spacing w:val="10"/>
      <w:sz w:val="24"/>
      <w:szCs w:val="20"/>
    </w:rPr>
  </w:style>
  <w:style w:type="paragraph" w:customStyle="1" w:styleId="119">
    <w:name w:val="表格文字（两侧对齐）"/>
    <w:basedOn w:val="1"/>
    <w:qFormat/>
    <w:uiPriority w:val="0"/>
    <w:pPr>
      <w:snapToGrid w:val="0"/>
    </w:pPr>
    <w:rPr>
      <w:rFonts w:ascii="Calibri" w:hAnsi="Calibri"/>
      <w:kern w:val="0"/>
      <w:sz w:val="20"/>
    </w:rPr>
  </w:style>
  <w:style w:type="paragraph" w:customStyle="1" w:styleId="120">
    <w:name w:val="表格文字115"/>
    <w:basedOn w:val="1"/>
    <w:qFormat/>
    <w:uiPriority w:val="0"/>
    <w:pPr>
      <w:jc w:val="left"/>
    </w:pPr>
    <w:rPr>
      <w:bCs/>
      <w:spacing w:val="10"/>
      <w:kern w:val="0"/>
      <w:sz w:val="24"/>
    </w:rPr>
  </w:style>
  <w:style w:type="character" w:customStyle="1" w:styleId="121">
    <w:name w:val="font21"/>
    <w:basedOn w:val="48"/>
    <w:qFormat/>
    <w:uiPriority w:val="0"/>
    <w:rPr>
      <w:rFonts w:hint="default" w:ascii="Calibri" w:hAnsi="Calibri"/>
      <w:color w:val="000000"/>
      <w:sz w:val="21"/>
      <w:szCs w:val="21"/>
      <w:u w:val="none"/>
    </w:rPr>
  </w:style>
  <w:style w:type="paragraph" w:customStyle="1" w:styleId="122">
    <w:name w:val="Default"/>
    <w:next w:val="123"/>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24">
    <w:name w:val="列表段落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100</Pages>
  <Words>870</Words>
  <Characters>1019</Characters>
  <Lines>443</Lines>
  <Paragraphs>124</Paragraphs>
  <TotalTime>5</TotalTime>
  <ScaleCrop>false</ScaleCrop>
  <LinksUpToDate>false</LinksUpToDate>
  <CharactersWithSpaces>2738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2024-06-20T10:09:00Z</dcterms:created>
  <dc:creator>番茄花园</dc:creator>
  <cp:lastModifiedBy>Ms. 卢 </cp:lastModifiedBy>
  <cp:lastPrinted>2025-11-23T05:02:00Z</cp:lastPrinted>
  <dcterms:modified xsi:type="dcterms:W3CDTF">2025-12-05T05:06:47Z</dcterms:modified>
  <dc:title>公开招标采购文件范本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8574243F0C98447D8062ECA9481B96CE_13</vt:lpwstr>
  </property>
  <property fmtid="{D5CDD505-2E9C-101B-9397-08002B2CF9AE}" pid="4" name="KSOTemplateDocerSaveRecord">
    <vt:lpwstr>eyJoZGlkIjoiNWYyMjc1ZDVhM2U0NWU0ZWI4YjdlMjRmYjEwZDNiOTAiLCJ1c2VySWQiOiIzNzMzMzMwOTcifQ==</vt:lpwstr>
  </property>
</Properties>
</file>