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E07A1">
      <w:pPr>
        <w:spacing w:before="165" w:beforeLines="50" w:line="360" w:lineRule="auto"/>
        <w:jc w:val="center"/>
        <w:rPr>
          <w:rFonts w:hint="eastAsia" w:ascii="宋体" w:hAnsi="宋体" w:cs="宋体"/>
          <w:color w:val="auto"/>
          <w:sz w:val="52"/>
          <w:szCs w:val="52"/>
          <w:highlight w:val="none"/>
        </w:rPr>
      </w:pPr>
    </w:p>
    <w:p w14:paraId="5F7A274F">
      <w:pPr>
        <w:spacing w:before="165"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广西德元工程项目管理有限责任公司</w:t>
      </w:r>
    </w:p>
    <w:p w14:paraId="353678E7">
      <w:pPr>
        <w:spacing w:before="165" w:beforeLines="50" w:line="360" w:lineRule="auto"/>
        <w:jc w:val="center"/>
        <w:rPr>
          <w:rFonts w:hint="eastAsia" w:ascii="宋体" w:hAnsi="宋体" w:cs="宋体"/>
          <w:b/>
          <w:color w:val="auto"/>
          <w:sz w:val="48"/>
          <w:szCs w:val="48"/>
          <w:highlight w:val="none"/>
        </w:rPr>
      </w:pPr>
    </w:p>
    <w:p w14:paraId="6FA15586">
      <w:pPr>
        <w:spacing w:before="165" w:beforeLines="50" w:line="360" w:lineRule="auto"/>
        <w:jc w:val="center"/>
        <w:rPr>
          <w:rFonts w:hint="eastAsia" w:ascii="宋体" w:hAnsi="宋体" w:cs="宋体"/>
          <w:b/>
          <w:color w:val="auto"/>
          <w:sz w:val="48"/>
          <w:szCs w:val="48"/>
          <w:highlight w:val="none"/>
        </w:rPr>
      </w:pPr>
    </w:p>
    <w:p w14:paraId="32B3EE9B">
      <w:pPr>
        <w:snapToGrid w:val="0"/>
        <w:spacing w:before="165"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招 标 文 件</w:t>
      </w:r>
    </w:p>
    <w:p w14:paraId="3BCFE21B">
      <w:pPr>
        <w:snapToGrid w:val="0"/>
        <w:spacing w:before="165" w:beforeLines="50" w:line="360" w:lineRule="auto"/>
        <w:jc w:val="center"/>
        <w:rPr>
          <w:rFonts w:hint="eastAsia"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6AE443FD">
      <w:pPr>
        <w:snapToGrid w:val="0"/>
        <w:spacing w:before="165" w:beforeLines="50" w:line="360" w:lineRule="auto"/>
        <w:ind w:firstLine="1800" w:firstLineChars="600"/>
        <w:rPr>
          <w:rFonts w:hint="eastAsia" w:ascii="宋体" w:hAnsi="宋体" w:cs="宋体"/>
          <w:color w:val="auto"/>
          <w:sz w:val="30"/>
          <w:szCs w:val="72"/>
          <w:highlight w:val="none"/>
        </w:rPr>
      </w:pPr>
    </w:p>
    <w:p w14:paraId="0BC5E257">
      <w:pPr>
        <w:snapToGrid w:val="0"/>
        <w:spacing w:before="165" w:beforeLines="50" w:line="360" w:lineRule="auto"/>
        <w:ind w:firstLine="1717" w:firstLineChars="600"/>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项目名称：</w:t>
      </w:r>
      <w:r>
        <w:rPr>
          <w:rFonts w:hint="eastAsia" w:ascii="宋体" w:hAnsi="宋体" w:cs="宋体"/>
          <w:b/>
          <w:bCs/>
          <w:color w:val="auto"/>
          <w:w w:val="95"/>
          <w:sz w:val="30"/>
          <w:szCs w:val="30"/>
          <w:highlight w:val="none"/>
        </w:rPr>
        <w:t xml:space="preserve">2025年医用设备购置项目（全光谱流式细胞仪等设备） </w:t>
      </w:r>
    </w:p>
    <w:p w14:paraId="59DEF363">
      <w:pPr>
        <w:snapToGrid w:val="0"/>
        <w:spacing w:before="165" w:beforeLines="50" w:line="360" w:lineRule="auto"/>
        <w:ind w:firstLine="1717" w:firstLineChars="6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项目编号：</w:t>
      </w:r>
      <w:bookmarkStart w:id="321" w:name="_GoBack"/>
      <w:bookmarkEnd w:id="321"/>
      <w:r>
        <w:rPr>
          <w:rFonts w:hint="eastAsia" w:ascii="宋体" w:hAnsi="宋体" w:cs="宋体"/>
          <w:b/>
          <w:bCs/>
          <w:color w:val="auto"/>
          <w:w w:val="95"/>
          <w:sz w:val="30"/>
          <w:szCs w:val="30"/>
          <w:highlight w:val="none"/>
          <w:lang w:eastAsia="zh-CN"/>
        </w:rPr>
        <w:t>GXZC2025-G1-003390-GXDY</w:t>
      </w:r>
    </w:p>
    <w:p w14:paraId="3BBD6A95">
      <w:pPr>
        <w:snapToGrid w:val="0"/>
        <w:spacing w:before="165" w:beforeLines="50" w:line="360" w:lineRule="auto"/>
        <w:ind w:firstLine="1717" w:firstLineChars="600"/>
        <w:rPr>
          <w:rFonts w:hint="eastAsia" w:ascii="宋体" w:hAnsi="宋体" w:cs="宋体"/>
          <w:b/>
          <w:bCs/>
          <w:color w:val="auto"/>
          <w:w w:val="95"/>
          <w:sz w:val="30"/>
          <w:szCs w:val="30"/>
          <w:highlight w:val="none"/>
        </w:rPr>
      </w:pPr>
    </w:p>
    <w:p w14:paraId="2469FE30">
      <w:pPr>
        <w:pStyle w:val="15"/>
        <w:snapToGrid w:val="0"/>
        <w:spacing w:before="120" w:after="120" w:line="360" w:lineRule="auto"/>
        <w:ind w:firstLine="1717" w:firstLineChars="600"/>
        <w:rPr>
          <w:rFonts w:hint="eastAsia" w:hAnsi="宋体"/>
          <w:b/>
          <w:bCs/>
          <w:color w:val="auto"/>
          <w:w w:val="95"/>
          <w:sz w:val="30"/>
          <w:szCs w:val="30"/>
          <w:highlight w:val="none"/>
        </w:rPr>
      </w:pPr>
      <w:r>
        <w:rPr>
          <w:rFonts w:hint="eastAsia" w:hAnsi="宋体" w:cs="宋体"/>
          <w:b/>
          <w:bCs/>
          <w:color w:val="auto"/>
          <w:w w:val="95"/>
          <w:sz w:val="30"/>
          <w:szCs w:val="30"/>
          <w:highlight w:val="none"/>
        </w:rPr>
        <w:t>采 购 人：</w:t>
      </w:r>
      <w:r>
        <w:rPr>
          <w:rFonts w:hint="eastAsia" w:hAnsi="宋体"/>
          <w:b/>
          <w:bCs/>
          <w:color w:val="auto"/>
          <w:sz w:val="30"/>
          <w:szCs w:val="30"/>
          <w:highlight w:val="none"/>
        </w:rPr>
        <w:t>广西壮族自治区胸科医院</w:t>
      </w:r>
    </w:p>
    <w:p w14:paraId="0E5018F4">
      <w:pPr>
        <w:pStyle w:val="15"/>
        <w:snapToGrid w:val="0"/>
        <w:spacing w:before="50" w:after="120" w:line="360" w:lineRule="auto"/>
        <w:ind w:firstLine="1694" w:firstLineChars="592"/>
        <w:rPr>
          <w:rFonts w:hint="eastAsia" w:hAnsi="宋体" w:cs="宋体"/>
          <w:b/>
          <w:bCs/>
          <w:color w:val="auto"/>
          <w:w w:val="95"/>
          <w:sz w:val="30"/>
          <w:szCs w:val="30"/>
          <w:highlight w:val="none"/>
        </w:rPr>
      </w:pPr>
    </w:p>
    <w:p w14:paraId="0DDEA6EE">
      <w:pPr>
        <w:pStyle w:val="15"/>
        <w:snapToGrid w:val="0"/>
        <w:spacing w:before="50" w:after="120" w:line="360" w:lineRule="auto"/>
        <w:ind w:firstLine="1694" w:firstLineChars="592"/>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采购代理机构：广西德元工程项目管理有限责任公司</w:t>
      </w:r>
    </w:p>
    <w:p w14:paraId="438868DB">
      <w:pPr>
        <w:pStyle w:val="15"/>
        <w:snapToGrid w:val="0"/>
        <w:spacing w:before="50" w:after="120" w:line="360" w:lineRule="auto"/>
        <w:ind w:firstLine="841" w:firstLineChars="294"/>
        <w:rPr>
          <w:rFonts w:hint="eastAsia" w:hAnsi="宋体" w:cs="宋体"/>
          <w:b/>
          <w:bCs/>
          <w:color w:val="auto"/>
          <w:w w:val="95"/>
          <w:sz w:val="30"/>
          <w:szCs w:val="30"/>
          <w:highlight w:val="none"/>
        </w:rPr>
      </w:pPr>
      <w:r>
        <w:rPr>
          <w:rFonts w:hint="eastAsia" w:hAnsi="宋体" w:cs="宋体"/>
          <w:b/>
          <w:bCs/>
          <w:color w:val="auto"/>
          <w:w w:val="95"/>
          <w:sz w:val="30"/>
          <w:szCs w:val="30"/>
          <w:highlight w:val="none"/>
        </w:rPr>
        <w:t xml:space="preserve">                     2025年10月   日</w:t>
      </w:r>
    </w:p>
    <w:p w14:paraId="6080233B">
      <w:pPr>
        <w:widowControl/>
        <w:spacing w:line="360" w:lineRule="auto"/>
        <w:jc w:val="left"/>
        <w:rPr>
          <w:rFonts w:hint="eastAsia" w:ascii="宋体" w:hAnsi="宋体" w:cs="宋体"/>
          <w:b/>
          <w:bCs/>
          <w:color w:val="auto"/>
          <w:w w:val="95"/>
          <w:sz w:val="30"/>
          <w:szCs w:val="30"/>
          <w:highlight w:val="none"/>
        </w:rPr>
        <w:sectPr>
          <w:headerReference r:id="rId3" w:type="default"/>
          <w:pgSz w:w="11906" w:h="16838"/>
          <w:pgMar w:top="1134" w:right="1134" w:bottom="1134" w:left="1134" w:header="283" w:footer="720" w:gutter="0"/>
          <w:pgNumType w:start="1"/>
          <w:cols w:space="720" w:num="1"/>
          <w:docGrid w:type="lines" w:linePitch="331" w:charSpace="0"/>
        </w:sectPr>
      </w:pPr>
    </w:p>
    <w:p w14:paraId="61CEAF1E">
      <w:pPr>
        <w:pStyle w:val="15"/>
        <w:jc w:val="center"/>
        <w:rPr>
          <w:rFonts w:hint="eastAsia" w:hAnsi="宋体" w:cs="宋体"/>
          <w:b/>
          <w:color w:val="auto"/>
          <w:sz w:val="48"/>
          <w:szCs w:val="48"/>
          <w:highlight w:val="none"/>
        </w:rPr>
      </w:pPr>
      <w:r>
        <w:rPr>
          <w:rFonts w:hint="eastAsia" w:hAnsi="宋体" w:cs="宋体"/>
          <w:b/>
          <w:color w:val="auto"/>
          <w:sz w:val="48"/>
          <w:szCs w:val="48"/>
          <w:highlight w:val="none"/>
        </w:rPr>
        <w:t>目     录</w:t>
      </w:r>
    </w:p>
    <w:p w14:paraId="2826AB3C">
      <w:pPr>
        <w:rPr>
          <w:color w:val="auto"/>
          <w:highlight w:val="none"/>
        </w:rPr>
      </w:pPr>
    </w:p>
    <w:p w14:paraId="17AEE49D">
      <w:pPr>
        <w:pStyle w:val="18"/>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_Toc16944 </w:instrText>
      </w:r>
      <w:r>
        <w:rPr>
          <w:color w:val="auto"/>
          <w:sz w:val="28"/>
          <w:szCs w:val="28"/>
          <w:highlight w:val="none"/>
        </w:rPr>
        <w:fldChar w:fldCharType="separate"/>
      </w:r>
      <w:r>
        <w:rPr>
          <w:rFonts w:hint="eastAsia" w:hAnsi="宋体" w:cs="宋体"/>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_Toc16944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6E7475AD">
      <w:pPr>
        <w:pStyle w:val="18"/>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_Toc32250 </w:instrText>
      </w:r>
      <w:r>
        <w:rPr>
          <w:color w:val="auto"/>
          <w:sz w:val="28"/>
          <w:szCs w:val="28"/>
          <w:highlight w:val="none"/>
        </w:rPr>
        <w:fldChar w:fldCharType="separate"/>
      </w:r>
      <w:r>
        <w:rPr>
          <w:rFonts w:hint="eastAsia" w:ascii="宋体" w:hAnsi="宋体" w:cs="Courier New"/>
          <w:color w:val="auto"/>
          <w:sz w:val="28"/>
          <w:szCs w:val="28"/>
          <w:highlight w:val="none"/>
        </w:rPr>
        <w:t>第二章  招标项目采购需求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_Toc32250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B4CB014">
      <w:pPr>
        <w:pStyle w:val="18"/>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_Toc29880 </w:instrText>
      </w:r>
      <w:r>
        <w:rPr>
          <w:color w:val="auto"/>
          <w:sz w:val="28"/>
          <w:szCs w:val="28"/>
          <w:highlight w:val="none"/>
        </w:rPr>
        <w:fldChar w:fldCharType="separate"/>
      </w:r>
      <w:r>
        <w:rPr>
          <w:rFonts w:hint="eastAsia" w:hAnsi="宋体" w:cs="宋体"/>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_Toc29880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color w:val="auto"/>
          <w:sz w:val="28"/>
          <w:szCs w:val="28"/>
          <w:highlight w:val="none"/>
        </w:rPr>
        <w:fldChar w:fldCharType="end"/>
      </w:r>
    </w:p>
    <w:p w14:paraId="0A6E6469">
      <w:pPr>
        <w:pStyle w:val="18"/>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_Toc1883 </w:instrText>
      </w:r>
      <w:r>
        <w:rPr>
          <w:color w:val="auto"/>
          <w:sz w:val="28"/>
          <w:szCs w:val="28"/>
          <w:highlight w:val="none"/>
        </w:rPr>
        <w:fldChar w:fldCharType="separate"/>
      </w:r>
      <w:r>
        <w:rPr>
          <w:rFonts w:hint="eastAsia" w:hAnsi="宋体" w:cs="宋体"/>
          <w:color w:val="auto"/>
          <w:sz w:val="28"/>
          <w:szCs w:val="28"/>
          <w:highlight w:val="none"/>
        </w:rPr>
        <w:t>第四章  评标方法和评标标准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_Toc1883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color w:val="auto"/>
          <w:sz w:val="28"/>
          <w:szCs w:val="28"/>
          <w:highlight w:val="none"/>
        </w:rPr>
        <w:fldChar w:fldCharType="end"/>
      </w:r>
    </w:p>
    <w:p w14:paraId="24E9B400">
      <w:pPr>
        <w:pStyle w:val="18"/>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_Toc10920 </w:instrText>
      </w:r>
      <w:r>
        <w:rPr>
          <w:color w:val="auto"/>
          <w:sz w:val="28"/>
          <w:szCs w:val="28"/>
          <w:highlight w:val="none"/>
        </w:rPr>
        <w:fldChar w:fldCharType="separate"/>
      </w:r>
      <w:r>
        <w:rPr>
          <w:rFonts w:hint="eastAsia" w:hAnsi="宋体" w:cs="宋体"/>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_Toc10920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color w:val="auto"/>
          <w:sz w:val="28"/>
          <w:szCs w:val="28"/>
          <w:highlight w:val="none"/>
        </w:rPr>
        <w:fldChar w:fldCharType="end"/>
      </w:r>
    </w:p>
    <w:p w14:paraId="4EE5D286">
      <w:pPr>
        <w:pStyle w:val="18"/>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_Toc28419 </w:instrText>
      </w:r>
      <w:r>
        <w:rPr>
          <w:color w:val="auto"/>
          <w:sz w:val="28"/>
          <w:szCs w:val="28"/>
          <w:highlight w:val="none"/>
        </w:rPr>
        <w:fldChar w:fldCharType="separate"/>
      </w:r>
      <w:r>
        <w:rPr>
          <w:rFonts w:hint="eastAsia" w:hAnsi="宋体" w:cs="宋体"/>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_Toc28419 \h </w:instrText>
      </w:r>
      <w:r>
        <w:rPr>
          <w:color w:val="auto"/>
          <w:sz w:val="28"/>
          <w:szCs w:val="28"/>
          <w:highlight w:val="none"/>
        </w:rPr>
        <w:fldChar w:fldCharType="separate"/>
      </w:r>
      <w:r>
        <w:rPr>
          <w:color w:val="auto"/>
          <w:sz w:val="28"/>
          <w:szCs w:val="28"/>
          <w:highlight w:val="none"/>
        </w:rPr>
        <w:t>48</w:t>
      </w:r>
      <w:r>
        <w:rPr>
          <w:color w:val="auto"/>
          <w:sz w:val="28"/>
          <w:szCs w:val="28"/>
          <w:highlight w:val="none"/>
        </w:rPr>
        <w:fldChar w:fldCharType="end"/>
      </w:r>
      <w:r>
        <w:rPr>
          <w:color w:val="auto"/>
          <w:sz w:val="28"/>
          <w:szCs w:val="28"/>
          <w:highlight w:val="none"/>
        </w:rPr>
        <w:fldChar w:fldCharType="end"/>
      </w:r>
    </w:p>
    <w:p w14:paraId="2FA81F14">
      <w:pPr>
        <w:pStyle w:val="18"/>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_Toc3772 </w:instrText>
      </w:r>
      <w:r>
        <w:rPr>
          <w:color w:val="auto"/>
          <w:sz w:val="28"/>
          <w:szCs w:val="28"/>
          <w:highlight w:val="none"/>
        </w:rPr>
        <w:fldChar w:fldCharType="separate"/>
      </w:r>
      <w:r>
        <w:rPr>
          <w:rFonts w:hint="eastAsia" w:hAnsi="宋体" w:cs="宋体"/>
          <w:color w:val="auto"/>
          <w:sz w:val="28"/>
          <w:szCs w:val="28"/>
          <w:highlight w:val="none"/>
        </w:rPr>
        <w:t>第七章 质疑、投诉材料格式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_Toc3772 \h </w:instrText>
      </w:r>
      <w:r>
        <w:rPr>
          <w:color w:val="auto"/>
          <w:sz w:val="28"/>
          <w:szCs w:val="28"/>
          <w:highlight w:val="none"/>
        </w:rPr>
        <w:fldChar w:fldCharType="separate"/>
      </w:r>
      <w:r>
        <w:rPr>
          <w:color w:val="auto"/>
          <w:sz w:val="28"/>
          <w:szCs w:val="28"/>
          <w:highlight w:val="none"/>
        </w:rPr>
        <w:t>75</w:t>
      </w:r>
      <w:r>
        <w:rPr>
          <w:color w:val="auto"/>
          <w:sz w:val="28"/>
          <w:szCs w:val="28"/>
          <w:highlight w:val="none"/>
        </w:rPr>
        <w:fldChar w:fldCharType="end"/>
      </w:r>
      <w:r>
        <w:rPr>
          <w:color w:val="auto"/>
          <w:sz w:val="28"/>
          <w:szCs w:val="28"/>
          <w:highlight w:val="none"/>
        </w:rPr>
        <w:fldChar w:fldCharType="end"/>
      </w:r>
    </w:p>
    <w:p w14:paraId="546B148F">
      <w:pPr>
        <w:pStyle w:val="15"/>
        <w:jc w:val="center"/>
        <w:rPr>
          <w:rFonts w:hint="eastAsia" w:hAnsi="宋体" w:cs="宋体"/>
          <w:color w:val="auto"/>
          <w:sz w:val="22"/>
          <w:szCs w:val="21"/>
          <w:highlight w:val="none"/>
        </w:rPr>
      </w:pPr>
      <w:r>
        <w:rPr>
          <w:color w:val="auto"/>
          <w:sz w:val="28"/>
          <w:szCs w:val="28"/>
          <w:highlight w:val="none"/>
        </w:rPr>
        <w:fldChar w:fldCharType="end"/>
      </w:r>
      <w:r>
        <w:rPr>
          <w:rFonts w:hint="eastAsia" w:hAnsi="宋体" w:cs="宋体"/>
          <w:color w:val="auto"/>
          <w:sz w:val="22"/>
          <w:szCs w:val="21"/>
          <w:highlight w:val="none"/>
        </w:rPr>
        <w:tab/>
      </w:r>
      <w:bookmarkStart w:id="0" w:name="_Toc532545041"/>
    </w:p>
    <w:p w14:paraId="1BDA58F7">
      <w:pPr>
        <w:pStyle w:val="15"/>
        <w:jc w:val="center"/>
        <w:outlineLvl w:val="0"/>
        <w:rPr>
          <w:rFonts w:hint="eastAsia" w:hAnsi="宋体" w:cs="宋体"/>
          <w:b/>
          <w:color w:val="auto"/>
          <w:sz w:val="36"/>
          <w:highlight w:val="none"/>
        </w:rPr>
        <w:sectPr>
          <w:headerReference r:id="rId4" w:type="default"/>
          <w:footerReference r:id="rId5" w:type="default"/>
          <w:pgSz w:w="11906" w:h="16838"/>
          <w:pgMar w:top="1134" w:right="1134" w:bottom="1134" w:left="1134" w:header="283" w:footer="720" w:gutter="0"/>
          <w:pgNumType w:start="1"/>
          <w:cols w:space="720" w:num="1"/>
          <w:docGrid w:type="lines" w:linePitch="331" w:charSpace="0"/>
        </w:sectPr>
      </w:pPr>
      <w:bookmarkStart w:id="1" w:name="_Toc23304"/>
      <w:bookmarkStart w:id="2" w:name="_Toc19710"/>
      <w:bookmarkStart w:id="3" w:name="_Toc14935"/>
      <w:bookmarkStart w:id="4" w:name="_Toc12135"/>
      <w:bookmarkStart w:id="5" w:name="_Toc11023"/>
      <w:bookmarkStart w:id="6" w:name="_Toc20152"/>
      <w:bookmarkStart w:id="7" w:name="_Toc22419"/>
      <w:bookmarkStart w:id="8" w:name="_Toc2182"/>
      <w:bookmarkStart w:id="9" w:name="_Toc539"/>
    </w:p>
    <w:p w14:paraId="78FB7DAF">
      <w:pPr>
        <w:pStyle w:val="15"/>
        <w:keepNext w:val="0"/>
        <w:keepLines w:val="0"/>
        <w:pageBreakBefore w:val="0"/>
        <w:kinsoku/>
        <w:wordWrap/>
        <w:overflowPunct/>
        <w:topLinePunct w:val="0"/>
        <w:autoSpaceDE/>
        <w:autoSpaceDN/>
        <w:bidi w:val="0"/>
        <w:adjustRightInd/>
        <w:spacing w:line="380" w:lineRule="exact"/>
        <w:jc w:val="center"/>
        <w:textAlignment w:val="auto"/>
        <w:outlineLvl w:val="0"/>
        <w:rPr>
          <w:rFonts w:hint="eastAsia" w:hAnsi="宋体" w:cs="宋体"/>
          <w:b/>
          <w:color w:val="auto"/>
          <w:sz w:val="36"/>
          <w:highlight w:val="none"/>
        </w:rPr>
      </w:pPr>
      <w:bookmarkStart w:id="10" w:name="_Toc16944"/>
      <w:r>
        <w:rPr>
          <w:rFonts w:hint="eastAsia" w:hAnsi="宋体" w:cs="宋体"/>
          <w:b/>
          <w:color w:val="auto"/>
          <w:sz w:val="36"/>
          <w:highlight w:val="none"/>
        </w:rPr>
        <w:t>第一章  招标公告</w:t>
      </w:r>
      <w:bookmarkEnd w:id="0"/>
      <w:bookmarkEnd w:id="1"/>
      <w:bookmarkEnd w:id="2"/>
      <w:bookmarkEnd w:id="3"/>
      <w:bookmarkEnd w:id="4"/>
      <w:bookmarkEnd w:id="5"/>
      <w:bookmarkEnd w:id="6"/>
      <w:bookmarkEnd w:id="7"/>
      <w:bookmarkEnd w:id="8"/>
      <w:bookmarkEnd w:id="9"/>
      <w:bookmarkEnd w:id="10"/>
    </w:p>
    <w:p w14:paraId="444FEC55">
      <w:pPr>
        <w:pStyle w:val="15"/>
        <w:keepNext w:val="0"/>
        <w:keepLines w:val="0"/>
        <w:pageBreakBefore w:val="0"/>
        <w:kinsoku/>
        <w:wordWrap/>
        <w:overflowPunct/>
        <w:topLinePunct w:val="0"/>
        <w:autoSpaceDE/>
        <w:autoSpaceDN/>
        <w:bidi w:val="0"/>
        <w:adjustRightInd/>
        <w:spacing w:line="380" w:lineRule="exact"/>
        <w:jc w:val="center"/>
        <w:textAlignment w:val="auto"/>
        <w:rPr>
          <w:rFonts w:hint="eastAsia" w:hAnsi="宋体" w:cs="宋体"/>
          <w:b/>
          <w:color w:val="auto"/>
          <w:sz w:val="30"/>
          <w:szCs w:val="30"/>
          <w:highlight w:val="none"/>
        </w:rPr>
      </w:pPr>
      <w:r>
        <w:rPr>
          <w:rFonts w:hint="eastAsia" w:hAnsi="宋体" w:cs="宋体"/>
          <w:b/>
          <w:color w:val="auto"/>
          <w:sz w:val="30"/>
          <w:szCs w:val="30"/>
          <w:highlight w:val="none"/>
        </w:rPr>
        <w:t>广西德元工程项目管理有限责任公司关于</w:t>
      </w:r>
      <w:r>
        <w:rPr>
          <w:rFonts w:hint="eastAsia" w:hAnsi="宋体" w:cs="宋体"/>
          <w:b/>
          <w:bCs/>
          <w:color w:val="auto"/>
          <w:w w:val="95"/>
          <w:sz w:val="30"/>
          <w:szCs w:val="30"/>
          <w:highlight w:val="none"/>
        </w:rPr>
        <w:t>2025年医用设备购置项目（全光谱流式细胞仪等设备）</w:t>
      </w:r>
      <w:r>
        <w:rPr>
          <w:rFonts w:hint="eastAsia" w:hAnsi="宋体" w:cs="宋体"/>
          <w:b/>
          <w:color w:val="auto"/>
          <w:sz w:val="30"/>
          <w:szCs w:val="30"/>
          <w:highlight w:val="none"/>
        </w:rPr>
        <w:t>（</w:t>
      </w:r>
      <w:r>
        <w:rPr>
          <w:rFonts w:hint="eastAsia" w:hAnsi="宋体" w:cs="宋体"/>
          <w:b/>
          <w:color w:val="auto"/>
          <w:sz w:val="30"/>
          <w:szCs w:val="30"/>
          <w:highlight w:val="none"/>
          <w:lang w:eastAsia="zh-CN"/>
        </w:rPr>
        <w:t>GXZC2025-G1-003390-GXDY</w:t>
      </w:r>
      <w:r>
        <w:rPr>
          <w:rFonts w:hint="eastAsia" w:hAnsi="宋体" w:cs="宋体"/>
          <w:b/>
          <w:color w:val="auto"/>
          <w:sz w:val="30"/>
          <w:szCs w:val="30"/>
          <w:highlight w:val="none"/>
        </w:rPr>
        <w:t>）招标公告</w:t>
      </w:r>
    </w:p>
    <w:p w14:paraId="0515387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0A097D9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2025年医用设备购置项目（</w:t>
      </w:r>
      <w:r>
        <w:rPr>
          <w:rFonts w:hint="eastAsia"/>
          <w:color w:val="auto"/>
          <w:szCs w:val="20"/>
          <w:highlight w:val="none"/>
        </w:rPr>
        <w:t>全光谱流式细胞仪</w:t>
      </w:r>
      <w:r>
        <w:rPr>
          <w:rFonts w:hint="eastAsia" w:ascii="宋体" w:hAnsi="宋体" w:cs="宋体"/>
          <w:color w:val="auto"/>
          <w:szCs w:val="21"/>
          <w:highlight w:val="none"/>
        </w:rPr>
        <w:t>等设备）</w:t>
      </w:r>
      <w:r>
        <w:rPr>
          <w:rFonts w:hint="eastAsia" w:ascii="宋体" w:hAnsi="宋体" w:cs="宋体"/>
          <w:color w:val="auto"/>
          <w:szCs w:val="21"/>
          <w:highlight w:val="none"/>
        </w:rPr>
        <w:t>招标项目的潜在投标人应在广西政府采购云平台（https://www.gcy.zfcg.gxzf.gov.cn/）获取招标文件，并于</w:t>
      </w:r>
      <w:bookmarkStart w:id="11" w:name="PO_3000001867_PM015"/>
      <w:r>
        <w:rPr>
          <w:rFonts w:hint="eastAsia" w:ascii="宋体" w:hAnsi="宋体" w:cs="宋体"/>
          <w:color w:val="auto"/>
          <w:szCs w:val="21"/>
          <w:highlight w:val="none"/>
        </w:rPr>
        <w:t>2025年 月   日09点20分</w:t>
      </w:r>
      <w:bookmarkEnd w:id="11"/>
      <w:r>
        <w:rPr>
          <w:rFonts w:hint="eastAsia" w:ascii="宋体" w:hAnsi="宋体" w:cs="宋体"/>
          <w:bCs/>
          <w:color w:val="auto"/>
          <w:szCs w:val="21"/>
          <w:highlight w:val="none"/>
        </w:rPr>
        <w:t>（北京时间）前</w:t>
      </w:r>
      <w:r>
        <w:rPr>
          <w:rFonts w:hint="eastAsia" w:ascii="宋体" w:hAnsi="宋体" w:cs="宋体"/>
          <w:color w:val="auto"/>
          <w:szCs w:val="21"/>
          <w:highlight w:val="none"/>
        </w:rPr>
        <w:t>递交投标文件。</w:t>
      </w:r>
    </w:p>
    <w:p w14:paraId="4407501B">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12" w:name="_Toc35393790"/>
      <w:bookmarkStart w:id="13" w:name="_Toc28359079"/>
      <w:bookmarkStart w:id="14" w:name="_Toc35393621"/>
      <w:bookmarkStart w:id="15" w:name="_Toc28359002"/>
      <w:bookmarkStart w:id="16" w:name="_Hlk24379207"/>
      <w:r>
        <w:rPr>
          <w:rFonts w:hint="eastAsia" w:ascii="宋体" w:hAnsi="宋体" w:cs="宋体"/>
          <w:b/>
          <w:bCs/>
          <w:color w:val="auto"/>
          <w:sz w:val="24"/>
          <w:highlight w:val="none"/>
        </w:rPr>
        <w:t>一、项目基本情况</w:t>
      </w:r>
      <w:bookmarkEnd w:id="12"/>
      <w:bookmarkEnd w:id="13"/>
      <w:bookmarkEnd w:id="14"/>
      <w:bookmarkEnd w:id="15"/>
    </w:p>
    <w:p w14:paraId="5FBBA008">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GXZC2025-G1-003390-GXDY</w:t>
      </w:r>
    </w:p>
    <w:p w14:paraId="001C4DAD">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2025年医用设备购置项目（</w:t>
      </w:r>
      <w:r>
        <w:rPr>
          <w:rFonts w:hint="eastAsia"/>
          <w:color w:val="auto"/>
          <w:szCs w:val="20"/>
          <w:highlight w:val="none"/>
        </w:rPr>
        <w:t>全光谱流式细胞仪</w:t>
      </w:r>
      <w:r>
        <w:rPr>
          <w:rFonts w:hint="eastAsia" w:ascii="宋体" w:hAnsi="宋体" w:cs="宋体"/>
          <w:color w:val="auto"/>
          <w:szCs w:val="21"/>
          <w:highlight w:val="none"/>
        </w:rPr>
        <w:t>等设备）</w:t>
      </w:r>
    </w:p>
    <w:bookmarkEnd w:id="16"/>
    <w:p w14:paraId="0694D916">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预算总金额：</w:t>
      </w:r>
      <w:bookmarkStart w:id="17" w:name="OLE_LINK1"/>
      <w:r>
        <w:rPr>
          <w:rFonts w:hint="eastAsia" w:ascii="宋体" w:hAnsi="宋体" w:cs="宋体"/>
          <w:color w:val="auto"/>
          <w:szCs w:val="21"/>
          <w:highlight w:val="none"/>
        </w:rPr>
        <w:t>人民币柒佰肆拾柒万零玖佰元整（¥7470900.00）</w:t>
      </w:r>
      <w:bookmarkEnd w:id="17"/>
    </w:p>
    <w:p w14:paraId="041C40BC">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最高限价（如有）：人民币柒佰肆拾柒万零玖佰元整（¥7470900.00）</w:t>
      </w:r>
    </w:p>
    <w:p w14:paraId="418FA0CA">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1DBC9CB9">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bookmarkStart w:id="18" w:name="OLE_LINK72"/>
      <w:r>
        <w:rPr>
          <w:rFonts w:hint="eastAsia"/>
          <w:color w:val="auto"/>
          <w:szCs w:val="20"/>
          <w:highlight w:val="none"/>
        </w:rPr>
        <w:t>标项一</w:t>
      </w:r>
    </w:p>
    <w:bookmarkEnd w:id="18"/>
    <w:p w14:paraId="557A7001">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标项名称:液相色谱串联质谱检测系统 数量:1</w:t>
      </w:r>
    </w:p>
    <w:p w14:paraId="194122A1">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预算金额（元）： 2937500.00</w:t>
      </w:r>
    </w:p>
    <w:p w14:paraId="6405980B">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简要规格描述或项目基本概况介绍、用途：详见本公告附件。</w:t>
      </w:r>
    </w:p>
    <w:p w14:paraId="6CCADE6F">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最高限价（如有）： 2937500.00</w:t>
      </w:r>
    </w:p>
    <w:p w14:paraId="6C1D5A4D">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合同履约期限：</w:t>
      </w:r>
      <w:bookmarkStart w:id="19" w:name="OLE_LINK3"/>
      <w:r>
        <w:rPr>
          <w:rFonts w:hint="eastAsia" w:ascii="宋体" w:hAnsi="宋体" w:cs="宋体"/>
          <w:color w:val="auto"/>
          <w:szCs w:val="21"/>
          <w:highlight w:val="none"/>
        </w:rPr>
        <w:t>自合同签订之日起设备30天内交货并安装调试完毕交付使用</w:t>
      </w:r>
      <w:bookmarkEnd w:id="19"/>
      <w:r>
        <w:rPr>
          <w:rFonts w:hint="eastAsia" w:ascii="宋体" w:hAnsi="宋体" w:cs="宋体"/>
          <w:color w:val="auto"/>
          <w:szCs w:val="21"/>
          <w:highlight w:val="none"/>
        </w:rPr>
        <w:t>并验收合格。</w:t>
      </w:r>
    </w:p>
    <w:p w14:paraId="7AB8A838">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ascii="宋体" w:hAnsi="宋体" w:cs="宋体"/>
          <w:color w:val="auto"/>
          <w:szCs w:val="21"/>
          <w:highlight w:val="none"/>
        </w:rPr>
        <w:t>本项目（</w:t>
      </w:r>
      <w:r>
        <w:rPr>
          <w:rFonts w:hint="eastAsia" w:ascii="宋体" w:hAnsi="宋体" w:cs="宋体"/>
          <w:i/>
          <w:iCs/>
          <w:color w:val="auto"/>
          <w:szCs w:val="21"/>
          <w:highlight w:val="none"/>
        </w:rPr>
        <w:t>是/否</w:t>
      </w:r>
      <w:r>
        <w:rPr>
          <w:rFonts w:hint="eastAsia" w:ascii="宋体" w:hAnsi="宋体" w:cs="宋体"/>
          <w:color w:val="auto"/>
          <w:szCs w:val="21"/>
          <w:highlight w:val="none"/>
        </w:rPr>
        <w:t>）接受联合体投标：□是/☑否。</w:t>
      </w:r>
    </w:p>
    <w:p w14:paraId="6838B9AD">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标项二</w:t>
      </w:r>
    </w:p>
    <w:p w14:paraId="2AB30247">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标项名称:全光谱流式细胞仪</w:t>
      </w:r>
    </w:p>
    <w:p w14:paraId="0B420C71">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数量:1</w:t>
      </w:r>
    </w:p>
    <w:p w14:paraId="53D1976A">
      <w:pPr>
        <w:keepNext w:val="0"/>
        <w:keepLines w:val="0"/>
        <w:pageBreakBefore w:val="0"/>
        <w:kinsoku/>
        <w:wordWrap/>
        <w:overflowPunct/>
        <w:topLinePunct w:val="0"/>
        <w:autoSpaceDE/>
        <w:autoSpaceDN/>
        <w:bidi w:val="0"/>
        <w:adjustRightInd/>
        <w:spacing w:line="380" w:lineRule="exact"/>
        <w:ind w:firstLine="420"/>
        <w:textAlignment w:val="auto"/>
        <w:rPr>
          <w:rFonts w:hint="eastAsia" w:eastAsia="宋体"/>
          <w:color w:val="auto"/>
          <w:szCs w:val="20"/>
          <w:highlight w:val="none"/>
          <w:lang w:eastAsia="zh-CN"/>
        </w:rPr>
      </w:pPr>
      <w:r>
        <w:rPr>
          <w:rFonts w:hint="eastAsia"/>
          <w:color w:val="auto"/>
          <w:szCs w:val="20"/>
          <w:highlight w:val="none"/>
        </w:rPr>
        <w:t>预算金额（元）：</w:t>
      </w:r>
      <w:r>
        <w:rPr>
          <w:rFonts w:hint="eastAsia"/>
          <w:color w:val="auto"/>
          <w:szCs w:val="20"/>
          <w:highlight w:val="none"/>
          <w:lang w:eastAsia="zh-CN"/>
        </w:rPr>
        <w:t>4533400.00</w:t>
      </w:r>
    </w:p>
    <w:p w14:paraId="6681F91F">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简要规格描述或项目基本概况介绍、用途：详见本公告附件。</w:t>
      </w:r>
    </w:p>
    <w:p w14:paraId="2F34A202">
      <w:pPr>
        <w:keepNext w:val="0"/>
        <w:keepLines w:val="0"/>
        <w:pageBreakBefore w:val="0"/>
        <w:kinsoku/>
        <w:wordWrap/>
        <w:overflowPunct/>
        <w:topLinePunct w:val="0"/>
        <w:autoSpaceDE/>
        <w:autoSpaceDN/>
        <w:bidi w:val="0"/>
        <w:adjustRightInd/>
        <w:spacing w:line="380" w:lineRule="exact"/>
        <w:ind w:firstLine="420"/>
        <w:textAlignment w:val="auto"/>
        <w:rPr>
          <w:rFonts w:hint="eastAsia" w:eastAsia="宋体"/>
          <w:color w:val="auto"/>
          <w:szCs w:val="20"/>
          <w:highlight w:val="none"/>
          <w:lang w:eastAsia="zh-CN"/>
        </w:rPr>
      </w:pPr>
      <w:r>
        <w:rPr>
          <w:rFonts w:hint="eastAsia"/>
          <w:color w:val="auto"/>
          <w:szCs w:val="20"/>
          <w:highlight w:val="none"/>
        </w:rPr>
        <w:t>最高限价（如有）：</w:t>
      </w:r>
      <w:r>
        <w:rPr>
          <w:rFonts w:hint="eastAsia"/>
          <w:color w:val="auto"/>
          <w:szCs w:val="20"/>
          <w:highlight w:val="none"/>
          <w:lang w:eastAsia="zh-CN"/>
        </w:rPr>
        <w:t>4533400.00</w:t>
      </w:r>
    </w:p>
    <w:p w14:paraId="024C887A">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color w:val="auto"/>
          <w:szCs w:val="20"/>
          <w:highlight w:val="none"/>
        </w:rPr>
        <w:t>合同履约期限：</w:t>
      </w:r>
      <w:r>
        <w:rPr>
          <w:rFonts w:hint="eastAsia" w:ascii="宋体" w:hAnsi="宋体" w:cs="宋体"/>
          <w:color w:val="auto"/>
          <w:szCs w:val="21"/>
          <w:highlight w:val="none"/>
        </w:rPr>
        <w:t>自合同签订之日起设备30天内交货并安装调试完毕交付使用并验收合格。</w:t>
      </w:r>
    </w:p>
    <w:p w14:paraId="48ADCD70">
      <w:pPr>
        <w:keepNext w:val="0"/>
        <w:keepLines w:val="0"/>
        <w:pageBreakBefore w:val="0"/>
        <w:kinsoku/>
        <w:wordWrap/>
        <w:overflowPunct/>
        <w:topLinePunct w:val="0"/>
        <w:autoSpaceDE/>
        <w:autoSpaceDN/>
        <w:bidi w:val="0"/>
        <w:adjustRightInd/>
        <w:spacing w:line="380" w:lineRule="exact"/>
        <w:ind w:firstLine="420"/>
        <w:textAlignment w:val="auto"/>
        <w:rPr>
          <w:color w:val="auto"/>
          <w:szCs w:val="20"/>
          <w:highlight w:val="none"/>
        </w:rPr>
      </w:pPr>
      <w:r>
        <w:rPr>
          <w:rFonts w:hint="eastAsia" w:ascii="宋体" w:hAnsi="宋体" w:cs="宋体"/>
          <w:color w:val="auto"/>
          <w:szCs w:val="21"/>
          <w:highlight w:val="none"/>
        </w:rPr>
        <w:t>本项目（</w:t>
      </w:r>
      <w:r>
        <w:rPr>
          <w:rFonts w:hint="eastAsia" w:ascii="宋体" w:hAnsi="宋体" w:cs="宋体"/>
          <w:i/>
          <w:iCs/>
          <w:color w:val="auto"/>
          <w:szCs w:val="21"/>
          <w:highlight w:val="none"/>
        </w:rPr>
        <w:t>是/否</w:t>
      </w:r>
      <w:r>
        <w:rPr>
          <w:rFonts w:hint="eastAsia" w:ascii="宋体" w:hAnsi="宋体" w:cs="宋体"/>
          <w:color w:val="auto"/>
          <w:szCs w:val="21"/>
          <w:highlight w:val="none"/>
        </w:rPr>
        <w:t>）接受联合体投标：□是/☑否。</w:t>
      </w:r>
    </w:p>
    <w:p w14:paraId="3EE9B7B8">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备注：本项目为线上电子招标项目，有意向参与本项目的供应商应当做好参与全流程电子招投标交易的充分准备。</w:t>
      </w:r>
    </w:p>
    <w:p w14:paraId="02A8B152">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20" w:name="_Toc35393791"/>
      <w:bookmarkStart w:id="21" w:name="_Toc28359003"/>
      <w:bookmarkStart w:id="22" w:name="_Toc35393622"/>
      <w:bookmarkStart w:id="23" w:name="_Toc28359080"/>
      <w:r>
        <w:rPr>
          <w:rFonts w:hint="eastAsia" w:ascii="宋体" w:hAnsi="宋体" w:cs="宋体"/>
          <w:b/>
          <w:bCs/>
          <w:color w:val="auto"/>
          <w:sz w:val="24"/>
          <w:highlight w:val="none"/>
        </w:rPr>
        <w:t>二、申请人的资格要求：</w:t>
      </w:r>
      <w:bookmarkEnd w:id="20"/>
      <w:bookmarkEnd w:id="21"/>
      <w:bookmarkEnd w:id="22"/>
      <w:bookmarkEnd w:id="23"/>
    </w:p>
    <w:p w14:paraId="04B3C7D9">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bookmarkStart w:id="24" w:name="_Hlk51746371"/>
      <w:bookmarkStart w:id="25" w:name="_Toc28359004"/>
      <w:bookmarkStart w:id="26" w:name="_Toc28359081"/>
      <w:r>
        <w:rPr>
          <w:rFonts w:hint="eastAsia" w:ascii="宋体" w:hAnsi="宋体" w:cs="宋体"/>
          <w:color w:val="auto"/>
          <w:szCs w:val="21"/>
          <w:highlight w:val="none"/>
        </w:rPr>
        <w:t>1.满足《中华人民共和国政府采购法》第二十二条规定；</w:t>
      </w:r>
    </w:p>
    <w:p w14:paraId="279D972A">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2.落实政府采购政策需满足的资格要求：无。</w:t>
      </w:r>
    </w:p>
    <w:bookmarkEnd w:id="24"/>
    <w:p w14:paraId="1DAC1646">
      <w:pPr>
        <w:pStyle w:val="10"/>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投标人按《医疗器械监督管理条例》（国务院令第739号）医疗器械分类管理要求具备有效的医疗器械经营备案凭证或者经营许可证，或者投标人应符合《医疗器械监督管理条例》（国务院令第739号）规定具备医疗器械注册证或第二类医疗器械备案凭证。</w:t>
      </w:r>
    </w:p>
    <w:p w14:paraId="0D757633">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27" w:name="_Toc35393623"/>
      <w:bookmarkStart w:id="28" w:name="_Toc35393792"/>
      <w:r>
        <w:rPr>
          <w:rFonts w:hint="eastAsia" w:ascii="宋体" w:hAnsi="宋体" w:cs="宋体"/>
          <w:b/>
          <w:bCs/>
          <w:color w:val="auto"/>
          <w:sz w:val="24"/>
          <w:highlight w:val="none"/>
        </w:rPr>
        <w:t>三、获取招标文件</w:t>
      </w:r>
      <w:bookmarkEnd w:id="25"/>
      <w:bookmarkEnd w:id="26"/>
      <w:bookmarkEnd w:id="27"/>
      <w:bookmarkEnd w:id="28"/>
    </w:p>
    <w:p w14:paraId="5291003B">
      <w:pPr>
        <w:keepNext w:val="0"/>
        <w:keepLines w:val="0"/>
        <w:pageBreakBefore w:val="0"/>
        <w:kinsoku/>
        <w:wordWrap/>
        <w:overflowPunct/>
        <w:topLinePunct w:val="0"/>
        <w:autoSpaceDE/>
        <w:autoSpaceDN/>
        <w:bidi w:val="0"/>
        <w:adjustRightInd/>
        <w:spacing w:line="380" w:lineRule="exact"/>
        <w:ind w:firstLine="540"/>
        <w:textAlignment w:val="auto"/>
        <w:rPr>
          <w:rFonts w:hint="eastAsia" w:ascii="宋体" w:hAnsi="宋体" w:cs="宋体"/>
          <w:color w:val="auto"/>
          <w:szCs w:val="21"/>
          <w:highlight w:val="none"/>
        </w:rPr>
      </w:pPr>
      <w:bookmarkStart w:id="29" w:name="_Toc28359082"/>
      <w:bookmarkStart w:id="30" w:name="_Toc28359005"/>
      <w:bookmarkStart w:id="31" w:name="_Toc35393624"/>
      <w:bookmarkStart w:id="32" w:name="_Toc35393793"/>
      <w:r>
        <w:rPr>
          <w:rFonts w:hint="eastAsia" w:ascii="宋体" w:hAnsi="宋体" w:cs="宋体"/>
          <w:color w:val="auto"/>
          <w:szCs w:val="21"/>
          <w:highlight w:val="none"/>
        </w:rPr>
        <w:t>时间：2025年  月  日</w:t>
      </w:r>
      <w:r>
        <w:rPr>
          <w:rFonts w:hint="eastAsia" w:ascii="宋体" w:hAnsi="宋体" w:cs="宋体"/>
          <w:bCs/>
          <w:color w:val="auto"/>
          <w:kern w:val="0"/>
          <w:szCs w:val="21"/>
          <w:highlight w:val="none"/>
        </w:rPr>
        <w:t>至</w:t>
      </w:r>
      <w:r>
        <w:rPr>
          <w:rFonts w:hint="eastAsia" w:ascii="宋体" w:hAnsi="宋体" w:cs="宋体"/>
          <w:color w:val="auto"/>
          <w:szCs w:val="21"/>
          <w:highlight w:val="none"/>
        </w:rPr>
        <w:t>2025年  月  日</w:t>
      </w:r>
      <w:r>
        <w:rPr>
          <w:rFonts w:hint="eastAsia" w:ascii="宋体" w:hAnsi="宋体" w:cs="宋体"/>
          <w:bCs/>
          <w:color w:val="auto"/>
          <w:kern w:val="0"/>
          <w:szCs w:val="21"/>
          <w:highlight w:val="none"/>
        </w:rPr>
        <w:t>，每天上午00:00至11:59，下午12:00至23:59（北京时间，法定节假日除外）</w:t>
      </w:r>
    </w:p>
    <w:p w14:paraId="729EE493">
      <w:pPr>
        <w:pStyle w:val="11"/>
        <w:keepNext w:val="0"/>
        <w:keepLines w:val="0"/>
        <w:pageBreakBefore w:val="0"/>
        <w:kinsoku/>
        <w:wordWrap/>
        <w:overflowPunct/>
        <w:topLinePunct w:val="0"/>
        <w:autoSpaceDE/>
        <w:autoSpaceDN/>
        <w:bidi w:val="0"/>
        <w:adjustRightInd/>
        <w:spacing w:after="0" w:line="38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地点：广西政府采购云平台（</w:t>
      </w:r>
      <w:r>
        <w:rPr>
          <w:rStyle w:val="29"/>
          <w:rFonts w:hint="eastAsia" w:ascii="宋体" w:hAnsi="宋体" w:cs="宋体"/>
          <w:b w:val="0"/>
          <w:bCs/>
          <w:color w:val="auto"/>
          <w:szCs w:val="21"/>
          <w:highlight w:val="none"/>
        </w:rPr>
        <w:t>https://www.gcy.zfcg.gxzf.gov.cn/</w:t>
      </w:r>
      <w:r>
        <w:rPr>
          <w:rFonts w:hint="eastAsia" w:ascii="宋体" w:hAnsi="宋体" w:cs="宋体"/>
          <w:color w:val="auto"/>
          <w:szCs w:val="21"/>
          <w:highlight w:val="none"/>
        </w:rPr>
        <w:t>）</w:t>
      </w:r>
    </w:p>
    <w:p w14:paraId="1FA0F191">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b/>
          <w:bCs/>
          <w:color w:val="auto"/>
          <w:sz w:val="24"/>
          <w:highlight w:val="none"/>
        </w:rPr>
      </w:pPr>
      <w:r>
        <w:rPr>
          <w:rFonts w:hint="eastAsia" w:ascii="宋体" w:hAnsi="宋体" w:cs="宋体"/>
          <w:color w:val="auto"/>
          <w:szCs w:val="21"/>
          <w:highlight w:val="none"/>
        </w:rPr>
        <w:t>方式:网上下载。本项目不发放纸质文件，潜在投标人可自行在广西政府采购云平台（</w:t>
      </w:r>
      <w:r>
        <w:rPr>
          <w:rStyle w:val="29"/>
          <w:rFonts w:hint="eastAsia" w:ascii="宋体" w:hAnsi="宋体" w:cs="宋体"/>
          <w:b w:val="0"/>
          <w:bCs/>
          <w:color w:val="auto"/>
          <w:szCs w:val="21"/>
          <w:highlight w:val="none"/>
        </w:rPr>
        <w:t>https://www.gcy.zfcg.gxzf.gov.cn/</w:t>
      </w:r>
      <w:r>
        <w:rPr>
          <w:rFonts w:hint="eastAsia" w:ascii="宋体" w:hAnsi="宋体" w:cs="宋体"/>
          <w:color w:val="auto"/>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10DA5D16">
      <w:pPr>
        <w:keepNext w:val="0"/>
        <w:keepLines w:val="0"/>
        <w:pageBreakBefore w:val="0"/>
        <w:kinsoku/>
        <w:wordWrap/>
        <w:overflowPunct/>
        <w:topLinePunct w:val="0"/>
        <w:autoSpaceDE/>
        <w:autoSpaceDN/>
        <w:bidi w:val="0"/>
        <w:adjustRightInd/>
        <w:snapToGrid w:val="0"/>
        <w:spacing w:line="380" w:lineRule="exact"/>
        <w:ind w:firstLine="472" w:firstLineChars="225"/>
        <w:textAlignment w:val="auto"/>
        <w:rPr>
          <w:rFonts w:hint="eastAsia" w:ascii="宋体" w:hAnsi="宋体" w:cs="宋体"/>
          <w:color w:val="auto"/>
          <w:szCs w:val="21"/>
          <w:highlight w:val="none"/>
        </w:rPr>
      </w:pPr>
      <w:r>
        <w:rPr>
          <w:rFonts w:hint="eastAsia" w:ascii="宋体" w:hAnsi="宋体" w:cs="宋体"/>
          <w:color w:val="auto"/>
          <w:szCs w:val="21"/>
          <w:highlight w:val="none"/>
        </w:rPr>
        <w:t>售价：人民币0元。</w:t>
      </w:r>
    </w:p>
    <w:p w14:paraId="079A23CB">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14:paraId="2C3F0843">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bookmarkStart w:id="33" w:name="PO_3000001867_PM015_1"/>
      <w:r>
        <w:rPr>
          <w:rFonts w:hint="eastAsia" w:ascii="宋体" w:hAnsi="宋体" w:cs="宋体"/>
          <w:color w:val="auto"/>
          <w:szCs w:val="21"/>
          <w:highlight w:val="none"/>
        </w:rPr>
        <w:t>2025年  月  日09点20分</w:t>
      </w:r>
      <w:r>
        <w:rPr>
          <w:rFonts w:hint="eastAsia" w:ascii="宋体" w:hAnsi="宋体" w:cs="宋体"/>
          <w:bCs/>
          <w:color w:val="auto"/>
          <w:szCs w:val="21"/>
          <w:highlight w:val="none"/>
        </w:rPr>
        <w:t>（北京时间）</w:t>
      </w:r>
      <w:bookmarkEnd w:id="33"/>
    </w:p>
    <w:p w14:paraId="710EB6B7">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2、提交投标文件和开标地点：广西政府采购云平台(https://www.gcy.zfcg.gxzf.gov.cn/)</w:t>
      </w:r>
    </w:p>
    <w:p w14:paraId="6A7C4A82">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34" w:name="_Toc28359084"/>
      <w:bookmarkStart w:id="35" w:name="_Toc35393625"/>
      <w:bookmarkStart w:id="36" w:name="_Toc28359007"/>
      <w:bookmarkStart w:id="37" w:name="_Toc35393794"/>
      <w:r>
        <w:rPr>
          <w:rFonts w:hint="eastAsia" w:ascii="宋体" w:hAnsi="宋体" w:cs="宋体"/>
          <w:b/>
          <w:bCs/>
          <w:color w:val="auto"/>
          <w:sz w:val="24"/>
          <w:highlight w:val="none"/>
        </w:rPr>
        <w:t>五、公告期限</w:t>
      </w:r>
      <w:bookmarkEnd w:id="34"/>
      <w:bookmarkEnd w:id="35"/>
      <w:bookmarkEnd w:id="36"/>
      <w:bookmarkEnd w:id="37"/>
    </w:p>
    <w:p w14:paraId="30B3E007">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7AAEF39">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38" w:name="_Toc35393626"/>
      <w:bookmarkStart w:id="39" w:name="_Toc35393795"/>
      <w:r>
        <w:rPr>
          <w:rFonts w:hint="eastAsia" w:ascii="宋体" w:hAnsi="宋体" w:cs="宋体"/>
          <w:b/>
          <w:bCs/>
          <w:color w:val="auto"/>
          <w:sz w:val="24"/>
          <w:highlight w:val="none"/>
        </w:rPr>
        <w:t>六、其他补充事宜</w:t>
      </w:r>
      <w:bookmarkEnd w:id="38"/>
      <w:bookmarkEnd w:id="39"/>
    </w:p>
    <w:p w14:paraId="329FE04B">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w:t>
      </w:r>
    </w:p>
    <w:p w14:paraId="5BFD0C5B">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分标1：人民币贰万元整（¥20000.00）</w:t>
      </w:r>
    </w:p>
    <w:p w14:paraId="7793B21D">
      <w:pPr>
        <w:pStyle w:val="7"/>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分标2：人民币肆万元整（¥40000.00）</w:t>
      </w:r>
    </w:p>
    <w:p w14:paraId="43CDE9C0">
      <w:pPr>
        <w:pStyle w:val="48"/>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w:t>
      </w:r>
    </w:p>
    <w:p w14:paraId="3B72006C">
      <w:pPr>
        <w:pStyle w:val="48"/>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缴纳投标保证金指定账户的信息：</w:t>
      </w:r>
    </w:p>
    <w:p w14:paraId="4411B3A6">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highlight w:val="none"/>
          <w:u w:val="single"/>
        </w:rPr>
        <w:t>柳州银行北站支行营业部</w:t>
      </w:r>
    </w:p>
    <w:p w14:paraId="0900261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w:t>
      </w:r>
      <w:r>
        <w:rPr>
          <w:rFonts w:hint="eastAsia" w:ascii="宋体" w:hAnsi="宋体" w:cs="宋体"/>
          <w:color w:val="auto"/>
          <w:highlight w:val="none"/>
          <w:u w:val="single"/>
        </w:rPr>
        <w:t>广西德元工程项目管理有限责任公司</w:t>
      </w:r>
    </w:p>
    <w:p w14:paraId="7BC8E6EA">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highlight w:val="none"/>
          <w:u w:val="single"/>
        </w:rPr>
      </w:pPr>
      <w:r>
        <w:rPr>
          <w:rFonts w:hint="eastAsia" w:ascii="宋体" w:hAnsi="宋体" w:cs="宋体"/>
          <w:color w:val="auto"/>
          <w:kern w:val="0"/>
          <w:szCs w:val="21"/>
          <w:highlight w:val="none"/>
        </w:rPr>
        <w:t>银行账号：</w:t>
      </w:r>
      <w:r>
        <w:rPr>
          <w:rFonts w:hint="eastAsia" w:ascii="宋体" w:hAnsi="宋体" w:cs="宋体"/>
          <w:color w:val="auto"/>
          <w:highlight w:val="none"/>
          <w:u w:val="single"/>
        </w:rPr>
        <w:t>707002011010900000108</w:t>
      </w:r>
    </w:p>
    <w:p w14:paraId="631E90F0">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开户行行号：</w:t>
      </w:r>
      <w:r>
        <w:rPr>
          <w:rFonts w:hint="eastAsia" w:ascii="宋体" w:hAnsi="宋体" w:cs="宋体"/>
          <w:color w:val="auto"/>
          <w:kern w:val="0"/>
          <w:szCs w:val="21"/>
          <w:highlight w:val="none"/>
          <w:u w:val="single"/>
        </w:rPr>
        <w:t>313614007006</w:t>
      </w:r>
    </w:p>
    <w:p w14:paraId="11AC2BE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注：办理缴纳投标保证金手续时，请务必在银行转账单或电汇单的用途或空白栏上注明“柳州+项目编号” 及用途（投标保证金）</w:t>
      </w:r>
    </w:p>
    <w:p w14:paraId="4FF56369">
      <w:pPr>
        <w:pStyle w:val="48"/>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color w:val="auto"/>
          <w:highlight w:val="none"/>
        </w:rPr>
      </w:pPr>
      <w:r>
        <w:rPr>
          <w:rFonts w:hint="eastAsia" w:ascii="宋体" w:hAnsi="宋体" w:cs="宋体"/>
          <w:color w:val="auto"/>
          <w:kern w:val="0"/>
          <w:szCs w:val="21"/>
          <w:highlight w:val="none"/>
        </w:rPr>
        <w:t>采用支票、汇票、本票或者保函等方式的，</w:t>
      </w:r>
      <w:r>
        <w:rPr>
          <w:rFonts w:hint="eastAsia" w:ascii="宋体" w:hAnsi="宋体" w:cs="宋体"/>
          <w:color w:val="auto"/>
          <w:szCs w:val="21"/>
          <w:highlight w:val="none"/>
        </w:rPr>
        <w:t>投标人必须</w:t>
      </w:r>
      <w:r>
        <w:rPr>
          <w:rFonts w:hint="eastAsia" w:ascii="宋体" w:hAnsi="宋体" w:cs="宋体"/>
          <w:color w:val="auto"/>
          <w:kern w:val="0"/>
          <w:szCs w:val="21"/>
          <w:highlight w:val="none"/>
        </w:rPr>
        <w:t>在投标截止时间前</w:t>
      </w:r>
      <w:r>
        <w:rPr>
          <w:rFonts w:hint="eastAsia" w:ascii="宋体" w:hAnsi="宋体" w:cs="宋体"/>
          <w:color w:val="auto"/>
          <w:szCs w:val="21"/>
          <w:highlight w:val="none"/>
        </w:rPr>
        <w:t>将支票、汇票、本票或者金融、担保机构出具的保函（</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）等原件提交给采购代理机构</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否则视为无效投标保证金</w:t>
      </w:r>
      <w:r>
        <w:rPr>
          <w:rFonts w:hint="eastAsia" w:ascii="宋体" w:hAnsi="宋体" w:cs="宋体"/>
          <w:color w:val="auto"/>
          <w:kern w:val="0"/>
          <w:szCs w:val="21"/>
          <w:highlight w:val="none"/>
        </w:rPr>
        <w:t>。</w:t>
      </w:r>
    </w:p>
    <w:p w14:paraId="71C9CE7B">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bookmarkStart w:id="40" w:name="_Hlk37429595"/>
      <w:bookmarkStart w:id="41" w:name="_Hlk37429585"/>
      <w:r>
        <w:rPr>
          <w:rFonts w:hint="eastAsia" w:ascii="宋体" w:hAnsi="宋体" w:cs="宋体"/>
          <w:color w:val="auto"/>
          <w:kern w:val="0"/>
          <w:szCs w:val="21"/>
          <w:highlight w:val="none"/>
        </w:rPr>
        <w:t>2.网上查询地址</w:t>
      </w:r>
    </w:p>
    <w:bookmarkEnd w:id="40"/>
    <w:bookmarkEnd w:id="41"/>
    <w:p w14:paraId="1BB0B32E">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bookmarkStart w:id="42" w:name="_Hlk37429674"/>
      <w:r>
        <w:rPr>
          <w:rFonts w:hint="eastAsia" w:ascii="宋体" w:hAnsi="宋体" w:cs="宋体"/>
          <w:color w:val="auto"/>
          <w:szCs w:val="21"/>
          <w:highlight w:val="none"/>
        </w:rPr>
        <w:t>http://www.ccgp.gov.cn/（中国政府采购网）、http://zfcg.gxzf.gov.cn/ (广西政府采购网)</w:t>
      </w:r>
    </w:p>
    <w:p w14:paraId="03E4F5AB">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本项目需要落实的政府采购政策：无</w:t>
      </w:r>
    </w:p>
    <w:p w14:paraId="18C183D3">
      <w:pPr>
        <w:keepNext w:val="0"/>
        <w:keepLines w:val="0"/>
        <w:pageBreakBefore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D681657">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2"/>
    <w:p w14:paraId="05A7D500">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szCs w:val="21"/>
          <w:highlight w:val="none"/>
        </w:rPr>
        <w:t>6.在线投标的有关说明</w:t>
      </w:r>
      <w:r>
        <w:rPr>
          <w:rFonts w:hint="eastAsia" w:ascii="宋体" w:hAnsi="宋体" w:cs="宋体"/>
          <w:b/>
          <w:bCs/>
          <w:color w:val="auto"/>
          <w:kern w:val="0"/>
          <w:szCs w:val="21"/>
          <w:highlight w:val="none"/>
        </w:rPr>
        <w:t>：</w:t>
      </w:r>
    </w:p>
    <w:p w14:paraId="23575C78">
      <w:pPr>
        <w:keepNext w:val="0"/>
        <w:keepLines w:val="0"/>
        <w:pageBreakBefore w:val="0"/>
        <w:widowControl/>
        <w:kinsoku/>
        <w:wordWrap/>
        <w:overflowPunct/>
        <w:topLinePunct w:val="0"/>
        <w:autoSpaceDE/>
        <w:autoSpaceDN/>
        <w:bidi w:val="0"/>
        <w:adjustRightInd/>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rPr>
        <w:t>投标人在广西政府采购云平台提交电子版投标文件时，请填写参加远程开标活动经办人联系方式</w:t>
      </w:r>
      <w:r>
        <w:rPr>
          <w:rFonts w:hint="eastAsia" w:ascii="宋体" w:hAnsi="宋体" w:cs="宋体"/>
          <w:color w:val="auto"/>
          <w:szCs w:val="21"/>
          <w:highlight w:val="none"/>
        </w:rPr>
        <w:t>。</w:t>
      </w:r>
    </w:p>
    <w:p w14:paraId="37B69E14">
      <w:pPr>
        <w:keepNext w:val="0"/>
        <w:keepLines w:val="0"/>
        <w:pageBreakBefore w:val="0"/>
        <w:widowControl/>
        <w:kinsoku/>
        <w:wordWrap/>
        <w:overflowPunct/>
        <w:topLinePunct w:val="0"/>
        <w:autoSpaceDE/>
        <w:autoSpaceDN/>
        <w:bidi w:val="0"/>
        <w:adjustRightInd/>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3CB0B93B">
      <w:pPr>
        <w:keepNext w:val="0"/>
        <w:keepLines w:val="0"/>
        <w:pageBreakBefore w:val="0"/>
        <w:widowControl/>
        <w:kinsoku/>
        <w:wordWrap/>
        <w:overflowPunct/>
        <w:topLinePunct w:val="0"/>
        <w:autoSpaceDE/>
        <w:autoSpaceDN/>
        <w:bidi w:val="0"/>
        <w:adjustRightInd/>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1F6F6BCD">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cs="宋体"/>
          <w:bCs/>
          <w:color w:val="auto"/>
          <w:szCs w:val="21"/>
          <w:highlight w:val="none"/>
          <w:u w:val="single"/>
        </w:rPr>
      </w:pPr>
      <w:r>
        <w:rPr>
          <w:rFonts w:hint="eastAsia" w:ascii="宋体" w:hAns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61BB3D9">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w:t>
      </w:r>
    </w:p>
    <w:p w14:paraId="222A9320">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w:t>
      </w:r>
      <w:r>
        <w:rPr>
          <w:rFonts w:hint="eastAsia" w:ascii="宋体" w:hAnsi="宋体" w:cs="宋体"/>
          <w:color w:val="auto"/>
          <w:szCs w:val="21"/>
          <w:highlight w:val="none"/>
        </w:rPr>
        <w:t>广西政府采购云平台（https://www.gcy.zfcg.gxzf.gov.cn/）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服务热线95763获取热线服务帮助。</w:t>
      </w:r>
    </w:p>
    <w:p w14:paraId="694B5915">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43" w:name="_Toc35393796"/>
      <w:bookmarkStart w:id="44" w:name="_Toc28359085"/>
      <w:bookmarkStart w:id="45" w:name="_Toc35393627"/>
      <w:bookmarkStart w:id="46" w:name="_Toc28359008"/>
      <w:r>
        <w:rPr>
          <w:rFonts w:hint="eastAsia" w:ascii="宋体" w:hAnsi="宋体" w:cs="宋体"/>
          <w:b/>
          <w:bCs/>
          <w:color w:val="auto"/>
          <w:sz w:val="24"/>
          <w:highlight w:val="none"/>
        </w:rPr>
        <w:t>七、对本次招标提出询问，请按以下方式联系。</w:t>
      </w:r>
      <w:bookmarkEnd w:id="43"/>
      <w:bookmarkEnd w:id="44"/>
      <w:bookmarkEnd w:id="45"/>
      <w:bookmarkEnd w:id="46"/>
    </w:p>
    <w:p w14:paraId="27066EBC">
      <w:pPr>
        <w:keepNext w:val="0"/>
        <w:keepLines w:val="0"/>
        <w:pageBreakBefore w:val="0"/>
        <w:kinsoku/>
        <w:wordWrap/>
        <w:overflowPunct/>
        <w:topLinePunct w:val="0"/>
        <w:autoSpaceDE/>
        <w:autoSpaceDN/>
        <w:bidi w:val="0"/>
        <w:adjustRightIn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1.采购人信息</w:t>
      </w:r>
    </w:p>
    <w:p w14:paraId="0CE7F4EB">
      <w:pPr>
        <w:keepNext w:val="0"/>
        <w:keepLines w:val="0"/>
        <w:pageBreakBefore w:val="0"/>
        <w:kinsoku/>
        <w:wordWrap/>
        <w:overflowPunct/>
        <w:topLinePunct w:val="0"/>
        <w:autoSpaceDE/>
        <w:autoSpaceDN/>
        <w:bidi w:val="0"/>
        <w:adjustRightInd/>
        <w:spacing w:line="380" w:lineRule="exact"/>
        <w:ind w:left="1041" w:leftChars="371" w:hanging="262" w:hangingChars="12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名 称：广西壮族自治区胸科医院</w:t>
      </w:r>
    </w:p>
    <w:p w14:paraId="00A2CA16">
      <w:pPr>
        <w:keepNext w:val="0"/>
        <w:keepLines w:val="0"/>
        <w:pageBreakBefore w:val="0"/>
        <w:kinsoku/>
        <w:wordWrap/>
        <w:overflowPunct/>
        <w:topLinePunct w:val="0"/>
        <w:autoSpaceDE/>
        <w:autoSpaceDN/>
        <w:bidi w:val="0"/>
        <w:adjustRightInd/>
        <w:spacing w:line="380" w:lineRule="exact"/>
        <w:ind w:left="1041" w:leftChars="371" w:hanging="262" w:hangingChars="12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地址：广西壮族自治区柳州市鱼峰区羊角山路8号</w:t>
      </w:r>
    </w:p>
    <w:p w14:paraId="06DB07CB">
      <w:pPr>
        <w:keepNext w:val="0"/>
        <w:keepLines w:val="0"/>
        <w:pageBreakBefore w:val="0"/>
        <w:kinsoku/>
        <w:wordWrap/>
        <w:overflowPunct/>
        <w:topLinePunct w:val="0"/>
        <w:autoSpaceDE/>
        <w:autoSpaceDN/>
        <w:bidi w:val="0"/>
        <w:adjustRightInd/>
        <w:spacing w:line="380" w:lineRule="exact"/>
        <w:ind w:left="1041" w:leftChars="371" w:hanging="262" w:hangingChars="12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项目联系人：韦玲</w:t>
      </w:r>
    </w:p>
    <w:p w14:paraId="2B2443EB">
      <w:pPr>
        <w:keepNext w:val="0"/>
        <w:keepLines w:val="0"/>
        <w:pageBreakBefore w:val="0"/>
        <w:kinsoku/>
        <w:wordWrap/>
        <w:overflowPunct/>
        <w:topLinePunct w:val="0"/>
        <w:autoSpaceDE/>
        <w:autoSpaceDN/>
        <w:bidi w:val="0"/>
        <w:adjustRightInd/>
        <w:spacing w:line="380" w:lineRule="exact"/>
        <w:ind w:left="1041" w:leftChars="371" w:hanging="262" w:hangingChars="12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项目联系方式：</w:t>
      </w:r>
      <w:r>
        <w:rPr>
          <w:rFonts w:hint="eastAsia" w:ascii="宋体" w:hAnsi="宋体" w:cs="宋体"/>
          <w:color w:val="auto"/>
          <w:sz w:val="24"/>
          <w:highlight w:val="none"/>
          <w:shd w:val="clear" w:color="auto" w:fill="FFFFFF"/>
        </w:rPr>
        <w:t>0772-3136193</w:t>
      </w:r>
    </w:p>
    <w:p w14:paraId="4B3DAEF0">
      <w:pPr>
        <w:keepNext w:val="0"/>
        <w:keepLines w:val="0"/>
        <w:pageBreakBefore w:val="0"/>
        <w:kinsoku/>
        <w:wordWrap/>
        <w:overflowPunct/>
        <w:topLinePunct w:val="0"/>
        <w:autoSpaceDE/>
        <w:autoSpaceDN/>
        <w:bidi w:val="0"/>
        <w:adjustRightInd/>
        <w:spacing w:line="380" w:lineRule="exact"/>
        <w:ind w:left="1041" w:leftChars="371" w:hanging="262" w:hangingChars="12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5103B8CA">
      <w:pPr>
        <w:keepNext w:val="0"/>
        <w:keepLines w:val="0"/>
        <w:pageBreakBefore w:val="0"/>
        <w:kinsoku/>
        <w:wordWrap/>
        <w:overflowPunct/>
        <w:topLinePunct w:val="0"/>
        <w:autoSpaceDE/>
        <w:autoSpaceDN/>
        <w:bidi w:val="0"/>
        <w:adjustRightInd/>
        <w:spacing w:line="380" w:lineRule="exact"/>
        <w:ind w:firstLine="735" w:firstLineChars="350"/>
        <w:textAlignment w:val="auto"/>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olor w:val="auto"/>
          <w:sz w:val="24"/>
          <w:highlight w:val="none"/>
        </w:rPr>
        <w:t>广西德元工程项目管理有限责任公司</w:t>
      </w:r>
    </w:p>
    <w:p w14:paraId="76C1F747">
      <w:pPr>
        <w:keepNext w:val="0"/>
        <w:keepLines w:val="0"/>
        <w:pageBreakBefore w:val="0"/>
        <w:kinsoku/>
        <w:wordWrap/>
        <w:overflowPunct/>
        <w:topLinePunct w:val="0"/>
        <w:autoSpaceDE/>
        <w:autoSpaceDN/>
        <w:bidi w:val="0"/>
        <w:adjustRightInd/>
        <w:spacing w:line="380" w:lineRule="exact"/>
        <w:ind w:firstLine="735" w:firstLineChars="350"/>
        <w:textAlignment w:val="auto"/>
        <w:rPr>
          <w:rFonts w:hint="eastAsia" w:ascii="宋体" w:hAnsi="宋体"/>
          <w:color w:val="auto"/>
          <w:sz w:val="24"/>
          <w:highlight w:val="none"/>
        </w:rPr>
      </w:pPr>
      <w:r>
        <w:rPr>
          <w:rFonts w:hint="eastAsia" w:ascii="宋体" w:hAnsi="宋体" w:cs="宋体"/>
          <w:color w:val="auto"/>
          <w:szCs w:val="21"/>
          <w:highlight w:val="none"/>
        </w:rPr>
        <w:t>地　址：</w:t>
      </w:r>
      <w:r>
        <w:rPr>
          <w:rFonts w:hint="eastAsia" w:ascii="宋体" w:hAnsi="宋体"/>
          <w:color w:val="auto"/>
          <w:sz w:val="24"/>
          <w:highlight w:val="none"/>
        </w:rPr>
        <w:t>柳州市跃进路19号天元金都1-403室</w:t>
      </w:r>
    </w:p>
    <w:p w14:paraId="561F308A">
      <w:pPr>
        <w:keepNext w:val="0"/>
        <w:keepLines w:val="0"/>
        <w:pageBreakBefore w:val="0"/>
        <w:kinsoku/>
        <w:wordWrap/>
        <w:overflowPunct/>
        <w:topLinePunct w:val="0"/>
        <w:autoSpaceDE/>
        <w:autoSpaceDN/>
        <w:bidi w:val="0"/>
        <w:adjustRightInd/>
        <w:spacing w:line="380" w:lineRule="exact"/>
        <w:ind w:firstLine="735" w:firstLineChars="350"/>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项目联系人：杨倩</w:t>
      </w:r>
    </w:p>
    <w:p w14:paraId="4553AA76">
      <w:pPr>
        <w:keepNext w:val="0"/>
        <w:keepLines w:val="0"/>
        <w:pageBreakBefore w:val="0"/>
        <w:kinsoku/>
        <w:wordWrap/>
        <w:overflowPunct/>
        <w:topLinePunct w:val="0"/>
        <w:autoSpaceDE/>
        <w:autoSpaceDN/>
        <w:bidi w:val="0"/>
        <w:adjustRightInd/>
        <w:spacing w:line="380" w:lineRule="exact"/>
        <w:ind w:firstLine="735" w:firstLineChars="350"/>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项目联系方式：0772-2203338</w:t>
      </w:r>
    </w:p>
    <w:p w14:paraId="4D682F68">
      <w:pPr>
        <w:keepNext w:val="0"/>
        <w:keepLines w:val="0"/>
        <w:pageBreakBefore w:val="0"/>
        <w:kinsoku/>
        <w:wordWrap/>
        <w:overflowPunct/>
        <w:topLinePunct w:val="0"/>
        <w:autoSpaceDE/>
        <w:autoSpaceDN/>
        <w:bidi w:val="0"/>
        <w:adjustRightInd/>
        <w:spacing w:line="380" w:lineRule="exact"/>
        <w:jc w:val="left"/>
        <w:textAlignment w:val="auto"/>
        <w:rPr>
          <w:rFonts w:hint="eastAsia" w:ascii="宋体" w:hAnsi="宋体" w:cs="宋体"/>
          <w:color w:val="auto"/>
          <w:szCs w:val="21"/>
          <w:highlight w:val="none"/>
        </w:rPr>
      </w:pPr>
    </w:p>
    <w:p w14:paraId="18F614A9">
      <w:pPr>
        <w:widowControl/>
        <w:spacing w:line="360" w:lineRule="exact"/>
        <w:ind w:left="480"/>
        <w:jc w:val="center"/>
        <w:outlineLvl w:val="0"/>
        <w:rPr>
          <w:rFonts w:hint="eastAsia" w:ascii="宋体" w:hAnsi="宋体" w:cs="Courier New"/>
          <w:b/>
          <w:color w:val="auto"/>
          <w:sz w:val="28"/>
          <w:szCs w:val="28"/>
          <w:highlight w:val="none"/>
        </w:rPr>
      </w:pPr>
      <w:r>
        <w:rPr>
          <w:rFonts w:hint="eastAsia" w:ascii="宋体" w:hAnsi="宋体" w:cs="宋体"/>
          <w:color w:val="auto"/>
          <w:szCs w:val="21"/>
          <w:highlight w:val="none"/>
        </w:rPr>
        <w:br w:type="page"/>
      </w:r>
      <w:bookmarkStart w:id="47" w:name="_Toc32250"/>
      <w:r>
        <w:rPr>
          <w:rFonts w:hint="eastAsia" w:ascii="宋体" w:hAnsi="宋体" w:cs="Courier New"/>
          <w:b/>
          <w:color w:val="auto"/>
          <w:sz w:val="28"/>
          <w:szCs w:val="28"/>
          <w:highlight w:val="none"/>
        </w:rPr>
        <w:t>第二章  招标项目采购需求</w:t>
      </w:r>
      <w:bookmarkEnd w:id="47"/>
    </w:p>
    <w:p w14:paraId="46D35E25">
      <w:pPr>
        <w:keepNext w:val="0"/>
        <w:keepLines w:val="0"/>
        <w:pageBreakBefore w:val="0"/>
        <w:kinsoku/>
        <w:wordWrap/>
        <w:overflowPunct/>
        <w:topLinePunct w:val="0"/>
        <w:bidi w:val="0"/>
        <w:adjustRightIn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78FDDFC8">
      <w:pPr>
        <w:keepNext w:val="0"/>
        <w:keepLines w:val="0"/>
        <w:pageBreakBefore w:val="0"/>
        <w:kinsoku/>
        <w:wordWrap/>
        <w:overflowPunct/>
        <w:topLinePunct w:val="0"/>
        <w:bidi w:val="0"/>
        <w:spacing w:line="360" w:lineRule="exact"/>
        <w:ind w:firstLine="420" w:firstLineChars="200"/>
        <w:jc w:val="left"/>
        <w:rPr>
          <w:rFonts w:hint="eastAsia" w:ascii="宋体" w:hAnsi="宋体" w:cs="宋体"/>
          <w:i/>
          <w:iCs/>
          <w:color w:val="auto"/>
          <w:sz w:val="21"/>
          <w:szCs w:val="21"/>
          <w:highlight w:val="none"/>
        </w:rPr>
      </w:pPr>
      <w:r>
        <w:rPr>
          <w:rFonts w:hint="eastAsia" w:ascii="宋体" w:hAnsi="宋体" w:cs="宋体"/>
          <w:color w:val="auto"/>
          <w:sz w:val="21"/>
          <w:szCs w:val="21"/>
          <w:highlight w:val="none"/>
        </w:rPr>
        <w:t>1. 为落实政府采购政策需满足的要求</w:t>
      </w:r>
    </w:p>
    <w:p w14:paraId="41C6AF9B">
      <w:pPr>
        <w:keepNext w:val="0"/>
        <w:keepLines w:val="0"/>
        <w:pageBreakBefore w:val="0"/>
        <w:kinsoku/>
        <w:wordWrap/>
        <w:overflowPunct/>
        <w:topLinePunct w:val="0"/>
        <w:bidi w:val="0"/>
        <w:spacing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（1）本招标文件所称中小企业必须符合《政府采购促进中小企业发展管理办法》（财库〔2020〕46号）的规定。</w:t>
      </w:r>
    </w:p>
    <w:p w14:paraId="6C995BDE">
      <w:pPr>
        <w:keepNext w:val="0"/>
        <w:keepLines w:val="0"/>
        <w:pageBreakBefore w:val="0"/>
        <w:kinsoku/>
        <w:wordWrap/>
        <w:overflowPunct/>
        <w:topLinePunct w:val="0"/>
        <w:bidi w:val="0"/>
        <w:spacing w:line="360" w:lineRule="exact"/>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auto"/>
          <w:sz w:val="21"/>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color w:val="auto"/>
          <w:sz w:val="21"/>
          <w:szCs w:val="21"/>
          <w:highlight w:val="none"/>
        </w:rPr>
        <w:t>。如本项目包含的货物属于品目清单内非标注“★”的产品时，应优先采购，具体详见“第四章 评标方法和评标标准”。</w:t>
      </w:r>
    </w:p>
    <w:p w14:paraId="0A41AEF0">
      <w:pPr>
        <w:keepNext w:val="0"/>
        <w:keepLines w:val="0"/>
        <w:pageBreakBefore w:val="0"/>
        <w:kinsoku/>
        <w:wordWrap/>
        <w:overflowPunct/>
        <w:topLinePunct w:val="0"/>
        <w:bidi w:val="0"/>
        <w:spacing w:line="360" w:lineRule="exact"/>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2.“实质性要求”是指招标文件中已经指明不满足则投标无效的条款，或者不能负偏离的条款，或者</w:t>
      </w:r>
      <w:bookmarkStart w:id="48" w:name="OLE_LINK4"/>
      <w:r>
        <w:rPr>
          <w:rFonts w:hint="eastAsia" w:ascii="宋体" w:hAnsi="宋体" w:cs="宋体"/>
          <w:color w:val="auto"/>
          <w:sz w:val="21"/>
          <w:szCs w:val="21"/>
          <w:highlight w:val="none"/>
        </w:rPr>
        <w:t>采购需求中带“</w:t>
      </w:r>
      <w:r>
        <w:rPr>
          <w:rFonts w:hint="eastAsia" w:ascii="宋体" w:hAnsi="宋体" w:cs="宋体"/>
          <w:bCs/>
          <w:color w:val="auto"/>
          <w:sz w:val="21"/>
          <w:szCs w:val="21"/>
          <w:highlight w:val="none"/>
        </w:rPr>
        <w:t>▲</w:t>
      </w:r>
      <w:r>
        <w:rPr>
          <w:rFonts w:hint="eastAsia" w:ascii="宋体" w:hAnsi="宋体" w:cs="宋体"/>
          <w:color w:val="auto"/>
          <w:sz w:val="21"/>
          <w:szCs w:val="21"/>
          <w:highlight w:val="none"/>
        </w:rPr>
        <w:t>”的条款</w:t>
      </w:r>
      <w:bookmarkEnd w:id="48"/>
      <w:r>
        <w:rPr>
          <w:rFonts w:hint="eastAsia" w:ascii="宋体" w:hAnsi="宋体" w:cs="宋体"/>
          <w:color w:val="auto"/>
          <w:sz w:val="21"/>
          <w:szCs w:val="21"/>
          <w:highlight w:val="none"/>
        </w:rPr>
        <w:t>。</w:t>
      </w:r>
    </w:p>
    <w:p w14:paraId="1FEBBB80">
      <w:pPr>
        <w:keepNext w:val="0"/>
        <w:keepLines w:val="0"/>
        <w:pageBreakBefore w:val="0"/>
        <w:kinsoku/>
        <w:wordWrap/>
        <w:overflowPunct/>
        <w:topLinePunct w:val="0"/>
        <w:bidi w:val="0"/>
        <w:spacing w:line="360" w:lineRule="exact"/>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68F09A86">
      <w:pPr>
        <w:keepNext w:val="0"/>
        <w:keepLines w:val="0"/>
        <w:pageBreakBefore w:val="0"/>
        <w:kinsoku/>
        <w:wordWrap/>
        <w:overflowPunct/>
        <w:topLinePunct w:val="0"/>
        <w:bidi w:val="0"/>
        <w:spacing w:line="360" w:lineRule="exact"/>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5D4FA5A0">
      <w:pPr>
        <w:keepNext w:val="0"/>
        <w:keepLines w:val="0"/>
        <w:pageBreakBefore w:val="0"/>
        <w:kinsoku/>
        <w:wordWrap/>
        <w:overflowPunct/>
        <w:topLinePunct w:val="0"/>
        <w:bidi w:val="0"/>
        <w:spacing w:line="360" w:lineRule="exact"/>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5.投标人应对投标内容所涉及的专利承担法律责任，并负责保护采购人的利益不受任何损害。一切由于文字、商标、技术和软件专利授权引起的法律裁决、诉讼和赔偿费用均由中标人负责。</w:t>
      </w:r>
    </w:p>
    <w:p w14:paraId="53411853">
      <w:pPr>
        <w:keepNext w:val="0"/>
        <w:keepLines w:val="0"/>
        <w:pageBreakBefore w:val="0"/>
        <w:tabs>
          <w:tab w:val="left" w:pos="180"/>
          <w:tab w:val="left" w:pos="1620"/>
        </w:tabs>
        <w:kinsoku/>
        <w:wordWrap/>
        <w:overflowPunct/>
        <w:topLinePunct w:val="0"/>
        <w:bidi w:val="0"/>
        <w:spacing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6.采购标的对应的中小企业划分标准</w:t>
      </w:r>
      <w:bookmarkStart w:id="49" w:name="OLE_LINK73"/>
      <w:r>
        <w:rPr>
          <w:rFonts w:hint="eastAsia" w:ascii="宋体" w:hAnsi="宋体" w:cs="宋体"/>
          <w:color w:val="auto"/>
          <w:sz w:val="21"/>
          <w:szCs w:val="21"/>
          <w:highlight w:val="none"/>
        </w:rPr>
        <w:t>所属行业名称</w:t>
      </w:r>
      <w:bookmarkEnd w:id="49"/>
      <w:r>
        <w:rPr>
          <w:rFonts w:hint="eastAsia" w:ascii="宋体" w:hAnsi="宋体" w:cs="宋体"/>
          <w:color w:val="auto"/>
          <w:sz w:val="21"/>
          <w:szCs w:val="21"/>
          <w:highlight w:val="none"/>
        </w:rPr>
        <w:t xml:space="preserve">：工业 </w:t>
      </w:r>
    </w:p>
    <w:p w14:paraId="27A124EF">
      <w:pPr>
        <w:keepNext w:val="0"/>
        <w:keepLines w:val="0"/>
        <w:pageBreakBefore w:val="0"/>
        <w:kinsoku/>
        <w:wordWrap/>
        <w:overflowPunct/>
        <w:topLinePunct w:val="0"/>
        <w:bidi w:val="0"/>
        <w:spacing w:line="360" w:lineRule="exact"/>
        <w:rPr>
          <w:rFonts w:hint="eastAsia" w:ascii="宋体" w:hAnsi="宋体" w:cs="Courier New"/>
          <w:b/>
          <w:color w:val="auto"/>
          <w:sz w:val="21"/>
          <w:szCs w:val="21"/>
          <w:highlight w:val="none"/>
        </w:rPr>
      </w:pPr>
    </w:p>
    <w:tbl>
      <w:tblPr>
        <w:tblStyle w:val="26"/>
        <w:tblW w:w="10079" w:type="dxa"/>
        <w:tblInd w:w="93" w:type="dxa"/>
        <w:tblLayout w:type="fixed"/>
        <w:tblCellMar>
          <w:top w:w="0" w:type="dxa"/>
          <w:left w:w="108" w:type="dxa"/>
          <w:bottom w:w="0" w:type="dxa"/>
          <w:right w:w="108" w:type="dxa"/>
        </w:tblCellMar>
      </w:tblPr>
      <w:tblGrid>
        <w:gridCol w:w="850"/>
        <w:gridCol w:w="876"/>
        <w:gridCol w:w="559"/>
        <w:gridCol w:w="636"/>
        <w:gridCol w:w="7158"/>
      </w:tblGrid>
      <w:tr w14:paraId="060AD852">
        <w:tblPrEx>
          <w:tblCellMar>
            <w:top w:w="0" w:type="dxa"/>
            <w:left w:w="108" w:type="dxa"/>
            <w:bottom w:w="0" w:type="dxa"/>
            <w:right w:w="108" w:type="dxa"/>
          </w:tblCellMar>
        </w:tblPrEx>
        <w:trPr>
          <w:trHeight w:val="285"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6978D0FC">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876" w:type="dxa"/>
            <w:tcBorders>
              <w:top w:val="single" w:color="auto" w:sz="4" w:space="0"/>
              <w:left w:val="nil"/>
              <w:bottom w:val="single" w:color="auto" w:sz="4" w:space="0"/>
              <w:right w:val="single" w:color="auto" w:sz="4" w:space="0"/>
            </w:tcBorders>
            <w:noWrap/>
            <w:vAlign w:val="center"/>
          </w:tcPr>
          <w:p w14:paraId="1EBAC9EF">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名称</w:t>
            </w:r>
          </w:p>
        </w:tc>
        <w:tc>
          <w:tcPr>
            <w:tcW w:w="559" w:type="dxa"/>
            <w:tcBorders>
              <w:top w:val="single" w:color="auto" w:sz="4" w:space="0"/>
              <w:left w:val="nil"/>
              <w:bottom w:val="single" w:color="auto" w:sz="4" w:space="0"/>
              <w:right w:val="single" w:color="auto" w:sz="4" w:space="0"/>
            </w:tcBorders>
            <w:noWrap/>
            <w:vAlign w:val="center"/>
          </w:tcPr>
          <w:p w14:paraId="32BAA59B">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636" w:type="dxa"/>
            <w:tcBorders>
              <w:top w:val="single" w:color="auto" w:sz="4" w:space="0"/>
              <w:left w:val="nil"/>
              <w:bottom w:val="single" w:color="auto" w:sz="4" w:space="0"/>
              <w:right w:val="single" w:color="auto" w:sz="4" w:space="0"/>
            </w:tcBorders>
            <w:noWrap/>
            <w:vAlign w:val="center"/>
          </w:tcPr>
          <w:p w14:paraId="3518E211">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7158" w:type="dxa"/>
            <w:tcBorders>
              <w:top w:val="single" w:color="auto" w:sz="4" w:space="0"/>
              <w:left w:val="nil"/>
              <w:bottom w:val="single" w:color="auto" w:sz="4" w:space="0"/>
              <w:right w:val="single" w:color="auto" w:sz="4" w:space="0"/>
            </w:tcBorders>
            <w:noWrap/>
            <w:vAlign w:val="center"/>
          </w:tcPr>
          <w:p w14:paraId="42B99CC5">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技术参数性能（配置）要求</w:t>
            </w:r>
          </w:p>
        </w:tc>
      </w:tr>
      <w:tr w14:paraId="0AFDEC3A">
        <w:tblPrEx>
          <w:tblCellMar>
            <w:top w:w="0" w:type="dxa"/>
            <w:left w:w="108" w:type="dxa"/>
            <w:bottom w:w="0" w:type="dxa"/>
            <w:right w:w="108" w:type="dxa"/>
          </w:tblCellMar>
        </w:tblPrEx>
        <w:trPr>
          <w:trHeight w:val="285" w:hRule="atLeast"/>
        </w:trPr>
        <w:tc>
          <w:tcPr>
            <w:tcW w:w="10079" w:type="dxa"/>
            <w:gridSpan w:val="5"/>
            <w:tcBorders>
              <w:top w:val="single" w:color="auto" w:sz="4" w:space="0"/>
              <w:left w:val="single" w:color="auto" w:sz="4" w:space="0"/>
              <w:bottom w:val="single" w:color="auto" w:sz="4" w:space="0"/>
              <w:right w:val="single" w:color="auto" w:sz="4" w:space="0"/>
            </w:tcBorders>
            <w:noWrap/>
            <w:vAlign w:val="center"/>
          </w:tcPr>
          <w:p w14:paraId="582D0FC4">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xml:space="preserve">01分标-液相色谱串联质谱检测系统 </w:t>
            </w:r>
          </w:p>
        </w:tc>
      </w:tr>
      <w:tr w14:paraId="1AF212A4">
        <w:tblPrEx>
          <w:tblCellMar>
            <w:top w:w="0" w:type="dxa"/>
            <w:left w:w="108" w:type="dxa"/>
            <w:bottom w:w="0" w:type="dxa"/>
            <w:right w:w="108" w:type="dxa"/>
          </w:tblCellMar>
        </w:tblPrEx>
        <w:trPr>
          <w:trHeight w:val="1650"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24A6FC84">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76" w:type="dxa"/>
            <w:tcBorders>
              <w:top w:val="single" w:color="auto" w:sz="4" w:space="0"/>
              <w:left w:val="nil"/>
              <w:bottom w:val="single" w:color="auto" w:sz="4" w:space="0"/>
              <w:right w:val="single" w:color="auto" w:sz="4" w:space="0"/>
            </w:tcBorders>
            <w:noWrap/>
            <w:vAlign w:val="center"/>
          </w:tcPr>
          <w:p w14:paraId="3E7C242F">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液相色谱串联质谱检测系统 </w:t>
            </w:r>
          </w:p>
        </w:tc>
        <w:tc>
          <w:tcPr>
            <w:tcW w:w="559" w:type="dxa"/>
            <w:tcBorders>
              <w:top w:val="single" w:color="auto" w:sz="4" w:space="0"/>
              <w:left w:val="nil"/>
              <w:bottom w:val="single" w:color="auto" w:sz="4" w:space="0"/>
              <w:right w:val="single" w:color="auto" w:sz="4" w:space="0"/>
            </w:tcBorders>
            <w:vAlign w:val="center"/>
          </w:tcPr>
          <w:p w14:paraId="59B53925">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636" w:type="dxa"/>
            <w:tcBorders>
              <w:top w:val="single" w:color="auto" w:sz="4" w:space="0"/>
              <w:left w:val="nil"/>
              <w:bottom w:val="single" w:color="auto" w:sz="4" w:space="0"/>
              <w:right w:val="single" w:color="auto" w:sz="4" w:space="0"/>
            </w:tcBorders>
            <w:vAlign w:val="center"/>
          </w:tcPr>
          <w:p w14:paraId="6A944DB0">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158" w:type="dxa"/>
            <w:tcBorders>
              <w:top w:val="single" w:color="auto" w:sz="4" w:space="0"/>
              <w:left w:val="nil"/>
              <w:bottom w:val="single" w:color="auto" w:sz="4" w:space="0"/>
              <w:right w:val="single" w:color="auto" w:sz="4" w:space="0"/>
            </w:tcBorders>
            <w:vAlign w:val="center"/>
          </w:tcPr>
          <w:p w14:paraId="022BD93D">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▲一、用途：用于对人体样本（全血、血浆、血清等）中的内源性和外源性物质（如药物、营养物质等）进行定性或定量检测（与医疗机械注册证适用范围一致）。</w:t>
            </w:r>
            <w:r>
              <w:rPr>
                <w:rFonts w:hint="eastAsia"/>
                <w:color w:val="auto"/>
                <w:sz w:val="21"/>
                <w:szCs w:val="21"/>
                <w:highlight w:val="none"/>
              </w:rPr>
              <w:tab/>
            </w:r>
          </w:p>
          <w:p w14:paraId="5740015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二、技术参数:</w:t>
            </w:r>
            <w:r>
              <w:rPr>
                <w:rFonts w:hint="eastAsia"/>
                <w:color w:val="auto"/>
                <w:sz w:val="21"/>
                <w:szCs w:val="21"/>
                <w:highlight w:val="none"/>
              </w:rPr>
              <w:tab/>
            </w:r>
          </w:p>
          <w:p w14:paraId="21F9A2EE">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1.串联质谱仪：</w:t>
            </w:r>
            <w:r>
              <w:rPr>
                <w:rFonts w:hint="eastAsia"/>
                <w:color w:val="auto"/>
                <w:sz w:val="21"/>
                <w:szCs w:val="21"/>
                <w:highlight w:val="none"/>
              </w:rPr>
              <w:tab/>
            </w:r>
          </w:p>
          <w:p w14:paraId="625FC2A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1.1.离子源：</w:t>
            </w:r>
          </w:p>
          <w:p w14:paraId="5975BB98">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1.1.1.配备双温控加热区，离子源最高加热温度：≥700℃。</w:t>
            </w:r>
          </w:p>
          <w:p w14:paraId="369944A5">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1.1.2.具备可互换ESI及APCI喷针，可实现ESI源及APCI源更换。</w:t>
            </w:r>
          </w:p>
          <w:p w14:paraId="4BA8A2F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1.1.3.具备ESI离子源，无需分流，流速范围：0.05-2.5mL/min。</w:t>
            </w:r>
          </w:p>
          <w:p w14:paraId="056E354D">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1.1.4.配置独立的电喷雾离子源和大气压化学电离离子源。</w:t>
            </w:r>
          </w:p>
          <w:p w14:paraId="019BE03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1.1.5.离子源内具备主动废气排放装置。</w:t>
            </w:r>
          </w:p>
          <w:p w14:paraId="0515BF78">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1.2质量分析器：</w:t>
            </w:r>
          </w:p>
          <w:p w14:paraId="671C3BA8">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1.2.1.打拿极电子倍增器。</w:t>
            </w:r>
          </w:p>
          <w:p w14:paraId="5977314E">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1.2.2.质量范围：m/z≥1200amu，可分析小分子有机化合物及大分子蛋白质）。</w:t>
            </w:r>
          </w:p>
          <w:p w14:paraId="5E65449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1.2.3.质量精度：≤0.1 Da。</w:t>
            </w:r>
          </w:p>
          <w:p w14:paraId="413F1B06">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1.2.4.质量稳定性：≤0.1Da/24hr。</w:t>
            </w:r>
          </w:p>
          <w:p w14:paraId="359EFEA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1.2.5.线性范围：≥6个量级。</w:t>
            </w:r>
          </w:p>
          <w:p w14:paraId="0BCED0FE">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1.2.6.扫描速度：≥12000 amu/sec，以0.1Da为步进。</w:t>
            </w:r>
          </w:p>
          <w:p w14:paraId="31BE190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1.2.7.正负离子极性切换速度：≤20ms。</w:t>
            </w:r>
          </w:p>
          <w:p w14:paraId="2403AB21">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▲1.2.8.全系统采用单一氮气作为雾化气和碰撞气，无需额外氩气或氦气。</w:t>
            </w:r>
          </w:p>
          <w:p w14:paraId="6D4A4D2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 xml:space="preserve">1.2.9.ESI+模式：实际柱上进样1 pg利血平、MRM离子对为m/z 609与195，信噪比≥1000000:1。  </w:t>
            </w:r>
          </w:p>
          <w:p w14:paraId="6BEF2551">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1.2.10.ESI-模式：实际柱上进样1pg氯霉素、MRM离子对为m/z 321与152，信噪比需≥1000000:1。</w:t>
            </w:r>
          </w:p>
          <w:p w14:paraId="22309F39">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1.2.11.人血清样本仅需蛋白沉淀前处理后上机测试，维生素A、25-羟基维生素D2、25-羟基维生素D3、维生素E、维生素K1和维生素K2可同时被检出，血清样本中VK1和VK2线性范围：0.05-5 ng/mL。</w:t>
            </w:r>
          </w:p>
          <w:p w14:paraId="1B6963C5">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1.3 交叉污染≤0.002%</w:t>
            </w:r>
          </w:p>
          <w:p w14:paraId="13986A0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1.4 弯曲碰撞室：不低于90°</w:t>
            </w:r>
          </w:p>
          <w:p w14:paraId="05DC9AD6">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2.软件功能：</w:t>
            </w:r>
            <w:r>
              <w:rPr>
                <w:rFonts w:hint="eastAsia"/>
                <w:color w:val="auto"/>
                <w:sz w:val="21"/>
                <w:szCs w:val="21"/>
                <w:highlight w:val="none"/>
              </w:rPr>
              <w:tab/>
            </w:r>
          </w:p>
          <w:p w14:paraId="43ED402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2.1.扫描模式：具有全扫描、子离子扫描、母离子扫描、中性丢失扫描、选择离子扫描、选择反应监测扫描、多反应同时监测扫描等功能。</w:t>
            </w:r>
          </w:p>
          <w:p w14:paraId="63341F4C">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2.2.可自动实现仪器的功能配置、条件优化、数据采集、数据处理、快速定量。</w:t>
            </w:r>
          </w:p>
          <w:p w14:paraId="5BC19EB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2.3.软件同时控制液相、质谱，可进行质量校正和设置质谱分辨率。</w:t>
            </w:r>
          </w:p>
          <w:p w14:paraId="46E31FC2">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2.4.可实时监测定量数据质量，以确定QC或空白样品是否落在用户指定的误差范围内。能决定样品是否被注入或是需要进行更详细的检查。</w:t>
            </w:r>
          </w:p>
          <w:p w14:paraId="2BE37CF1">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2.5.配备高通量定量软件，同时分析≥100种化合物，自动标识离子比率、异常值等。</w:t>
            </w:r>
          </w:p>
          <w:p w14:paraId="702E46A5">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2.6.具有审计追踪功能。</w:t>
            </w:r>
          </w:p>
          <w:p w14:paraId="527CBD2C">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2.7.多化合物MRM方法设置：可根据每个MRM目标物的保留时间自动设置MRM窗口，无需手动设置MRM采集窗口的起止时间段。</w:t>
            </w:r>
          </w:p>
          <w:p w14:paraId="147EAFC5">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2.8.具备全中文临床质谱一键式操作及报告分析软件。</w:t>
            </w:r>
          </w:p>
          <w:p w14:paraId="3D082EC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3.液相色谱仪：</w:t>
            </w:r>
            <w:r>
              <w:rPr>
                <w:rFonts w:hint="eastAsia"/>
                <w:color w:val="auto"/>
                <w:sz w:val="21"/>
                <w:szCs w:val="21"/>
                <w:highlight w:val="none"/>
              </w:rPr>
              <w:tab/>
            </w:r>
          </w:p>
          <w:p w14:paraId="628371D9">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3.1.输液单元：</w:t>
            </w:r>
          </w:p>
          <w:p w14:paraId="276EBA02">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3.1.1.可编程的二元高压梯度泵。</w:t>
            </w:r>
          </w:p>
          <w:p w14:paraId="0950D8E9">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3.1.2.流速范围：0.001-10.000mL/min（上限需≥8mL/min，调节步长≤0.001mL/min。</w:t>
            </w:r>
          </w:p>
          <w:p w14:paraId="1BAF588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3.1.3.最大操作压力：≥12000 psi。</w:t>
            </w:r>
          </w:p>
          <w:p w14:paraId="05FC3F7D">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3.2.脱气机：多通道在线真空脱气。</w:t>
            </w:r>
          </w:p>
          <w:p w14:paraId="0027074A">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3.3.自动进样器：</w:t>
            </w:r>
          </w:p>
          <w:p w14:paraId="663AD3DF">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3.3.1.进样量范围：1-100µL。</w:t>
            </w:r>
          </w:p>
          <w:p w14:paraId="33130A5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3.3.2.进样位数：≥96位×2，兼容96孔板或384孔板。</w:t>
            </w:r>
          </w:p>
          <w:p w14:paraId="235CCFEF">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3.3.3.控温范围：4-40℃。</w:t>
            </w:r>
          </w:p>
          <w:p w14:paraId="2F32B10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3.4.柱温箱：</w:t>
            </w:r>
          </w:p>
          <w:p w14:paraId="391D937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3.4.1.温控范围：5-85℃。</w:t>
            </w:r>
          </w:p>
          <w:p w14:paraId="12FFD77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3.4.2.具备柱前预加热器。</w:t>
            </w:r>
          </w:p>
          <w:p w14:paraId="005EC43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▲3.4.3.卡位可放置≥6根色谱柱。</w:t>
            </w:r>
          </w:p>
          <w:p w14:paraId="0C1D3C08">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4.氮气发生器：</w:t>
            </w:r>
            <w:r>
              <w:rPr>
                <w:rFonts w:hint="eastAsia"/>
                <w:color w:val="auto"/>
                <w:sz w:val="21"/>
                <w:szCs w:val="21"/>
                <w:highlight w:val="none"/>
              </w:rPr>
              <w:tab/>
            </w:r>
          </w:p>
          <w:p w14:paraId="43D9BFAC">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4.1.用途：用于 LC-MS/MS 的氮气气源供气。</w:t>
            </w:r>
          </w:p>
          <w:p w14:paraId="3B1C08D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4.2.高纯氮气流速：≥12L/min@60psi。</w:t>
            </w:r>
          </w:p>
          <w:p w14:paraId="6C222B7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三、配置：</w:t>
            </w:r>
            <w:r>
              <w:rPr>
                <w:rFonts w:hint="eastAsia"/>
                <w:color w:val="auto"/>
                <w:sz w:val="21"/>
                <w:szCs w:val="21"/>
                <w:highlight w:val="none"/>
              </w:rPr>
              <w:tab/>
            </w:r>
          </w:p>
          <w:p w14:paraId="0D24507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1.超高液相色谱系统：1套。</w:t>
            </w:r>
          </w:p>
          <w:p w14:paraId="5B3EA4FC">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2.质谱系统：1套。</w:t>
            </w:r>
          </w:p>
          <w:p w14:paraId="44CDB946">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3.工作站系统：1套。</w:t>
            </w:r>
          </w:p>
          <w:p w14:paraId="2029C251">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4.质谱校准液套装：1套。</w:t>
            </w:r>
          </w:p>
          <w:p w14:paraId="4214CB26">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5.机械泵（包含泵油≥1L）：1套。</w:t>
            </w:r>
          </w:p>
          <w:p w14:paraId="70565E46">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ab/>
            </w:r>
            <w:r>
              <w:rPr>
                <w:rFonts w:hint="eastAsia"/>
                <w:color w:val="auto"/>
                <w:sz w:val="21"/>
                <w:szCs w:val="21"/>
                <w:highlight w:val="none"/>
              </w:rPr>
              <w:t>7.氮气发生器：1套。</w:t>
            </w:r>
          </w:p>
          <w:p w14:paraId="71943FED">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▲四、质保期：调试验收合格后提供不少于3年原厂质保。</w:t>
            </w:r>
          </w:p>
          <w:p w14:paraId="4799016E">
            <w:pPr>
              <w:pStyle w:val="55"/>
              <w:keepNext w:val="0"/>
              <w:keepLines w:val="0"/>
              <w:pageBreakBefore w:val="0"/>
              <w:kinsoku/>
              <w:wordWrap/>
              <w:overflowPunct/>
              <w:topLinePunct w:val="0"/>
              <w:bidi w:val="0"/>
              <w:spacing w:line="360" w:lineRule="exact"/>
              <w:ind w:firstLine="0" w:firstLineChars="0"/>
              <w:rPr>
                <w:rFonts w:hint="eastAsia" w:hAnsi="宋体" w:eastAsia="宋体" w:cs="宋体"/>
                <w:b/>
                <w:color w:val="auto"/>
                <w:kern w:val="0"/>
                <w:sz w:val="21"/>
                <w:szCs w:val="21"/>
                <w:highlight w:val="none"/>
              </w:rPr>
            </w:pPr>
          </w:p>
        </w:tc>
      </w:tr>
      <w:tr w14:paraId="42DE3276">
        <w:tblPrEx>
          <w:tblCellMar>
            <w:top w:w="0" w:type="dxa"/>
            <w:left w:w="108" w:type="dxa"/>
            <w:bottom w:w="0" w:type="dxa"/>
            <w:right w:w="108" w:type="dxa"/>
          </w:tblCellMar>
        </w:tblPrEx>
        <w:trPr>
          <w:trHeight w:val="525" w:hRule="atLeast"/>
        </w:trPr>
        <w:tc>
          <w:tcPr>
            <w:tcW w:w="10079" w:type="dxa"/>
            <w:gridSpan w:val="5"/>
            <w:tcBorders>
              <w:top w:val="single" w:color="auto" w:sz="4" w:space="0"/>
              <w:left w:val="single" w:color="auto" w:sz="4" w:space="0"/>
              <w:bottom w:val="single" w:color="auto" w:sz="4" w:space="0"/>
              <w:right w:val="single" w:color="auto" w:sz="4" w:space="0"/>
            </w:tcBorders>
            <w:noWrap/>
            <w:vAlign w:val="center"/>
          </w:tcPr>
          <w:p w14:paraId="23EB651E">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02分标-全光谱流式细胞仪</w:t>
            </w:r>
          </w:p>
        </w:tc>
      </w:tr>
      <w:tr w14:paraId="5A130FCD">
        <w:tblPrEx>
          <w:tblCellMar>
            <w:top w:w="0" w:type="dxa"/>
            <w:left w:w="108" w:type="dxa"/>
            <w:bottom w:w="0" w:type="dxa"/>
            <w:right w:w="108" w:type="dxa"/>
          </w:tblCellMar>
        </w:tblPrEx>
        <w:trPr>
          <w:trHeight w:val="615"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54A67523">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876" w:type="dxa"/>
            <w:tcBorders>
              <w:top w:val="single" w:color="auto" w:sz="4" w:space="0"/>
              <w:left w:val="nil"/>
              <w:bottom w:val="single" w:color="auto" w:sz="4" w:space="0"/>
              <w:right w:val="single" w:color="auto" w:sz="4" w:space="0"/>
            </w:tcBorders>
            <w:noWrap/>
            <w:vAlign w:val="center"/>
          </w:tcPr>
          <w:p w14:paraId="777C299A">
            <w:pPr>
              <w:keepNext w:val="0"/>
              <w:keepLines w:val="0"/>
              <w:pageBreakBefore w:val="0"/>
              <w:widowControl/>
              <w:kinsoku/>
              <w:wordWrap/>
              <w:overflowPunct/>
              <w:topLinePunct w:val="0"/>
              <w:bidi w:val="0"/>
              <w:spacing w:line="360" w:lineRule="exact"/>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全光谱流式细胞仪</w:t>
            </w:r>
          </w:p>
        </w:tc>
        <w:tc>
          <w:tcPr>
            <w:tcW w:w="559" w:type="dxa"/>
            <w:tcBorders>
              <w:top w:val="single" w:color="auto" w:sz="4" w:space="0"/>
              <w:left w:val="nil"/>
              <w:bottom w:val="single" w:color="auto" w:sz="4" w:space="0"/>
              <w:right w:val="single" w:color="auto" w:sz="4" w:space="0"/>
            </w:tcBorders>
            <w:vAlign w:val="center"/>
          </w:tcPr>
          <w:p w14:paraId="41D9DA9A">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636" w:type="dxa"/>
            <w:tcBorders>
              <w:top w:val="single" w:color="auto" w:sz="4" w:space="0"/>
              <w:left w:val="nil"/>
              <w:bottom w:val="single" w:color="auto" w:sz="4" w:space="0"/>
              <w:right w:val="single" w:color="auto" w:sz="4" w:space="0"/>
            </w:tcBorders>
            <w:vAlign w:val="center"/>
          </w:tcPr>
          <w:p w14:paraId="7E70F587">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158" w:type="dxa"/>
            <w:tcBorders>
              <w:top w:val="single" w:color="auto" w:sz="4" w:space="0"/>
              <w:left w:val="nil"/>
              <w:bottom w:val="single" w:color="auto" w:sz="4" w:space="0"/>
              <w:right w:val="single" w:color="auto" w:sz="4" w:space="0"/>
            </w:tcBorders>
            <w:vAlign w:val="center"/>
          </w:tcPr>
          <w:p w14:paraId="0C83F95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一、</w:t>
            </w:r>
            <w:r>
              <w:rPr>
                <w:rFonts w:hint="eastAsia"/>
                <w:b/>
                <w:bCs/>
                <w:color w:val="auto"/>
                <w:sz w:val="21"/>
                <w:szCs w:val="21"/>
                <w:highlight w:val="none"/>
              </w:rPr>
              <w:t>全光谱流式细胞分析仪</w:t>
            </w:r>
          </w:p>
          <w:p w14:paraId="1B81E92C">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 激光光束特征：平顶光斑激光器非能量高斯分布激光器: 405±5nm；488±5nm； 640±5nm。所有激光器空间立体激发，不共线。</w:t>
            </w:r>
          </w:p>
          <w:p w14:paraId="03F8D44E">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2. ▲荧光检测通道：不少于38个荧光检测通道，且有能实现至少26种染料同时标记的文献数据。</w:t>
            </w:r>
          </w:p>
          <w:p w14:paraId="76A3B36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3. 荧光检测器：采用高灵敏度雪崩式光电二极管（APD），可以检测任何由488nm、640nm和405nm光器或更多激光器激发的染料荧光而不需要更换滤光片。</w:t>
            </w:r>
          </w:p>
          <w:p w14:paraId="5EE8D35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4.光路收集：配置高数值孔径的熔融石英透镜，以获得最佳的光纤收集效率。</w:t>
            </w:r>
          </w:p>
          <w:p w14:paraId="3E79B91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5.荧光检测灵敏度：FITC≤36MESF、PE≤11 MESF、APC≤11 MESF。</w:t>
            </w:r>
          </w:p>
          <w:p w14:paraId="157078C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6. 前向和侧向检测器≥3个：488nm的前向角和侧向角高性能半导体检测器；用于小颗粒检测的405nm侧向角高性能半导体检测。</w:t>
            </w:r>
          </w:p>
          <w:p w14:paraId="7FCD4B92">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7.进样方式：仪器采用真空泵或空气泵（非注射泵或蠕动泵）驱动的上样模式 ，避免使用注射泵、蠕动泵产生的液流波动。</w:t>
            </w:r>
          </w:p>
          <w:p w14:paraId="0E588E0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8. 连续液流速度：10μL-60μL/min，单次进样体积≥500ul。</w:t>
            </w:r>
          </w:p>
          <w:p w14:paraId="0FD3281F">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9. 细胞获取速度：≥30000细胞/秒。</w:t>
            </w:r>
          </w:p>
          <w:p w14:paraId="408A493A">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10. 侧向检测器（VSSC）分辨率：能够从噪音中检测≤0.2μm微球</w:t>
            </w:r>
          </w:p>
          <w:p w14:paraId="7172B261">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11. 绝对计数功能：利用体积上样模式可精确计算每μL样本浓度。</w:t>
            </w:r>
          </w:p>
          <w:p w14:paraId="5FD18E3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12. 交叉污染率：样本间的交叉污染率&lt;0.1%，确保数据的准确性和可靠性。</w:t>
            </w:r>
          </w:p>
          <w:p w14:paraId="72EA0055">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13. 信号处理：可自动调节窗口的数字化信号处理，分辨率≥20bit，动态范围≤10^7对数检测范围，可根据任意参数或参数组合设置阈值。</w:t>
            </w:r>
          </w:p>
          <w:p w14:paraId="120C00E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14. 脉冲形状参数：每项参数包括脉冲面积和脉冲高度，散射光通道包括脉冲宽度，每个激光选取一个荧光通道参量代表。</w:t>
            </w:r>
          </w:p>
          <w:p w14:paraId="4EB0A018">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15. ▲采用光谱拆分技术：可以通过荧光染料光谱数据,实现多重标记荧光染料自动拆分,操作简便，无需调节补偿。</w:t>
            </w:r>
          </w:p>
          <w:p w14:paraId="6DC9FEDA">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16.自发荧光检测技术:支持检测细胞自发荧光光谱并将其作为独立的参数进行解析，去除细胞自发荧光的影响，检测自发荧光光谱数量≥3种。</w:t>
            </w:r>
          </w:p>
          <w:p w14:paraId="68A77D4A">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17. 质控系统：可运行QC微球自动生成QC报告，可自动生成曲线追踪仪器状态。</w:t>
            </w:r>
          </w:p>
          <w:p w14:paraId="1E88335C">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18. 数据分析：仪器具备审计追踪功能，具有专业的流式数据获取和分析软件，获取中实时解析数据，自带QC模式，原始格式和解析文件为FCS 3.1格式；</w:t>
            </w:r>
          </w:p>
          <w:p w14:paraId="275E47B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19. 数据分析工作站：处理器≥3.0 GHZ，内存≥16GB，硬盘≥500GB，显示器≥28英寸。</w:t>
            </w:r>
          </w:p>
          <w:p w14:paraId="6441BF68">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20、具备医疗器械注册证，可以兼顾临床样本。</w:t>
            </w:r>
          </w:p>
          <w:p w14:paraId="5AB15173">
            <w:pPr>
              <w:keepNext w:val="0"/>
              <w:keepLines w:val="0"/>
              <w:pageBreakBefore w:val="0"/>
              <w:kinsoku/>
              <w:wordWrap/>
              <w:overflowPunct/>
              <w:topLinePunct w:val="0"/>
              <w:bidi w:val="0"/>
              <w:spacing w:line="360" w:lineRule="exact"/>
              <w:rPr>
                <w:b/>
                <w:bCs/>
                <w:color w:val="auto"/>
                <w:sz w:val="21"/>
                <w:szCs w:val="21"/>
                <w:highlight w:val="none"/>
              </w:rPr>
            </w:pPr>
            <w:r>
              <w:rPr>
                <w:rFonts w:hint="eastAsia"/>
                <w:b/>
                <w:bCs/>
                <w:color w:val="auto"/>
                <w:sz w:val="21"/>
                <w:szCs w:val="21"/>
                <w:highlight w:val="none"/>
              </w:rPr>
              <w:t>二、全光谱流式分选仪</w:t>
            </w:r>
          </w:p>
          <w:p w14:paraId="62A475B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 激光器：含488±5nm； 640±5nm，二个或以上激发器。所有激光器空间立体激发，不共线,可升级到5激光。</w:t>
            </w:r>
          </w:p>
          <w:p w14:paraId="39AF43C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2. ▲荧光检测通道：≥22个完全独立荧光检测通道，且能实现≥14种染料同时标记的流式实验。</w:t>
            </w:r>
          </w:p>
          <w:p w14:paraId="44317E2D">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3. 激光光束特征：快轴平顶光束技术以及慢轴上高度优化的窄光束技术，保证小颗粒的检测效率。最小颗粒检测和分选范围≤90nm。</w:t>
            </w:r>
          </w:p>
          <w:p w14:paraId="41E30D7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4. 荧光检测器：采用高灵敏度雪崩式光电二极管（APD）检测阵列。</w:t>
            </w:r>
          </w:p>
          <w:p w14:paraId="425F9D0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5. 光路收集：配置高数值孔径的熔融石英透镜，以获得最佳的光纤收集效率。</w:t>
            </w:r>
          </w:p>
          <w:p w14:paraId="68B1101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6. 前向和侧向检测器：1个前向角检测通道，带488nm带通滤光片的高性能半导体检测器；2个侧向角检测通道，带405nm和488nm带通滤光片的两个高性能半导体检测器。</w:t>
            </w:r>
          </w:p>
          <w:p w14:paraId="411C1502">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7. 采用经典、稳定的鞘液流体动力学聚焦的方式，样品流由鞘液流包裹以提高结果的精确度及避免管路被污染。</w:t>
            </w:r>
          </w:p>
          <w:p w14:paraId="45C0B88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8. 荧光检测灵敏度：FITC≤10MESF、PE≤5 MESF、APC≤5 MESF</w:t>
            </w:r>
          </w:p>
          <w:p w14:paraId="4B5D979D">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9. 液滴生成频率：≥75000个/秒</w:t>
            </w:r>
          </w:p>
          <w:p w14:paraId="11216950">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10. 激发方式：固定光路，石英杯流动室内激发。</w:t>
            </w:r>
          </w:p>
          <w:p w14:paraId="37B88DA9">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11. 喷嘴设计：可拆卸, 可超声清洗，更换喷嘴无需调节光路，保证液流稳定，标配70um、85um、100um和130um喷嘴各一个</w:t>
            </w:r>
          </w:p>
          <w:p w14:paraId="294441D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12. ▲细胞分选功能：支持任何喷嘴孔径的≥6路分选</w:t>
            </w:r>
          </w:p>
          <w:p w14:paraId="48E04A9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13. 生物安全性：内置HEPA过滤器，防止气溶胶污染</w:t>
            </w:r>
          </w:p>
          <w:p w14:paraId="4CD6C24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"14. 具备多种分选模式，纯化、富集、混合、单细胞分选和Index分选功能，可进行流式管和96孔板和384孔板分选；分选舱的温度控制不少于3种，至少包含4</w:t>
            </w:r>
          </w:p>
          <w:p w14:paraId="015DD75F">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℃或5℃、22℃或25℃和37℃。"</w:t>
            </w:r>
          </w:p>
          <w:p w14:paraId="52CE6D7D">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15. 绝对计数功能：利用体积上样模式可精确计算每μL样本浓度</w:t>
            </w:r>
          </w:p>
          <w:p w14:paraId="39CC81B3">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16. 信号处理：可自动调节窗口的数字化信号处理，22-bit 6.5log对数检测范围，可根据任意参数或参数组合设置阈值。</w:t>
            </w:r>
          </w:p>
          <w:p w14:paraId="7B32D8DB">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17. ▲采用光谱拆分技术：可以通过荧光染料光谱数据,实现多重标记荧光染料自动拆分,操作简便，无需调节补偿。</w:t>
            </w:r>
          </w:p>
          <w:p w14:paraId="50C38564">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19.自发荧光检测技术:支持检测细胞自发荧光光谱并将其作为独立的参数进行解析，去除细胞自发荧光的影响，检测自发荧光光谱数量≥3种。</w:t>
            </w:r>
          </w:p>
          <w:p w14:paraId="76D1E437">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20. 质控系统：可运行QC微球自动生成QC报告，可自动生成曲线追踪仪器状态。</w:t>
            </w:r>
          </w:p>
          <w:p w14:paraId="02EB746A">
            <w:pPr>
              <w:keepNext w:val="0"/>
              <w:keepLines w:val="0"/>
              <w:pageBreakBefore w:val="0"/>
              <w:kinsoku/>
              <w:wordWrap/>
              <w:overflowPunct/>
              <w:topLinePunct w:val="0"/>
              <w:bidi w:val="0"/>
              <w:spacing w:line="360" w:lineRule="exact"/>
              <w:rPr>
                <w:color w:val="auto"/>
                <w:sz w:val="21"/>
                <w:szCs w:val="21"/>
                <w:highlight w:val="none"/>
              </w:rPr>
            </w:pPr>
            <w:r>
              <w:rPr>
                <w:rFonts w:hint="eastAsia"/>
                <w:color w:val="auto"/>
                <w:sz w:val="21"/>
                <w:szCs w:val="21"/>
                <w:highlight w:val="none"/>
              </w:rPr>
              <w:t>三、商务重点：</w:t>
            </w:r>
          </w:p>
          <w:p w14:paraId="70A7D229">
            <w:pPr>
              <w:keepNext w:val="0"/>
              <w:keepLines w:val="0"/>
              <w:pageBreakBefore w:val="0"/>
              <w:widowControl/>
              <w:kinsoku/>
              <w:wordWrap/>
              <w:overflowPunct/>
              <w:topLinePunct w:val="0"/>
              <w:bidi w:val="0"/>
              <w:spacing w:line="360" w:lineRule="exact"/>
              <w:jc w:val="left"/>
              <w:rPr>
                <w:rFonts w:hint="eastAsia" w:ascii="宋体" w:hAnsi="宋体" w:cs="宋体"/>
                <w:color w:val="auto"/>
                <w:kern w:val="0"/>
                <w:sz w:val="21"/>
                <w:szCs w:val="21"/>
                <w:highlight w:val="none"/>
              </w:rPr>
            </w:pPr>
            <w:r>
              <w:rPr>
                <w:rFonts w:hint="eastAsia"/>
                <w:color w:val="auto"/>
                <w:sz w:val="21"/>
                <w:szCs w:val="21"/>
                <w:highlight w:val="none"/>
              </w:rPr>
              <w:t>▲流式分析仪与流式分选仪为同一品牌厂家</w:t>
            </w:r>
          </w:p>
        </w:tc>
      </w:tr>
    </w:tbl>
    <w:tbl>
      <w:tblPr>
        <w:tblStyle w:val="26"/>
        <w:tblpPr w:leftFromText="180" w:rightFromText="180" w:vertAnchor="text" w:horzAnchor="margin" w:tblpX="108" w:tblpY="1"/>
        <w:tblW w:w="10065" w:type="dxa"/>
        <w:tblInd w:w="0" w:type="dxa"/>
        <w:tblLayout w:type="fixed"/>
        <w:tblCellMar>
          <w:top w:w="0" w:type="dxa"/>
          <w:left w:w="108" w:type="dxa"/>
          <w:bottom w:w="0" w:type="dxa"/>
          <w:right w:w="108" w:type="dxa"/>
        </w:tblCellMar>
      </w:tblPr>
      <w:tblGrid>
        <w:gridCol w:w="1436"/>
        <w:gridCol w:w="8629"/>
      </w:tblGrid>
      <w:tr w14:paraId="2E5B75E2">
        <w:tblPrEx>
          <w:tblCellMar>
            <w:top w:w="0" w:type="dxa"/>
            <w:left w:w="108" w:type="dxa"/>
            <w:bottom w:w="0" w:type="dxa"/>
            <w:right w:w="108" w:type="dxa"/>
          </w:tblCellMar>
        </w:tblPrEx>
        <w:trPr>
          <w:trHeight w:val="551" w:hRule="atLeast"/>
        </w:trPr>
        <w:tc>
          <w:tcPr>
            <w:tcW w:w="10065" w:type="dxa"/>
            <w:gridSpan w:val="2"/>
            <w:tcBorders>
              <w:top w:val="single" w:color="auto" w:sz="4" w:space="0"/>
              <w:left w:val="single" w:color="auto" w:sz="4" w:space="0"/>
              <w:bottom w:val="single" w:color="auto" w:sz="4" w:space="0"/>
              <w:right w:val="single" w:color="auto" w:sz="4" w:space="0"/>
            </w:tcBorders>
            <w:vAlign w:val="center"/>
          </w:tcPr>
          <w:p w14:paraId="33F8D299">
            <w:pPr>
              <w:keepNext w:val="0"/>
              <w:keepLines w:val="0"/>
              <w:pageBreakBefore w:val="0"/>
              <w:widowControl/>
              <w:kinsoku/>
              <w:wordWrap/>
              <w:overflowPunct/>
              <w:topLinePunct w:val="0"/>
              <w:bidi w:val="0"/>
              <w:spacing w:line="360" w:lineRule="exact"/>
              <w:rPr>
                <w:rFonts w:hint="eastAsia" w:ascii="宋体" w:hAnsi="宋体" w:cs="宋体"/>
                <w:b/>
                <w:bCs/>
                <w:color w:val="auto"/>
                <w:kern w:val="0"/>
                <w:sz w:val="21"/>
                <w:szCs w:val="21"/>
                <w:highlight w:val="none"/>
              </w:rPr>
            </w:pPr>
            <w:r>
              <w:rPr>
                <w:rFonts w:hint="eastAsia" w:ascii="宋体" w:hAnsi="宋体" w:cs="宋体"/>
                <w:color w:val="auto"/>
                <w:kern w:val="0"/>
                <w:sz w:val="21"/>
                <w:szCs w:val="21"/>
                <w:highlight w:val="none"/>
              </w:rPr>
              <w:t>二、商务要求表</w:t>
            </w:r>
          </w:p>
        </w:tc>
      </w:tr>
      <w:tr w14:paraId="614D323F">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74D9A2AF">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▲基本要求</w:t>
            </w:r>
          </w:p>
        </w:tc>
        <w:tc>
          <w:tcPr>
            <w:tcW w:w="8629" w:type="dxa"/>
            <w:tcBorders>
              <w:top w:val="single" w:color="auto" w:sz="4" w:space="0"/>
              <w:left w:val="nil"/>
              <w:bottom w:val="single" w:color="auto" w:sz="4" w:space="0"/>
              <w:right w:val="single" w:color="000000" w:sz="4" w:space="0"/>
            </w:tcBorders>
            <w:vAlign w:val="center"/>
          </w:tcPr>
          <w:p w14:paraId="2A9F2041">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投标产品须是按厂家出厂标准配置提供的整套全新，具备正规合法经销渠道，符合国家及国际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42BB52D3">
            <w:pPr>
              <w:keepNext w:val="0"/>
              <w:keepLines w:val="0"/>
              <w:pageBreakBefore w:val="0"/>
              <w:kinsoku/>
              <w:wordWrap/>
              <w:overflowPunct/>
              <w:topLinePunct w:val="0"/>
              <w:bidi w:val="0"/>
              <w:spacing w:line="360" w:lineRule="exact"/>
              <w:rPr>
                <w:rFonts w:hint="eastAsia" w:ascii="宋体" w:hAnsi="宋体" w:cs="宋体"/>
                <w:color w:val="auto"/>
                <w:kern w:val="0"/>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w:t>
            </w:r>
            <w:r>
              <w:rPr>
                <w:rFonts w:hint="eastAsia" w:ascii="宋体" w:hAnsi="宋体" w:cs="宋体"/>
                <w:color w:val="auto"/>
                <w:kern w:val="0"/>
                <w:sz w:val="21"/>
                <w:szCs w:val="21"/>
                <w:highlight w:val="none"/>
              </w:rPr>
              <w:t>投标总价为现场交付使用价，必须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63B2695A">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供应商应保证投标产品涉及到的知识产权和所提供的相关技术资料是合法取得，并享有完整的知识产权，不会因为需方的使用而被责令停止使用、追偿或要求赔偿损失，如出现此情况，一切经济和法律责任均由投标人承担。</w:t>
            </w:r>
          </w:p>
          <w:p w14:paraId="40378603">
            <w:pPr>
              <w:keepNext w:val="0"/>
              <w:keepLines w:val="0"/>
              <w:pageBreakBefore w:val="0"/>
              <w:kinsoku/>
              <w:wordWrap/>
              <w:overflowPunct/>
              <w:topLinePunct w:val="0"/>
              <w:bidi w:val="0"/>
              <w:spacing w:line="360" w:lineRule="exact"/>
              <w:rPr>
                <w:rFonts w:hint="eastAsia" w:hAnsi="宋体"/>
                <w:color w:val="auto"/>
                <w:sz w:val="21"/>
                <w:szCs w:val="21"/>
                <w:highlight w:val="none"/>
              </w:rPr>
            </w:pPr>
            <w:r>
              <w:rPr>
                <w:rFonts w:hint="eastAsia" w:ascii="宋体" w:hAnsi="宋体"/>
                <w:color w:val="auto"/>
                <w:sz w:val="21"/>
                <w:szCs w:val="21"/>
                <w:highlight w:val="none"/>
              </w:rPr>
              <w:t>4、投标产品满足现场安装、开机调试的全部要求，包装要求便于产品的安装就位。</w:t>
            </w:r>
          </w:p>
        </w:tc>
      </w:tr>
      <w:tr w14:paraId="6BB81B46">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5B39EE08">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▲交货时间及地点</w:t>
            </w:r>
          </w:p>
        </w:tc>
        <w:tc>
          <w:tcPr>
            <w:tcW w:w="8629" w:type="dxa"/>
            <w:tcBorders>
              <w:top w:val="single" w:color="auto" w:sz="4" w:space="0"/>
              <w:left w:val="nil"/>
              <w:bottom w:val="single" w:color="auto" w:sz="4" w:space="0"/>
              <w:right w:val="single" w:color="000000" w:sz="4" w:space="0"/>
            </w:tcBorders>
            <w:vAlign w:val="center"/>
          </w:tcPr>
          <w:p w14:paraId="63BD71E9">
            <w:pPr>
              <w:keepNext w:val="0"/>
              <w:keepLines w:val="0"/>
              <w:pageBreakBefore w:val="0"/>
              <w:widowControl/>
              <w:kinsoku/>
              <w:wordWrap/>
              <w:overflowPunct/>
              <w:topLinePunct w:val="0"/>
              <w:bidi w:val="0"/>
              <w:spacing w:line="360" w:lineRule="exact"/>
              <w:rPr>
                <w:rFonts w:hint="eastAsia" w:ascii="宋体" w:hAnsi="宋体" w:cs="Courier New"/>
                <w:color w:val="auto"/>
                <w:sz w:val="21"/>
                <w:szCs w:val="21"/>
                <w:highlight w:val="none"/>
              </w:rPr>
            </w:pPr>
            <w:r>
              <w:rPr>
                <w:rFonts w:hint="eastAsia" w:ascii="宋体" w:hAnsi="宋体" w:cs="Courier New"/>
                <w:color w:val="auto"/>
                <w:sz w:val="21"/>
                <w:szCs w:val="21"/>
                <w:highlight w:val="none"/>
              </w:rPr>
              <w:t>1、交货时间</w:t>
            </w:r>
            <w:r>
              <w:rPr>
                <w:rFonts w:hint="eastAsia" w:ascii="宋体" w:hAnsi="宋体" w:cs="Courier New"/>
                <w:color w:val="auto"/>
                <w:sz w:val="21"/>
                <w:szCs w:val="21"/>
                <w:highlight w:val="none"/>
              </w:rPr>
              <w:t>：</w:t>
            </w:r>
            <w:r>
              <w:rPr>
                <w:rFonts w:hint="eastAsia" w:ascii="宋体" w:hAnsi="宋体" w:cs="微软雅黑"/>
                <w:color w:val="auto"/>
                <w:sz w:val="21"/>
                <w:szCs w:val="21"/>
                <w:highlight w:val="none"/>
              </w:rPr>
              <w:t>自签订合同之日起30日内安装、调试完毕并交付使用</w:t>
            </w:r>
            <w:r>
              <w:rPr>
                <w:rFonts w:hint="eastAsia" w:ascii="宋体" w:hAnsi="宋体" w:cs="宋体"/>
                <w:color w:val="auto"/>
                <w:sz w:val="21"/>
                <w:szCs w:val="21"/>
                <w:highlight w:val="none"/>
              </w:rPr>
              <w:t>并验收合格</w:t>
            </w:r>
            <w:r>
              <w:rPr>
                <w:rFonts w:hint="eastAsia" w:ascii="宋体" w:hAnsi="宋体" w:cs="微软雅黑"/>
                <w:color w:val="auto"/>
                <w:sz w:val="21"/>
                <w:szCs w:val="21"/>
                <w:highlight w:val="none"/>
              </w:rPr>
              <w:t>。</w:t>
            </w:r>
          </w:p>
          <w:p w14:paraId="66B7363F">
            <w:pPr>
              <w:pStyle w:val="15"/>
              <w:keepNext w:val="0"/>
              <w:keepLines w:val="0"/>
              <w:pageBreakBefore w:val="0"/>
              <w:kinsoku/>
              <w:wordWrap/>
              <w:overflowPunct/>
              <w:topLinePunct w:val="0"/>
              <w:bidi w:val="0"/>
              <w:snapToGrid w:val="0"/>
              <w:spacing w:line="360" w:lineRule="exact"/>
              <w:rPr>
                <w:rFonts w:hint="eastAsia" w:hAnsi="宋体"/>
                <w:color w:val="auto"/>
                <w:sz w:val="21"/>
                <w:szCs w:val="21"/>
                <w:highlight w:val="none"/>
              </w:rPr>
            </w:pPr>
            <w:r>
              <w:rPr>
                <w:rFonts w:hint="eastAsia" w:hAnsi="宋体"/>
                <w:color w:val="auto"/>
                <w:sz w:val="21"/>
                <w:szCs w:val="21"/>
                <w:highlight w:val="none"/>
              </w:rPr>
              <w:t>2、交付地点：</w:t>
            </w:r>
            <w:r>
              <w:rPr>
                <w:rFonts w:hint="eastAsia"/>
                <w:color w:val="auto"/>
                <w:sz w:val="21"/>
                <w:szCs w:val="21"/>
                <w:highlight w:val="none"/>
              </w:rPr>
              <w:t>柳州市</w:t>
            </w:r>
            <w:r>
              <w:rPr>
                <w:rFonts w:hint="eastAsia" w:hAnsi="宋体" w:cs="微软雅黑"/>
                <w:color w:val="auto"/>
                <w:sz w:val="21"/>
                <w:szCs w:val="21"/>
                <w:highlight w:val="none"/>
              </w:rPr>
              <w:t>采购人指定地点</w:t>
            </w:r>
            <w:r>
              <w:rPr>
                <w:rFonts w:hint="eastAsia" w:hAnsi="宋体"/>
                <w:color w:val="auto"/>
                <w:sz w:val="21"/>
                <w:szCs w:val="21"/>
                <w:highlight w:val="none"/>
              </w:rPr>
              <w:t>。</w:t>
            </w:r>
          </w:p>
        </w:tc>
      </w:tr>
      <w:tr w14:paraId="55976CF4">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36DFA8B9">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▲安装、调试、验收、培训等技术服务要求</w:t>
            </w:r>
          </w:p>
        </w:tc>
        <w:tc>
          <w:tcPr>
            <w:tcW w:w="8629" w:type="dxa"/>
            <w:tcBorders>
              <w:top w:val="single" w:color="auto" w:sz="4" w:space="0"/>
              <w:left w:val="nil"/>
              <w:bottom w:val="single" w:color="auto" w:sz="4" w:space="0"/>
              <w:right w:val="single" w:color="000000" w:sz="4" w:space="0"/>
            </w:tcBorders>
            <w:vAlign w:val="center"/>
          </w:tcPr>
          <w:p w14:paraId="2B017B7F">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、中标供应商负责全部成套设备、配套部件及材料的现场安装、调试直至验收合格投入正常运转。</w:t>
            </w:r>
          </w:p>
          <w:p w14:paraId="6FB0043B">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、安装调试过程中，中标供应商应派专业技术人员对安装进行同步指导，并负责全套设备的调试运行，直至达到验收要求。</w:t>
            </w:r>
          </w:p>
          <w:p w14:paraId="3CB44105">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、安装调试必须严格按照国家有关安装工程技术标准规范及安全规程进行施工及安装。中标供应商自负安装人身、设备安全责任。</w:t>
            </w:r>
          </w:p>
          <w:p w14:paraId="7451B2CD">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4、中标人在交货验收时必须按采购单位及相关标准提供竣工验收资料。</w:t>
            </w:r>
          </w:p>
          <w:p w14:paraId="46E536D4">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5、所有产品均严格按签订的政府采购合同、投标人响应和承诺的技术参数及性能和国家有关标准进行验收，验收时，由采购方、投标人及采购单位邀请的行业专家（业主如有需要邀请的）共同进行验收，采购方有权委托有资质的质检部门对货物进行抽检，检验的费用由投标人承担；对不符合要求的产品，采购方有权拒绝验收，由此产生的一切后果，均由投标人承担。由此造成的不能按时、按质、按量完成项目要求的，将按照政府采购相关法规、招标文件规定及投标文件承诺的事项进行处罚。</w:t>
            </w:r>
          </w:p>
          <w:p w14:paraId="6DB16BFD">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6、现场培训：中标供应商应根据采购单位的需求提供现场技术培训，对采购单位技术人员进行操作、维修、保养等技术的培训指导，至能独立操作，简单故障排除。</w:t>
            </w:r>
          </w:p>
          <w:p w14:paraId="7067AFD0">
            <w:pPr>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7、提供采购人指定时间、地点的短期培训。</w:t>
            </w:r>
          </w:p>
        </w:tc>
      </w:tr>
      <w:tr w14:paraId="76CBE5CE">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7A15970A">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▲质保期</w:t>
            </w:r>
          </w:p>
        </w:tc>
        <w:tc>
          <w:tcPr>
            <w:tcW w:w="8629" w:type="dxa"/>
            <w:tcBorders>
              <w:top w:val="single" w:color="auto" w:sz="4" w:space="0"/>
              <w:left w:val="nil"/>
              <w:bottom w:val="single" w:color="auto" w:sz="4" w:space="0"/>
              <w:right w:val="single" w:color="000000" w:sz="4" w:space="0"/>
            </w:tcBorders>
            <w:vAlign w:val="center"/>
          </w:tcPr>
          <w:p w14:paraId="61F26125">
            <w:pPr>
              <w:pStyle w:val="15"/>
              <w:keepNext w:val="0"/>
              <w:keepLines w:val="0"/>
              <w:pageBreakBefore w:val="0"/>
              <w:kinsoku/>
              <w:wordWrap/>
              <w:overflowPunct/>
              <w:topLinePunct w:val="0"/>
              <w:bidi w:val="0"/>
              <w:snapToGrid w:val="0"/>
              <w:spacing w:line="360" w:lineRule="exact"/>
              <w:rPr>
                <w:rFonts w:hint="eastAsia" w:hAnsi="宋体"/>
                <w:color w:val="auto"/>
                <w:sz w:val="21"/>
                <w:szCs w:val="21"/>
                <w:highlight w:val="none"/>
              </w:rPr>
            </w:pPr>
            <w:r>
              <w:rPr>
                <w:rFonts w:hint="eastAsia" w:hAnsi="宋体"/>
                <w:bCs/>
                <w:color w:val="auto"/>
                <w:sz w:val="21"/>
                <w:szCs w:val="21"/>
                <w:highlight w:val="none"/>
              </w:rPr>
              <w:t>1、质保期不少于三年</w:t>
            </w:r>
            <w:r>
              <w:rPr>
                <w:rFonts w:hint="eastAsia" w:hAnsi="宋体"/>
                <w:color w:val="auto"/>
                <w:kern w:val="0"/>
                <w:sz w:val="21"/>
                <w:szCs w:val="21"/>
                <w:highlight w:val="none"/>
              </w:rPr>
              <w:t>(各项货物另有要求的，依照其《招标项目采购需求》的要求执行)</w:t>
            </w:r>
            <w:r>
              <w:rPr>
                <w:rFonts w:hint="eastAsia" w:hAnsi="宋体"/>
                <w:bCs/>
                <w:color w:val="auto"/>
                <w:sz w:val="21"/>
                <w:szCs w:val="21"/>
                <w:highlight w:val="none"/>
              </w:rPr>
              <w:t>，质保期</w:t>
            </w:r>
            <w:r>
              <w:rPr>
                <w:rFonts w:hint="eastAsia" w:hAnsi="宋体"/>
                <w:color w:val="auto"/>
                <w:sz w:val="21"/>
                <w:szCs w:val="21"/>
                <w:highlight w:val="none"/>
              </w:rPr>
              <w:t>自交货并验收合格之日起计，质保期内免费上门维修，免费更换零配件</w:t>
            </w:r>
            <w:r>
              <w:rPr>
                <w:rFonts w:hint="eastAsia" w:hAnsi="宋体"/>
                <w:color w:val="auto"/>
                <w:kern w:val="0"/>
                <w:sz w:val="21"/>
                <w:szCs w:val="21"/>
                <w:highlight w:val="none"/>
              </w:rPr>
              <w:t>，按照国家有关产品“三包”规定执行。</w:t>
            </w:r>
          </w:p>
        </w:tc>
      </w:tr>
      <w:tr w14:paraId="6402A47C">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3214AF12">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olor w:val="auto"/>
                <w:sz w:val="21"/>
                <w:szCs w:val="21"/>
                <w:highlight w:val="none"/>
              </w:rPr>
              <w:t>售后服务保障或维修响应时间要求</w:t>
            </w:r>
          </w:p>
        </w:tc>
        <w:tc>
          <w:tcPr>
            <w:tcW w:w="8629" w:type="dxa"/>
            <w:tcBorders>
              <w:top w:val="single" w:color="auto" w:sz="4" w:space="0"/>
              <w:left w:val="nil"/>
              <w:bottom w:val="single" w:color="auto" w:sz="4" w:space="0"/>
              <w:right w:val="single" w:color="000000" w:sz="4" w:space="0"/>
            </w:tcBorders>
            <w:vAlign w:val="center"/>
          </w:tcPr>
          <w:p w14:paraId="60A61A96">
            <w:pPr>
              <w:pStyle w:val="15"/>
              <w:keepNext w:val="0"/>
              <w:keepLines w:val="0"/>
              <w:pageBreakBefore w:val="0"/>
              <w:kinsoku/>
              <w:wordWrap/>
              <w:overflowPunct/>
              <w:topLinePunct w:val="0"/>
              <w:bidi w:val="0"/>
              <w:snapToGrid w:val="0"/>
              <w:spacing w:line="360" w:lineRule="exact"/>
              <w:rPr>
                <w:rFonts w:hint="eastAsia" w:hAnsi="宋体"/>
                <w:color w:val="auto"/>
                <w:sz w:val="21"/>
                <w:szCs w:val="21"/>
                <w:highlight w:val="none"/>
              </w:rPr>
            </w:pPr>
            <w:r>
              <w:rPr>
                <w:rFonts w:hint="eastAsia" w:hAnsi="宋体"/>
                <w:color w:val="auto"/>
                <w:sz w:val="21"/>
                <w:szCs w:val="21"/>
                <w:highlight w:val="none"/>
              </w:rPr>
              <w:t>1、提供7*24小时全天候服务响应，接到售后服务呼叫后，响应时间要求2小时以内，上门时间要求在</w:t>
            </w:r>
            <w:r>
              <w:rPr>
                <w:rFonts w:hint="eastAsia" w:hAnsi="宋体"/>
                <w:color w:val="auto"/>
                <w:sz w:val="21"/>
                <w:szCs w:val="21"/>
                <w:highlight w:val="none"/>
              </w:rPr>
              <w:t>12</w:t>
            </w:r>
            <w:r>
              <w:rPr>
                <w:rFonts w:hint="eastAsia" w:hAnsi="宋体"/>
                <w:color w:val="auto"/>
                <w:sz w:val="21"/>
                <w:szCs w:val="21"/>
                <w:highlight w:val="none"/>
              </w:rPr>
              <w:t>小时以内到达现场服务，及时排除故障，确保设备正常工作。如在24小时内不能完成维修，应提供性能相同或升级型替代设备，以保证用户正常使用。中标人负责处理解决货物出现的质量及安全问题并承担一切费用，所有非故意性损坏以及正常使用范围内造成的损坏均要免费维修，因人为因素出现的故障不在免费保修范围内，但中标人也要积极帮助采购人修理，并提供优惠价格的配件和服务。</w:t>
            </w:r>
          </w:p>
        </w:tc>
      </w:tr>
      <w:tr w14:paraId="7A8A45D6">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174EE676">
            <w:pPr>
              <w:keepNext w:val="0"/>
              <w:keepLines w:val="0"/>
              <w:pageBreakBefore w:val="0"/>
              <w:widowControl/>
              <w:kinsoku/>
              <w:wordWrap/>
              <w:overflowPunct/>
              <w:topLinePunct w:val="0"/>
              <w:bidi w:val="0"/>
              <w:spacing w:line="360" w:lineRule="exact"/>
              <w:rPr>
                <w:rFonts w:hint="eastAsia" w:ascii="宋体" w:hAnsi="宋体"/>
                <w:color w:val="auto"/>
                <w:sz w:val="21"/>
                <w:szCs w:val="21"/>
                <w:highlight w:val="none"/>
              </w:rPr>
            </w:pPr>
            <w:r>
              <w:rPr>
                <w:rFonts w:hint="eastAsia" w:ascii="宋体" w:hAnsi="宋体" w:cs="宋体"/>
                <w:color w:val="auto"/>
                <w:kern w:val="0"/>
                <w:sz w:val="21"/>
                <w:szCs w:val="21"/>
                <w:highlight w:val="none"/>
              </w:rPr>
              <w:t>▲付款条件</w:t>
            </w:r>
          </w:p>
        </w:tc>
        <w:tc>
          <w:tcPr>
            <w:tcW w:w="8629" w:type="dxa"/>
            <w:tcBorders>
              <w:top w:val="single" w:color="auto" w:sz="4" w:space="0"/>
              <w:left w:val="nil"/>
              <w:bottom w:val="single" w:color="auto" w:sz="4" w:space="0"/>
              <w:right w:val="single" w:color="000000" w:sz="4" w:space="0"/>
            </w:tcBorders>
            <w:vAlign w:val="center"/>
          </w:tcPr>
          <w:p w14:paraId="0B6DCE2C">
            <w:pPr>
              <w:keepNext w:val="0"/>
              <w:keepLines w:val="0"/>
              <w:pageBreakBefore w:val="0"/>
              <w:widowControl/>
              <w:kinsoku/>
              <w:wordWrap/>
              <w:overflowPunct/>
              <w:topLinePunct w:val="0"/>
              <w:bidi w:val="0"/>
              <w:spacing w:line="360" w:lineRule="exact"/>
              <w:rPr>
                <w:rFonts w:hint="eastAsia" w:ascii="宋体" w:hAnsi="宋体" w:cs="宋体"/>
                <w:b/>
                <w:bCs/>
                <w:color w:val="auto"/>
                <w:kern w:val="0"/>
                <w:sz w:val="21"/>
                <w:szCs w:val="21"/>
                <w:highlight w:val="none"/>
              </w:rPr>
            </w:pPr>
            <w:r>
              <w:rPr>
                <w:rFonts w:hint="eastAsia" w:hAnsi="宋体" w:cs="微软雅黑"/>
                <w:color w:val="auto"/>
                <w:kern w:val="1"/>
                <w:sz w:val="21"/>
                <w:szCs w:val="21"/>
                <w:highlight w:val="none"/>
              </w:rPr>
              <w:t>签订合同(合同签订前乙方必须提交履约保证金)之日起10个工作日内支付合同总金额的30%作为预付款给乙方（若乙方明确表示无需预付款或者主动要求降低预付款比例的，甲方可不适用前述规定）；货物全部交货、安装、调试完毕，项目整体交付并最终验收合格正常使用，且甲方收到乙方开具全额增值税普通发票后，甲方于10个工作日内支付至合同总金额的100%（不计利息）。</w:t>
            </w:r>
          </w:p>
        </w:tc>
      </w:tr>
      <w:tr w14:paraId="61EF56D5">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5E6E6C09">
            <w:pPr>
              <w:keepNext w:val="0"/>
              <w:keepLines w:val="0"/>
              <w:pageBreakBefore w:val="0"/>
              <w:widowControl/>
              <w:kinsoku/>
              <w:wordWrap/>
              <w:overflowPunct/>
              <w:topLinePunct w:val="0"/>
              <w:bidi w:val="0"/>
              <w:spacing w:line="36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履约保证金</w:t>
            </w:r>
          </w:p>
        </w:tc>
        <w:tc>
          <w:tcPr>
            <w:tcW w:w="8629" w:type="dxa"/>
            <w:tcBorders>
              <w:top w:val="single" w:color="auto" w:sz="4" w:space="0"/>
              <w:left w:val="nil"/>
              <w:bottom w:val="single" w:color="auto" w:sz="4" w:space="0"/>
              <w:right w:val="single" w:color="000000" w:sz="4" w:space="0"/>
            </w:tcBorders>
            <w:vAlign w:val="center"/>
          </w:tcPr>
          <w:p w14:paraId="331E3506">
            <w:pPr>
              <w:pStyle w:val="10"/>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本项目收取履约保证金，具体规定如下：</w:t>
            </w:r>
          </w:p>
          <w:p w14:paraId="76E43774">
            <w:pPr>
              <w:pStyle w:val="10"/>
              <w:keepNext w:val="0"/>
              <w:keepLines w:val="0"/>
              <w:pageBreakBefore w:val="0"/>
              <w:kinsoku/>
              <w:wordWrap/>
              <w:overflowPunct/>
              <w:topLinePunct w:val="0"/>
              <w:bidi w:val="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履约保证金金额：</w:t>
            </w:r>
            <w:r>
              <w:rPr>
                <w:rFonts w:hint="eastAsia"/>
                <w:color w:val="auto"/>
                <w:sz w:val="21"/>
                <w:szCs w:val="21"/>
                <w:highlight w:val="none"/>
              </w:rPr>
              <w:t>按本项目中标合同金额的 5%（中小企业按合同金额的 2%）</w:t>
            </w:r>
          </w:p>
          <w:p w14:paraId="3F798A0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olor w:val="auto"/>
                <w:sz w:val="21"/>
                <w:szCs w:val="21"/>
                <w:highlight w:val="none"/>
              </w:rPr>
            </w:pPr>
            <w:r>
              <w:rPr>
                <w:rFonts w:hint="eastAsia" w:ascii="宋体" w:hAnsi="宋体"/>
                <w:color w:val="auto"/>
                <w:sz w:val="21"/>
                <w:szCs w:val="21"/>
                <w:highlight w:val="none"/>
              </w:rPr>
              <w:t>履约保证金递交方式：银行转账或电汇或其它政府采购法律法规允许的方式</w:t>
            </w:r>
          </w:p>
          <w:p w14:paraId="537FC8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olor w:val="auto"/>
                <w:sz w:val="21"/>
                <w:szCs w:val="21"/>
                <w:highlight w:val="none"/>
                <w:u w:val="single"/>
              </w:rPr>
            </w:pPr>
            <w:r>
              <w:rPr>
                <w:rFonts w:hint="eastAsia" w:ascii="宋体" w:hAnsi="宋体"/>
                <w:color w:val="auto"/>
                <w:sz w:val="21"/>
                <w:szCs w:val="21"/>
                <w:highlight w:val="none"/>
              </w:rPr>
              <w:t>履约保证金退付方式、时间及条件：</w:t>
            </w:r>
            <w:r>
              <w:rPr>
                <w:rFonts w:hint="eastAsia" w:ascii="宋体" w:hAnsi="宋体"/>
                <w:color w:val="auto"/>
                <w:sz w:val="21"/>
                <w:szCs w:val="21"/>
                <w:highlight w:val="none"/>
                <w:u w:val="single"/>
              </w:rPr>
              <w:t>中标人在签订合同之前，足额提交履约保证金。未提交履约保证金的，不予签订合同。</w:t>
            </w:r>
            <w:r>
              <w:rPr>
                <w:rFonts w:hint="eastAsia" w:ascii="宋体" w:hAnsi="宋体"/>
                <w:color w:val="auto"/>
                <w:sz w:val="21"/>
                <w:szCs w:val="21"/>
                <w:highlight w:val="none"/>
                <w:u w:val="single"/>
              </w:rPr>
              <w:t>履约保证金自项目验收合格后，待中标供应商履行完质保义务后无息退还。</w:t>
            </w:r>
          </w:p>
          <w:p w14:paraId="376274ED">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olor w:val="auto"/>
                <w:sz w:val="21"/>
                <w:szCs w:val="21"/>
                <w:highlight w:val="none"/>
              </w:rPr>
            </w:pPr>
            <w:r>
              <w:rPr>
                <w:rFonts w:hint="eastAsia" w:ascii="宋体" w:hAnsi="宋体"/>
                <w:color w:val="auto"/>
                <w:sz w:val="21"/>
                <w:szCs w:val="21"/>
                <w:highlight w:val="none"/>
              </w:rPr>
              <w:t>履约保证金指定账户：中标后采购人提供</w:t>
            </w:r>
          </w:p>
          <w:p w14:paraId="3942C0F9">
            <w:pPr>
              <w:keepNext w:val="0"/>
              <w:keepLines w:val="0"/>
              <w:pageBreakBefore w:val="0"/>
              <w:kinsoku/>
              <w:wordWrap/>
              <w:overflowPunct/>
              <w:topLinePunct w:val="0"/>
              <w:bidi w:val="0"/>
              <w:spacing w:line="360" w:lineRule="exact"/>
              <w:jc w:val="left"/>
              <w:rPr>
                <w:rFonts w:hint="eastAsia" w:ascii="宋体" w:hAnsi="宋体" w:cs="Courier New"/>
                <w:color w:val="auto"/>
                <w:sz w:val="21"/>
                <w:szCs w:val="21"/>
                <w:highlight w:val="none"/>
              </w:rPr>
            </w:pPr>
            <w:r>
              <w:rPr>
                <w:rFonts w:ascii="宋体" w:hAnsi="宋体" w:cs="Courier New"/>
                <w:color w:val="auto"/>
                <w:sz w:val="21"/>
                <w:szCs w:val="21"/>
                <w:highlight w:val="none"/>
              </w:rPr>
              <w:t>备注：</w:t>
            </w:r>
          </w:p>
          <w:p w14:paraId="076ACCD2">
            <w:pPr>
              <w:pStyle w:val="56"/>
              <w:keepNext w:val="0"/>
              <w:keepLines w:val="0"/>
              <w:pageBreakBefore w:val="0"/>
              <w:kinsoku/>
              <w:wordWrap/>
              <w:overflowPunct/>
              <w:topLinePunct w:val="0"/>
              <w:bidi w:val="0"/>
              <w:spacing w:before="0" w:beforeAutospacing="0" w:after="0" w:afterAutospacing="0" w:line="360" w:lineRule="exact"/>
              <w:rPr>
                <w:rFonts w:hint="eastAsia"/>
                <w:color w:val="auto"/>
                <w:sz w:val="21"/>
                <w:szCs w:val="21"/>
                <w:highlight w:val="none"/>
              </w:rPr>
            </w:pPr>
            <w:r>
              <w:rPr>
                <w:rFonts w:hint="eastAsia"/>
                <w:color w:val="auto"/>
                <w:sz w:val="21"/>
                <w:szCs w:val="21"/>
                <w:highlight w:val="none"/>
              </w:rPr>
              <w:t>1.合同签订前乙方必须以银行转账、支票、汇票、本票提交履约保证金。</w:t>
            </w:r>
          </w:p>
          <w:p w14:paraId="6D9D93B1">
            <w:pPr>
              <w:pStyle w:val="56"/>
              <w:keepNext w:val="0"/>
              <w:keepLines w:val="0"/>
              <w:pageBreakBefore w:val="0"/>
              <w:kinsoku/>
              <w:wordWrap/>
              <w:overflowPunct/>
              <w:topLinePunct w:val="0"/>
              <w:bidi w:val="0"/>
              <w:spacing w:before="0" w:beforeAutospacing="0" w:after="0" w:afterAutospacing="0" w:line="360" w:lineRule="exact"/>
              <w:rPr>
                <w:rFonts w:hint="eastAsia"/>
                <w:color w:val="auto"/>
                <w:sz w:val="21"/>
                <w:szCs w:val="21"/>
                <w:highlight w:val="none"/>
              </w:rPr>
            </w:pPr>
            <w:r>
              <w:rPr>
                <w:rFonts w:hint="eastAsia"/>
                <w:color w:val="auto"/>
                <w:sz w:val="21"/>
                <w:szCs w:val="21"/>
                <w:highlight w:val="none"/>
              </w:rPr>
              <w:t>2.履约保证金金额按本项目采购合同金额的 5%（中小企业按合同金额的 2%）收取。乙方未按合同履约的，甲方可没收全部履约保证金，并按合同相关条款追究乙方责任。</w:t>
            </w:r>
          </w:p>
          <w:p w14:paraId="5F4F8371">
            <w:pPr>
              <w:pStyle w:val="56"/>
              <w:keepNext w:val="0"/>
              <w:keepLines w:val="0"/>
              <w:pageBreakBefore w:val="0"/>
              <w:kinsoku/>
              <w:wordWrap/>
              <w:overflowPunct/>
              <w:topLinePunct w:val="0"/>
              <w:bidi w:val="0"/>
              <w:spacing w:before="0" w:beforeAutospacing="0" w:after="0" w:afterAutospacing="0" w:line="360" w:lineRule="exact"/>
              <w:rPr>
                <w:rFonts w:hint="eastAsia"/>
                <w:color w:val="auto"/>
                <w:sz w:val="21"/>
                <w:szCs w:val="21"/>
                <w:highlight w:val="none"/>
              </w:rPr>
            </w:pPr>
            <w:r>
              <w:rPr>
                <w:rFonts w:hint="eastAsia"/>
                <w:color w:val="auto"/>
                <w:sz w:val="21"/>
                <w:szCs w:val="21"/>
                <w:highlight w:val="none"/>
              </w:rPr>
              <w:t xml:space="preserve">3.履约保证金账户： </w:t>
            </w:r>
          </w:p>
          <w:p w14:paraId="7D30DB05">
            <w:pPr>
              <w:pStyle w:val="56"/>
              <w:keepNext w:val="0"/>
              <w:keepLines w:val="0"/>
              <w:pageBreakBefore w:val="0"/>
              <w:kinsoku/>
              <w:wordWrap/>
              <w:overflowPunct/>
              <w:topLinePunct w:val="0"/>
              <w:bidi w:val="0"/>
              <w:spacing w:before="0" w:beforeAutospacing="0" w:after="0" w:afterAutospacing="0" w:line="360" w:lineRule="exact"/>
              <w:rPr>
                <w:rFonts w:hint="eastAsia"/>
                <w:color w:val="auto"/>
                <w:sz w:val="21"/>
                <w:szCs w:val="21"/>
                <w:highlight w:val="none"/>
              </w:rPr>
            </w:pPr>
            <w:r>
              <w:rPr>
                <w:rFonts w:hint="eastAsia"/>
                <w:color w:val="auto"/>
                <w:sz w:val="21"/>
                <w:szCs w:val="21"/>
                <w:highlight w:val="none"/>
              </w:rPr>
              <w:t>开户名:广西壮族自治区胸科医院(广西壮族自治区第四人民医院、广西壮族自治区结核病医院)</w:t>
            </w:r>
          </w:p>
          <w:p w14:paraId="75362B30">
            <w:pPr>
              <w:pStyle w:val="56"/>
              <w:keepNext w:val="0"/>
              <w:keepLines w:val="0"/>
              <w:pageBreakBefore w:val="0"/>
              <w:kinsoku/>
              <w:wordWrap/>
              <w:overflowPunct/>
              <w:topLinePunct w:val="0"/>
              <w:bidi w:val="0"/>
              <w:spacing w:before="0" w:beforeAutospacing="0" w:after="0" w:afterAutospacing="0" w:line="360" w:lineRule="exact"/>
              <w:rPr>
                <w:rFonts w:hint="eastAsia"/>
                <w:color w:val="auto"/>
                <w:sz w:val="21"/>
                <w:szCs w:val="21"/>
                <w:highlight w:val="none"/>
              </w:rPr>
            </w:pPr>
            <w:r>
              <w:rPr>
                <w:rFonts w:hint="eastAsia"/>
                <w:color w:val="auto"/>
                <w:sz w:val="21"/>
                <w:szCs w:val="21"/>
                <w:highlight w:val="none"/>
              </w:rPr>
              <w:t>开户行:交通银行柳州西江支行</w:t>
            </w:r>
          </w:p>
          <w:p w14:paraId="491752DD">
            <w:pPr>
              <w:pStyle w:val="56"/>
              <w:keepNext w:val="0"/>
              <w:keepLines w:val="0"/>
              <w:pageBreakBefore w:val="0"/>
              <w:kinsoku/>
              <w:wordWrap/>
              <w:overflowPunct/>
              <w:topLinePunct w:val="0"/>
              <w:bidi w:val="0"/>
              <w:spacing w:before="0" w:beforeAutospacing="0" w:after="0" w:afterAutospacing="0" w:line="360" w:lineRule="exact"/>
              <w:rPr>
                <w:rFonts w:hint="eastAsia"/>
                <w:color w:val="auto"/>
                <w:sz w:val="21"/>
                <w:szCs w:val="21"/>
                <w:highlight w:val="none"/>
              </w:rPr>
            </w:pPr>
            <w:r>
              <w:rPr>
                <w:rFonts w:hint="eastAsia"/>
                <w:color w:val="auto"/>
                <w:sz w:val="21"/>
                <w:szCs w:val="21"/>
                <w:highlight w:val="none"/>
              </w:rPr>
              <w:t>账号:4520 60602018010069582</w:t>
            </w:r>
          </w:p>
          <w:p w14:paraId="6D3622D6">
            <w:pPr>
              <w:keepNext w:val="0"/>
              <w:keepLines w:val="0"/>
              <w:pageBreakBefore w:val="0"/>
              <w:widowControl/>
              <w:kinsoku/>
              <w:wordWrap/>
              <w:overflowPunct/>
              <w:topLinePunct w:val="0"/>
              <w:bidi w:val="0"/>
              <w:spacing w:line="360" w:lineRule="exact"/>
              <w:rPr>
                <w:rFonts w:hint="eastAsia" w:hAnsi="宋体" w:cs="微软雅黑"/>
                <w:color w:val="auto"/>
                <w:kern w:val="1"/>
                <w:sz w:val="21"/>
                <w:szCs w:val="21"/>
                <w:highlight w:val="none"/>
              </w:rPr>
            </w:pPr>
            <w:r>
              <w:rPr>
                <w:rFonts w:hint="eastAsia"/>
                <w:color w:val="auto"/>
                <w:sz w:val="21"/>
                <w:szCs w:val="21"/>
                <w:highlight w:val="none"/>
              </w:rPr>
              <w:t>转帐时注明：</w:t>
            </w:r>
            <w:r>
              <w:rPr>
                <w:rFonts w:hint="eastAsia"/>
                <w:color w:val="auto"/>
                <w:sz w:val="21"/>
                <w:szCs w:val="21"/>
                <w:highlight w:val="none"/>
                <w:u w:val="single"/>
              </w:rPr>
              <w:t>项目名称及编号</w:t>
            </w:r>
            <w:r>
              <w:rPr>
                <w:rFonts w:hint="eastAsia"/>
                <w:color w:val="auto"/>
                <w:sz w:val="21"/>
                <w:szCs w:val="21"/>
                <w:highlight w:val="none"/>
              </w:rPr>
              <w:t>的履约保证金</w:t>
            </w:r>
          </w:p>
        </w:tc>
      </w:tr>
      <w:tr w14:paraId="6ABF6792">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14:paraId="2D18344A">
            <w:pPr>
              <w:keepNext w:val="0"/>
              <w:keepLines w:val="0"/>
              <w:pageBreakBefore w:val="0"/>
              <w:widowControl/>
              <w:kinsoku/>
              <w:wordWrap/>
              <w:overflowPunct/>
              <w:topLinePunct w:val="0"/>
              <w:bidi w:val="0"/>
              <w:spacing w:line="36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其他</w:t>
            </w:r>
          </w:p>
        </w:tc>
        <w:tc>
          <w:tcPr>
            <w:tcW w:w="8629" w:type="dxa"/>
            <w:tcBorders>
              <w:top w:val="single" w:color="auto" w:sz="4" w:space="0"/>
              <w:left w:val="nil"/>
              <w:bottom w:val="single" w:color="auto" w:sz="4" w:space="0"/>
              <w:right w:val="single" w:color="000000" w:sz="4" w:space="0"/>
            </w:tcBorders>
            <w:vAlign w:val="center"/>
          </w:tcPr>
          <w:p w14:paraId="57886022">
            <w:pPr>
              <w:keepNext w:val="0"/>
              <w:keepLines w:val="0"/>
              <w:pageBreakBefore w:val="0"/>
              <w:widowControl/>
              <w:kinsoku/>
              <w:wordWrap/>
              <w:overflowPunct/>
              <w:topLinePunct w:val="0"/>
              <w:bidi w:val="0"/>
              <w:spacing w:line="360" w:lineRule="exact"/>
              <w:rPr>
                <w:color w:val="auto"/>
                <w:sz w:val="21"/>
                <w:szCs w:val="21"/>
                <w:highlight w:val="none"/>
              </w:rPr>
            </w:pPr>
            <w:r>
              <w:rPr>
                <w:rFonts w:hint="eastAsia"/>
                <w:color w:val="auto"/>
                <w:sz w:val="21"/>
                <w:szCs w:val="21"/>
                <w:highlight w:val="none"/>
              </w:rPr>
              <w:t>根据《关于印发中小企业划型标准规定的通知》（工信部联企业〔2011〕300号）规定，本项目采购标的对应的中小企业划分标准所属行业为：工业。</w:t>
            </w:r>
          </w:p>
          <w:p w14:paraId="75E90C55">
            <w:pPr>
              <w:keepNext w:val="0"/>
              <w:keepLines w:val="0"/>
              <w:pageBreakBefore w:val="0"/>
              <w:widowControl/>
              <w:kinsoku/>
              <w:wordWrap/>
              <w:overflowPunct/>
              <w:topLinePunct w:val="0"/>
              <w:bidi w:val="0"/>
              <w:spacing w:line="360" w:lineRule="exact"/>
              <w:rPr>
                <w:b/>
                <w:bCs/>
                <w:color w:val="auto"/>
                <w:sz w:val="21"/>
                <w:szCs w:val="21"/>
                <w:highlight w:val="none"/>
              </w:rPr>
            </w:pPr>
            <w:r>
              <w:rPr>
                <w:rFonts w:hint="eastAsia"/>
                <w:b/>
                <w:bCs/>
                <w:color w:val="auto"/>
                <w:sz w:val="21"/>
                <w:szCs w:val="21"/>
                <w:highlight w:val="none"/>
              </w:rPr>
              <w:t>本项目为货物采购项目，货物须由中小企业制造，即货物由中小企业生产且使用该中小企业商号或者注册商标。</w:t>
            </w:r>
          </w:p>
          <w:p w14:paraId="563D235A">
            <w:pPr>
              <w:keepNext w:val="0"/>
              <w:keepLines w:val="0"/>
              <w:pageBreakBefore w:val="0"/>
              <w:widowControl/>
              <w:kinsoku/>
              <w:wordWrap/>
              <w:overflowPunct/>
              <w:topLinePunct w:val="0"/>
              <w:bidi w:val="0"/>
              <w:spacing w:line="360" w:lineRule="exact"/>
              <w:rPr>
                <w:b/>
                <w:bCs/>
                <w:color w:val="auto"/>
                <w:sz w:val="21"/>
                <w:szCs w:val="21"/>
                <w:highlight w:val="none"/>
              </w:rPr>
            </w:pPr>
            <w:r>
              <w:rPr>
                <w:rFonts w:hint="eastAsia"/>
                <w:b/>
                <w:bCs/>
                <w:color w:val="auto"/>
                <w:sz w:val="21"/>
                <w:szCs w:val="21"/>
                <w:highlight w:val="none"/>
              </w:rPr>
              <w:t>在本项目的货物采购中，供应商提供的货物既有中小企业制造货物，也有大型企业制造货物的，不享受中小企业扶持政策。</w:t>
            </w:r>
          </w:p>
        </w:tc>
      </w:tr>
    </w:tbl>
    <w:p w14:paraId="295CB59B">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36411EB9">
      <w:pPr>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附件1：</w:t>
      </w:r>
    </w:p>
    <w:p w14:paraId="7C1231B5">
      <w:pPr>
        <w:spacing w:before="7"/>
        <w:rPr>
          <w:rFonts w:hint="eastAsia" w:ascii="宋体" w:hAnsi="宋体" w:cs="宋体"/>
          <w:color w:val="auto"/>
          <w:sz w:val="17"/>
          <w:szCs w:val="17"/>
          <w:highlight w:val="none"/>
        </w:rPr>
      </w:pPr>
    </w:p>
    <w:p w14:paraId="224695AA">
      <w:pPr>
        <w:widowControl/>
        <w:spacing w:before="165" w:beforeLines="50" w:after="165" w:afterLines="50" w:line="280" w:lineRule="exact"/>
        <w:jc w:val="center"/>
        <w:rPr>
          <w:rFonts w:hint="eastAsia" w:ascii="宋体" w:hAnsi="宋体" w:cs="宋体"/>
          <w:b/>
          <w:bCs/>
          <w:color w:val="auto"/>
          <w:kern w:val="0"/>
          <w:sz w:val="30"/>
          <w:szCs w:val="30"/>
          <w:highlight w:val="none"/>
        </w:rPr>
      </w:pPr>
      <w:bookmarkStart w:id="50" w:name="_Toc28361_WPSOffice_Level2"/>
      <w:r>
        <w:rPr>
          <w:rFonts w:hint="eastAsia" w:ascii="宋体" w:hAnsi="宋体" w:cs="宋体"/>
          <w:b/>
          <w:bCs/>
          <w:color w:val="auto"/>
          <w:kern w:val="0"/>
          <w:sz w:val="30"/>
          <w:szCs w:val="30"/>
          <w:highlight w:val="none"/>
        </w:rPr>
        <w:t>统计上大中小微型企业划分标准</w:t>
      </w:r>
      <w:bookmarkEnd w:id="50"/>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F5F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2EDB3C25">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14:paraId="70CFF737">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14:paraId="37529EE1">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4CF8DADB">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14:paraId="6306208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14:paraId="6999674B">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14:paraId="0A11648F">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14:paraId="3800E84D">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1E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CFB597E">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3707D12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0CE75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B7D9A0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096513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7893D51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0AC1F51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E75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6FE349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365BF47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C7B487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910DA4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5C3E89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149ACBD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61A5851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8A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E476C5C">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F19327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0D2493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82571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564947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0A9D68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194878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7AC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84101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6A13D9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53C1F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D6F449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530313A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08E41A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1D598B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5E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D190C5">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5996B2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F09928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C8CA6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3B7716B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4528C12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4A1B5C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CC9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FA5D3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300530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9E32A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04C68A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46C0AC6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158375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59B042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66B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277B2D">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DDB6BF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30252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B1D2A3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28F98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29CA09C0">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7FDEAF0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DD0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6454FB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09AD333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580625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B3DAC8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4C133AF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33AB35C9">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3EC9BC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516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6063B6C">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5559D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0477A7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C0402A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6D1B0AE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46C808C9">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203064B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F3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AAEBC5">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296C7B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93DE18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DD8A1D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EE48A3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AB848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15BB09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293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C5FF18">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1D128EE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FB1BA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67FE8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E5C68A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1E23E2E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51AF7F9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522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3174685">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72DAFA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037B0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4E6A56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4BB1BFDC">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13508F3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3433FE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5F2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1388D11">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B1DE56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105D3D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A7D7B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AADC4D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15CED1E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34B0478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8B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0A3F71">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3F4B06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61C85D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51ACB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B48FEB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1584B0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746CB1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173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2F6177E">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3FCE135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80F9B8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F620BF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495C659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51CEAB3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34CF6E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DD7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3F5C47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32F1E4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D72F31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DAA21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C46D83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135833D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359A537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41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C7FD033">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36EC182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DA05C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E721AD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2960B66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1C2B2D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1CB3AEA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D9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E8DEA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6850253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514B1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8BCBD1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08062E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BA88F8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7E0272E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A81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784EAB">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50494FE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7C2FA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E903C6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AD399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2108FA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36FDC5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5C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FE7EFC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12BFA2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D8559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37E187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54A4DE2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5DE9FF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02E2942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51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961D54E">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42F0C7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F6605C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19350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615EF5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62E76F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7376705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077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BFD45F8">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5340D0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3D0FBE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15C8B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0345648">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300D0D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8D777C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E3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7F60329">
            <w:pPr>
              <w:widowControl/>
              <w:spacing w:line="280" w:lineRule="exact"/>
              <w:jc w:val="left"/>
              <w:rPr>
                <w:rFonts w:hint="eastAsia" w:ascii="宋体" w:hAnsi="宋体" w:cs="宋体"/>
                <w:color w:val="auto"/>
                <w:spacing w:val="-12"/>
                <w:kern w:val="0"/>
                <w:sz w:val="18"/>
                <w:szCs w:val="18"/>
                <w:highlight w:val="none"/>
              </w:rPr>
            </w:pPr>
          </w:p>
        </w:tc>
        <w:tc>
          <w:tcPr>
            <w:tcW w:w="1369" w:type="dxa"/>
            <w:vAlign w:val="center"/>
          </w:tcPr>
          <w:p w14:paraId="56B01D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599899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679FBE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83CBEB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248A991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1D7BA0A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436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0C1AD11">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2588543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BC855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AD0E1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6F6E82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534191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082E8F9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97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8D4C7CB">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10DB589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5CE21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D216F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3E8267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1D262AB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2A0CAC8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9A7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7E9226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08DB32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6794A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88FCB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B5578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84148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076469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F7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03BC92C">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5E5A0DE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71313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516140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0CC2F9EA">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661755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352507E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785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D2CA11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7D0FC86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87DFEF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94344F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49E1AFA5">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5C64967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9CB085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E1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7E34BBF">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39EC3DE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454883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4B6C5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038DB06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508910B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7F5D47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45C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D81FB7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5528702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7E92D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DAB4F2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84913B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169C9E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A206DA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4A7DA13">
      <w:pPr>
        <w:widowControl/>
        <w:spacing w:line="280" w:lineRule="exact"/>
        <w:rPr>
          <w:rFonts w:hint="eastAsia" w:ascii="宋体" w:hAnsi="宋体" w:cs="宋体"/>
          <w:color w:val="auto"/>
          <w:spacing w:val="8"/>
          <w:kern w:val="0"/>
          <w:sz w:val="24"/>
          <w:highlight w:val="none"/>
        </w:rPr>
      </w:pPr>
    </w:p>
    <w:p w14:paraId="543D9A27">
      <w:pPr>
        <w:widowControl/>
        <w:spacing w:line="360" w:lineRule="auto"/>
        <w:rPr>
          <w:rFonts w:hint="eastAsia" w:ascii="宋体" w:hAnsi="宋体" w:cs="宋体"/>
          <w:color w:val="auto"/>
          <w:spacing w:val="8"/>
          <w:kern w:val="0"/>
          <w:szCs w:val="21"/>
          <w:highlight w:val="none"/>
        </w:rPr>
      </w:pPr>
    </w:p>
    <w:p w14:paraId="1E952163">
      <w:pPr>
        <w:widowControl/>
        <w:spacing w:line="360" w:lineRule="auto"/>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54898D86">
      <w:pPr>
        <w:pStyle w:val="15"/>
        <w:adjustRightInd w:val="0"/>
        <w:spacing w:line="360" w:lineRule="auto"/>
        <w:ind w:firstLine="452" w:firstLineChars="200"/>
        <w:contextualSpacing/>
        <w:rPr>
          <w:rFonts w:hint="eastAsia"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339DBFD0">
      <w:pPr>
        <w:pStyle w:val="15"/>
        <w:adjustRightInd w:val="0"/>
        <w:spacing w:line="360" w:lineRule="auto"/>
        <w:ind w:firstLine="452" w:firstLineChars="200"/>
        <w:contextualSpacing/>
        <w:rPr>
          <w:rFonts w:hint="eastAsia"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05FCBA7">
      <w:pPr>
        <w:pStyle w:val="15"/>
        <w:spacing w:line="360" w:lineRule="auto"/>
        <w:ind w:firstLine="452" w:firstLineChars="200"/>
        <w:rPr>
          <w:rFonts w:hint="eastAsia"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0CCD79E">
      <w:pPr>
        <w:pStyle w:val="15"/>
        <w:jc w:val="center"/>
        <w:outlineLvl w:val="0"/>
        <w:rPr>
          <w:rFonts w:hint="eastAsia" w:hAnsi="宋体" w:cs="宋体"/>
          <w:b/>
          <w:color w:val="auto"/>
          <w:sz w:val="36"/>
          <w:szCs w:val="36"/>
          <w:highlight w:val="none"/>
        </w:rPr>
      </w:pPr>
      <w:r>
        <w:rPr>
          <w:rFonts w:hint="eastAsia" w:hAnsi="宋体" w:cs="宋体"/>
          <w:color w:val="auto"/>
          <w:szCs w:val="21"/>
          <w:highlight w:val="none"/>
        </w:rPr>
        <w:br w:type="page"/>
      </w:r>
      <w:bookmarkStart w:id="51" w:name="_Toc5815"/>
      <w:bookmarkStart w:id="52" w:name="_Toc1395"/>
      <w:bookmarkStart w:id="53" w:name="_Toc6743"/>
      <w:bookmarkStart w:id="54" w:name="_Toc532545044"/>
      <w:bookmarkStart w:id="55" w:name="_Toc5641"/>
      <w:bookmarkStart w:id="56" w:name="_Toc29575"/>
      <w:bookmarkStart w:id="57" w:name="_Toc30618"/>
      <w:bookmarkStart w:id="58" w:name="_Toc15229"/>
      <w:bookmarkStart w:id="59" w:name="_Toc2394"/>
      <w:bookmarkStart w:id="60" w:name="_Toc8839"/>
      <w:bookmarkStart w:id="61" w:name="_Toc9505"/>
      <w:bookmarkStart w:id="62" w:name="_Toc29880"/>
      <w:r>
        <w:rPr>
          <w:rFonts w:hint="eastAsia" w:hAnsi="宋体" w:cs="宋体"/>
          <w:b/>
          <w:color w:val="auto"/>
          <w:sz w:val="36"/>
          <w:highlight w:val="none"/>
        </w:rPr>
        <w:t>第三章  投标人须知</w:t>
      </w:r>
      <w:bookmarkEnd w:id="51"/>
      <w:bookmarkEnd w:id="52"/>
      <w:bookmarkEnd w:id="53"/>
      <w:bookmarkEnd w:id="54"/>
      <w:bookmarkEnd w:id="55"/>
      <w:bookmarkEnd w:id="56"/>
      <w:bookmarkEnd w:id="57"/>
      <w:bookmarkEnd w:id="58"/>
      <w:bookmarkEnd w:id="59"/>
      <w:bookmarkEnd w:id="60"/>
      <w:bookmarkEnd w:id="61"/>
      <w:bookmarkEnd w:id="62"/>
    </w:p>
    <w:p w14:paraId="78DE7663">
      <w:pPr>
        <w:pStyle w:val="15"/>
        <w:spacing w:line="720" w:lineRule="auto"/>
        <w:jc w:val="center"/>
        <w:outlineLvl w:val="1"/>
        <w:rPr>
          <w:rFonts w:hint="eastAsia" w:hAnsi="宋体" w:cs="宋体"/>
          <w:b/>
          <w:color w:val="auto"/>
          <w:sz w:val="30"/>
          <w:szCs w:val="30"/>
          <w:highlight w:val="none"/>
        </w:rPr>
      </w:pPr>
      <w:bookmarkStart w:id="63" w:name="_Toc12345"/>
      <w:bookmarkStart w:id="64" w:name="_Toc20955"/>
      <w:bookmarkStart w:id="65" w:name="_Toc28990"/>
      <w:bookmarkStart w:id="66" w:name="_Toc992"/>
      <w:bookmarkStart w:id="67" w:name="_Toc2967"/>
      <w:r>
        <w:rPr>
          <w:rFonts w:hint="eastAsia" w:hAnsi="宋体" w:cs="宋体"/>
          <w:b/>
          <w:color w:val="auto"/>
          <w:sz w:val="30"/>
          <w:szCs w:val="30"/>
          <w:highlight w:val="none"/>
        </w:rPr>
        <w:t>第一节 投标人须知前附表</w:t>
      </w:r>
      <w:bookmarkEnd w:id="63"/>
      <w:bookmarkEnd w:id="64"/>
      <w:bookmarkEnd w:id="65"/>
      <w:bookmarkEnd w:id="66"/>
      <w:bookmarkEnd w:id="67"/>
    </w:p>
    <w:tbl>
      <w:tblPr>
        <w:tblStyle w:val="2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3B740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D299E9A">
            <w:pPr>
              <w:keepNext w:val="0"/>
              <w:keepLines w:val="0"/>
              <w:pageBreakBefore w:val="0"/>
              <w:kinsoku/>
              <w:wordWrap/>
              <w:overflowPunct/>
              <w:topLinePunct w:val="0"/>
              <w:bidi w:val="0"/>
              <w:snapToGrid w:val="0"/>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vAlign w:val="center"/>
          </w:tcPr>
          <w:p w14:paraId="34295C4D">
            <w:pPr>
              <w:keepNext w:val="0"/>
              <w:keepLines w:val="0"/>
              <w:pageBreakBefore w:val="0"/>
              <w:kinsoku/>
              <w:wordWrap/>
              <w:overflowPunct/>
              <w:topLinePunct w:val="0"/>
              <w:bidi w:val="0"/>
              <w:snapToGrid w:val="0"/>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5088705B">
            <w:pPr>
              <w:keepNext w:val="0"/>
              <w:keepLines w:val="0"/>
              <w:pageBreakBefore w:val="0"/>
              <w:kinsoku/>
              <w:wordWrap/>
              <w:overflowPunct/>
              <w:topLinePunct w:val="0"/>
              <w:bidi w:val="0"/>
              <w:snapToGrid w:val="0"/>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编列内容</w:t>
            </w:r>
          </w:p>
        </w:tc>
      </w:tr>
      <w:tr w14:paraId="0A40E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3ED85F4">
            <w:pPr>
              <w:keepNext w:val="0"/>
              <w:keepLines w:val="0"/>
              <w:pageBreakBefore w:val="0"/>
              <w:kinsoku/>
              <w:wordWrap/>
              <w:overflowPunct/>
              <w:topLinePunct w:val="0"/>
              <w:bidi w:val="0"/>
              <w:spacing w:line="3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083" w:type="dxa"/>
            <w:tcBorders>
              <w:top w:val="single" w:color="auto" w:sz="4" w:space="0"/>
              <w:left w:val="single" w:color="auto" w:sz="4" w:space="0"/>
              <w:bottom w:val="single" w:color="auto" w:sz="4" w:space="0"/>
              <w:right w:val="single" w:color="auto" w:sz="4" w:space="0"/>
            </w:tcBorders>
            <w:vAlign w:val="center"/>
          </w:tcPr>
          <w:p w14:paraId="5C7A9665">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14:paraId="420140B4">
            <w:pPr>
              <w:pStyle w:val="10"/>
              <w:keepNext w:val="0"/>
              <w:keepLines w:val="0"/>
              <w:pageBreakBefore w:val="0"/>
              <w:kinsoku/>
              <w:wordWrap/>
              <w:overflowPunct/>
              <w:topLinePunct w:val="0"/>
              <w:bidi w:val="0"/>
              <w:spacing w:line="3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详见招标公告。</w:t>
            </w:r>
          </w:p>
        </w:tc>
      </w:tr>
      <w:tr w14:paraId="6EA54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61A5421">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6.1</w:t>
            </w:r>
          </w:p>
        </w:tc>
        <w:tc>
          <w:tcPr>
            <w:tcW w:w="2083" w:type="dxa"/>
            <w:tcBorders>
              <w:top w:val="single" w:color="auto" w:sz="4" w:space="0"/>
              <w:left w:val="single" w:color="auto" w:sz="4" w:space="0"/>
              <w:bottom w:val="single" w:color="auto" w:sz="4" w:space="0"/>
              <w:right w:val="single" w:color="auto" w:sz="4" w:space="0"/>
            </w:tcBorders>
            <w:vAlign w:val="center"/>
          </w:tcPr>
          <w:p w14:paraId="65C9F42C">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68" w:name="_8.1"/>
            <w:bookmarkEnd w:id="68"/>
            <w:bookmarkStart w:id="69" w:name="_5"/>
            <w:bookmarkEnd w:id="69"/>
            <w:bookmarkStart w:id="70" w:name="_9.2"/>
            <w:bookmarkEnd w:id="70"/>
            <w:r>
              <w:rPr>
                <w:rFonts w:hint="eastAsia" w:ascii="宋体" w:hAnsi="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2DC3C7B7">
            <w:pPr>
              <w:pStyle w:val="10"/>
              <w:keepNext w:val="0"/>
              <w:keepLines w:val="0"/>
              <w:pageBreakBefore w:val="0"/>
              <w:kinsoku/>
              <w:wordWrap/>
              <w:overflowPunct/>
              <w:topLinePunct w:val="0"/>
              <w:bidi w:val="0"/>
              <w:spacing w:line="360" w:lineRule="exact"/>
              <w:jc w:val="both"/>
              <w:rPr>
                <w:rFonts w:hint="eastAsia" w:ascii="宋体" w:hAnsi="宋体" w:cs="宋体"/>
                <w:color w:val="auto"/>
                <w:sz w:val="21"/>
                <w:szCs w:val="21"/>
                <w:highlight w:val="none"/>
              </w:rPr>
            </w:pPr>
            <w:bookmarkStart w:id="71" w:name="PO_3000001867_PM007_1"/>
            <w:r>
              <w:rPr>
                <w:rFonts w:hint="eastAsia" w:ascii="宋体" w:hAnsi="宋体" w:cs="宋体"/>
                <w:color w:val="auto"/>
                <w:sz w:val="21"/>
                <w:szCs w:val="21"/>
                <w:highlight w:val="none"/>
              </w:rPr>
              <w:t>详见招标公告</w:t>
            </w:r>
            <w:bookmarkEnd w:id="71"/>
            <w:r>
              <w:rPr>
                <w:rFonts w:hint="eastAsia" w:ascii="宋体" w:hAnsi="宋体" w:cs="宋体"/>
                <w:color w:val="auto"/>
                <w:sz w:val="21"/>
                <w:szCs w:val="21"/>
                <w:highlight w:val="none"/>
              </w:rPr>
              <w:t>。</w:t>
            </w:r>
          </w:p>
        </w:tc>
      </w:tr>
      <w:tr w14:paraId="1BA0D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031173E8">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6.2</w:t>
            </w:r>
          </w:p>
        </w:tc>
        <w:tc>
          <w:tcPr>
            <w:tcW w:w="2083" w:type="dxa"/>
            <w:tcBorders>
              <w:top w:val="single" w:color="auto" w:sz="4" w:space="0"/>
              <w:left w:val="single" w:color="auto" w:sz="4" w:space="0"/>
              <w:bottom w:val="single" w:color="auto" w:sz="4" w:space="0"/>
              <w:right w:val="single" w:color="auto" w:sz="4" w:space="0"/>
            </w:tcBorders>
            <w:vAlign w:val="center"/>
          </w:tcPr>
          <w:p w14:paraId="04FFA97B">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19BB5CC6">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无。</w:t>
            </w:r>
          </w:p>
        </w:tc>
      </w:tr>
      <w:tr w14:paraId="43EE7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BC84001">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7.2</w:t>
            </w:r>
          </w:p>
        </w:tc>
        <w:tc>
          <w:tcPr>
            <w:tcW w:w="2083" w:type="dxa"/>
            <w:tcBorders>
              <w:top w:val="single" w:color="auto" w:sz="4" w:space="0"/>
              <w:left w:val="single" w:color="auto" w:sz="4" w:space="0"/>
              <w:bottom w:val="single" w:color="auto" w:sz="4" w:space="0"/>
              <w:right w:val="single" w:color="auto" w:sz="4" w:space="0"/>
            </w:tcBorders>
            <w:vAlign w:val="center"/>
          </w:tcPr>
          <w:p w14:paraId="45CC9CC0">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14:paraId="2AD69AB9">
            <w:pPr>
              <w:keepNext w:val="0"/>
              <w:keepLines w:val="0"/>
              <w:pageBreakBefore w:val="0"/>
              <w:kinsoku/>
              <w:wordWrap/>
              <w:overflowPunct/>
              <w:topLinePunct w:val="0"/>
              <w:bidi w:val="0"/>
              <w:spacing w:line="360" w:lineRule="exact"/>
              <w:jc w:val="left"/>
              <w:rPr>
                <w:rFonts w:hint="eastAsia" w:ascii="宋体" w:hAnsi="宋体" w:cs="宋体"/>
                <w:color w:val="auto"/>
                <w:sz w:val="21"/>
                <w:szCs w:val="21"/>
                <w:highlight w:val="none"/>
              </w:rPr>
            </w:pPr>
            <w:bookmarkStart w:id="72" w:name="PO_3000001871_PM044"/>
            <w:bookmarkStart w:id="73" w:name="PO_3000001867_PM044"/>
            <w:r>
              <w:rPr>
                <w:rFonts w:hint="eastAsia" w:ascii="宋体" w:hAnsi="宋体" w:cs="宋体"/>
                <w:color w:val="auto"/>
                <w:sz w:val="21"/>
                <w:szCs w:val="21"/>
                <w:highlight w:val="none"/>
              </w:rPr>
              <w:t>☑不允许分包</w:t>
            </w:r>
            <w:bookmarkEnd w:id="72"/>
            <w:r>
              <w:rPr>
                <w:rFonts w:hint="eastAsia" w:ascii="宋体" w:hAnsi="宋体" w:cs="宋体"/>
                <w:color w:val="auto"/>
                <w:sz w:val="21"/>
                <w:szCs w:val="21"/>
                <w:highlight w:val="none"/>
              </w:rPr>
              <w:t>。</w:t>
            </w:r>
          </w:p>
          <w:p w14:paraId="71F91727">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□允许分包：</w:t>
            </w:r>
          </w:p>
          <w:bookmarkEnd w:id="73"/>
          <w:p w14:paraId="4148BFD9">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分包内容：</w:t>
            </w:r>
            <w:r>
              <w:rPr>
                <w:rFonts w:hint="eastAsia" w:ascii="宋体" w:hAnsi="宋体" w:cs="宋体"/>
                <w:color w:val="auto"/>
                <w:sz w:val="21"/>
                <w:szCs w:val="21"/>
                <w:highlight w:val="none"/>
                <w:u w:val="single"/>
              </w:rPr>
              <w:t xml:space="preserve">                                     。</w:t>
            </w:r>
          </w:p>
          <w:p w14:paraId="50B20A4B">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分包金额或者比例：</w:t>
            </w:r>
            <w:r>
              <w:rPr>
                <w:rFonts w:hint="eastAsia" w:ascii="宋体" w:hAnsi="宋体" w:cs="宋体"/>
                <w:color w:val="auto"/>
                <w:sz w:val="21"/>
                <w:szCs w:val="21"/>
                <w:highlight w:val="none"/>
                <w:u w:val="single"/>
              </w:rPr>
              <w:t xml:space="preserve">                                     。</w:t>
            </w:r>
          </w:p>
        </w:tc>
      </w:tr>
      <w:tr w14:paraId="2E1FA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14:paraId="39FE1954">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8.4</w:t>
            </w:r>
          </w:p>
          <w:p w14:paraId="13C59B15">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p>
        </w:tc>
        <w:tc>
          <w:tcPr>
            <w:tcW w:w="2083" w:type="dxa"/>
            <w:tcBorders>
              <w:top w:val="single" w:color="auto" w:sz="4" w:space="0"/>
              <w:left w:val="single" w:color="auto" w:sz="4" w:space="0"/>
              <w:right w:val="single" w:color="auto" w:sz="4" w:space="0"/>
            </w:tcBorders>
            <w:vAlign w:val="center"/>
          </w:tcPr>
          <w:p w14:paraId="481CC648">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提供相同品牌产品且通过资格审查、符合性审查的不同投标人参加同一合同项下投标的</w:t>
            </w:r>
            <w:r>
              <w:rPr>
                <w:rFonts w:hint="eastAsia"/>
                <w:color w:val="auto"/>
                <w:sz w:val="21"/>
                <w:szCs w:val="21"/>
                <w:highlight w:val="none"/>
              </w:rPr>
              <w:t>获得参加评标资格的投标人或获得中标人推荐资格的</w:t>
            </w:r>
            <w:r>
              <w:rPr>
                <w:rFonts w:hint="eastAsia" w:ascii="宋体" w:hAnsi="宋体" w:cs="宋体"/>
                <w:color w:val="auto"/>
                <w:sz w:val="21"/>
                <w:szCs w:val="21"/>
                <w:highlight w:val="none"/>
              </w:rPr>
              <w:t>确定方式</w:t>
            </w:r>
          </w:p>
        </w:tc>
        <w:tc>
          <w:tcPr>
            <w:tcW w:w="7297" w:type="dxa"/>
            <w:tcBorders>
              <w:top w:val="single" w:color="auto" w:sz="4" w:space="0"/>
              <w:left w:val="single" w:color="auto" w:sz="4" w:space="0"/>
              <w:right w:val="single" w:color="auto" w:sz="4" w:space="0"/>
            </w:tcBorders>
            <w:vAlign w:val="center"/>
          </w:tcPr>
          <w:p w14:paraId="032889E2">
            <w:pPr>
              <w:pStyle w:val="15"/>
              <w:keepNext w:val="0"/>
              <w:keepLines w:val="0"/>
              <w:pageBreakBefore w:val="0"/>
              <w:kinsoku/>
              <w:wordWrap/>
              <w:overflowPunct/>
              <w:topLinePunct w:val="0"/>
              <w:bidi w:val="0"/>
              <w:spacing w:line="360" w:lineRule="exact"/>
              <w:rPr>
                <w:rFonts w:hint="eastAsia" w:hAnsi="宋体" w:cs="宋体"/>
                <w:color w:val="auto"/>
                <w:sz w:val="21"/>
                <w:szCs w:val="21"/>
                <w:highlight w:val="none"/>
              </w:rPr>
            </w:pPr>
            <w:r>
              <w:rPr>
                <w:rFonts w:hint="eastAsia" w:hAnsi="宋体" w:cs="宋体"/>
                <w:color w:val="auto"/>
                <w:sz w:val="21"/>
                <w:szCs w:val="21"/>
                <w:highlight w:val="none"/>
              </w:rPr>
              <w:t>□随机抽取（采用最低评标价法，投标报价相同时；采用综合评分法，评审得分相同时。）</w:t>
            </w:r>
          </w:p>
          <w:p w14:paraId="4D5F9DB1">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ascii="Segoe UI Symbol" w:hAnsi="Segoe UI Symbol" w:cs="Segoe UI Symbol"/>
                <w:color w:val="auto"/>
                <w:sz w:val="21"/>
                <w:szCs w:val="21"/>
                <w:highlight w:val="none"/>
              </w:rPr>
              <w:t>☑</w:t>
            </w:r>
            <w:r>
              <w:rPr>
                <w:rFonts w:hint="eastAsia" w:ascii="宋体" w:hAnsi="宋体" w:cs="宋体"/>
                <w:color w:val="auto"/>
                <w:sz w:val="21"/>
                <w:szCs w:val="21"/>
                <w:highlight w:val="none"/>
              </w:rPr>
              <w:t>其他方式：</w:t>
            </w:r>
          </w:p>
          <w:p w14:paraId="221572ED">
            <w:pPr>
              <w:pStyle w:val="10"/>
              <w:keepNext w:val="0"/>
              <w:keepLines w:val="0"/>
              <w:pageBreakBefore w:val="0"/>
              <w:kinsoku/>
              <w:wordWrap/>
              <w:overflowPunct/>
              <w:topLinePunct w:val="0"/>
              <w:bidi w:val="0"/>
              <w:spacing w:line="360" w:lineRule="exact"/>
              <w:rPr>
                <w:rFonts w:hint="eastAsia" w:hAnsi="宋体" w:cs="宋体"/>
                <w:color w:val="auto"/>
                <w:sz w:val="21"/>
                <w:szCs w:val="21"/>
                <w:highlight w:val="none"/>
              </w:rPr>
            </w:pPr>
            <w:r>
              <w:rPr>
                <w:rFonts w:ascii="Segoe UI Symbol" w:hAnsi="Segoe UI Symbol" w:cs="Segoe UI Symbol"/>
                <w:color w:val="auto"/>
                <w:sz w:val="21"/>
                <w:szCs w:val="21"/>
                <w:highlight w:val="none"/>
              </w:rPr>
              <w:t>☑</w:t>
            </w:r>
            <w:r>
              <w:rPr>
                <w:rFonts w:hint="eastAsia" w:ascii="宋体" w:hAnsi="宋体" w:cs="宋体"/>
                <w:b/>
                <w:bCs/>
                <w:color w:val="auto"/>
                <w:sz w:val="21"/>
                <w:szCs w:val="21"/>
                <w:highlight w:val="none"/>
              </w:rPr>
              <w:t>采用综合评分法，</w:t>
            </w:r>
            <w:r>
              <w:rPr>
                <w:rFonts w:hint="eastAsia" w:ascii="宋体" w:hAnsi="宋体" w:cs="宋体"/>
                <w:color w:val="auto"/>
                <w:sz w:val="21"/>
                <w:szCs w:val="21"/>
                <w:highlight w:val="none"/>
              </w:rPr>
              <w:t>评审得分相同时</w:t>
            </w:r>
            <w:r>
              <w:rPr>
                <w:rFonts w:hint="eastAsia" w:hAnsi="宋体" w:cs="宋体"/>
                <w:color w:val="auto"/>
                <w:sz w:val="21"/>
                <w:szCs w:val="21"/>
                <w:highlight w:val="none"/>
              </w:rPr>
              <w:t>，</w:t>
            </w:r>
            <w:r>
              <w:rPr>
                <w:rFonts w:hint="eastAsia" w:ascii="宋体" w:hAnsi="宋体" w:cs="宋体"/>
                <w:color w:val="auto"/>
                <w:sz w:val="21"/>
                <w:szCs w:val="21"/>
                <w:highlight w:val="none"/>
              </w:rPr>
              <w:t>投标总报价低的获得推荐资格</w:t>
            </w:r>
            <w:r>
              <w:rPr>
                <w:rFonts w:hint="eastAsia" w:hAnsi="宋体" w:cs="宋体"/>
                <w:color w:val="auto"/>
                <w:sz w:val="21"/>
                <w:szCs w:val="21"/>
                <w:highlight w:val="none"/>
              </w:rPr>
              <w:t>，</w:t>
            </w:r>
            <w:r>
              <w:rPr>
                <w:rFonts w:hint="eastAsia" w:ascii="宋体" w:hAnsi="宋体" w:cs="宋体"/>
                <w:color w:val="auto"/>
                <w:sz w:val="21"/>
                <w:szCs w:val="21"/>
                <w:highlight w:val="none"/>
              </w:rPr>
              <w:t>评审得分</w:t>
            </w:r>
            <w:r>
              <w:rPr>
                <w:rFonts w:hint="eastAsia" w:hAnsi="宋体" w:cs="宋体"/>
                <w:color w:val="auto"/>
                <w:sz w:val="21"/>
                <w:szCs w:val="21"/>
                <w:highlight w:val="none"/>
              </w:rPr>
              <w:t>、投标总报价均相同时，由采购人随机抽取。</w:t>
            </w:r>
          </w:p>
          <w:p w14:paraId="7C550A75">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采用最低评标价法，</w:t>
            </w:r>
            <w:r>
              <w:rPr>
                <w:rFonts w:hint="eastAsia" w:ascii="宋体" w:hAnsi="宋体" w:cs="宋体"/>
                <w:color w:val="auto"/>
                <w:sz w:val="21"/>
                <w:szCs w:val="21"/>
                <w:highlight w:val="none"/>
              </w:rPr>
              <w:t>投标总报价相同</w:t>
            </w:r>
            <w:r>
              <w:rPr>
                <w:rFonts w:hint="eastAsia" w:hAnsi="宋体" w:cs="宋体"/>
                <w:color w:val="auto"/>
                <w:sz w:val="21"/>
                <w:szCs w:val="21"/>
                <w:highlight w:val="none"/>
              </w:rPr>
              <w:t>时</w:t>
            </w:r>
            <w:r>
              <w:rPr>
                <w:rFonts w:hint="eastAsia" w:ascii="宋体" w:hAnsi="宋体" w:cs="宋体"/>
                <w:color w:val="auto"/>
                <w:sz w:val="21"/>
                <w:szCs w:val="21"/>
                <w:highlight w:val="none"/>
              </w:rPr>
              <w:t>，由采购人随机抽取。</w:t>
            </w:r>
          </w:p>
        </w:tc>
      </w:tr>
      <w:tr w14:paraId="7C94B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3EA7E323">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11.4</w:t>
            </w:r>
          </w:p>
        </w:tc>
        <w:tc>
          <w:tcPr>
            <w:tcW w:w="2083" w:type="dxa"/>
            <w:tcBorders>
              <w:top w:val="single" w:color="auto" w:sz="4" w:space="0"/>
              <w:left w:val="single" w:color="auto" w:sz="4" w:space="0"/>
              <w:bottom w:val="single" w:color="auto" w:sz="4" w:space="0"/>
              <w:right w:val="single" w:color="auto" w:sz="4" w:space="0"/>
            </w:tcBorders>
            <w:vAlign w:val="center"/>
          </w:tcPr>
          <w:p w14:paraId="7D3FD94C">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67FC9DC3">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 w:val="21"/>
                <w:szCs w:val="21"/>
                <w:highlight w:val="none"/>
              </w:rPr>
              <w:t>。</w:t>
            </w:r>
          </w:p>
        </w:tc>
      </w:tr>
      <w:tr w14:paraId="37F07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0ED2608">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11.5</w:t>
            </w:r>
          </w:p>
        </w:tc>
        <w:tc>
          <w:tcPr>
            <w:tcW w:w="2083" w:type="dxa"/>
            <w:tcBorders>
              <w:top w:val="single" w:color="auto" w:sz="4" w:space="0"/>
              <w:left w:val="single" w:color="auto" w:sz="4" w:space="0"/>
              <w:bottom w:val="single" w:color="auto" w:sz="4" w:space="0"/>
              <w:right w:val="single" w:color="auto" w:sz="4" w:space="0"/>
            </w:tcBorders>
            <w:vAlign w:val="center"/>
          </w:tcPr>
          <w:p w14:paraId="0B974D0C">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4C1718B0">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ascii="Segoe UI Symbol" w:hAnsi="Segoe UI Symbol" w:cs="Segoe UI Symbol"/>
                <w:color w:val="auto"/>
                <w:sz w:val="21"/>
                <w:szCs w:val="21"/>
                <w:highlight w:val="none"/>
              </w:rPr>
              <w:t>☑</w:t>
            </w:r>
            <w:r>
              <w:rPr>
                <w:rFonts w:hint="eastAsia" w:ascii="宋体" w:hAnsi="宋体" w:cs="宋体"/>
                <w:color w:val="auto"/>
                <w:sz w:val="21"/>
                <w:szCs w:val="21"/>
                <w:highlight w:val="none"/>
              </w:rPr>
              <w:t>不组织召开开标前答疑会</w:t>
            </w:r>
          </w:p>
          <w:p w14:paraId="606DDBBB">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□组织召开开标前答疑会</w:t>
            </w:r>
          </w:p>
          <w:p w14:paraId="68690B80">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会议开始时间：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日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分</w:t>
            </w:r>
            <w:r>
              <w:rPr>
                <w:rFonts w:hint="eastAsia" w:ascii="宋体" w:hAnsi="宋体" w:cs="宋体"/>
                <w:color w:val="auto"/>
                <w:sz w:val="21"/>
                <w:szCs w:val="21"/>
                <w:highlight w:val="none"/>
              </w:rPr>
              <w:t>，逾期后果自负。会议地点：</w:t>
            </w:r>
            <w:r>
              <w:rPr>
                <w:rFonts w:hint="eastAsia" w:ascii="宋体" w:hAnsi="宋体" w:cs="宋体"/>
                <w:color w:val="auto"/>
                <w:sz w:val="21"/>
                <w:szCs w:val="21"/>
                <w:highlight w:val="none"/>
                <w:u w:val="single"/>
              </w:rPr>
              <w:t xml:space="preserve">              </w:t>
            </w:r>
          </w:p>
        </w:tc>
      </w:tr>
      <w:tr w14:paraId="158CD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2DBD1E83">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13.1</w:t>
            </w:r>
          </w:p>
        </w:tc>
        <w:tc>
          <w:tcPr>
            <w:tcW w:w="2083" w:type="dxa"/>
            <w:tcBorders>
              <w:top w:val="single" w:color="auto" w:sz="4" w:space="0"/>
              <w:left w:val="single" w:color="auto" w:sz="4" w:space="0"/>
              <w:bottom w:val="single" w:color="auto" w:sz="4" w:space="0"/>
              <w:right w:val="single" w:color="auto" w:sz="4" w:space="0"/>
            </w:tcBorders>
            <w:vAlign w:val="center"/>
          </w:tcPr>
          <w:p w14:paraId="5BDE088C">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bookmarkStart w:id="74" w:name="_13.2"/>
            <w:bookmarkEnd w:id="74"/>
            <w:r>
              <w:rPr>
                <w:rFonts w:hint="eastAsia" w:ascii="宋体" w:hAnsi="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DC8471C">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1、投标人为法人或者其他组织的，提供营业执照等证明文件复印件（如营业执照或者事业单位法人证书或者</w:t>
            </w:r>
            <w:r>
              <w:rPr>
                <w:rStyle w:val="43"/>
                <w:rFonts w:hint="eastAsia"/>
                <w:color w:val="auto"/>
                <w:sz w:val="21"/>
                <w:szCs w:val="21"/>
                <w:highlight w:val="none"/>
              </w:rPr>
              <w:t>执业许可证</w:t>
            </w:r>
            <w:r>
              <w:rPr>
                <w:rFonts w:hint="eastAsia" w:ascii="宋体" w:hAnsi="宋体" w:cs="宋体"/>
                <w:color w:val="auto"/>
                <w:sz w:val="21"/>
                <w:szCs w:val="21"/>
                <w:highlight w:val="none"/>
              </w:rPr>
              <w:t>等），投标人为自然人的，提供有效身份证正反面复印件。（</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1FEB4FDD">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75" w:name="OLE_LINK48"/>
            <w:r>
              <w:rPr>
                <w:rFonts w:hint="eastAsia" w:ascii="宋体" w:hAnsi="宋体" w:cs="宋体"/>
                <w:color w:val="auto"/>
                <w:sz w:val="21"/>
                <w:szCs w:val="21"/>
                <w:highlight w:val="none"/>
              </w:rPr>
              <w:t>2、投标人依法缴纳税收的相关材料（提供税款所属时期为</w:t>
            </w:r>
            <w:bookmarkStart w:id="76" w:name="OLE_LINK2"/>
            <w:r>
              <w:rPr>
                <w:rFonts w:hint="eastAsia" w:ascii="宋体" w:hAnsi="宋体" w:cs="宋体"/>
                <w:color w:val="auto"/>
                <w:sz w:val="21"/>
                <w:szCs w:val="21"/>
                <w:highlight w:val="none"/>
              </w:rPr>
              <w:t>2025年1月</w:t>
            </w:r>
            <w:bookmarkEnd w:id="76"/>
            <w:r>
              <w:rPr>
                <w:rFonts w:hint="eastAsia" w:ascii="宋体" w:hAnsi="宋体" w:cs="宋体"/>
                <w:color w:val="auto"/>
                <w:sz w:val="21"/>
                <w:szCs w:val="21"/>
                <w:highlight w:val="none"/>
              </w:rPr>
              <w:t>至投标文件提交截止时间止的任意一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bCs/>
                <w:color w:val="auto"/>
                <w:sz w:val="21"/>
                <w:szCs w:val="21"/>
                <w:highlight w:val="none"/>
              </w:rPr>
              <w:t>（必须提供，否则作无效投标处理）</w:t>
            </w:r>
          </w:p>
          <w:bookmarkEnd w:id="75"/>
          <w:p w14:paraId="3DA97E61">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投标人依法缴纳社会保障资金的相关材料（提供税款所属时期或缴费起始时间为2025年1月至投标文件提交截止时间止的任意一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bCs/>
                <w:color w:val="auto"/>
                <w:sz w:val="21"/>
                <w:szCs w:val="21"/>
                <w:highlight w:val="none"/>
              </w:rPr>
              <w:t>（必须提供，否则作无效投标处理）</w:t>
            </w:r>
          </w:p>
          <w:p w14:paraId="17A2CF2A">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hAnsi="宋体" w:cs="宋体"/>
                <w:b/>
                <w:bCs/>
                <w:color w:val="auto"/>
                <w:sz w:val="21"/>
                <w:szCs w:val="21"/>
                <w:highlight w:val="none"/>
              </w:rPr>
              <w:t>（必须提供，否则作无效投标处理）</w:t>
            </w:r>
          </w:p>
          <w:p w14:paraId="0E68A0DC">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5、本项目的特定资格要求： 投标人为投标产品经营企业的，</w:t>
            </w:r>
            <w:r>
              <w:rPr>
                <w:rFonts w:hint="eastAsia"/>
                <w:color w:val="auto"/>
                <w:sz w:val="21"/>
                <w:szCs w:val="21"/>
                <w:highlight w:val="none"/>
              </w:rPr>
              <w:t>提供</w:t>
            </w:r>
            <w:r>
              <w:rPr>
                <w:rFonts w:hint="eastAsia" w:ascii="宋体" w:hAnsi="宋体" w:cs="宋体"/>
                <w:color w:val="auto"/>
                <w:sz w:val="21"/>
                <w:szCs w:val="21"/>
                <w:highlight w:val="none"/>
              </w:rPr>
              <w:t>有效的第二类医疗器械经营许可证的复印件；投标人为投标产品生产企业的，</w:t>
            </w:r>
            <w:r>
              <w:rPr>
                <w:rFonts w:hint="eastAsia"/>
                <w:color w:val="auto"/>
                <w:sz w:val="21"/>
                <w:szCs w:val="21"/>
                <w:highlight w:val="none"/>
              </w:rPr>
              <w:t>提供</w:t>
            </w:r>
            <w:r>
              <w:rPr>
                <w:rFonts w:hint="eastAsia" w:ascii="宋体" w:hAnsi="宋体" w:cs="宋体"/>
                <w:color w:val="auto"/>
                <w:sz w:val="21"/>
                <w:szCs w:val="21"/>
                <w:highlight w:val="none"/>
              </w:rPr>
              <w:t>有效的第二类医疗器械生产许可证的复印件。（</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3E939139">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6、声明函</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214F7235">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7、联合体投标协议书</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联合体投标时必须提供，否则作无效投标处理</w:t>
            </w:r>
            <w:r>
              <w:rPr>
                <w:rFonts w:hint="eastAsia" w:ascii="宋体" w:hAnsi="宋体" w:cs="宋体"/>
                <w:color w:val="auto"/>
                <w:sz w:val="21"/>
                <w:szCs w:val="21"/>
                <w:highlight w:val="none"/>
              </w:rPr>
              <w:t>）</w:t>
            </w:r>
          </w:p>
          <w:p w14:paraId="5E158A8D">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8、除招标文件规定必须提供以外，投标人认为需要提供的其他证明材料</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40D9CDFC">
            <w:pPr>
              <w:keepNext w:val="0"/>
              <w:keepLines w:val="0"/>
              <w:pageBreakBefore w:val="0"/>
              <w:kinsoku/>
              <w:wordWrap/>
              <w:overflowPunct/>
              <w:topLinePunct w:val="0"/>
              <w:bidi w:val="0"/>
              <w:snapToGrid w:val="0"/>
              <w:spacing w:line="360" w:lineRule="exact"/>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注：1.</w:t>
            </w: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以上标明“必须提供”的材料</w:t>
            </w:r>
            <w:r>
              <w:rPr>
                <w:rFonts w:hint="eastAsia" w:ascii="宋体" w:hAnsi="宋体" w:cs="宋体"/>
                <w:b/>
                <w:color w:val="auto"/>
                <w:sz w:val="21"/>
                <w:szCs w:val="21"/>
                <w:highlight w:val="none"/>
              </w:rPr>
              <w:t>属于复印件的扫描件的</w:t>
            </w:r>
            <w:r>
              <w:rPr>
                <w:rFonts w:hint="eastAsia" w:ascii="宋体" w:hAnsi="宋体" w:cs="宋体"/>
                <w:b/>
                <w:bCs/>
                <w:color w:val="auto"/>
                <w:sz w:val="21"/>
                <w:szCs w:val="21"/>
                <w:highlight w:val="none"/>
              </w:rPr>
              <w:t>，必须加盖投标人公章，否则</w:t>
            </w:r>
            <w:r>
              <w:rPr>
                <w:rFonts w:hint="eastAsia" w:ascii="宋体" w:hAnsi="宋体" w:cs="宋体"/>
                <w:b/>
                <w:color w:val="auto"/>
                <w:sz w:val="21"/>
                <w:szCs w:val="21"/>
                <w:highlight w:val="none"/>
              </w:rPr>
              <w:t>作无效投标处理。</w:t>
            </w:r>
          </w:p>
          <w:p w14:paraId="59D9F0E6">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cs="宋体"/>
                <w:b/>
                <w:bCs/>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bCs/>
                <w:color w:val="auto"/>
                <w:sz w:val="21"/>
                <w:szCs w:val="21"/>
                <w:highlight w:val="none"/>
              </w:rPr>
              <w:t>.联合体投标时，第1-5项资格证明文件联合体各方均必须分别提供，联合体各方分别盖章，否则投标文件作无效投标处理。</w:t>
            </w:r>
          </w:p>
        </w:tc>
      </w:tr>
      <w:tr w14:paraId="403B3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2D59CA75">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2FE419AD">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bookmarkStart w:id="77" w:name="_13.3"/>
            <w:bookmarkEnd w:id="77"/>
            <w:r>
              <w:rPr>
                <w:rFonts w:hint="eastAsia" w:ascii="宋体" w:hAnsi="宋体" w:cs="宋体"/>
                <w:color w:val="auto"/>
                <w:sz w:val="21"/>
                <w:szCs w:val="21"/>
                <w:highlight w:val="none"/>
              </w:rPr>
              <w:t>商务文件组成</w:t>
            </w:r>
          </w:p>
          <w:p w14:paraId="5022AF8A">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3EBBD5E6">
            <w:pPr>
              <w:keepNext w:val="0"/>
              <w:keepLines w:val="0"/>
              <w:pageBreakBefore w:val="0"/>
              <w:numPr>
                <w:ilvl w:val="0"/>
                <w:numId w:val="2"/>
              </w:numPr>
              <w:kinsoku/>
              <w:wordWrap/>
              <w:overflowPunct/>
              <w:topLinePunct w:val="0"/>
              <w:bidi w:val="0"/>
              <w:adjustRightInd w:val="0"/>
              <w:snapToGrid w:val="0"/>
              <w:spacing w:line="360" w:lineRule="exact"/>
              <w:ind w:firstLine="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无串通投标行为的承诺函</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52A68BCB">
            <w:pPr>
              <w:keepNext w:val="0"/>
              <w:keepLines w:val="0"/>
              <w:pageBreakBefore w:val="0"/>
              <w:numPr>
                <w:ilvl w:val="0"/>
                <w:numId w:val="2"/>
              </w:numPr>
              <w:kinsoku/>
              <w:wordWrap/>
              <w:overflowPunct/>
              <w:topLinePunct w:val="0"/>
              <w:bidi w:val="0"/>
              <w:adjustRightInd w:val="0"/>
              <w:snapToGrid w:val="0"/>
              <w:spacing w:line="360" w:lineRule="exact"/>
              <w:ind w:firstLine="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法定代表人身份证明及法定代表人有效身份证正反面复印件</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除自然人投标外</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4DDACEAC">
            <w:pPr>
              <w:keepNext w:val="0"/>
              <w:keepLines w:val="0"/>
              <w:pageBreakBefore w:val="0"/>
              <w:numPr>
                <w:ilvl w:val="0"/>
                <w:numId w:val="2"/>
              </w:numPr>
              <w:kinsoku/>
              <w:wordWrap/>
              <w:overflowPunct/>
              <w:topLinePunct w:val="0"/>
              <w:bidi w:val="0"/>
              <w:adjustRightInd w:val="0"/>
              <w:snapToGrid w:val="0"/>
              <w:spacing w:line="360" w:lineRule="exact"/>
              <w:ind w:firstLine="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法定代表人授权委托书及委托代理人有效身份证正反面复印件</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委托时必须提供，否则作无效投标处理</w:t>
            </w:r>
            <w:r>
              <w:rPr>
                <w:rFonts w:hint="eastAsia" w:ascii="宋体" w:hAnsi="宋体" w:cs="宋体"/>
                <w:color w:val="auto"/>
                <w:sz w:val="21"/>
                <w:szCs w:val="21"/>
                <w:highlight w:val="none"/>
              </w:rPr>
              <w:t>）</w:t>
            </w:r>
          </w:p>
          <w:p w14:paraId="4E50D7C0">
            <w:pPr>
              <w:keepNext w:val="0"/>
              <w:keepLines w:val="0"/>
              <w:pageBreakBefore w:val="0"/>
              <w:numPr>
                <w:ilvl w:val="0"/>
                <w:numId w:val="2"/>
              </w:numPr>
              <w:kinsoku/>
              <w:wordWrap/>
              <w:overflowPunct/>
              <w:topLinePunct w:val="0"/>
              <w:bidi w:val="0"/>
              <w:adjustRightInd w:val="0"/>
              <w:snapToGrid w:val="0"/>
              <w:spacing w:line="360" w:lineRule="exact"/>
              <w:ind w:firstLine="0"/>
              <w:jc w:val="left"/>
              <w:rPr>
                <w:rFonts w:hint="eastAsia" w:ascii="宋体" w:hAnsi="宋体" w:cs="宋体"/>
                <w:color w:val="auto"/>
                <w:sz w:val="21"/>
                <w:szCs w:val="21"/>
                <w:highlight w:val="none"/>
              </w:rPr>
            </w:pPr>
            <w:r>
              <w:rPr>
                <w:rFonts w:hint="eastAsia"/>
                <w:color w:val="auto"/>
                <w:sz w:val="21"/>
                <w:szCs w:val="21"/>
                <w:highlight w:val="none"/>
              </w:rPr>
              <w:t>投标保证金提交凭证；</w:t>
            </w:r>
            <w:r>
              <w:rPr>
                <w:rFonts w:hint="eastAsia"/>
                <w:b/>
                <w:bCs/>
                <w:color w:val="auto"/>
                <w:sz w:val="21"/>
                <w:szCs w:val="21"/>
                <w:highlight w:val="none"/>
              </w:rPr>
              <w:t>（必须提供，否则作无效投标处理）</w:t>
            </w:r>
          </w:p>
          <w:p w14:paraId="57B8838C">
            <w:pPr>
              <w:keepNext w:val="0"/>
              <w:keepLines w:val="0"/>
              <w:pageBreakBefore w:val="0"/>
              <w:numPr>
                <w:ilvl w:val="0"/>
                <w:numId w:val="2"/>
              </w:numPr>
              <w:kinsoku/>
              <w:wordWrap/>
              <w:overflowPunct/>
              <w:topLinePunct w:val="0"/>
              <w:bidi w:val="0"/>
              <w:adjustRightInd w:val="0"/>
              <w:snapToGrid w:val="0"/>
              <w:spacing w:line="360" w:lineRule="exact"/>
              <w:ind w:firstLine="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商务条款偏离表</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01022ECA">
            <w:pPr>
              <w:keepNext w:val="0"/>
              <w:keepLines w:val="0"/>
              <w:pageBreakBefore w:val="0"/>
              <w:numPr>
                <w:ilvl w:val="0"/>
                <w:numId w:val="2"/>
              </w:numPr>
              <w:kinsoku/>
              <w:wordWrap/>
              <w:overflowPunct/>
              <w:topLinePunct w:val="0"/>
              <w:bidi w:val="0"/>
              <w:adjustRightInd w:val="0"/>
              <w:snapToGrid w:val="0"/>
              <w:spacing w:line="360" w:lineRule="exact"/>
              <w:ind w:firstLine="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投标人情况介绍</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20509499">
            <w:pPr>
              <w:keepNext w:val="0"/>
              <w:keepLines w:val="0"/>
              <w:pageBreakBefore w:val="0"/>
              <w:numPr>
                <w:ilvl w:val="0"/>
                <w:numId w:val="2"/>
              </w:numPr>
              <w:kinsoku/>
              <w:wordWrap/>
              <w:overflowPunct/>
              <w:topLinePunct w:val="0"/>
              <w:bidi w:val="0"/>
              <w:adjustRightInd w:val="0"/>
              <w:snapToGrid w:val="0"/>
              <w:spacing w:line="360" w:lineRule="exact"/>
              <w:ind w:firstLine="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除招标文件规定必须提供以外，投标人认为需要提供的其他证明材料</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。（投标人根据“第二章 采购需求”及“第四章 评标方法和评标标准”提供有关证明材料）。</w:t>
            </w:r>
          </w:p>
          <w:p w14:paraId="0F0EA0E6">
            <w:pPr>
              <w:keepNext w:val="0"/>
              <w:keepLines w:val="0"/>
              <w:pageBreakBefore w:val="0"/>
              <w:kinsoku/>
              <w:wordWrap/>
              <w:overflowPunct/>
              <w:topLinePunct w:val="0"/>
              <w:bidi w:val="0"/>
              <w:snapToGrid w:val="0"/>
              <w:spacing w:line="360" w:lineRule="exact"/>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注：1.法定代表人授权委托书必须由法定代表人及委托代理人签字，并加盖投标人公章，否则作无效投标处理。</w:t>
            </w:r>
          </w:p>
          <w:p w14:paraId="229A54D3">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2.以上标明“必须提供”的材料</w:t>
            </w:r>
            <w:r>
              <w:rPr>
                <w:rFonts w:hint="eastAsia" w:ascii="宋体" w:hAnsi="宋体" w:cs="宋体"/>
                <w:b/>
                <w:color w:val="auto"/>
                <w:sz w:val="21"/>
                <w:szCs w:val="21"/>
                <w:highlight w:val="none"/>
              </w:rPr>
              <w:t>属于复印件的扫描件的</w:t>
            </w:r>
            <w:r>
              <w:rPr>
                <w:rFonts w:hint="eastAsia" w:ascii="宋体" w:hAnsi="宋体" w:cs="宋体"/>
                <w:b/>
                <w:bCs/>
                <w:color w:val="auto"/>
                <w:sz w:val="21"/>
                <w:szCs w:val="21"/>
                <w:highlight w:val="none"/>
              </w:rPr>
              <w:t>，必须加盖投标人公章，否则</w:t>
            </w:r>
            <w:r>
              <w:rPr>
                <w:rFonts w:hint="eastAsia" w:ascii="宋体" w:hAnsi="宋体" w:cs="宋体"/>
                <w:b/>
                <w:color w:val="auto"/>
                <w:sz w:val="21"/>
                <w:szCs w:val="21"/>
                <w:highlight w:val="none"/>
              </w:rPr>
              <w:t>作无效投标处理</w:t>
            </w:r>
            <w:r>
              <w:rPr>
                <w:rFonts w:hint="eastAsia" w:ascii="宋体" w:hAnsi="宋体" w:cs="宋体"/>
                <w:b/>
                <w:bCs/>
                <w:color w:val="auto"/>
                <w:sz w:val="21"/>
                <w:szCs w:val="21"/>
                <w:highlight w:val="none"/>
              </w:rPr>
              <w:t>。</w:t>
            </w:r>
          </w:p>
        </w:tc>
      </w:tr>
      <w:tr w14:paraId="0C133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14:paraId="023C397E">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5856BBC6">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bookmarkStart w:id="78" w:name="_13.4"/>
            <w:bookmarkEnd w:id="78"/>
            <w:r>
              <w:rPr>
                <w:rFonts w:hint="eastAsia" w:ascii="宋体" w:hAnsi="宋体" w:cs="宋体"/>
                <w:color w:val="auto"/>
                <w:sz w:val="21"/>
                <w:szCs w:val="21"/>
                <w:highlight w:val="none"/>
              </w:rPr>
              <w:t>技术文件组成</w:t>
            </w:r>
          </w:p>
          <w:p w14:paraId="33F6597B">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6281FCFA">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1、技术需求偏离表</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5A67CA5A">
            <w:pPr>
              <w:keepNext w:val="0"/>
              <w:keepLines w:val="0"/>
              <w:pageBreakBefore w:val="0"/>
              <w:kinsoku/>
              <w:wordWrap/>
              <w:overflowPunct/>
              <w:topLinePunct w:val="0"/>
              <w:bidi w:val="0"/>
              <w:snapToGrid w:val="0"/>
              <w:spacing w:line="360" w:lineRule="exact"/>
              <w:jc w:val="left"/>
              <w:rPr>
                <w:rFonts w:hint="eastAsia" w:ascii="宋体" w:hAnsi="宋体" w:cs="宋体"/>
                <w:b/>
                <w:i/>
                <w:iCs/>
                <w:color w:val="auto"/>
                <w:sz w:val="21"/>
                <w:szCs w:val="21"/>
                <w:highlight w:val="none"/>
              </w:rPr>
            </w:pPr>
            <w:r>
              <w:rPr>
                <w:rFonts w:hint="eastAsia" w:ascii="宋体" w:hAnsi="宋体" w:cs="宋体"/>
                <w:color w:val="auto"/>
                <w:sz w:val="21"/>
                <w:szCs w:val="21"/>
                <w:highlight w:val="none"/>
              </w:rPr>
              <w:t>2、项目实施方案（包括但不限于拟投入实施人员、售后服务承诺、技术培训等）</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19062D55">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3、投标产品技术证明资料（包括但不限于投标产品说明书、出厂标准、质量检测报告等）</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2357774E">
            <w:pPr>
              <w:keepNext w:val="0"/>
              <w:keepLines w:val="0"/>
              <w:pageBreakBefore w:val="0"/>
              <w:tabs>
                <w:tab w:val="center" w:pos="4153"/>
                <w:tab w:val="right" w:pos="8306"/>
              </w:tabs>
              <w:kinsoku/>
              <w:wordWrap/>
              <w:overflowPunct/>
              <w:topLinePunct w:val="0"/>
              <w:bidi w:val="0"/>
              <w:spacing w:line="360" w:lineRule="exact"/>
              <w:rPr>
                <w:color w:val="auto"/>
                <w:sz w:val="21"/>
                <w:szCs w:val="21"/>
                <w:highlight w:val="none"/>
              </w:rPr>
            </w:pPr>
            <w:r>
              <w:rPr>
                <w:rFonts w:hint="eastAsia" w:ascii="宋体" w:hAnsi="宋体" w:cs="宋体"/>
                <w:color w:val="auto"/>
                <w:sz w:val="21"/>
                <w:szCs w:val="21"/>
                <w:highlight w:val="none"/>
              </w:rPr>
              <w:t>4、投标产品销售业绩或使用情况及证明资料</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68DAA59C">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5、优惠条件：投标人承诺给予采购人的各种优惠条件，包括售后服务、备品备件、专用耗材等方面的优惠；投标人不得给予赠品或者与采购无关的其他商品、服务</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6CE0419C">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6、投标人对本项目的合理化建议</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65317B5D">
            <w:pPr>
              <w:keepNext w:val="0"/>
              <w:keepLines w:val="0"/>
              <w:pageBreakBefore w:val="0"/>
              <w:kinsoku/>
              <w:wordWrap/>
              <w:overflowPunct/>
              <w:topLinePunct w:val="0"/>
              <w:bidi w:val="0"/>
              <w:snapToGrid w:val="0"/>
              <w:spacing w:line="360" w:lineRule="exact"/>
              <w:jc w:val="left"/>
              <w:rPr>
                <w:rFonts w:hint="eastAsia" w:ascii="宋体" w:hAnsi="宋体" w:cs="宋体"/>
                <w:bCs/>
                <w:color w:val="auto"/>
                <w:sz w:val="21"/>
                <w:szCs w:val="21"/>
                <w:highlight w:val="none"/>
              </w:rPr>
            </w:pPr>
            <w:r>
              <w:rPr>
                <w:rFonts w:hint="eastAsia" w:ascii="宋体" w:hAnsi="宋体" w:cs="宋体"/>
                <w:color w:val="auto"/>
                <w:sz w:val="21"/>
                <w:szCs w:val="21"/>
                <w:highlight w:val="none"/>
              </w:rPr>
              <w:t>7、除招标文件规定必须提供以外，投标人需要说明的其他文件和说明</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p w14:paraId="2462A104">
            <w:pPr>
              <w:keepNext w:val="0"/>
              <w:keepLines w:val="0"/>
              <w:pageBreakBefore w:val="0"/>
              <w:kinsoku/>
              <w:wordWrap/>
              <w:overflowPunct/>
              <w:topLinePunct w:val="0"/>
              <w:bidi w:val="0"/>
              <w:snapToGrid w:val="0"/>
              <w:spacing w:line="360" w:lineRule="exact"/>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注：以上标明“必须提供”的材料</w:t>
            </w:r>
            <w:r>
              <w:rPr>
                <w:rFonts w:hint="eastAsia" w:ascii="宋体" w:hAnsi="宋体" w:cs="宋体"/>
                <w:b/>
                <w:color w:val="auto"/>
                <w:sz w:val="21"/>
                <w:szCs w:val="21"/>
                <w:highlight w:val="none"/>
              </w:rPr>
              <w:t>属于复印件的扫描件的</w:t>
            </w:r>
            <w:r>
              <w:rPr>
                <w:rFonts w:hint="eastAsia" w:ascii="宋体" w:hAnsi="宋体" w:cs="宋体"/>
                <w:b/>
                <w:bCs/>
                <w:color w:val="auto"/>
                <w:sz w:val="21"/>
                <w:szCs w:val="21"/>
                <w:highlight w:val="none"/>
              </w:rPr>
              <w:t>，必须加盖投标人公章，否则</w:t>
            </w:r>
            <w:r>
              <w:rPr>
                <w:rFonts w:hint="eastAsia" w:ascii="宋体" w:hAnsi="宋体" w:cs="宋体"/>
                <w:b/>
                <w:color w:val="auto"/>
                <w:sz w:val="21"/>
                <w:szCs w:val="21"/>
                <w:highlight w:val="none"/>
              </w:rPr>
              <w:t>作无效投标处理</w:t>
            </w:r>
            <w:r>
              <w:rPr>
                <w:rFonts w:hint="eastAsia" w:ascii="宋体" w:hAnsi="宋体" w:cs="宋体"/>
                <w:b/>
                <w:bCs/>
                <w:color w:val="auto"/>
                <w:sz w:val="21"/>
                <w:szCs w:val="21"/>
                <w:highlight w:val="none"/>
              </w:rPr>
              <w:t>。</w:t>
            </w:r>
          </w:p>
        </w:tc>
      </w:tr>
      <w:tr w14:paraId="5CA64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14:paraId="776F2286">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3836D168">
            <w:pPr>
              <w:keepNext w:val="0"/>
              <w:keepLines w:val="0"/>
              <w:pageBreakBefore w:val="0"/>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6E98F89">
            <w:pPr>
              <w:keepNext w:val="0"/>
              <w:keepLines w:val="0"/>
              <w:pageBreakBefore w:val="0"/>
              <w:tabs>
                <w:tab w:val="left" w:pos="459"/>
              </w:tabs>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1、投标函</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p>
          <w:p w14:paraId="2F7393A1">
            <w:pPr>
              <w:keepNext w:val="0"/>
              <w:keepLines w:val="0"/>
              <w:pageBreakBefore w:val="0"/>
              <w:tabs>
                <w:tab w:val="left" w:pos="459"/>
              </w:tabs>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2、开标一览表</w:t>
            </w:r>
            <w:r>
              <w:rPr>
                <w:rFonts w:hint="eastAsia" w:ascii="宋体" w:hAnsi="宋体" w:cs="宋体"/>
                <w:color w:val="auto"/>
                <w:sz w:val="21"/>
                <w:szCs w:val="21"/>
                <w:highlight w:val="none"/>
              </w:rPr>
              <w:t>（格式后附）</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19791444">
            <w:pPr>
              <w:pStyle w:val="16"/>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 w:val="21"/>
                <w:szCs w:val="21"/>
                <w:highlight w:val="none"/>
              </w:rPr>
              <w:t>（如有请提供）</w:t>
            </w:r>
          </w:p>
          <w:p w14:paraId="303418B5">
            <w:pPr>
              <w:keepNext w:val="0"/>
              <w:keepLines w:val="0"/>
              <w:pageBreakBefore w:val="0"/>
              <w:tabs>
                <w:tab w:val="left" w:pos="459"/>
              </w:tabs>
              <w:kinsoku/>
              <w:wordWrap/>
              <w:overflowPunct/>
              <w:topLinePunct w:val="0"/>
              <w:bidi w:val="0"/>
              <w:snapToGrid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4、投标人针对报价需要说明的其他文件和说明</w:t>
            </w:r>
            <w:r>
              <w:rPr>
                <w:rFonts w:hint="eastAsia" w:ascii="宋体" w:hAnsi="宋体" w:cs="宋体"/>
                <w:color w:val="auto"/>
                <w:sz w:val="21"/>
                <w:szCs w:val="21"/>
                <w:highlight w:val="none"/>
              </w:rPr>
              <w:t>（格式自拟）</w:t>
            </w:r>
            <w:r>
              <w:rPr>
                <w:rFonts w:hint="eastAsia" w:ascii="宋体" w:hAnsi="宋体" w:cs="宋体"/>
                <w:color w:val="auto"/>
                <w:sz w:val="21"/>
                <w:szCs w:val="21"/>
                <w:highlight w:val="none"/>
              </w:rPr>
              <w:t>。</w:t>
            </w:r>
          </w:p>
        </w:tc>
      </w:tr>
      <w:tr w14:paraId="52F33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225CD3D">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16.2</w:t>
            </w:r>
          </w:p>
        </w:tc>
        <w:tc>
          <w:tcPr>
            <w:tcW w:w="2083" w:type="dxa"/>
            <w:tcBorders>
              <w:top w:val="single" w:color="auto" w:sz="4" w:space="0"/>
              <w:left w:val="single" w:color="auto" w:sz="4" w:space="0"/>
              <w:bottom w:val="single" w:color="auto" w:sz="4" w:space="0"/>
              <w:right w:val="single" w:color="auto" w:sz="4" w:space="0"/>
            </w:tcBorders>
            <w:vAlign w:val="center"/>
          </w:tcPr>
          <w:p w14:paraId="4C1E0668">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79" w:name="_16.2"/>
            <w:bookmarkEnd w:id="79"/>
            <w:r>
              <w:rPr>
                <w:rFonts w:hint="eastAsia" w:ascii="宋体" w:hAnsi="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6D8A545F">
            <w:pPr>
              <w:keepNext w:val="0"/>
              <w:keepLines w:val="0"/>
              <w:pageBreakBefore w:val="0"/>
              <w:kinsoku/>
              <w:wordWrap/>
              <w:overflowPunct/>
              <w:topLinePunct w:val="0"/>
              <w:bidi w:val="0"/>
              <w:snapToGrid w:val="0"/>
              <w:spacing w:line="360" w:lineRule="exact"/>
              <w:rPr>
                <w:rFonts w:hint="eastAsia" w:ascii="宋体" w:hAnsi="宋体" w:cs="宋体"/>
                <w:i/>
                <w:iCs/>
                <w:color w:val="auto"/>
                <w:sz w:val="21"/>
                <w:szCs w:val="21"/>
                <w:highlight w:val="none"/>
              </w:rPr>
            </w:pPr>
            <w:r>
              <w:rPr>
                <w:rFonts w:hint="eastAsia" w:ascii="宋体" w:hAnsi="宋体" w:cs="宋体"/>
                <w:color w:val="auto"/>
                <w:sz w:val="21"/>
                <w:szCs w:val="21"/>
                <w:highlight w:val="none"/>
              </w:rPr>
              <w:t>投标报价是履行合同的最终价格，必须包含投标货物（包括备品备件、专用工具等）的价格及其运输（含保险）、安装（如有）、调试、检验、技术服务、培训和招标文件要求提供的所有伴随服务、工程等费用和税费。</w:t>
            </w:r>
          </w:p>
          <w:p w14:paraId="0E34E39C">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ascii="Segoe UI Symbol" w:hAnsi="Segoe UI Symbol" w:cs="Segoe UI Symbol"/>
                <w:b/>
                <w:color w:val="auto"/>
                <w:sz w:val="21"/>
                <w:szCs w:val="21"/>
                <w:highlight w:val="none"/>
              </w:rPr>
              <w:t>☑</w:t>
            </w:r>
            <w:r>
              <w:rPr>
                <w:rFonts w:hint="eastAsia" w:ascii="宋体" w:hAnsi="宋体" w:cs="宋体"/>
                <w:b/>
                <w:color w:val="auto"/>
                <w:sz w:val="21"/>
                <w:szCs w:val="21"/>
                <w:highlight w:val="none"/>
              </w:rPr>
              <w:t>投标报价包含验收费用</w:t>
            </w:r>
          </w:p>
          <w:p w14:paraId="3895BED5">
            <w:pPr>
              <w:pStyle w:val="16"/>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b/>
                <w:color w:val="auto"/>
                <w:sz w:val="21"/>
                <w:szCs w:val="21"/>
                <w:highlight w:val="none"/>
              </w:rPr>
              <w:t>□投标报价不包含验收费用</w:t>
            </w:r>
          </w:p>
        </w:tc>
      </w:tr>
      <w:tr w14:paraId="2E05E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072BB47A">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17.2</w:t>
            </w:r>
          </w:p>
        </w:tc>
        <w:tc>
          <w:tcPr>
            <w:tcW w:w="2083" w:type="dxa"/>
            <w:tcBorders>
              <w:top w:val="single" w:color="auto" w:sz="4" w:space="0"/>
              <w:left w:val="single" w:color="auto" w:sz="4" w:space="0"/>
              <w:bottom w:val="single" w:color="auto" w:sz="4" w:space="0"/>
              <w:right w:val="single" w:color="auto" w:sz="4" w:space="0"/>
            </w:tcBorders>
            <w:vAlign w:val="center"/>
          </w:tcPr>
          <w:p w14:paraId="3127FF79">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0" w:name="_17.1"/>
            <w:bookmarkEnd w:id="80"/>
            <w:r>
              <w:rPr>
                <w:rFonts w:hint="eastAsia" w:ascii="宋体" w:hAnsi="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3AC73AA">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自投标截止之日起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日。</w:t>
            </w:r>
          </w:p>
        </w:tc>
      </w:tr>
      <w:tr w14:paraId="6B61D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46810B1">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18</w:t>
            </w:r>
          </w:p>
        </w:tc>
        <w:tc>
          <w:tcPr>
            <w:tcW w:w="2083" w:type="dxa"/>
            <w:tcBorders>
              <w:top w:val="single" w:color="auto" w:sz="4" w:space="0"/>
              <w:left w:val="single" w:color="auto" w:sz="4" w:space="0"/>
              <w:bottom w:val="single" w:color="auto" w:sz="4" w:space="0"/>
              <w:right w:val="single" w:color="auto" w:sz="4" w:space="0"/>
            </w:tcBorders>
            <w:vAlign w:val="center"/>
          </w:tcPr>
          <w:p w14:paraId="6DACC956">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1" w:name="_18"/>
            <w:bookmarkEnd w:id="81"/>
            <w:r>
              <w:rPr>
                <w:rFonts w:hint="eastAsia" w:ascii="宋体" w:hAnsi="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517D3924">
            <w:pPr>
              <w:keepNext w:val="0"/>
              <w:keepLines w:val="0"/>
              <w:pageBreakBefore w:val="0"/>
              <w:kinsoku/>
              <w:wordWrap/>
              <w:overflowPunct/>
              <w:topLinePunct w:val="0"/>
              <w:bidi w:val="0"/>
              <w:snapToGrid w:val="0"/>
              <w:spacing w:line="36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本项目需要缴纳投标保证金，相关要求如下：</w:t>
            </w:r>
          </w:p>
          <w:p w14:paraId="08D51FE4">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1.投标保证金的缴纳方式：详见招标公告</w:t>
            </w:r>
          </w:p>
          <w:p w14:paraId="3E33D83C">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2.投标保证金的金额：详见招标公告</w:t>
            </w:r>
          </w:p>
          <w:p w14:paraId="3F0FA70A">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 w:val="21"/>
                <w:szCs w:val="21"/>
                <w:highlight w:val="none"/>
              </w:rPr>
              <w:t>否则作无效投标处理</w:t>
            </w:r>
            <w:r>
              <w:rPr>
                <w:rFonts w:hint="eastAsia" w:ascii="宋体" w:hAnsi="宋体" w:cs="宋体"/>
                <w:color w:val="auto"/>
                <w:sz w:val="21"/>
                <w:szCs w:val="21"/>
                <w:highlight w:val="none"/>
              </w:rPr>
              <w:t>。</w:t>
            </w:r>
          </w:p>
          <w:p w14:paraId="739BD142">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宋体" w:hAnsi="宋体" w:cs="宋体"/>
                <w:color w:val="auto"/>
                <w:kern w:val="0"/>
                <w:sz w:val="21"/>
                <w:szCs w:val="21"/>
                <w:highlight w:val="none"/>
              </w:rPr>
              <w:t>电子保函</w:t>
            </w:r>
            <w:r>
              <w:rPr>
                <w:rFonts w:hint="eastAsia" w:ascii="宋体" w:hAnsi="宋体" w:cs="宋体"/>
                <w:color w:val="auto"/>
                <w:sz w:val="21"/>
                <w:szCs w:val="21"/>
                <w:highlight w:val="none"/>
              </w:rPr>
              <w:t>作为投标保证金提交凭证，放置于商务文件中，</w:t>
            </w:r>
            <w:r>
              <w:rPr>
                <w:rFonts w:hint="eastAsia" w:ascii="宋体" w:hAnsi="宋体" w:cs="宋体"/>
                <w:b/>
                <w:color w:val="auto"/>
                <w:sz w:val="21"/>
                <w:szCs w:val="21"/>
                <w:highlight w:val="none"/>
              </w:rPr>
              <w:t>否则作无效投标处理</w:t>
            </w:r>
            <w:r>
              <w:rPr>
                <w:rFonts w:hint="eastAsia" w:ascii="宋体" w:hAnsi="宋体" w:cs="宋体"/>
                <w:color w:val="auto"/>
                <w:sz w:val="21"/>
                <w:szCs w:val="21"/>
                <w:highlight w:val="none"/>
              </w:rPr>
              <w:t>。投标人必须</w:t>
            </w:r>
            <w:r>
              <w:rPr>
                <w:rFonts w:hint="eastAsia" w:ascii="宋体" w:hAnsi="宋体" w:cs="宋体"/>
                <w:color w:val="auto"/>
                <w:kern w:val="0"/>
                <w:sz w:val="21"/>
                <w:szCs w:val="21"/>
                <w:highlight w:val="none"/>
              </w:rPr>
              <w:t>在投标截止时间前</w:t>
            </w:r>
            <w:r>
              <w:rPr>
                <w:rFonts w:hint="eastAsia" w:ascii="宋体" w:hAnsi="宋体" w:cs="宋体"/>
                <w:color w:val="auto"/>
                <w:sz w:val="21"/>
                <w:szCs w:val="21"/>
                <w:highlight w:val="none"/>
              </w:rPr>
              <w:t>将支票、汇票、本票或者金融、担保机构出具的保函（</w:t>
            </w:r>
            <w:r>
              <w:rPr>
                <w:rFonts w:hint="eastAsia" w:ascii="宋体" w:hAnsi="宋体" w:cs="宋体"/>
                <w:color w:val="auto"/>
                <w:kern w:val="0"/>
                <w:sz w:val="21"/>
                <w:szCs w:val="21"/>
                <w:highlight w:val="none"/>
              </w:rPr>
              <w:t>电子保函除外</w:t>
            </w:r>
            <w:r>
              <w:rPr>
                <w:rFonts w:hint="eastAsia" w:ascii="宋体" w:hAnsi="宋体" w:cs="宋体"/>
                <w:color w:val="auto"/>
                <w:sz w:val="21"/>
                <w:szCs w:val="21"/>
                <w:highlight w:val="none"/>
              </w:rPr>
              <w:t>）等原件提交给采购代理机构，由采购代理机构向投标人出具回执，并妥善保管。</w:t>
            </w:r>
          </w:p>
          <w:p w14:paraId="2D3EEE20">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5.缴纳投标保证金指定账户：详见招标公告。</w:t>
            </w:r>
          </w:p>
          <w:p w14:paraId="688ECBA3">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6.投标人为联合体的，可以由联合体中的一方或者多方共同缴纳投标保证金，其缴纳的投标保证金对联合体各方均具有约束力。</w:t>
            </w:r>
          </w:p>
          <w:p w14:paraId="28DEB98A">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备注： </w:t>
            </w:r>
          </w:p>
          <w:p w14:paraId="40107CA1">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1. 投标保证金在投标截止时间后提交的，或者不按规定缴纳方式缴纳的，或者未足额缴纳的（包含保函额度不足的），视为无效投标保证金。</w:t>
            </w:r>
          </w:p>
          <w:p w14:paraId="58E08B9F">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2.投标人采用现金方式或者从个人账户（自然人投标除外）转出的投标保证金，视为无效投标保证金。</w:t>
            </w:r>
          </w:p>
          <w:p w14:paraId="318B564F">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3.支票、汇票或者本票出现无效或者背书情形的，视为无效投标保证金。</w:t>
            </w:r>
          </w:p>
          <w:p w14:paraId="749A975A">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4.保函有效期低于投标有效期的，视为无效投标保证金。</w:t>
            </w:r>
          </w:p>
          <w:p w14:paraId="0251853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b/>
                <w:color w:val="auto"/>
                <w:sz w:val="21"/>
                <w:szCs w:val="21"/>
                <w:highlight w:val="none"/>
              </w:rPr>
              <w:t>5.采用金融、担保机构出具保函的，必须为无条件保函，否则视为无效投标保证金</w:t>
            </w:r>
            <w:r>
              <w:rPr>
                <w:rFonts w:hint="eastAsia" w:ascii="宋体" w:hAnsi="宋体" w:cs="宋体"/>
                <w:b/>
                <w:bCs/>
                <w:color w:val="auto"/>
                <w:sz w:val="21"/>
                <w:szCs w:val="21"/>
                <w:highlight w:val="none"/>
              </w:rPr>
              <w:t>。</w:t>
            </w:r>
          </w:p>
        </w:tc>
      </w:tr>
      <w:tr w14:paraId="599EF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BA5FC6E">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19.1</w:t>
            </w:r>
          </w:p>
        </w:tc>
        <w:tc>
          <w:tcPr>
            <w:tcW w:w="2083" w:type="dxa"/>
            <w:tcBorders>
              <w:top w:val="single" w:color="auto" w:sz="4" w:space="0"/>
              <w:left w:val="single" w:color="auto" w:sz="4" w:space="0"/>
              <w:bottom w:val="single" w:color="auto" w:sz="4" w:space="0"/>
              <w:right w:val="single" w:color="auto" w:sz="4" w:space="0"/>
            </w:tcBorders>
            <w:vAlign w:val="center"/>
          </w:tcPr>
          <w:p w14:paraId="29F31FF8">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7171B13A">
            <w:pPr>
              <w:keepNext w:val="0"/>
              <w:keepLines w:val="0"/>
              <w:pageBreakBefore w:val="0"/>
              <w:kinsoku/>
              <w:wordWrap/>
              <w:overflowPunct/>
              <w:topLinePunct w:val="0"/>
              <w:bidi w:val="0"/>
              <w:spacing w:line="360" w:lineRule="exact"/>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 w:val="21"/>
                <w:szCs w:val="21"/>
                <w:highlight w:val="none"/>
              </w:rPr>
              <w:t>（注：按照本招标文件“第六章 投标文件格式”编写，第六章未附格式的，由投标人自行拟定。）</w:t>
            </w:r>
          </w:p>
        </w:tc>
      </w:tr>
      <w:tr w14:paraId="0726F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A4A16A4">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20</w:t>
            </w:r>
          </w:p>
        </w:tc>
        <w:tc>
          <w:tcPr>
            <w:tcW w:w="2083" w:type="dxa"/>
            <w:tcBorders>
              <w:top w:val="single" w:color="auto" w:sz="4" w:space="0"/>
              <w:left w:val="single" w:color="auto" w:sz="4" w:space="0"/>
              <w:bottom w:val="single" w:color="auto" w:sz="4" w:space="0"/>
              <w:right w:val="single" w:color="auto" w:sz="4" w:space="0"/>
            </w:tcBorders>
            <w:vAlign w:val="center"/>
          </w:tcPr>
          <w:p w14:paraId="0C57DEB5">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0D88D95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本项目不接受备份投标文件。</w:t>
            </w:r>
          </w:p>
        </w:tc>
      </w:tr>
      <w:tr w14:paraId="20F66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14:paraId="05C9582C">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tc>
        <w:tc>
          <w:tcPr>
            <w:tcW w:w="2083" w:type="dxa"/>
            <w:tcBorders>
              <w:top w:val="single" w:color="auto" w:sz="4" w:space="0"/>
              <w:left w:val="single" w:color="auto" w:sz="4" w:space="0"/>
              <w:bottom w:val="single" w:color="auto" w:sz="4" w:space="0"/>
              <w:right w:val="single" w:color="auto" w:sz="4" w:space="0"/>
            </w:tcBorders>
            <w:vAlign w:val="center"/>
          </w:tcPr>
          <w:p w14:paraId="48EC81A0">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2" w:name="_21.1"/>
            <w:bookmarkEnd w:id="82"/>
            <w:r>
              <w:rPr>
                <w:rFonts w:hint="eastAsia" w:ascii="宋体" w:hAnsi="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7011707B">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详见招标公告</w:t>
            </w:r>
          </w:p>
        </w:tc>
      </w:tr>
      <w:tr w14:paraId="04E19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1278C7C4">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7561B44">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CCA8202">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详见招标公告</w:t>
            </w:r>
          </w:p>
        </w:tc>
      </w:tr>
      <w:tr w14:paraId="25E52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76A37476">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12092FE">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48EE093F">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bCs/>
                <w:color w:val="auto"/>
                <w:sz w:val="21"/>
                <w:szCs w:val="21"/>
                <w:highlight w:val="none"/>
              </w:rPr>
              <w:t>无。</w:t>
            </w:r>
          </w:p>
        </w:tc>
      </w:tr>
      <w:tr w14:paraId="5E15D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796C269">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23</w:t>
            </w:r>
          </w:p>
        </w:tc>
        <w:tc>
          <w:tcPr>
            <w:tcW w:w="2083" w:type="dxa"/>
            <w:tcBorders>
              <w:top w:val="single" w:color="auto" w:sz="4" w:space="0"/>
              <w:left w:val="single" w:color="auto" w:sz="4" w:space="0"/>
              <w:bottom w:val="single" w:color="auto" w:sz="4" w:space="0"/>
              <w:right w:val="single" w:color="auto" w:sz="4" w:space="0"/>
            </w:tcBorders>
            <w:vAlign w:val="center"/>
          </w:tcPr>
          <w:p w14:paraId="2728E393">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3" w:name="_23"/>
            <w:bookmarkEnd w:id="83"/>
            <w:r>
              <w:rPr>
                <w:rFonts w:hint="eastAsia" w:ascii="宋体" w:hAnsi="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4351CC42">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详见招标公告 </w:t>
            </w:r>
          </w:p>
        </w:tc>
      </w:tr>
      <w:tr w14:paraId="1773B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5A8C2BFD">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25.3（2）</w:t>
            </w:r>
          </w:p>
        </w:tc>
        <w:tc>
          <w:tcPr>
            <w:tcW w:w="2083" w:type="dxa"/>
            <w:tcBorders>
              <w:top w:val="single" w:color="auto" w:sz="4" w:space="0"/>
              <w:left w:val="single" w:color="auto" w:sz="4" w:space="0"/>
              <w:bottom w:val="single" w:color="auto" w:sz="4" w:space="0"/>
              <w:right w:val="single" w:color="auto" w:sz="4" w:space="0"/>
            </w:tcBorders>
            <w:vAlign w:val="center"/>
          </w:tcPr>
          <w:p w14:paraId="7EFC502F">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4" w:name="_25.3"/>
            <w:bookmarkEnd w:id="84"/>
            <w:r>
              <w:rPr>
                <w:rFonts w:hint="eastAsia" w:ascii="宋体" w:hAnsi="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00EAFEE0">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采购人或者采购代理机构在资格审查结束前，对投标人进行信用查询。</w:t>
            </w:r>
          </w:p>
          <w:p w14:paraId="726BEA00">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查询渠道：“信用中国”网站(www.creditchina.gov.cn) 、中国政府采购网(www.ccgp.gov.cn)。</w:t>
            </w:r>
          </w:p>
        </w:tc>
      </w:tr>
      <w:tr w14:paraId="0BA7A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1A5151CB">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15A6E77F">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23DFB61">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资格审查结束前</w:t>
            </w:r>
          </w:p>
        </w:tc>
      </w:tr>
      <w:tr w14:paraId="69FA5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8248715">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5806DE09">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5705DC1F">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在查询网站中直接截图查询记录，截图作为附件在广西政府采购云平台上传保存。</w:t>
            </w:r>
          </w:p>
        </w:tc>
      </w:tr>
      <w:tr w14:paraId="6DAC9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4A9B1D3E">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C758479">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47BD4431">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378F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48EA3FA">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29.1</w:t>
            </w:r>
          </w:p>
        </w:tc>
        <w:tc>
          <w:tcPr>
            <w:tcW w:w="2083" w:type="dxa"/>
            <w:tcBorders>
              <w:top w:val="single" w:color="auto" w:sz="4" w:space="0"/>
              <w:left w:val="single" w:color="auto" w:sz="4" w:space="0"/>
              <w:bottom w:val="single" w:color="auto" w:sz="4" w:space="0"/>
              <w:right w:val="single" w:color="auto" w:sz="4" w:space="0"/>
            </w:tcBorders>
            <w:vAlign w:val="center"/>
          </w:tcPr>
          <w:p w14:paraId="239CFF5A">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5" w:name="_26"/>
            <w:bookmarkEnd w:id="85"/>
            <w:bookmarkStart w:id="86" w:name="_28.3"/>
            <w:bookmarkEnd w:id="86"/>
            <w:r>
              <w:rPr>
                <w:rFonts w:hint="eastAsia" w:ascii="宋体" w:hAnsi="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3D54A8CD">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ascii="Segoe UI Symbol" w:hAnsi="Segoe UI Symbol" w:cs="Segoe UI Symbol"/>
                <w:color w:val="auto"/>
                <w:sz w:val="21"/>
                <w:szCs w:val="21"/>
                <w:highlight w:val="none"/>
              </w:rPr>
              <w:t>☑</w:t>
            </w:r>
            <w:r>
              <w:rPr>
                <w:rFonts w:hint="eastAsia" w:ascii="宋体" w:hAnsi="宋体" w:cs="宋体"/>
                <w:color w:val="auto"/>
                <w:sz w:val="21"/>
                <w:szCs w:val="21"/>
                <w:highlight w:val="none"/>
              </w:rPr>
              <w:t>综合评分法</w:t>
            </w:r>
          </w:p>
          <w:p w14:paraId="36C1D7F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□最低评标价法</w:t>
            </w:r>
          </w:p>
        </w:tc>
      </w:tr>
      <w:tr w14:paraId="3B31B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0" w:type="dxa"/>
            <w:tcBorders>
              <w:top w:val="single" w:color="auto" w:sz="4" w:space="0"/>
              <w:left w:val="single" w:color="auto" w:sz="4" w:space="0"/>
              <w:bottom w:val="nil"/>
              <w:right w:val="single" w:color="auto" w:sz="4" w:space="0"/>
            </w:tcBorders>
            <w:vAlign w:val="center"/>
          </w:tcPr>
          <w:p w14:paraId="129B07E3">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29.2</w:t>
            </w:r>
          </w:p>
        </w:tc>
        <w:tc>
          <w:tcPr>
            <w:tcW w:w="2083" w:type="dxa"/>
            <w:tcBorders>
              <w:top w:val="single" w:color="auto" w:sz="4" w:space="0"/>
              <w:left w:val="single" w:color="auto" w:sz="4" w:space="0"/>
              <w:bottom w:val="nil"/>
              <w:right w:val="single" w:color="auto" w:sz="4" w:space="0"/>
            </w:tcBorders>
            <w:vAlign w:val="center"/>
          </w:tcPr>
          <w:p w14:paraId="6AF7DC87">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7" w:name="_29.2.2（2）"/>
            <w:bookmarkEnd w:id="87"/>
            <w:r>
              <w:rPr>
                <w:rFonts w:hint="eastAsia" w:ascii="宋体" w:hAnsi="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16BC7D20">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商务条款评审中允许负偏离的条款数为</w:t>
            </w:r>
            <w:r>
              <w:rPr>
                <w:rFonts w:hint="eastAsia" w:ascii="宋体" w:hAnsi="宋体" w:cs="宋体"/>
                <w:color w:val="auto"/>
                <w:sz w:val="21"/>
                <w:szCs w:val="21"/>
                <w:highlight w:val="none"/>
                <w:u w:val="single"/>
              </w:rPr>
              <w:t>0</w:t>
            </w:r>
            <w:r>
              <w:rPr>
                <w:rFonts w:hint="eastAsia" w:ascii="宋体" w:hAnsi="宋体" w:cs="宋体"/>
                <w:color w:val="auto"/>
                <w:sz w:val="21"/>
                <w:szCs w:val="21"/>
                <w:highlight w:val="none"/>
              </w:rPr>
              <w:t>项。</w:t>
            </w:r>
          </w:p>
          <w:p w14:paraId="31021A96">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b/>
                <w:bCs/>
                <w:color w:val="auto"/>
                <w:sz w:val="21"/>
                <w:szCs w:val="21"/>
                <w:highlight w:val="none"/>
              </w:rPr>
              <w:t>技术需求评审中</w:t>
            </w:r>
            <w:r>
              <w:rPr>
                <w:rFonts w:hint="eastAsia" w:ascii="宋体" w:hAnsi="宋体" w:cs="宋体"/>
                <w:color w:val="auto"/>
                <w:sz w:val="21"/>
                <w:szCs w:val="21"/>
                <w:highlight w:val="none"/>
              </w:rPr>
              <w:t>除带“</w:t>
            </w:r>
            <w:r>
              <w:rPr>
                <w:rFonts w:hint="eastAsia" w:ascii="宋体" w:hAnsi="宋体" w:cs="宋体"/>
                <w:bCs/>
                <w:color w:val="auto"/>
                <w:sz w:val="21"/>
                <w:szCs w:val="21"/>
                <w:highlight w:val="none"/>
              </w:rPr>
              <w:t>▲</w:t>
            </w:r>
            <w:r>
              <w:rPr>
                <w:rFonts w:hint="eastAsia" w:ascii="宋体" w:hAnsi="宋体" w:cs="宋体"/>
                <w:color w:val="auto"/>
                <w:sz w:val="21"/>
                <w:szCs w:val="21"/>
                <w:highlight w:val="none"/>
              </w:rPr>
              <w:t>”的条款外，</w:t>
            </w:r>
            <w:r>
              <w:rPr>
                <w:rFonts w:hint="eastAsia" w:ascii="宋体" w:hAnsi="宋体" w:cs="宋体"/>
                <w:b/>
                <w:bCs/>
                <w:color w:val="auto"/>
                <w:sz w:val="21"/>
                <w:szCs w:val="21"/>
                <w:highlight w:val="none"/>
              </w:rPr>
              <w:t>允许负偏离的条款数分标1为</w:t>
            </w:r>
            <w:r>
              <w:rPr>
                <w:rFonts w:hint="eastAsia" w:ascii="宋体" w:hAnsi="宋体" w:cs="宋体"/>
                <w:b/>
                <w:bCs/>
                <w:color w:val="auto"/>
                <w:sz w:val="21"/>
                <w:szCs w:val="21"/>
                <w:highlight w:val="none"/>
                <w:u w:val="single"/>
              </w:rPr>
              <w:t xml:space="preserve"> 2 </w:t>
            </w:r>
            <w:r>
              <w:rPr>
                <w:rFonts w:hint="eastAsia" w:ascii="宋体" w:hAnsi="宋体" w:cs="宋体"/>
                <w:b/>
                <w:bCs/>
                <w:color w:val="auto"/>
                <w:sz w:val="21"/>
                <w:szCs w:val="21"/>
                <w:highlight w:val="none"/>
              </w:rPr>
              <w:t>项、分标2为</w:t>
            </w:r>
            <w:r>
              <w:rPr>
                <w:rFonts w:hint="eastAsia" w:ascii="宋体" w:hAnsi="宋体" w:cs="宋体"/>
                <w:b/>
                <w:bCs/>
                <w:color w:val="auto"/>
                <w:sz w:val="21"/>
                <w:szCs w:val="21"/>
                <w:highlight w:val="none"/>
                <w:u w:val="single"/>
              </w:rPr>
              <w:t xml:space="preserve"> 2 </w:t>
            </w:r>
            <w:r>
              <w:rPr>
                <w:rFonts w:hint="eastAsia" w:ascii="宋体" w:hAnsi="宋体" w:cs="宋体"/>
                <w:b/>
                <w:bCs/>
                <w:color w:val="auto"/>
                <w:sz w:val="21"/>
                <w:szCs w:val="21"/>
                <w:highlight w:val="none"/>
              </w:rPr>
              <w:t>项。</w:t>
            </w:r>
          </w:p>
        </w:tc>
      </w:tr>
      <w:tr w14:paraId="1C908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0B267A5A">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30.1</w:t>
            </w:r>
          </w:p>
        </w:tc>
        <w:tc>
          <w:tcPr>
            <w:tcW w:w="2083" w:type="dxa"/>
            <w:tcBorders>
              <w:top w:val="single" w:color="auto" w:sz="4" w:space="0"/>
              <w:left w:val="single" w:color="auto" w:sz="4" w:space="0"/>
              <w:bottom w:val="single" w:color="auto" w:sz="4" w:space="0"/>
              <w:right w:val="single" w:color="auto" w:sz="4" w:space="0"/>
            </w:tcBorders>
            <w:vAlign w:val="center"/>
          </w:tcPr>
          <w:p w14:paraId="7A3F047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1C06A6DA">
            <w:pPr>
              <w:keepNext w:val="0"/>
              <w:keepLines w:val="0"/>
              <w:pageBreakBefore w:val="0"/>
              <w:kinsoku/>
              <w:wordWrap/>
              <w:overflowPunct/>
              <w:topLinePunct w:val="0"/>
              <w:autoSpaceDE w:val="0"/>
              <w:autoSpaceDN w:val="0"/>
              <w:bidi w:val="0"/>
              <w:snapToGrid w:val="0"/>
              <w:spacing w:line="360" w:lineRule="exact"/>
              <w:textAlignment w:val="bottom"/>
              <w:rPr>
                <w:b/>
                <w:bCs/>
                <w:color w:val="auto"/>
                <w:sz w:val="21"/>
                <w:szCs w:val="21"/>
                <w:highlight w:val="none"/>
              </w:rPr>
            </w:pPr>
            <w:r>
              <w:rPr>
                <w:rFonts w:hint="eastAsia" w:ascii="宋体" w:hAnsi="宋体" w:cs="宋体"/>
                <w:color w:val="auto"/>
                <w:sz w:val="21"/>
                <w:szCs w:val="21"/>
                <w:highlight w:val="none"/>
              </w:rPr>
              <w:t>采购人确定中标人时，出现中标候选人并列的情形，采购人按以下的方式确定中标人：</w:t>
            </w:r>
          </w:p>
          <w:p w14:paraId="52A08E0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b/>
                <w:bCs/>
                <w:i/>
                <w:iCs/>
                <w:color w:val="auto"/>
                <w:sz w:val="21"/>
                <w:szCs w:val="21"/>
                <w:highlight w:val="none"/>
              </w:rPr>
            </w:pPr>
            <w:r>
              <w:rPr>
                <w:rFonts w:ascii="Segoe UI Symbol" w:hAnsi="Segoe UI Symbol" w:cs="Segoe UI Symbol"/>
                <w:color w:val="auto"/>
                <w:sz w:val="21"/>
                <w:szCs w:val="21"/>
                <w:highlight w:val="none"/>
              </w:rPr>
              <w:t>☑</w:t>
            </w:r>
            <w:r>
              <w:rPr>
                <w:rFonts w:hint="eastAsia" w:ascii="宋体" w:hAnsi="宋体" w:cs="宋体"/>
                <w:color w:val="auto"/>
                <w:sz w:val="21"/>
                <w:szCs w:val="21"/>
                <w:highlight w:val="none"/>
              </w:rPr>
              <w:t>政策分得分高的优先、技术分得分高的优先、商务分得分高的优先、项目质保期长优先、交货期短优先、故障响应时间短优先的顺序。</w:t>
            </w:r>
          </w:p>
          <w:p w14:paraId="6EFBB6F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b/>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采取随机抽取的方式确定</w:t>
            </w:r>
            <w:r>
              <w:rPr>
                <w:rFonts w:hint="eastAsia" w:ascii="宋体" w:hAnsi="宋体" w:cs="宋体"/>
                <w:color w:val="auto"/>
                <w:sz w:val="21"/>
                <w:szCs w:val="21"/>
                <w:highlight w:val="none"/>
              </w:rPr>
              <w:t>。</w:t>
            </w:r>
          </w:p>
        </w:tc>
      </w:tr>
      <w:tr w14:paraId="27195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14:paraId="19815CDC">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35</w:t>
            </w:r>
          </w:p>
        </w:tc>
        <w:tc>
          <w:tcPr>
            <w:tcW w:w="2083" w:type="dxa"/>
            <w:tcBorders>
              <w:top w:val="single" w:color="auto" w:sz="4" w:space="0"/>
              <w:left w:val="single" w:color="auto" w:sz="4" w:space="0"/>
              <w:bottom w:val="single" w:color="auto" w:sz="4" w:space="0"/>
              <w:right w:val="single" w:color="auto" w:sz="4" w:space="0"/>
            </w:tcBorders>
            <w:vAlign w:val="center"/>
          </w:tcPr>
          <w:p w14:paraId="5AA94936">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88" w:name="_39.1"/>
            <w:bookmarkEnd w:id="88"/>
            <w:r>
              <w:rPr>
                <w:rFonts w:hint="eastAsia" w:ascii="宋体" w:hAnsi="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285F683E">
            <w:pPr>
              <w:keepNext w:val="0"/>
              <w:keepLines w:val="0"/>
              <w:pageBreakBefore w:val="0"/>
              <w:kinsoku/>
              <w:wordWrap/>
              <w:overflowPunct/>
              <w:topLinePunct w:val="0"/>
              <w:bidi w:val="0"/>
              <w:spacing w:line="36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□本项目不需要缴</w:t>
            </w:r>
            <w:r>
              <w:rPr>
                <w:rFonts w:hint="eastAsia" w:ascii="宋体" w:hAnsi="宋体" w:cs="宋体"/>
                <w:b/>
                <w:bCs/>
                <w:color w:val="auto"/>
                <w:kern w:val="0"/>
                <w:sz w:val="21"/>
                <w:szCs w:val="21"/>
                <w:highlight w:val="none"/>
              </w:rPr>
              <w:t>纳</w:t>
            </w:r>
            <w:r>
              <w:rPr>
                <w:rFonts w:hint="eastAsia" w:ascii="宋体" w:hAnsi="宋体" w:cs="宋体"/>
                <w:b/>
                <w:bCs/>
                <w:color w:val="auto"/>
                <w:sz w:val="21"/>
                <w:szCs w:val="21"/>
                <w:highlight w:val="none"/>
              </w:rPr>
              <w:t>履约保证金。</w:t>
            </w:r>
          </w:p>
          <w:p w14:paraId="237170CD">
            <w:pPr>
              <w:keepNext w:val="0"/>
              <w:keepLines w:val="0"/>
              <w:pageBreakBefore w:val="0"/>
              <w:kinsoku/>
              <w:wordWrap/>
              <w:overflowPunct/>
              <w:topLinePunct w:val="0"/>
              <w:bidi w:val="0"/>
              <w:spacing w:line="360" w:lineRule="exact"/>
              <w:rPr>
                <w:rFonts w:hint="eastAsia" w:ascii="宋体" w:hAnsi="宋体" w:cs="宋体"/>
                <w:b/>
                <w:bCs/>
                <w:color w:val="auto"/>
                <w:sz w:val="21"/>
                <w:szCs w:val="21"/>
                <w:highlight w:val="none"/>
              </w:rPr>
            </w:pPr>
            <w:r>
              <w:rPr>
                <w:rFonts w:ascii="Segoe UI Symbol" w:hAnsi="Segoe UI Symbol" w:cs="Segoe UI Symbol"/>
                <w:b/>
                <w:bCs/>
                <w:color w:val="auto"/>
                <w:sz w:val="21"/>
                <w:szCs w:val="21"/>
                <w:highlight w:val="none"/>
              </w:rPr>
              <w:t>☑</w:t>
            </w:r>
            <w:r>
              <w:rPr>
                <w:rFonts w:hint="eastAsia" w:ascii="宋体" w:hAnsi="宋体" w:cs="宋体"/>
                <w:b/>
                <w:bCs/>
                <w:color w:val="auto"/>
                <w:sz w:val="21"/>
                <w:szCs w:val="21"/>
                <w:highlight w:val="none"/>
              </w:rPr>
              <w:t xml:space="preserve"> 本项目需要缴</w:t>
            </w:r>
            <w:r>
              <w:rPr>
                <w:rFonts w:hint="eastAsia" w:ascii="宋体" w:hAnsi="宋体" w:cs="宋体"/>
                <w:b/>
                <w:bCs/>
                <w:color w:val="auto"/>
                <w:kern w:val="0"/>
                <w:sz w:val="21"/>
                <w:szCs w:val="21"/>
                <w:highlight w:val="none"/>
              </w:rPr>
              <w:t>纳</w:t>
            </w:r>
            <w:r>
              <w:rPr>
                <w:rFonts w:hint="eastAsia" w:ascii="宋体" w:hAnsi="宋体" w:cs="宋体"/>
                <w:b/>
                <w:bCs/>
                <w:color w:val="auto"/>
                <w:sz w:val="21"/>
                <w:szCs w:val="21"/>
                <w:highlight w:val="none"/>
              </w:rPr>
              <w:t>履约保证金，相关要求如下：</w:t>
            </w:r>
          </w:p>
          <w:p w14:paraId="6DC50F05">
            <w:pPr>
              <w:keepNext w:val="0"/>
              <w:keepLines w:val="0"/>
              <w:pageBreakBefore w:val="0"/>
              <w:numPr>
                <w:ilvl w:val="0"/>
                <w:numId w:val="3"/>
              </w:numPr>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履约保证金金额：按项目中标总金额的2%。</w:t>
            </w:r>
          </w:p>
          <w:p w14:paraId="3F568CB5">
            <w:pPr>
              <w:keepNext w:val="0"/>
              <w:keepLines w:val="0"/>
              <w:pageBreakBefore w:val="0"/>
              <w:numPr>
                <w:ilvl w:val="0"/>
                <w:numId w:val="3"/>
              </w:numPr>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履约保证金递交方式：中标人在</w:t>
            </w:r>
            <w:r>
              <w:rPr>
                <w:rFonts w:hint="eastAsia" w:cs="宋体"/>
                <w:color w:val="auto"/>
                <w:kern w:val="0"/>
                <w:sz w:val="21"/>
                <w:szCs w:val="21"/>
                <w:highlight w:val="none"/>
                <w:u w:val="single"/>
              </w:rPr>
              <w:t>签订合同</w:t>
            </w:r>
            <w:r>
              <w:rPr>
                <w:rFonts w:hint="eastAsia" w:ascii="宋体" w:hAnsi="宋体" w:cs="宋体"/>
                <w:color w:val="auto"/>
                <w:sz w:val="21"/>
                <w:szCs w:val="21"/>
                <w:highlight w:val="none"/>
                <w:u w:val="single"/>
              </w:rPr>
              <w:t>前</w:t>
            </w:r>
            <w:r>
              <w:rPr>
                <w:rFonts w:hint="eastAsia" w:ascii="宋体" w:hAnsi="宋体" w:cs="宋体"/>
                <w:color w:val="auto"/>
                <w:sz w:val="21"/>
                <w:szCs w:val="21"/>
                <w:highlight w:val="none"/>
              </w:rPr>
              <w:t>以银行转账、支票、汇票、本票或者金融机构、担保机构出具的保函等非现金方式向</w:t>
            </w:r>
            <w:r>
              <w:rPr>
                <w:rFonts w:hint="eastAsia" w:ascii="宋体" w:hAnsi="宋体" w:cs="宋体"/>
                <w:color w:val="auto"/>
                <w:sz w:val="21"/>
                <w:szCs w:val="21"/>
                <w:highlight w:val="none"/>
                <w:u w:val="single"/>
              </w:rPr>
              <w:t>采购人</w:t>
            </w:r>
            <w:r>
              <w:rPr>
                <w:rFonts w:hint="eastAsia" w:ascii="宋体" w:hAnsi="宋体" w:cs="宋体"/>
                <w:color w:val="auto"/>
                <w:sz w:val="21"/>
                <w:szCs w:val="21"/>
                <w:highlight w:val="none"/>
              </w:rPr>
              <w:t>提交。</w:t>
            </w:r>
          </w:p>
          <w:p w14:paraId="4B01C5A3">
            <w:pPr>
              <w:keepNext w:val="0"/>
              <w:keepLines w:val="0"/>
              <w:pageBreakBefore w:val="0"/>
              <w:numPr>
                <w:ilvl w:val="0"/>
                <w:numId w:val="3"/>
              </w:numPr>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履约保证金退付方式、时间及条件：</w:t>
            </w:r>
            <w:r>
              <w:rPr>
                <w:rFonts w:hint="eastAsia" w:ascii="宋体" w:hAnsi="宋体" w:cs="宋体"/>
                <w:color w:val="auto"/>
                <w:sz w:val="21"/>
                <w:szCs w:val="21"/>
                <w:highlight w:val="none"/>
                <w:u w:val="single"/>
              </w:rPr>
              <w:t>签订合同后，如中标人不按双方签订的合同规定履约，则没收其全部履约保证金，履约保证金不足以赔偿损失的，按实际损失赔偿。履约保证金符合退还条件的， 采购人在收到中标人提交的履约保证金退付申请之日起5个工作日内</w:t>
            </w:r>
            <w:bookmarkStart w:id="89" w:name="OLE_LINK74"/>
            <w:r>
              <w:rPr>
                <w:rFonts w:hint="eastAsia" w:ascii="宋体" w:hAnsi="宋体" w:cs="宋体"/>
                <w:color w:val="auto"/>
                <w:sz w:val="21"/>
                <w:szCs w:val="21"/>
                <w:highlight w:val="none"/>
                <w:u w:val="single"/>
              </w:rPr>
              <w:t>退还</w:t>
            </w:r>
            <w:bookmarkEnd w:id="89"/>
            <w:r>
              <w:rPr>
                <w:rFonts w:hint="eastAsia" w:ascii="宋体" w:hAnsi="宋体" w:cs="宋体"/>
                <w:color w:val="auto"/>
                <w:sz w:val="21"/>
                <w:szCs w:val="21"/>
                <w:highlight w:val="none"/>
                <w:u w:val="single"/>
              </w:rPr>
              <w:t>履约保证金（无息）。</w:t>
            </w:r>
          </w:p>
          <w:p w14:paraId="12E651E2">
            <w:pPr>
              <w:keepNext w:val="0"/>
              <w:keepLines w:val="0"/>
              <w:pageBreakBefore w:val="0"/>
              <w:numPr>
                <w:ilvl w:val="0"/>
                <w:numId w:val="3"/>
              </w:numPr>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缴纳履约保证金的指定账户：</w:t>
            </w:r>
          </w:p>
          <w:p w14:paraId="19581266">
            <w:pPr>
              <w:pStyle w:val="56"/>
              <w:keepNext w:val="0"/>
              <w:keepLines w:val="0"/>
              <w:pageBreakBefore w:val="0"/>
              <w:kinsoku/>
              <w:wordWrap/>
              <w:overflowPunct/>
              <w:topLinePunct w:val="0"/>
              <w:bidi w:val="0"/>
              <w:spacing w:before="0" w:beforeAutospacing="0" w:after="0" w:afterAutospacing="0" w:line="360" w:lineRule="exact"/>
              <w:rPr>
                <w:rFonts w:hint="eastAsia"/>
                <w:color w:val="auto"/>
                <w:sz w:val="21"/>
                <w:szCs w:val="21"/>
                <w:highlight w:val="none"/>
              </w:rPr>
            </w:pPr>
            <w:r>
              <w:rPr>
                <w:rFonts w:hint="eastAsia"/>
                <w:color w:val="auto"/>
                <w:sz w:val="21"/>
                <w:szCs w:val="21"/>
                <w:highlight w:val="none"/>
              </w:rPr>
              <w:t>开户名称：广西壮族自治区胸科医院(广西壮族自治区第四人民医院、广西壮族自治区结核病医院)</w:t>
            </w:r>
          </w:p>
          <w:p w14:paraId="4B3D15DC">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color w:val="auto"/>
                <w:sz w:val="21"/>
                <w:szCs w:val="21"/>
                <w:highlight w:val="none"/>
              </w:rPr>
              <w:t>交通银行柳州西江支行</w:t>
            </w:r>
          </w:p>
          <w:p w14:paraId="4E438651">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银行账号：</w:t>
            </w:r>
            <w:r>
              <w:rPr>
                <w:rFonts w:hint="eastAsia"/>
                <w:color w:val="auto"/>
                <w:sz w:val="21"/>
                <w:szCs w:val="21"/>
                <w:highlight w:val="none"/>
              </w:rPr>
              <w:t>4520 60602018010069582</w:t>
            </w:r>
          </w:p>
          <w:p w14:paraId="4D53F88D">
            <w:pPr>
              <w:keepNext w:val="0"/>
              <w:keepLines w:val="0"/>
              <w:pageBreakBefore w:val="0"/>
              <w:kinsoku/>
              <w:wordWrap/>
              <w:overflowPunct/>
              <w:topLinePunct w:val="0"/>
              <w:bidi w:val="0"/>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4906CF33">
            <w:pPr>
              <w:keepNext w:val="0"/>
              <w:keepLines w:val="0"/>
              <w:pageBreakBefore w:val="0"/>
              <w:kinsoku/>
              <w:wordWrap/>
              <w:overflowPunct/>
              <w:topLinePunct w:val="0"/>
              <w:bidi w:val="0"/>
              <w:spacing w:line="36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auto"/>
                <w:sz w:val="21"/>
                <w:szCs w:val="21"/>
                <w:highlight w:val="none"/>
              </w:rPr>
              <w:br w:type="textWrapping"/>
            </w:r>
            <w:r>
              <w:rPr>
                <w:rFonts w:hint="eastAsia" w:ascii="宋体" w:hAnsi="宋体" w:cs="宋体"/>
                <w:b/>
                <w:color w:val="auto"/>
                <w:sz w:val="21"/>
                <w:szCs w:val="21"/>
                <w:highlight w:val="none"/>
              </w:rPr>
              <w:t>2.采用金融、担保机构出具的保函的，必须为无条件保函，否则不予签订合同。</w:t>
            </w:r>
          </w:p>
          <w:p w14:paraId="1EFF1D39">
            <w:pPr>
              <w:keepNext w:val="0"/>
              <w:keepLines w:val="0"/>
              <w:pageBreakBefore w:val="0"/>
              <w:kinsoku/>
              <w:wordWrap/>
              <w:overflowPunct/>
              <w:topLinePunct w:val="0"/>
              <w:autoSpaceDE w:val="0"/>
              <w:autoSpaceDN w:val="0"/>
              <w:bidi w:val="0"/>
              <w:snapToGrid w:val="0"/>
              <w:spacing w:line="360" w:lineRule="exact"/>
              <w:jc w:val="left"/>
              <w:textAlignment w:val="bottom"/>
              <w:rPr>
                <w:rFonts w:hint="eastAsia" w:ascii="宋体" w:hAnsi="宋体" w:cs="宋体"/>
                <w:color w:val="auto"/>
                <w:sz w:val="21"/>
                <w:szCs w:val="21"/>
                <w:highlight w:val="none"/>
              </w:rPr>
            </w:pPr>
            <w:r>
              <w:rPr>
                <w:rFonts w:hint="eastAsia" w:ascii="宋体" w:hAnsi="宋体" w:cs="宋体"/>
                <w:b/>
                <w:color w:val="auto"/>
                <w:sz w:val="21"/>
                <w:szCs w:val="21"/>
                <w:highlight w:val="none"/>
              </w:rPr>
              <w:t>3.投标人为联合体的，由联合体其中一方按规定提交的履约保证金，视为有效履约保证金。</w:t>
            </w:r>
          </w:p>
        </w:tc>
      </w:tr>
      <w:tr w14:paraId="0D267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6CB996F">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36.1</w:t>
            </w:r>
          </w:p>
        </w:tc>
        <w:tc>
          <w:tcPr>
            <w:tcW w:w="2083" w:type="dxa"/>
            <w:tcBorders>
              <w:top w:val="single" w:color="auto" w:sz="4" w:space="0"/>
              <w:left w:val="single" w:color="auto" w:sz="4" w:space="0"/>
              <w:bottom w:val="single" w:color="auto" w:sz="4" w:space="0"/>
              <w:right w:val="single" w:color="auto" w:sz="4" w:space="0"/>
            </w:tcBorders>
            <w:vAlign w:val="center"/>
          </w:tcPr>
          <w:p w14:paraId="4FE9266B">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90" w:name="_40.1"/>
            <w:bookmarkEnd w:id="90"/>
            <w:r>
              <w:rPr>
                <w:rFonts w:hint="eastAsia" w:ascii="宋体" w:hAnsi="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65888E2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委托代理人负责签订合同的，须携带有效的法定代表人授权委托书及其委托代理人身份证原件等其他资格证件。</w:t>
            </w:r>
          </w:p>
          <w:p w14:paraId="235FCD28">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法定代表人负责签订合同的，须携带法定代表人身份证明原件及身份证原件等其他证明材料。</w:t>
            </w:r>
          </w:p>
        </w:tc>
      </w:tr>
      <w:tr w14:paraId="306C6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0F1A982E">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38.2.1</w:t>
            </w:r>
          </w:p>
        </w:tc>
        <w:tc>
          <w:tcPr>
            <w:tcW w:w="2083" w:type="dxa"/>
            <w:tcBorders>
              <w:top w:val="single" w:color="auto" w:sz="4" w:space="0"/>
              <w:left w:val="single" w:color="auto" w:sz="4" w:space="0"/>
              <w:bottom w:val="single" w:color="auto" w:sz="4" w:space="0"/>
              <w:right w:val="single" w:color="auto" w:sz="4" w:space="0"/>
            </w:tcBorders>
            <w:vAlign w:val="center"/>
          </w:tcPr>
          <w:p w14:paraId="258095DA">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272B5845">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以书面形式</w:t>
            </w:r>
          </w:p>
        </w:tc>
      </w:tr>
      <w:tr w14:paraId="12311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63A8AA94">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E788394">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5AC749DF">
            <w:pPr>
              <w:keepNext w:val="0"/>
              <w:keepLines w:val="0"/>
              <w:pageBreakBefore w:val="0"/>
              <w:numPr>
                <w:ilvl w:val="0"/>
                <w:numId w:val="4"/>
              </w:numPr>
              <w:kinsoku/>
              <w:wordWrap/>
              <w:overflowPunct/>
              <w:topLinePunct w:val="0"/>
              <w:bidi w:val="0"/>
              <w:snapToGrid w:val="0"/>
              <w:spacing w:line="360" w:lineRule="exact"/>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shd w:val="clear" w:color="auto" w:fill="FFFFFF"/>
              </w:rPr>
              <w:t>广西壮族自治区胸科医院</w:t>
            </w:r>
          </w:p>
          <w:p w14:paraId="4AD1F9AF">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联系电话：0772-3136193</w:t>
            </w:r>
          </w:p>
          <w:p w14:paraId="5291CC61">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地址：柳州市鱼峰区羊角山路8号</w:t>
            </w:r>
          </w:p>
          <w:p w14:paraId="3F70D17A">
            <w:pPr>
              <w:keepNext w:val="0"/>
              <w:keepLines w:val="0"/>
              <w:pageBreakBefore w:val="0"/>
              <w:numPr>
                <w:ilvl w:val="0"/>
                <w:numId w:val="4"/>
              </w:numPr>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名称：广西德元工程项目管理有限责任公司</w:t>
            </w:r>
          </w:p>
          <w:p w14:paraId="0D5E4ECE">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联系电话：0772-2203338</w:t>
            </w:r>
          </w:p>
          <w:p w14:paraId="40EAA112">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通讯地址：柳州市跃进路19号天元金都1单元403室</w:t>
            </w:r>
          </w:p>
        </w:tc>
      </w:tr>
      <w:tr w14:paraId="403D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8562337">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3097359">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2E4D86C5">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质疑期内每个工作日（北京时间）上午</w:t>
            </w:r>
            <w:r>
              <w:rPr>
                <w:rFonts w:hint="eastAsia" w:ascii="宋体" w:hAnsi="宋体" w:cs="宋体"/>
                <w:color w:val="auto"/>
                <w:sz w:val="21"/>
                <w:szCs w:val="21"/>
                <w:highlight w:val="none"/>
                <w:u w:val="single"/>
              </w:rPr>
              <w:t>8</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rPr>
              <w:t>分到</w:t>
            </w:r>
            <w:r>
              <w:rPr>
                <w:rFonts w:hint="eastAsia" w:ascii="宋体" w:hAnsi="宋体" w:cs="宋体"/>
                <w:color w:val="auto"/>
                <w:sz w:val="21"/>
                <w:szCs w:val="21"/>
                <w:highlight w:val="none"/>
                <w:u w:val="single"/>
              </w:rPr>
              <w:t>12</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00</w:t>
            </w:r>
            <w:r>
              <w:rPr>
                <w:rFonts w:hint="eastAsia" w:ascii="宋体" w:hAnsi="宋体" w:cs="宋体"/>
                <w:color w:val="auto"/>
                <w:sz w:val="21"/>
                <w:szCs w:val="21"/>
                <w:highlight w:val="none"/>
              </w:rPr>
              <w:t>分，下午</w:t>
            </w:r>
            <w:r>
              <w:rPr>
                <w:rFonts w:hint="eastAsia" w:ascii="宋体" w:hAnsi="宋体" w:cs="宋体"/>
                <w:color w:val="auto"/>
                <w:sz w:val="21"/>
                <w:szCs w:val="21"/>
                <w:highlight w:val="none"/>
                <w:u w:val="single"/>
              </w:rPr>
              <w:t>15</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00</w:t>
            </w:r>
            <w:r>
              <w:rPr>
                <w:rFonts w:hint="eastAsia" w:ascii="宋体" w:hAnsi="宋体" w:cs="宋体"/>
                <w:color w:val="auto"/>
                <w:sz w:val="21"/>
                <w:szCs w:val="21"/>
                <w:highlight w:val="none"/>
              </w:rPr>
              <w:t>分到</w:t>
            </w:r>
            <w:r>
              <w:rPr>
                <w:rFonts w:hint="eastAsia" w:ascii="宋体" w:hAnsi="宋体" w:cs="宋体"/>
                <w:color w:val="auto"/>
                <w:sz w:val="21"/>
                <w:szCs w:val="21"/>
                <w:highlight w:val="none"/>
                <w:u w:val="single"/>
              </w:rPr>
              <w:t>18</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00</w:t>
            </w:r>
            <w:r>
              <w:rPr>
                <w:rFonts w:hint="eastAsia" w:ascii="宋体" w:hAnsi="宋体" w:cs="宋体"/>
                <w:color w:val="auto"/>
                <w:sz w:val="21"/>
                <w:szCs w:val="21"/>
                <w:highlight w:val="none"/>
              </w:rPr>
              <w:t>分。</w:t>
            </w:r>
          </w:p>
        </w:tc>
      </w:tr>
      <w:tr w14:paraId="06676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14:paraId="6B98C296">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38.3.1</w:t>
            </w:r>
          </w:p>
        </w:tc>
        <w:tc>
          <w:tcPr>
            <w:tcW w:w="2083" w:type="dxa"/>
            <w:tcBorders>
              <w:top w:val="single" w:color="auto" w:sz="4" w:space="0"/>
              <w:left w:val="single" w:color="auto" w:sz="4" w:space="0"/>
              <w:bottom w:val="single" w:color="auto" w:sz="4" w:space="0"/>
              <w:right w:val="single" w:color="auto" w:sz="4" w:space="0"/>
            </w:tcBorders>
            <w:vAlign w:val="center"/>
          </w:tcPr>
          <w:p w14:paraId="582D0460">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03FED731">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1、受理方式：纸质方式受理，投诉书正、副本（经过质疑的事项才可投诉）。</w:t>
            </w:r>
          </w:p>
          <w:p w14:paraId="706D69C6">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2、通讯方式</w:t>
            </w:r>
          </w:p>
          <w:p w14:paraId="7BDFAC17">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名称：广西壮族自治区财政厅政府采购监督管理处   </w:t>
            </w:r>
          </w:p>
          <w:p w14:paraId="77A98AB8">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地址：南宁市青秀区津头街道桃源路69号</w:t>
            </w:r>
          </w:p>
          <w:p w14:paraId="1D0FDA84">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联系电话：0771-5331544</w:t>
            </w:r>
          </w:p>
        </w:tc>
      </w:tr>
      <w:tr w14:paraId="315E0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59FFE34E">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40</w:t>
            </w:r>
          </w:p>
        </w:tc>
        <w:tc>
          <w:tcPr>
            <w:tcW w:w="2083" w:type="dxa"/>
            <w:tcBorders>
              <w:top w:val="single" w:color="auto" w:sz="4" w:space="0"/>
              <w:left w:val="single" w:color="auto" w:sz="4" w:space="0"/>
              <w:bottom w:val="single" w:color="auto" w:sz="4" w:space="0"/>
              <w:right w:val="single" w:color="auto" w:sz="4" w:space="0"/>
            </w:tcBorders>
            <w:vAlign w:val="center"/>
          </w:tcPr>
          <w:p w14:paraId="43E27C6F">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bookmarkStart w:id="91" w:name="_41"/>
            <w:bookmarkEnd w:id="91"/>
            <w:bookmarkStart w:id="92" w:name="_42"/>
            <w:bookmarkEnd w:id="92"/>
            <w:r>
              <w:rPr>
                <w:rFonts w:hint="eastAsia" w:ascii="宋体" w:hAnsi="宋体" w:cs="宋体"/>
                <w:color w:val="auto"/>
                <w:sz w:val="21"/>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7CEA51E1">
            <w:pPr>
              <w:pStyle w:val="15"/>
              <w:keepNext w:val="0"/>
              <w:keepLines w:val="0"/>
              <w:pageBreakBefore w:val="0"/>
              <w:kinsoku/>
              <w:wordWrap/>
              <w:overflowPunct/>
              <w:topLinePunct w:val="0"/>
              <w:bidi w:val="0"/>
              <w:snapToGrid w:val="0"/>
              <w:spacing w:line="360" w:lineRule="exact"/>
              <w:rPr>
                <w:rFonts w:hint="eastAsia" w:hAnsi="宋体" w:cs="宋体"/>
                <w:color w:val="auto"/>
                <w:sz w:val="21"/>
                <w:szCs w:val="21"/>
                <w:highlight w:val="none"/>
              </w:rPr>
            </w:pPr>
            <w:r>
              <w:rPr>
                <w:rFonts w:ascii="Segoe UI Symbol" w:hAnsi="Segoe UI Symbol" w:cs="Segoe UI Symbol"/>
                <w:color w:val="auto"/>
                <w:sz w:val="21"/>
                <w:szCs w:val="21"/>
                <w:highlight w:val="none"/>
              </w:rPr>
              <w:t>☑</w:t>
            </w:r>
            <w:r>
              <w:rPr>
                <w:rFonts w:hint="eastAsia" w:hAnsi="宋体" w:cs="宋体"/>
                <w:color w:val="auto"/>
                <w:sz w:val="21"/>
                <w:szCs w:val="21"/>
                <w:highlight w:val="none"/>
              </w:rPr>
              <w:t>本项目采购代理服务费由</w:t>
            </w:r>
            <w:r>
              <w:rPr>
                <w:rFonts w:hint="eastAsia" w:hAnsi="宋体" w:cs="宋体"/>
                <w:color w:val="auto"/>
                <w:sz w:val="21"/>
                <w:szCs w:val="21"/>
                <w:highlight w:val="none"/>
                <w:u w:val="single"/>
              </w:rPr>
              <w:t>中标人</w:t>
            </w:r>
            <w:r>
              <w:rPr>
                <w:rFonts w:hint="eastAsia" w:hAnsi="宋体" w:cs="宋体"/>
                <w:color w:val="auto"/>
                <w:sz w:val="21"/>
                <w:szCs w:val="21"/>
                <w:highlight w:val="none"/>
              </w:rPr>
              <w:t>在签订合同前，以银行转账、电汇等方式一次性向采购代理机构支付。</w:t>
            </w:r>
          </w:p>
        </w:tc>
      </w:tr>
      <w:tr w14:paraId="5C030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A705F4B">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486254C">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3CE9EBD7">
            <w:pPr>
              <w:pStyle w:val="15"/>
              <w:keepNext w:val="0"/>
              <w:keepLines w:val="0"/>
              <w:pageBreakBefore w:val="0"/>
              <w:kinsoku/>
              <w:wordWrap/>
              <w:overflowPunct/>
              <w:topLinePunct w:val="0"/>
              <w:bidi w:val="0"/>
              <w:snapToGrid w:val="0"/>
              <w:spacing w:line="360" w:lineRule="exact"/>
              <w:rPr>
                <w:rFonts w:hint="eastAsia" w:hAnsi="宋体" w:cs="宋体"/>
                <w:color w:val="auto"/>
                <w:sz w:val="21"/>
                <w:szCs w:val="21"/>
                <w:highlight w:val="none"/>
                <w:u w:val="single"/>
              </w:rPr>
            </w:pPr>
            <w:bookmarkStart w:id="93" w:name="PO_3000001867_PM025"/>
            <w:r>
              <w:rPr>
                <w:rFonts w:hint="eastAsia" w:hAnsi="宋体" w:cs="宋体"/>
                <w:color w:val="auto"/>
                <w:sz w:val="21"/>
                <w:szCs w:val="21"/>
                <w:highlight w:val="none"/>
              </w:rPr>
              <w:t>☑以</w:t>
            </w:r>
            <w:r>
              <w:rPr>
                <w:rFonts w:hint="eastAsia" w:hAnsi="宋体" w:cs="宋体"/>
                <w:color w:val="auto"/>
                <w:kern w:val="0"/>
                <w:sz w:val="21"/>
                <w:szCs w:val="21"/>
                <w:highlight w:val="none"/>
              </w:rPr>
              <w:t>项目</w:t>
            </w:r>
            <w:r>
              <w:rPr>
                <w:rFonts w:hint="eastAsia" w:hAnsi="宋体" w:cs="宋体"/>
                <w:color w:val="auto"/>
                <w:sz w:val="21"/>
                <w:szCs w:val="21"/>
                <w:highlight w:val="none"/>
              </w:rPr>
              <w:t>（☑中标金额/□采购预算/□暂定中标金额/□其他</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）为计费额，按本须知正文第40.2条规定的收费计算标准（</w:t>
            </w:r>
            <w:r>
              <w:rPr>
                <w:rFonts w:hint="eastAsia" w:hAnsi="宋体" w:cs="宋体"/>
                <w:b/>
                <w:bCs/>
                <w:color w:val="auto"/>
                <w:sz w:val="21"/>
                <w:szCs w:val="21"/>
                <w:highlight w:val="none"/>
              </w:rPr>
              <w:t>货物类</w:t>
            </w:r>
            <w:r>
              <w:rPr>
                <w:rFonts w:hint="eastAsia" w:hAnsi="宋体" w:cs="宋体"/>
                <w:color w:val="auto"/>
                <w:sz w:val="21"/>
                <w:szCs w:val="21"/>
                <w:highlight w:val="none"/>
              </w:rPr>
              <w:t>）采用差额定率累进法计算出收费基准价格，采购代理收费以（☑收费基准价格）收取。</w:t>
            </w:r>
            <w:bookmarkEnd w:id="93"/>
          </w:p>
        </w:tc>
      </w:tr>
      <w:tr w14:paraId="2AD92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034C4A3E">
            <w:pPr>
              <w:keepNext w:val="0"/>
              <w:keepLines w:val="0"/>
              <w:pageBreakBefore w:val="0"/>
              <w:widowControl/>
              <w:kinsoku/>
              <w:wordWrap/>
              <w:overflowPunct/>
              <w:topLinePunct w:val="0"/>
              <w:bidi w:val="0"/>
              <w:spacing w:line="360" w:lineRule="exact"/>
              <w:jc w:val="left"/>
              <w:rPr>
                <w:rFonts w:hint="eastAsia" w:ascii="宋体" w:hAnsi="宋体" w:cs="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D2C1A09">
            <w:pPr>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38C1E7E0">
            <w:pPr>
              <w:pStyle w:val="15"/>
              <w:keepNext w:val="0"/>
              <w:keepLines w:val="0"/>
              <w:pageBreakBefore w:val="0"/>
              <w:kinsoku/>
              <w:wordWrap/>
              <w:overflowPunct/>
              <w:topLinePunct w:val="0"/>
              <w:bidi w:val="0"/>
              <w:snapToGrid w:val="0"/>
              <w:spacing w:line="360" w:lineRule="exact"/>
              <w:rPr>
                <w:rFonts w:hint="eastAsia" w:hAnsi="宋体" w:cs="宋体"/>
                <w:color w:val="auto"/>
                <w:sz w:val="21"/>
                <w:szCs w:val="21"/>
                <w:highlight w:val="none"/>
              </w:rPr>
            </w:pPr>
            <w:r>
              <w:rPr>
                <w:rFonts w:hint="eastAsia" w:hAnsi="宋体" w:cs="宋体"/>
                <w:color w:val="auto"/>
                <w:sz w:val="21"/>
                <w:szCs w:val="21"/>
                <w:highlight w:val="none"/>
              </w:rPr>
              <w:t xml:space="preserve">开户名称：广西德元工程项目管理有限责任公司 </w:t>
            </w:r>
          </w:p>
          <w:p w14:paraId="2542A31D">
            <w:pPr>
              <w:pStyle w:val="15"/>
              <w:keepNext w:val="0"/>
              <w:keepLines w:val="0"/>
              <w:pageBreakBefore w:val="0"/>
              <w:kinsoku/>
              <w:wordWrap/>
              <w:overflowPunct/>
              <w:topLinePunct w:val="0"/>
              <w:bidi w:val="0"/>
              <w:snapToGrid w:val="0"/>
              <w:spacing w:line="360" w:lineRule="exact"/>
              <w:rPr>
                <w:rFonts w:hint="eastAsia" w:hAnsi="宋体" w:cs="宋体"/>
                <w:color w:val="auto"/>
                <w:sz w:val="21"/>
                <w:szCs w:val="21"/>
                <w:highlight w:val="none"/>
              </w:rPr>
            </w:pPr>
            <w:r>
              <w:rPr>
                <w:rFonts w:hint="eastAsia" w:hAnsi="宋体" w:cs="宋体"/>
                <w:color w:val="auto"/>
                <w:sz w:val="21"/>
                <w:szCs w:val="21"/>
                <w:highlight w:val="none"/>
              </w:rPr>
              <w:t xml:space="preserve">开户银行：中国建设银行股份有限公司柳州分行八一支行 </w:t>
            </w:r>
          </w:p>
          <w:p w14:paraId="4DF121E3">
            <w:pPr>
              <w:keepNext w:val="0"/>
              <w:keepLines w:val="0"/>
              <w:pageBreakBefore w:val="0"/>
              <w:kinsoku/>
              <w:wordWrap/>
              <w:overflowPunct/>
              <w:topLinePunct w:val="0"/>
              <w:bidi w:val="0"/>
              <w:spacing w:line="360" w:lineRule="exact"/>
              <w:rPr>
                <w:rFonts w:hint="eastAsia" w:hAnsi="宋体" w:cs="宋体"/>
                <w:color w:val="auto"/>
                <w:sz w:val="21"/>
                <w:szCs w:val="21"/>
                <w:highlight w:val="none"/>
              </w:rPr>
            </w:pPr>
            <w:r>
              <w:rPr>
                <w:rFonts w:hint="eastAsia" w:hAnsi="宋体" w:cs="宋体"/>
                <w:color w:val="auto"/>
                <w:sz w:val="21"/>
                <w:szCs w:val="21"/>
                <w:highlight w:val="none"/>
              </w:rPr>
              <w:t>银行账号：</w:t>
            </w:r>
            <w:r>
              <w:rPr>
                <w:rFonts w:hint="eastAsia" w:ascii="宋体" w:hAnsi="宋体" w:cs="宋体"/>
                <w:color w:val="auto"/>
                <w:sz w:val="21"/>
                <w:szCs w:val="21"/>
                <w:highlight w:val="none"/>
              </w:rPr>
              <w:t>45001623850059678899</w:t>
            </w:r>
          </w:p>
        </w:tc>
      </w:tr>
      <w:tr w14:paraId="36AD0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7" w:hRule="atLeast"/>
        </w:trPr>
        <w:tc>
          <w:tcPr>
            <w:tcW w:w="860" w:type="dxa"/>
            <w:tcBorders>
              <w:top w:val="single" w:color="auto" w:sz="4" w:space="0"/>
              <w:left w:val="single" w:color="auto" w:sz="4" w:space="0"/>
              <w:bottom w:val="single" w:color="auto" w:sz="4" w:space="0"/>
              <w:right w:val="single" w:color="auto" w:sz="4" w:space="0"/>
            </w:tcBorders>
            <w:vAlign w:val="center"/>
          </w:tcPr>
          <w:p w14:paraId="42D33EFC">
            <w:pPr>
              <w:keepNext w:val="0"/>
              <w:keepLines w:val="0"/>
              <w:pageBreakBefore w:val="0"/>
              <w:kinsoku/>
              <w:wordWrap/>
              <w:overflowPunct/>
              <w:topLinePunct w:val="0"/>
              <w:bidi w:val="0"/>
              <w:snapToGrid w:val="0"/>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41.1</w:t>
            </w:r>
          </w:p>
        </w:tc>
        <w:tc>
          <w:tcPr>
            <w:tcW w:w="2083" w:type="dxa"/>
            <w:tcBorders>
              <w:top w:val="single" w:color="auto" w:sz="4" w:space="0"/>
              <w:left w:val="single" w:color="auto" w:sz="4" w:space="0"/>
              <w:bottom w:val="single" w:color="auto" w:sz="4" w:space="0"/>
              <w:right w:val="single" w:color="auto" w:sz="4" w:space="0"/>
            </w:tcBorders>
            <w:vAlign w:val="center"/>
          </w:tcPr>
          <w:p w14:paraId="3DCAC9B4">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B20A50A">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解释：</w:t>
            </w:r>
            <w:r>
              <w:rPr>
                <w:rFonts w:hint="eastAsia" w:ascii="宋体" w:hAnsi="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 w:val="21"/>
                <w:szCs w:val="21"/>
                <w:highlight w:val="none"/>
              </w:rPr>
              <w:t>，由采购人或者采购代理机构负责解释。</w:t>
            </w:r>
          </w:p>
          <w:p w14:paraId="37EB3139">
            <w:pPr>
              <w:keepNext w:val="0"/>
              <w:keepLines w:val="0"/>
              <w:pageBreakBefore w:val="0"/>
              <w:kinsoku/>
              <w:wordWrap/>
              <w:overflowPunct/>
              <w:topLinePunct w:val="0"/>
              <w:bidi w:val="0"/>
              <w:snapToGrid w:val="0"/>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法律责任：</w:t>
            </w:r>
          </w:p>
          <w:p w14:paraId="0F6BB3D0">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20FC8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5456EC0">
            <w:pPr>
              <w:keepNext w:val="0"/>
              <w:keepLines w:val="0"/>
              <w:pageBreakBefore w:val="0"/>
              <w:kinsoku/>
              <w:wordWrap/>
              <w:overflowPunct/>
              <w:topLinePunct w:val="0"/>
              <w:bidi w:val="0"/>
              <w:snapToGrid w:val="0"/>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41.2</w:t>
            </w:r>
          </w:p>
        </w:tc>
        <w:tc>
          <w:tcPr>
            <w:tcW w:w="2083" w:type="dxa"/>
            <w:tcBorders>
              <w:top w:val="single" w:color="auto" w:sz="4" w:space="0"/>
              <w:left w:val="single" w:color="auto" w:sz="4" w:space="0"/>
              <w:bottom w:val="single" w:color="auto" w:sz="4" w:space="0"/>
              <w:right w:val="single" w:color="auto" w:sz="4" w:space="0"/>
            </w:tcBorders>
            <w:vAlign w:val="center"/>
          </w:tcPr>
          <w:p w14:paraId="6AF4486F">
            <w:pPr>
              <w:keepNext w:val="0"/>
              <w:keepLines w:val="0"/>
              <w:pageBreakBefore w:val="0"/>
              <w:kinsoku/>
              <w:wordWrap/>
              <w:overflowPunct/>
              <w:topLinePunct w:val="0"/>
              <w:bidi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11975A21">
            <w:pPr>
              <w:pStyle w:val="10"/>
              <w:keepNext w:val="0"/>
              <w:keepLines w:val="0"/>
              <w:pageBreakBefore w:val="0"/>
              <w:kinsoku/>
              <w:wordWrap/>
              <w:overflowPunct/>
              <w:topLinePunct w:val="0"/>
              <w:bidi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D2170E8">
            <w:pPr>
              <w:pStyle w:val="10"/>
              <w:keepNext w:val="0"/>
              <w:keepLines w:val="0"/>
              <w:pageBreakBefore w:val="0"/>
              <w:kinsoku/>
              <w:wordWrap/>
              <w:overflowPunct/>
              <w:topLinePunct w:val="0"/>
              <w:bidi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101403CF">
            <w:pPr>
              <w:pStyle w:val="10"/>
              <w:keepNext w:val="0"/>
              <w:keepLines w:val="0"/>
              <w:pageBreakBefore w:val="0"/>
              <w:tabs>
                <w:tab w:val="center" w:pos="4153"/>
                <w:tab w:val="right" w:pos="8306"/>
              </w:tabs>
              <w:kinsoku/>
              <w:wordWrap/>
              <w:overflowPunct/>
              <w:topLinePunct w:val="0"/>
              <w:bidi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31DAA7FA">
            <w:pPr>
              <w:pStyle w:val="10"/>
              <w:keepNext w:val="0"/>
              <w:keepLines w:val="0"/>
              <w:pageBreakBefore w:val="0"/>
              <w:kinsoku/>
              <w:wordWrap/>
              <w:overflowPunct/>
              <w:topLinePunct w:val="0"/>
              <w:bidi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F0978BA">
            <w:pPr>
              <w:pStyle w:val="10"/>
              <w:keepNext w:val="0"/>
              <w:keepLines w:val="0"/>
              <w:pageBreakBefore w:val="0"/>
              <w:kinsoku/>
              <w:wordWrap/>
              <w:overflowPunct/>
              <w:topLinePunct w:val="0"/>
              <w:bidi w:val="0"/>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5.自然人投标的，招标文件规定盖公章处由自然人摁手指指印。</w:t>
            </w:r>
          </w:p>
          <w:p w14:paraId="5E4532A8">
            <w:pPr>
              <w:pStyle w:val="10"/>
              <w:keepNext w:val="0"/>
              <w:keepLines w:val="0"/>
              <w:pageBreakBefore w:val="0"/>
              <w:kinsoku/>
              <w:wordWrap/>
              <w:overflowPunct/>
              <w:topLinePunct w:val="0"/>
              <w:bidi w:val="0"/>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6.本招标文件所称的“以上”“以下”“以内”“届满”，包括本数；所称的“不满”“超过”“以外”，不包括本数。</w:t>
            </w:r>
          </w:p>
        </w:tc>
      </w:tr>
    </w:tbl>
    <w:p w14:paraId="14AD9454">
      <w:pPr>
        <w:widowControl/>
        <w:spacing w:line="412" w:lineRule="auto"/>
        <w:jc w:val="left"/>
        <w:rPr>
          <w:rFonts w:hint="eastAsia" w:ascii="宋体" w:hAnsi="宋体" w:cs="宋体"/>
          <w:b/>
          <w:bCs/>
          <w:color w:val="auto"/>
          <w:sz w:val="32"/>
          <w:szCs w:val="32"/>
          <w:highlight w:val="none"/>
        </w:rPr>
        <w:sectPr>
          <w:footerReference r:id="rId6" w:type="default"/>
          <w:pgSz w:w="11906" w:h="16838"/>
          <w:pgMar w:top="1134" w:right="1134" w:bottom="1134" w:left="1134" w:header="283" w:footer="720" w:gutter="0"/>
          <w:pgNumType w:start="1"/>
          <w:cols w:space="720" w:num="1"/>
          <w:docGrid w:type="lines" w:linePitch="331" w:charSpace="0"/>
        </w:sectPr>
      </w:pPr>
    </w:p>
    <w:p w14:paraId="5F7EFDA5">
      <w:pPr>
        <w:pStyle w:val="3"/>
        <w:pageBreakBefore w:val="0"/>
        <w:kinsoku/>
        <w:wordWrap/>
        <w:overflowPunct/>
        <w:topLinePunct w:val="0"/>
        <w:autoSpaceDE/>
        <w:autoSpaceDN/>
        <w:bidi w:val="0"/>
        <w:spacing w:before="0" w:after="0" w:line="360" w:lineRule="exact"/>
        <w:jc w:val="center"/>
        <w:textAlignment w:val="auto"/>
        <w:rPr>
          <w:rFonts w:hint="eastAsia" w:ascii="宋体" w:hAnsi="宋体" w:eastAsia="宋体" w:cs="宋体"/>
          <w:color w:val="auto"/>
          <w:highlight w:val="none"/>
        </w:rPr>
      </w:pPr>
      <w:bookmarkStart w:id="94" w:name="_Toc21704"/>
      <w:bookmarkStart w:id="95" w:name="_Toc32224"/>
      <w:bookmarkStart w:id="96" w:name="_Toc21899"/>
      <w:bookmarkStart w:id="97" w:name="_Toc29181"/>
      <w:bookmarkStart w:id="98" w:name="_Toc9224"/>
      <w:r>
        <w:rPr>
          <w:rFonts w:hint="eastAsia" w:ascii="宋体" w:hAnsi="宋体" w:eastAsia="宋体" w:cs="宋体"/>
          <w:color w:val="auto"/>
          <w:highlight w:val="none"/>
        </w:rPr>
        <w:t>第二节 投标人须知正文</w:t>
      </w:r>
      <w:bookmarkEnd w:id="94"/>
      <w:bookmarkEnd w:id="95"/>
      <w:bookmarkEnd w:id="96"/>
      <w:bookmarkEnd w:id="97"/>
      <w:bookmarkEnd w:id="98"/>
    </w:p>
    <w:p w14:paraId="1D0ECC02">
      <w:pPr>
        <w:pStyle w:val="4"/>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highlight w:val="none"/>
        </w:rPr>
      </w:pPr>
      <w:bookmarkStart w:id="99" w:name="_Toc5656"/>
      <w:bookmarkStart w:id="100" w:name="_Toc7223"/>
      <w:bookmarkStart w:id="101" w:name="_Toc13703"/>
      <w:bookmarkStart w:id="102" w:name="_Toc9192"/>
      <w:bookmarkStart w:id="103" w:name="_Toc2156"/>
      <w:r>
        <w:rPr>
          <w:rFonts w:hint="eastAsia" w:ascii="宋体" w:hAnsi="宋体" w:cs="宋体"/>
          <w:color w:val="auto"/>
          <w:highlight w:val="none"/>
        </w:rPr>
        <w:t>一、总  则</w:t>
      </w:r>
      <w:bookmarkEnd w:id="99"/>
      <w:bookmarkEnd w:id="100"/>
      <w:bookmarkEnd w:id="101"/>
      <w:bookmarkEnd w:id="102"/>
      <w:bookmarkEnd w:id="103"/>
    </w:p>
    <w:p w14:paraId="0DE89EF5">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04" w:name="_Toc254970527"/>
      <w:bookmarkStart w:id="105" w:name="_Toc254970668"/>
      <w:r>
        <w:rPr>
          <w:rFonts w:hint="eastAsia" w:ascii="宋体" w:hAnsi="宋体" w:cs="宋体"/>
          <w:color w:val="auto"/>
          <w:sz w:val="24"/>
          <w:highlight w:val="none"/>
        </w:rPr>
        <w:t>1.适用范围</w:t>
      </w:r>
      <w:bookmarkEnd w:id="104"/>
      <w:bookmarkEnd w:id="105"/>
    </w:p>
    <w:p w14:paraId="2BCA44FD">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hAnsi="宋体" w:cs="宋体"/>
          <w:color w:val="auto"/>
          <w:kern w:val="0"/>
          <w:szCs w:val="21"/>
          <w:highlight w:val="none"/>
        </w:rPr>
        <w:t>政府采购货物和服务招标投标管理办法</w:t>
      </w:r>
      <w:r>
        <w:rPr>
          <w:rFonts w:hint="eastAsia" w:ascii="宋体" w:hAnsi="宋体" w:cs="宋体"/>
          <w:color w:val="auto"/>
          <w:szCs w:val="21"/>
          <w:highlight w:val="none"/>
        </w:rPr>
        <w:t>》及本项目本级和上级财政部门政府采购有关规定的约束和保护。</w:t>
      </w:r>
    </w:p>
    <w:p w14:paraId="54A8039F">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B2431BE">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06" w:name="_Toc254970528"/>
      <w:bookmarkStart w:id="107" w:name="_Toc254970669"/>
      <w:r>
        <w:rPr>
          <w:rFonts w:hint="eastAsia" w:ascii="宋体" w:hAnsi="宋体" w:cs="宋体"/>
          <w:color w:val="auto"/>
          <w:sz w:val="24"/>
          <w:highlight w:val="none"/>
        </w:rPr>
        <w:t>2.定义</w:t>
      </w:r>
      <w:bookmarkEnd w:id="106"/>
      <w:bookmarkEnd w:id="107"/>
    </w:p>
    <w:p w14:paraId="46BF9E47">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05AC65E3">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63BA4B7E">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7A5D8DC8">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6D90FBF3">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2.5“货物”是指各种形态和种类的物品，包括原材料、燃料、设备、产品等。</w:t>
      </w:r>
    </w:p>
    <w:p w14:paraId="61869E80">
      <w:pPr>
        <w:pStyle w:val="6"/>
        <w:keepNext w:val="0"/>
        <w:keepLines w:val="0"/>
        <w:pageBreakBefore w:val="0"/>
        <w:kinsoku/>
        <w:wordWrap/>
        <w:overflowPunct/>
        <w:topLinePunct w:val="0"/>
        <w:autoSpaceDE/>
        <w:autoSpaceDN/>
        <w:bidi w:val="0"/>
        <w:spacing w:before="0" w:after="0" w:line="360" w:lineRule="exact"/>
        <w:ind w:firstLine="420" w:firstLine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603D0ED4">
      <w:pPr>
        <w:pStyle w:val="6"/>
        <w:keepNext w:val="0"/>
        <w:keepLines w:val="0"/>
        <w:pageBreakBefore w:val="0"/>
        <w:kinsoku/>
        <w:wordWrap/>
        <w:overflowPunct/>
        <w:topLinePunct w:val="0"/>
        <w:autoSpaceDE/>
        <w:autoSpaceDN/>
        <w:bidi w:val="0"/>
        <w:spacing w:before="0" w:after="0" w:line="360" w:lineRule="exact"/>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0279D929">
      <w:pPr>
        <w:pStyle w:val="6"/>
        <w:keepNext w:val="0"/>
        <w:keepLines w:val="0"/>
        <w:pageBreakBefore w:val="0"/>
        <w:kinsoku/>
        <w:wordWrap/>
        <w:overflowPunct/>
        <w:topLinePunct w:val="0"/>
        <w:autoSpaceDE/>
        <w:autoSpaceDN/>
        <w:bidi w:val="0"/>
        <w:spacing w:before="0" w:after="0" w:line="360" w:lineRule="exact"/>
        <w:ind w:firstLine="420" w:firstLine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2.8“实质性要求”是指招标文件中已经指明不满足则投标无效的条款，或者不能负偏离的条款，或者采购需求中带“▲”的条款。</w:t>
      </w:r>
    </w:p>
    <w:p w14:paraId="41EC9102">
      <w:pPr>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4C06FE8B">
      <w:pPr>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4DB0A5C3">
      <w:pPr>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784B73F">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08" w:name="_Toc254970529"/>
      <w:bookmarkStart w:id="109" w:name="_Toc254970670"/>
      <w:r>
        <w:rPr>
          <w:rFonts w:hint="eastAsia" w:ascii="宋体" w:hAnsi="宋体" w:cs="宋体"/>
          <w:color w:val="auto"/>
          <w:sz w:val="24"/>
          <w:highlight w:val="none"/>
        </w:rPr>
        <w:t>3.</w:t>
      </w:r>
      <w:bookmarkEnd w:id="108"/>
      <w:bookmarkEnd w:id="109"/>
      <w:r>
        <w:rPr>
          <w:rFonts w:hint="eastAsia" w:ascii="宋体" w:hAnsi="宋体" w:cs="宋体"/>
          <w:color w:val="auto"/>
          <w:sz w:val="24"/>
          <w:highlight w:val="none"/>
        </w:rPr>
        <w:t>投标人的资格要求</w:t>
      </w:r>
    </w:p>
    <w:p w14:paraId="0F76278F">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23FE4150">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10" w:name="_Toc254970530"/>
      <w:bookmarkStart w:id="111" w:name="_Toc254970671"/>
      <w:r>
        <w:rPr>
          <w:rFonts w:hint="eastAsia" w:ascii="宋体" w:hAnsi="宋体" w:cs="宋体"/>
          <w:color w:val="auto"/>
          <w:sz w:val="24"/>
          <w:highlight w:val="none"/>
        </w:rPr>
        <w:t>4.投标委托</w:t>
      </w:r>
      <w:bookmarkEnd w:id="110"/>
      <w:bookmarkEnd w:id="111"/>
    </w:p>
    <w:p w14:paraId="4B430EA0">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77921820">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12" w:name="_5.投标费用"/>
      <w:bookmarkEnd w:id="112"/>
      <w:bookmarkStart w:id="113" w:name="_Toc254970672"/>
      <w:bookmarkStart w:id="114" w:name="_Toc254970531"/>
      <w:r>
        <w:rPr>
          <w:rFonts w:hint="eastAsia" w:ascii="宋体" w:hAnsi="宋体" w:cs="宋体"/>
          <w:color w:val="auto"/>
          <w:sz w:val="24"/>
          <w:highlight w:val="none"/>
        </w:rPr>
        <w:t>5.投标费用</w:t>
      </w:r>
      <w:bookmarkEnd w:id="113"/>
      <w:bookmarkEnd w:id="114"/>
    </w:p>
    <w:p w14:paraId="26287F18">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67025A55">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6.联合体投标</w:t>
      </w:r>
    </w:p>
    <w:p w14:paraId="463E5788">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424ACF77">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0B57F0D">
      <w:pPr>
        <w:pStyle w:val="10"/>
        <w:pageBreakBefore w:val="0"/>
        <w:kinsoku/>
        <w:wordWrap/>
        <w:overflowPunct/>
        <w:topLinePunct w:val="0"/>
        <w:autoSpaceDE/>
        <w:autoSpaceDN/>
        <w:bidi w:val="0"/>
        <w:spacing w:line="360" w:lineRule="exact"/>
        <w:textAlignment w:val="auto"/>
        <w:rPr>
          <w:rFonts w:hint="eastAsia" w:ascii="宋体" w:hAnsi="宋体" w:cs="宋体"/>
          <w:color w:val="auto"/>
          <w:sz w:val="24"/>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bCs/>
          <w:color w:val="auto"/>
          <w:highlight w:val="none"/>
        </w:rPr>
        <w:t>广西壮族自治区财政厅关于贯彻落实政府采购支持中小企业发展政策的通知</w:t>
      </w:r>
      <w:r>
        <w:rPr>
          <w:rFonts w:hint="eastAsia" w:ascii="宋体" w:hAnsi="宋体" w:cs="宋体"/>
          <w:bCs/>
          <w:color w:val="auto"/>
          <w:szCs w:val="21"/>
          <w:highlight w:val="none"/>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233B5FA7">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71F31BB9">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7.1 本项目不允许转包。</w:t>
      </w:r>
    </w:p>
    <w:p w14:paraId="7D65952D">
      <w:pPr>
        <w:pStyle w:val="11"/>
        <w:pageBreakBefore w:val="0"/>
        <w:kinsoku/>
        <w:wordWrap/>
        <w:overflowPunct/>
        <w:topLinePunct w:val="0"/>
        <w:autoSpaceDE/>
        <w:autoSpaceDN/>
        <w:bidi w:val="0"/>
        <w:spacing w:after="0" w:line="360" w:lineRule="exact"/>
        <w:textAlignment w:val="auto"/>
        <w:rPr>
          <w:rFonts w:hint="eastAsia" w:ascii="宋体" w:hAnsi="宋体" w:cs="宋体"/>
          <w:color w:val="auto"/>
          <w:highlight w:val="none"/>
        </w:rPr>
      </w:pPr>
      <w:r>
        <w:rPr>
          <w:rFonts w:hint="eastAsia" w:ascii="宋体" w:hAnsi="宋体" w:cs="宋体"/>
          <w:b/>
          <w:color w:val="auto"/>
          <w:szCs w:val="21"/>
          <w:highlight w:val="none"/>
        </w:rPr>
        <w:t>　　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0D3F3DC">
      <w:pPr>
        <w:pStyle w:val="10"/>
        <w:pageBreakBefore w:val="0"/>
        <w:kinsoku/>
        <w:wordWrap/>
        <w:overflowPunct/>
        <w:topLinePunct w:val="0"/>
        <w:autoSpaceDE/>
        <w:autoSpaceDN/>
        <w:bidi w:val="0"/>
        <w:spacing w:line="3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7.3根据《政府采购促进中小企业发展管理办法》（财库〔2020〕46号）第九条及《</w:t>
      </w:r>
      <w:r>
        <w:rPr>
          <w:rFonts w:hint="eastAsia"/>
          <w:b/>
          <w:color w:val="auto"/>
          <w:highlight w:val="none"/>
        </w:rPr>
        <w:t>广西壮族自治区财政厅关于贯彻落实政府采购支持中小企业发展政策的通知</w:t>
      </w:r>
      <w:r>
        <w:rPr>
          <w:rFonts w:hint="eastAsia" w:ascii="宋体" w:hAnsi="宋体" w:cs="宋体"/>
          <w:b/>
          <w:color w:val="auto"/>
          <w:szCs w:val="21"/>
          <w:highlight w:val="none"/>
        </w:rPr>
        <w:t>》（桂财采〔2022〕31号）规定，允许大中型企业向一家或者多家小微企业分包的采购项目，对于分包意向协议约定小微企业的合同份额占到合同总金额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5C32720">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15" w:name="_Toc254970532"/>
      <w:bookmarkStart w:id="116" w:name="_Toc254970673"/>
      <w:r>
        <w:rPr>
          <w:rFonts w:hint="eastAsia" w:ascii="宋体" w:hAnsi="宋体" w:cs="宋体"/>
          <w:color w:val="auto"/>
          <w:sz w:val="24"/>
          <w:highlight w:val="none"/>
        </w:rPr>
        <w:t>8.特别说明：</w:t>
      </w:r>
      <w:bookmarkEnd w:id="115"/>
      <w:bookmarkEnd w:id="116"/>
      <w:bookmarkStart w:id="117" w:name="_8.1提供相同品牌产品且通过资格审查、符合性审查的不同投标人参加同一合"/>
      <w:bookmarkEnd w:id="117"/>
    </w:p>
    <w:p w14:paraId="03644C25">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8.1如果本招标文件要求投标人提供资格、信誉、荣誉、业绩与企业认证等材料的，则投标人所提供的以上材料必须为该投标人所拥有。</w:t>
      </w:r>
    </w:p>
    <w:p w14:paraId="6B060317">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59F3F096">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103D74C">
      <w:pPr>
        <w:pageBreakBefore w:val="0"/>
        <w:widowControl/>
        <w:kinsoku/>
        <w:wordWrap/>
        <w:overflowPunct/>
        <w:topLinePunct w:val="0"/>
        <w:autoSpaceDE/>
        <w:autoSpaceDN/>
        <w:bidi w:val="0"/>
        <w:spacing w:line="3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67DD00C0">
      <w:pPr>
        <w:pageBreakBefore w:val="0"/>
        <w:widowControl/>
        <w:kinsoku/>
        <w:wordWrap/>
        <w:overflowPunct/>
        <w:topLinePunct w:val="0"/>
        <w:autoSpaceDE/>
        <w:autoSpaceDN/>
        <w:bidi w:val="0"/>
        <w:spacing w:line="3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7637B971">
      <w:pPr>
        <w:pageBreakBefore w:val="0"/>
        <w:widowControl/>
        <w:kinsoku/>
        <w:wordWrap/>
        <w:overflowPunct/>
        <w:topLinePunct w:val="0"/>
        <w:autoSpaceDE/>
        <w:autoSpaceDN/>
        <w:bidi w:val="0"/>
        <w:spacing w:line="3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75B88885">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7CD00CF5">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226177CD">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（1）参加采购活动前3年内与供应商存在劳动关系；</w:t>
      </w:r>
    </w:p>
    <w:p w14:paraId="4EBDB94C">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（2）参加采购活动前3年内担任供应商的董事、监事；</w:t>
      </w:r>
    </w:p>
    <w:p w14:paraId="0377E3C3">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（3）参加采购活动前3年内是供应商的控股股东或者实际控制人；</w:t>
      </w:r>
    </w:p>
    <w:p w14:paraId="1EF27972">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（4）与供应商的法定代表人或者负责人有夫妻、直系血亲、三代以内旁系血亲或者近姻亲关系；</w:t>
      </w:r>
    </w:p>
    <w:p w14:paraId="45D85E5E">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（5）与供应商有其他可能影响政府采购活动公平、公正进行的关系。</w:t>
      </w:r>
    </w:p>
    <w:p w14:paraId="35DA51A3">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5143BC">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7A29002E">
      <w:pPr>
        <w:pStyle w:val="10"/>
        <w:pageBreakBefore w:val="0"/>
        <w:kinsoku/>
        <w:wordWrap/>
        <w:overflowPunct/>
        <w:topLinePunct w:val="0"/>
        <w:autoSpaceDE/>
        <w:autoSpaceDN/>
        <w:bidi w:val="0"/>
        <w:spacing w:line="360" w:lineRule="exact"/>
        <w:textAlignment w:val="auto"/>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228E8668">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473737E5">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71E574A">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53CE8727">
      <w:pPr>
        <w:pStyle w:val="16"/>
        <w:pageBreakBefore w:val="0"/>
        <w:kinsoku/>
        <w:wordWrap/>
        <w:overflowPunct/>
        <w:topLinePunct w:val="0"/>
        <w:autoSpaceDE/>
        <w:autoSpaceDN/>
        <w:bidi w:val="0"/>
        <w:spacing w:line="360" w:lineRule="exact"/>
        <w:textAlignment w:val="auto"/>
        <w:rPr>
          <w:color w:val="auto"/>
          <w:highlight w:val="none"/>
        </w:rPr>
      </w:pPr>
      <w:r>
        <w:rPr>
          <w:rFonts w:hint="eastAsia" w:ascii="宋体" w:hAnsi="宋体" w:cs="宋体"/>
          <w:b/>
          <w:color w:val="auto"/>
          <w:highlight w:val="none"/>
        </w:rPr>
        <w:t xml:space="preserve"> </w:t>
      </w:r>
      <w:r>
        <w:rPr>
          <w:rFonts w:hint="eastAsia" w:ascii="宋体" w:hAnsi="宋体" w:cs="宋体"/>
          <w:b/>
          <w:color w:val="auto"/>
          <w:sz w:val="21"/>
          <w:szCs w:val="24"/>
          <w:highlight w:val="none"/>
        </w:rPr>
        <w:t xml:space="preserve">  </w:t>
      </w:r>
      <w:r>
        <w:rPr>
          <w:rFonts w:hint="eastAsia" w:ascii="宋体" w:hAnsi="宋体" w:cs="宋体"/>
          <w:b/>
          <w:color w:val="auto"/>
          <w:sz w:val="21"/>
          <w:szCs w:val="21"/>
          <w:highlight w:val="none"/>
        </w:rPr>
        <w:t xml:space="preserve"> （5）</w:t>
      </w:r>
      <w:r>
        <w:rPr>
          <w:rFonts w:hint="eastAsia" w:ascii="宋体" w:hAnsi="宋体" w:cs="宋体"/>
          <w:b/>
          <w:color w:val="auto"/>
          <w:sz w:val="21"/>
          <w:szCs w:val="24"/>
          <w:highlight w:val="none"/>
        </w:rPr>
        <w:t>不同投标人的投标文件相互混装；</w:t>
      </w:r>
    </w:p>
    <w:p w14:paraId="3028B90D">
      <w:pPr>
        <w:pageBreakBefore w:val="0"/>
        <w:tabs>
          <w:tab w:val="center" w:pos="4153"/>
          <w:tab w:val="right" w:pos="8306"/>
        </w:tabs>
        <w:kinsoku/>
        <w:wordWrap/>
        <w:overflowPunct/>
        <w:topLinePunct w:val="0"/>
        <w:autoSpaceDE/>
        <w:autoSpaceDN/>
        <w:bidi w:val="0"/>
        <w:spacing w:line="3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4B1A8490">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color w:val="auto"/>
          <w:highlight w:val="none"/>
        </w:rPr>
        <w:t>9.3供应商有下列情形之一的，属于恶意串通</w:t>
      </w:r>
      <w:r>
        <w:rPr>
          <w:rFonts w:hint="eastAsia" w:ascii="宋体" w:hAnsi="宋体" w:cs="宋体"/>
          <w:b/>
          <w:bCs/>
          <w:color w:val="auto"/>
          <w:szCs w:val="21"/>
          <w:highlight w:val="none"/>
        </w:rPr>
        <w:t>行为，将报同级监督管理部门：</w:t>
      </w:r>
    </w:p>
    <w:p w14:paraId="305420DE">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（1）供应商直接或者间接从采购人或者采购代理机构处获得其他供应商的相关信息并修改其投标文件；</w:t>
      </w:r>
    </w:p>
    <w:p w14:paraId="5E0B29DC">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（2）供应商按照采购人或者采购代理机构的授意撤换、修改投标文件；</w:t>
      </w:r>
    </w:p>
    <w:p w14:paraId="623F02EC">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（3）供应商之间协商报价、技术方案等投标文件的实质性内容；</w:t>
      </w:r>
    </w:p>
    <w:p w14:paraId="2D80ABC8">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（4）属于同一集团、协会、商会等组织成员的供应商按照该组织要求协同参加政府采购活动；</w:t>
      </w:r>
    </w:p>
    <w:p w14:paraId="0E62F6CC">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14BCD350">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（6）供应商之间商定部分供应商放弃参加政府采购活动或者放弃中标；</w:t>
      </w:r>
    </w:p>
    <w:p w14:paraId="71FEB82A">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（7）供应商与采购人或者采购代理机构之间、供应商相互之间，为谋求特定供应商中标或者排斥其他供应商的其他串通行为。</w:t>
      </w:r>
    </w:p>
    <w:p w14:paraId="50AD5830">
      <w:pPr>
        <w:pStyle w:val="15"/>
        <w:pageBreakBefore w:val="0"/>
        <w:kinsoku/>
        <w:wordWrap/>
        <w:overflowPunct/>
        <w:topLinePunct w:val="0"/>
        <w:autoSpaceDE/>
        <w:autoSpaceDN/>
        <w:bidi w:val="0"/>
        <w:snapToGrid w:val="0"/>
        <w:spacing w:line="360" w:lineRule="exact"/>
        <w:ind w:left="2" w:leftChars="1" w:firstLine="422" w:firstLineChars="200"/>
        <w:textAlignment w:val="auto"/>
        <w:rPr>
          <w:rFonts w:hint="eastAsia" w:hAnsi="宋体" w:cs="宋体"/>
          <w:b/>
          <w:color w:val="auto"/>
          <w:highlight w:val="none"/>
        </w:rPr>
      </w:pPr>
    </w:p>
    <w:p w14:paraId="0D626324">
      <w:pPr>
        <w:pStyle w:val="4"/>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highlight w:val="none"/>
        </w:rPr>
      </w:pPr>
      <w:bookmarkStart w:id="118" w:name="_Toc254970534"/>
      <w:bookmarkStart w:id="119" w:name="_Toc22960"/>
      <w:bookmarkStart w:id="120" w:name="_Toc19385"/>
      <w:bookmarkStart w:id="121" w:name="_Toc25441"/>
      <w:bookmarkStart w:id="122" w:name="_Toc4100"/>
      <w:bookmarkStart w:id="123" w:name="_Toc254970675"/>
      <w:bookmarkStart w:id="124" w:name="_Toc22070"/>
      <w:r>
        <w:rPr>
          <w:rFonts w:hint="eastAsia" w:ascii="宋体" w:hAnsi="宋体" w:cs="宋体"/>
          <w:color w:val="auto"/>
          <w:highlight w:val="none"/>
        </w:rPr>
        <w:t>二、招标文件</w:t>
      </w:r>
      <w:bookmarkEnd w:id="118"/>
      <w:bookmarkEnd w:id="119"/>
      <w:bookmarkEnd w:id="120"/>
      <w:bookmarkEnd w:id="121"/>
      <w:bookmarkEnd w:id="122"/>
      <w:bookmarkEnd w:id="123"/>
      <w:bookmarkEnd w:id="124"/>
    </w:p>
    <w:p w14:paraId="22D7CDFF">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59EC5962">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2184323D">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2CF06D0B">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775015AE">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评标方法和评标标准；</w:t>
      </w:r>
    </w:p>
    <w:p w14:paraId="570A8E42">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3DB780DD">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5038528F">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7E7318F6">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07A7DF83">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374775AB">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6364647D">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CBCAC9A">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13601A83">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7104B13">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3EBC9B31">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w:t>
      </w:r>
      <w:bookmarkStart w:id="12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25"/>
    <w:p w14:paraId="57EC2442">
      <w:pPr>
        <w:pStyle w:val="4"/>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highlight w:val="none"/>
        </w:rPr>
      </w:pPr>
      <w:bookmarkStart w:id="126" w:name="_Toc23467"/>
      <w:bookmarkStart w:id="127" w:name="_Toc32490"/>
      <w:bookmarkStart w:id="128" w:name="_Toc254970676"/>
      <w:bookmarkStart w:id="129" w:name="_Toc254970535"/>
    </w:p>
    <w:p w14:paraId="26CA79BC">
      <w:pPr>
        <w:pStyle w:val="4"/>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highlight w:val="none"/>
        </w:rPr>
      </w:pPr>
      <w:bookmarkStart w:id="130" w:name="_Toc7612"/>
      <w:bookmarkStart w:id="131" w:name="_Toc31820"/>
      <w:bookmarkStart w:id="132" w:name="_Toc13166"/>
      <w:r>
        <w:rPr>
          <w:rFonts w:hint="eastAsia" w:ascii="宋体" w:hAnsi="宋体" w:cs="宋体"/>
          <w:color w:val="auto"/>
          <w:highlight w:val="none"/>
        </w:rPr>
        <w:t>三、投标文件的编制</w:t>
      </w:r>
      <w:bookmarkEnd w:id="126"/>
      <w:bookmarkEnd w:id="127"/>
      <w:bookmarkEnd w:id="128"/>
      <w:bookmarkEnd w:id="129"/>
      <w:bookmarkEnd w:id="130"/>
      <w:bookmarkEnd w:id="131"/>
      <w:bookmarkEnd w:id="132"/>
    </w:p>
    <w:p w14:paraId="766A569A">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33" w:name="_Toc254970536"/>
      <w:bookmarkStart w:id="134" w:name="_Toc254970677"/>
      <w:r>
        <w:rPr>
          <w:rFonts w:hint="eastAsia" w:ascii="宋体" w:hAnsi="宋体" w:cs="宋体"/>
          <w:color w:val="auto"/>
          <w:sz w:val="24"/>
          <w:highlight w:val="none"/>
        </w:rPr>
        <w:t>12.投标文件的编制原则</w:t>
      </w:r>
    </w:p>
    <w:p w14:paraId="177059FF">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48D8DB30">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133"/>
      <w:bookmarkEnd w:id="134"/>
    </w:p>
    <w:p w14:paraId="67A3723E">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6B303A5E">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bookmarkStart w:id="135" w:name="_13.1报价文件:_具体材料见“投标人须知前附表”。"/>
      <w:bookmarkEnd w:id="135"/>
      <w:bookmarkStart w:id="136" w:name="_13.2资格证明文件：具体材料见“投标人须知前附表”。"/>
      <w:bookmarkEnd w:id="136"/>
      <w:r>
        <w:rPr>
          <w:rFonts w:hint="eastAsia" w:ascii="宋体" w:hAnsi="宋体" w:cs="宋体"/>
          <w:bCs/>
          <w:color w:val="auto"/>
          <w:szCs w:val="21"/>
          <w:highlight w:val="none"/>
        </w:rPr>
        <w:t>（1）资格证明文件：具体材料见“投标人须知前附表”。</w:t>
      </w:r>
    </w:p>
    <w:p w14:paraId="02D4746B">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bookmarkStart w:id="137" w:name="_13.3商务文件:_具体材料见“投标人须知前附表”。"/>
      <w:bookmarkEnd w:id="137"/>
      <w:r>
        <w:rPr>
          <w:rFonts w:hint="eastAsia" w:ascii="宋体" w:hAnsi="宋体" w:cs="宋体"/>
          <w:bCs/>
          <w:color w:val="auto"/>
          <w:szCs w:val="21"/>
          <w:highlight w:val="none"/>
        </w:rPr>
        <w:t>（2）商务文件：具体材料见“投标人须知前附表”。</w:t>
      </w:r>
    </w:p>
    <w:p w14:paraId="4E578541">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bookmarkStart w:id="138" w:name="_13.4技术文件：具体材料见“投标人须知前附表”。"/>
      <w:bookmarkEnd w:id="138"/>
      <w:r>
        <w:rPr>
          <w:rFonts w:hint="eastAsia" w:ascii="宋体" w:hAnsi="宋体" w:cs="宋体"/>
          <w:bCs/>
          <w:color w:val="auto"/>
          <w:szCs w:val="21"/>
          <w:highlight w:val="none"/>
        </w:rPr>
        <w:t xml:space="preserve">（3）技术文件：具体材料见“投标人须知前附表”。 </w:t>
      </w:r>
    </w:p>
    <w:p w14:paraId="0A58AC73">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4CE0F5BB">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bookmarkStart w:id="139" w:name="_13.5投标文件电子版：具体材料见“投标人须知前附表”。"/>
      <w:bookmarkEnd w:id="139"/>
      <w:r>
        <w:rPr>
          <w:rFonts w:hint="eastAsia" w:ascii="宋体" w:hAnsi="宋体" w:cs="宋体"/>
          <w:bCs/>
          <w:color w:val="auto"/>
          <w:szCs w:val="21"/>
          <w:highlight w:val="none"/>
        </w:rPr>
        <w:t>13.2投标文件电子版：具体要求见本节19.投标文件编制。</w:t>
      </w:r>
    </w:p>
    <w:p w14:paraId="4DCE0565">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40" w:name="_Toc254970537"/>
      <w:bookmarkStart w:id="141" w:name="_Toc254970678"/>
      <w:r>
        <w:rPr>
          <w:rFonts w:hint="eastAsia" w:ascii="宋体" w:hAnsi="宋体" w:cs="宋体"/>
          <w:color w:val="auto"/>
          <w:sz w:val="24"/>
          <w:highlight w:val="none"/>
        </w:rPr>
        <w:t>14.投标文件的语言及计量</w:t>
      </w:r>
      <w:bookmarkEnd w:id="140"/>
      <w:bookmarkEnd w:id="141"/>
    </w:p>
    <w:p w14:paraId="56957ECB">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641E4761">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08DEB13">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0B22DBA9">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bCs/>
          <w:color w:val="auto"/>
          <w:szCs w:val="21"/>
          <w:highlight w:val="none"/>
        </w:rPr>
        <w:t>。</w:t>
      </w:r>
    </w:p>
    <w:p w14:paraId="6C7B130F">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15.投标的风险</w:t>
      </w:r>
    </w:p>
    <w:p w14:paraId="1688E68F">
      <w:pPr>
        <w:pStyle w:val="10"/>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7225B167">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42" w:name="_Toc254970538"/>
      <w:bookmarkStart w:id="143" w:name="_Toc254970679"/>
      <w:r>
        <w:rPr>
          <w:rFonts w:hint="eastAsia" w:ascii="宋体" w:hAnsi="宋体" w:cs="宋体"/>
          <w:color w:val="auto"/>
          <w:sz w:val="24"/>
          <w:highlight w:val="none"/>
        </w:rPr>
        <w:t>16.投标报价</w:t>
      </w:r>
      <w:bookmarkEnd w:id="142"/>
      <w:bookmarkEnd w:id="143"/>
    </w:p>
    <w:p w14:paraId="6EFF2027">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1733F985">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bookmarkStart w:id="144" w:name="_16.2投标报价具体定义见投标人须知前附表。"/>
      <w:bookmarkEnd w:id="144"/>
      <w:r>
        <w:rPr>
          <w:rFonts w:hint="eastAsia" w:ascii="宋体" w:hAnsi="宋体" w:cs="宋体"/>
          <w:bCs/>
          <w:color w:val="auto"/>
          <w:szCs w:val="21"/>
          <w:highlight w:val="none"/>
        </w:rPr>
        <w:t>16.2投标报价具体包括内容详见“投标人须知前附表”。</w:t>
      </w:r>
    </w:p>
    <w:p w14:paraId="346F9823">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w:t>
      </w:r>
      <w:r>
        <w:rPr>
          <w:rFonts w:hint="eastAsia" w:cs="宋体"/>
          <w:color w:val="auto"/>
          <w:szCs w:val="21"/>
          <w:highlight w:val="none"/>
        </w:rPr>
        <w:t>项目</w:t>
      </w:r>
      <w:r>
        <w:rPr>
          <w:rFonts w:hint="eastAsia" w:ascii="宋体" w:hAnsi="宋体" w:cs="宋体"/>
          <w:bCs/>
          <w:color w:val="auto"/>
          <w:szCs w:val="21"/>
          <w:highlight w:val="none"/>
        </w:rPr>
        <w:t>的全部内容分别作完整唯一总价报价，不得存在漏项报价；投标人必须就所投</w:t>
      </w:r>
      <w:r>
        <w:rPr>
          <w:rFonts w:hint="eastAsia" w:cs="宋体"/>
          <w:color w:val="auto"/>
          <w:szCs w:val="21"/>
          <w:highlight w:val="none"/>
        </w:rPr>
        <w:t>项目</w:t>
      </w:r>
      <w:r>
        <w:rPr>
          <w:rFonts w:hint="eastAsia" w:ascii="宋体" w:hAnsi="宋体" w:cs="宋体"/>
          <w:bCs/>
          <w:color w:val="auto"/>
          <w:szCs w:val="21"/>
          <w:highlight w:val="none"/>
        </w:rPr>
        <w:t>的单项内容作唯一报价。</w:t>
      </w:r>
    </w:p>
    <w:p w14:paraId="7853C032">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17.投标有效期</w:t>
      </w:r>
    </w:p>
    <w:p w14:paraId="5AE3455F">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bookmarkStart w:id="145" w:name="_17.1投标有效期应按“投标人须知中的前附表”规定的期限。"/>
      <w:bookmarkEnd w:id="145"/>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5200AE20">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146" w:name="_Toc254970540"/>
      <w:bookmarkStart w:id="147" w:name="_Toc254970681"/>
      <w:r>
        <w:rPr>
          <w:rFonts w:hint="eastAsia" w:ascii="宋体" w:hAnsi="宋体" w:cs="宋体"/>
          <w:bCs/>
          <w:color w:val="auto"/>
          <w:szCs w:val="21"/>
          <w:highlight w:val="none"/>
        </w:rPr>
        <w:t xml:space="preserve"> 投标有效期应按规定的期限作出承诺，具体详见“投标人须知前附表”。</w:t>
      </w:r>
    </w:p>
    <w:p w14:paraId="2359FAD8">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46"/>
      <w:bookmarkEnd w:id="147"/>
    </w:p>
    <w:p w14:paraId="42391E2F">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bookmarkStart w:id="148" w:name="_18.投标保证金"/>
      <w:bookmarkEnd w:id="148"/>
      <w:bookmarkStart w:id="149" w:name="_Toc254970541"/>
      <w:bookmarkStart w:id="150" w:name="_Toc254970682"/>
      <w:r>
        <w:rPr>
          <w:rFonts w:hint="eastAsia" w:ascii="宋体" w:hAnsi="宋体" w:cs="宋体"/>
          <w:color w:val="auto"/>
          <w:sz w:val="24"/>
          <w:highlight w:val="none"/>
        </w:rPr>
        <w:t>18.投标保证金</w:t>
      </w:r>
      <w:bookmarkEnd w:id="149"/>
      <w:bookmarkEnd w:id="150"/>
    </w:p>
    <w:p w14:paraId="0CBDC2FC">
      <w:pPr>
        <w:pStyle w:val="6"/>
        <w:keepNext w:val="0"/>
        <w:keepLines w:val="0"/>
        <w:pageBreakBefore w:val="0"/>
        <w:kinsoku/>
        <w:wordWrap/>
        <w:overflowPunct/>
        <w:topLinePunct w:val="0"/>
        <w:autoSpaceDE/>
        <w:autoSpaceDN/>
        <w:bidi w:val="0"/>
        <w:spacing w:before="0" w:after="0" w:line="360" w:lineRule="exact"/>
        <w:ind w:left="420" w:leftChars="200"/>
        <w:textAlignment w:val="auto"/>
        <w:rPr>
          <w:rFonts w:hint="eastAsia" w:ascii="宋体" w:hAnsi="宋体" w:cs="宋体"/>
          <w:b w:val="0"/>
          <w:color w:val="auto"/>
          <w:sz w:val="21"/>
          <w:szCs w:val="21"/>
          <w:highlight w:val="none"/>
        </w:rPr>
      </w:pPr>
      <w:bookmarkStart w:id="151" w:name="_Toc254970683"/>
      <w:bookmarkStart w:id="152" w:name="_Toc254970542"/>
      <w:r>
        <w:rPr>
          <w:rFonts w:hint="eastAsia" w:ascii="宋体" w:hAnsi="宋体" w:cs="宋体"/>
          <w:b w:val="0"/>
          <w:color w:val="auto"/>
          <w:sz w:val="21"/>
          <w:szCs w:val="21"/>
          <w:highlight w:val="none"/>
        </w:rPr>
        <w:t>18.1投标人须按“投标人须知前附表” 的规定提交投标保证金。</w:t>
      </w:r>
    </w:p>
    <w:p w14:paraId="61133EFD">
      <w:pPr>
        <w:pStyle w:val="6"/>
        <w:keepNext w:val="0"/>
        <w:keepLines w:val="0"/>
        <w:pageBreakBefore w:val="0"/>
        <w:kinsoku/>
        <w:wordWrap/>
        <w:overflowPunct/>
        <w:topLinePunct w:val="0"/>
        <w:autoSpaceDE/>
        <w:autoSpaceDN/>
        <w:bidi w:val="0"/>
        <w:spacing w:before="0" w:after="0" w:line="360" w:lineRule="exact"/>
        <w:ind w:left="420" w:left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2647BED9">
      <w:pPr>
        <w:pStyle w:val="6"/>
        <w:keepNext w:val="0"/>
        <w:keepLines w:val="0"/>
        <w:pageBreakBefore w:val="0"/>
        <w:kinsoku/>
        <w:wordWrap/>
        <w:overflowPunct/>
        <w:topLinePunct w:val="0"/>
        <w:autoSpaceDE/>
        <w:autoSpaceDN/>
        <w:bidi w:val="0"/>
        <w:spacing w:before="0" w:after="0" w:line="360" w:lineRule="exact"/>
        <w:ind w:left="420" w:left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18.2.1未中标人的投标保证金自中标通知书发出之日起5个工作日内退还，退还方式如下：</w:t>
      </w:r>
    </w:p>
    <w:p w14:paraId="2EB1A18B">
      <w:pPr>
        <w:pStyle w:val="6"/>
        <w:keepNext w:val="0"/>
        <w:keepLines w:val="0"/>
        <w:pageBreakBefore w:val="0"/>
        <w:kinsoku/>
        <w:wordWrap/>
        <w:overflowPunct/>
        <w:topLinePunct w:val="0"/>
        <w:autoSpaceDE/>
        <w:autoSpaceDN/>
        <w:bidi w:val="0"/>
        <w:spacing w:before="0" w:after="0" w:line="360" w:lineRule="exact"/>
        <w:ind w:firstLine="315" w:firstLineChars="15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（1）采用银行转账方式的，以转账方式退回到投标人银行账户。</w:t>
      </w:r>
    </w:p>
    <w:p w14:paraId="53339B25">
      <w:pPr>
        <w:pStyle w:val="7"/>
        <w:pageBreakBefore w:val="0"/>
        <w:kinsoku/>
        <w:wordWrap/>
        <w:overflowPunct/>
        <w:topLinePunct w:val="0"/>
        <w:autoSpaceDE/>
        <w:autoSpaceDN/>
        <w:bidi w:val="0"/>
        <w:spacing w:line="36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77AA03A5">
      <w:pPr>
        <w:pStyle w:val="6"/>
        <w:keepNext w:val="0"/>
        <w:keepLines w:val="0"/>
        <w:pageBreakBefore w:val="0"/>
        <w:kinsoku/>
        <w:wordWrap/>
        <w:overflowPunct/>
        <w:topLinePunct w:val="0"/>
        <w:autoSpaceDE/>
        <w:autoSpaceDN/>
        <w:bidi w:val="0"/>
        <w:spacing w:before="0" w:after="0" w:line="360" w:lineRule="exact"/>
        <w:ind w:firstLine="420" w:firstLine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18.2.2中标人的投标保证金自采购合同签订之日起5个工作日内退还，退还方式同本须知正文第18.2.1，或者转为中标人的履约保证金。 </w:t>
      </w:r>
    </w:p>
    <w:p w14:paraId="36083867">
      <w:pPr>
        <w:pStyle w:val="6"/>
        <w:keepNext w:val="0"/>
        <w:keepLines w:val="0"/>
        <w:pageBreakBefore w:val="0"/>
        <w:kinsoku/>
        <w:wordWrap/>
        <w:overflowPunct/>
        <w:topLinePunct w:val="0"/>
        <w:autoSpaceDE/>
        <w:autoSpaceDN/>
        <w:bidi w:val="0"/>
        <w:spacing w:before="0" w:after="0" w:line="360" w:lineRule="exact"/>
        <w:ind w:left="420" w:left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20A33697">
      <w:pPr>
        <w:pStyle w:val="6"/>
        <w:keepNext w:val="0"/>
        <w:keepLines w:val="0"/>
        <w:pageBreakBefore w:val="0"/>
        <w:kinsoku/>
        <w:wordWrap/>
        <w:overflowPunct/>
        <w:topLinePunct w:val="0"/>
        <w:autoSpaceDE/>
        <w:autoSpaceDN/>
        <w:bidi w:val="0"/>
        <w:spacing w:before="0" w:after="0" w:line="360" w:lineRule="exact"/>
        <w:ind w:left="420" w:left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2B4A101C">
      <w:pPr>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47473C8A">
      <w:pPr>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12631111">
      <w:pPr>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74A95F9">
      <w:pPr>
        <w:pageBreakBefore w:val="0"/>
        <w:kinsoku/>
        <w:wordWrap/>
        <w:overflowPunct/>
        <w:topLinePunct w:val="0"/>
        <w:autoSpaceDE/>
        <w:autoSpaceDN/>
        <w:bidi w:val="0"/>
        <w:snapToGrid w:val="0"/>
        <w:spacing w:line="360" w:lineRule="exact"/>
        <w:ind w:firstLine="411" w:firstLineChars="196"/>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4FC8EC44">
      <w:pPr>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（5）投标人出现本章第9.2、9.3情形的；</w:t>
      </w:r>
    </w:p>
    <w:p w14:paraId="40C24022">
      <w:pPr>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（6）其他严重扰乱招投标程序的。</w:t>
      </w:r>
    </w:p>
    <w:p w14:paraId="5E3F5DB1">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19.投标文件的</w:t>
      </w:r>
      <w:bookmarkEnd w:id="151"/>
      <w:bookmarkEnd w:id="152"/>
      <w:r>
        <w:rPr>
          <w:rFonts w:hint="eastAsia" w:ascii="宋体" w:hAnsi="宋体" w:cs="宋体"/>
          <w:color w:val="auto"/>
          <w:sz w:val="24"/>
          <w:highlight w:val="none"/>
        </w:rPr>
        <w:t>编制</w:t>
      </w:r>
    </w:p>
    <w:p w14:paraId="50E68D2A">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53" w:name="_19.2投标文件应按报价文件、资格证明文件、商务文件、技术文件分别编制"/>
      <w:bookmarkEnd w:id="153"/>
      <w:r>
        <w:rPr>
          <w:rFonts w:hint="eastAsia" w:ascii="宋体" w:hAnsi="宋体" w:cs="宋体"/>
          <w:color w:val="auto"/>
          <w:szCs w:val="21"/>
          <w:highlight w:val="none"/>
        </w:rPr>
        <w:t xml:space="preserve"> </w:t>
      </w:r>
    </w:p>
    <w:p w14:paraId="2592285A">
      <w:pPr>
        <w:pStyle w:val="46"/>
        <w:pageBreakBefore w:val="0"/>
        <w:kinsoku/>
        <w:wordWrap/>
        <w:overflowPunct/>
        <w:topLinePunct w:val="0"/>
        <w:autoSpaceDE/>
        <w:autoSpaceDN/>
        <w:bidi w:val="0"/>
        <w:snapToGrid w:val="0"/>
        <w:spacing w:before="0" w:line="36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2F566834">
      <w:pPr>
        <w:pStyle w:val="46"/>
        <w:pageBreakBefore w:val="0"/>
        <w:kinsoku/>
        <w:wordWrap/>
        <w:overflowPunct/>
        <w:topLinePunct w:val="0"/>
        <w:autoSpaceDE/>
        <w:autoSpaceDN/>
        <w:bidi w:val="0"/>
        <w:snapToGrid w:val="0"/>
        <w:spacing w:before="0" w:line="36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0C0AB5EC">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否则作无效投标处理</w:t>
      </w:r>
      <w:r>
        <w:rPr>
          <w:rFonts w:hint="eastAsia" w:ascii="宋体" w:hAnsi="宋体" w:cs="宋体"/>
          <w:b/>
          <w:color w:val="auto"/>
          <w:szCs w:val="21"/>
          <w:highlight w:val="none"/>
        </w:rPr>
        <w:t>。</w:t>
      </w:r>
    </w:p>
    <w:p w14:paraId="7712CC5A">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1421DC77">
      <w:pPr>
        <w:pageBreakBefore w:val="0"/>
        <w:kinsoku/>
        <w:wordWrap/>
        <w:overflowPunct/>
        <w:topLinePunct w:val="0"/>
        <w:autoSpaceDE/>
        <w:autoSpaceDN/>
        <w:bidi w:val="0"/>
        <w:spacing w:line="360" w:lineRule="exact"/>
        <w:ind w:firstLine="520" w:firstLineChars="248"/>
        <w:textAlignment w:val="auto"/>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货物内容及要求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77FD3940">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6222266D">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20.备份投标文件</w:t>
      </w:r>
    </w:p>
    <w:p w14:paraId="3D00ADB8">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 w:val="24"/>
          <w:highlight w:val="none"/>
        </w:rPr>
      </w:pPr>
      <w:r>
        <w:rPr>
          <w:rFonts w:hint="eastAsia" w:ascii="宋体" w:hAnsi="宋体" w:cs="宋体"/>
          <w:bCs/>
          <w:color w:val="auto"/>
          <w:szCs w:val="21"/>
          <w:highlight w:val="none"/>
        </w:rPr>
        <w:t>详见“投标人须知前附表”。</w:t>
      </w:r>
    </w:p>
    <w:p w14:paraId="62AC1211">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00283B56">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b/>
          <w:color w:val="auto"/>
          <w:highlight w:val="none"/>
        </w:rPr>
      </w:pPr>
      <w:bookmarkStart w:id="154" w:name="_21.1投标人必须在“投标人须知中的前附表”规定的投标文件接收时间和投"/>
      <w:bookmarkEnd w:id="154"/>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454F0E00">
      <w:pPr>
        <w:pageBreakBefore w:val="0"/>
        <w:kinsoku/>
        <w:wordWrap/>
        <w:overflowPunct/>
        <w:topLinePunct w:val="0"/>
        <w:autoSpaceDE/>
        <w:autoSpaceDN/>
        <w:bidi w:val="0"/>
        <w:spacing w:line="36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2B00950A">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w:t>
      </w:r>
      <w:r>
        <w:rPr>
          <w:rFonts w:hint="eastAsia" w:ascii="宋体" w:hAnsi="宋体" w:cs="宋体"/>
          <w:b/>
          <w:color w:val="auto"/>
          <w:szCs w:val="21"/>
          <w:highlight w:val="none"/>
        </w:rPr>
        <w:t xml:space="preserve"> 。</w:t>
      </w:r>
    </w:p>
    <w:p w14:paraId="442E13AF">
      <w:pPr>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22. 投标文件的补充、修改、撤回</w:t>
      </w:r>
      <w:bookmarkStart w:id="155" w:name="_Toc254970543"/>
      <w:bookmarkStart w:id="156" w:name="_Toc254970684"/>
    </w:p>
    <w:p w14:paraId="1433C1AC">
      <w:pPr>
        <w:pageBreakBefore w:val="0"/>
        <w:kinsoku/>
        <w:wordWrap/>
        <w:overflowPunct/>
        <w:topLinePunct w:val="0"/>
        <w:autoSpaceDE/>
        <w:autoSpaceDN/>
        <w:bidi w:val="0"/>
        <w:spacing w:line="360" w:lineRule="exact"/>
        <w:ind w:firstLine="420" w:firstLineChars="200"/>
        <w:textAlignment w:val="auto"/>
        <w:rPr>
          <w:rFonts w:hint="eastAsia" w:ascii="宋体" w:hAnsi="宋体" w:cs="宋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4A576CE3">
      <w:pPr>
        <w:pStyle w:val="46"/>
        <w:pageBreakBefore w:val="0"/>
        <w:kinsoku/>
        <w:wordWrap/>
        <w:overflowPunct/>
        <w:topLinePunct w:val="0"/>
        <w:autoSpaceDE/>
        <w:autoSpaceDN/>
        <w:bidi w:val="0"/>
        <w:spacing w:before="0" w:line="36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55"/>
    <w:bookmarkEnd w:id="156"/>
    <w:p w14:paraId="441AFCE8">
      <w:pPr>
        <w:pStyle w:val="16"/>
        <w:pageBreakBefore w:val="0"/>
        <w:kinsoku/>
        <w:wordWrap/>
        <w:overflowPunct/>
        <w:topLinePunct w:val="0"/>
        <w:autoSpaceDE/>
        <w:autoSpaceDN/>
        <w:bidi w:val="0"/>
        <w:spacing w:line="360" w:lineRule="exact"/>
        <w:textAlignment w:val="auto"/>
        <w:rPr>
          <w:color w:val="auto"/>
          <w:highlight w:val="none"/>
        </w:rPr>
      </w:pPr>
    </w:p>
    <w:p w14:paraId="31303BB3">
      <w:pPr>
        <w:pStyle w:val="12"/>
        <w:pageBreakBefore w:val="0"/>
        <w:widowControl w:val="0"/>
        <w:kinsoku/>
        <w:wordWrap/>
        <w:overflowPunct/>
        <w:topLinePunct w:val="0"/>
        <w:bidi w:val="0"/>
        <w:snapToGrid w:val="0"/>
        <w:spacing w:line="360" w:lineRule="exact"/>
        <w:ind w:firstLine="739"/>
        <w:textAlignment w:val="auto"/>
        <w:rPr>
          <w:rFonts w:hint="eastAsia" w:hAnsi="宋体" w:cs="宋体"/>
          <w:snapToGrid w:val="0"/>
          <w:color w:val="auto"/>
          <w:sz w:val="21"/>
          <w:szCs w:val="21"/>
          <w:highlight w:val="none"/>
        </w:rPr>
      </w:pPr>
    </w:p>
    <w:p w14:paraId="0959A712">
      <w:pPr>
        <w:pStyle w:val="4"/>
        <w:keepNext w:val="0"/>
        <w:keepLines w:val="0"/>
        <w:pageBreakBefore w:val="0"/>
        <w:widowControl w:val="0"/>
        <w:kinsoku/>
        <w:wordWrap/>
        <w:overflowPunct/>
        <w:topLinePunct w:val="0"/>
        <w:bidi w:val="0"/>
        <w:spacing w:line="360" w:lineRule="exact"/>
        <w:jc w:val="center"/>
        <w:textAlignment w:val="auto"/>
        <w:rPr>
          <w:rFonts w:hint="eastAsia" w:ascii="宋体" w:hAnsi="宋体" w:cs="宋体"/>
          <w:color w:val="auto"/>
          <w:highlight w:val="none"/>
        </w:rPr>
      </w:pPr>
      <w:bookmarkStart w:id="157" w:name="_Toc13173"/>
      <w:bookmarkStart w:id="158" w:name="_Toc20797"/>
      <w:bookmarkStart w:id="159" w:name="_Toc20620"/>
      <w:bookmarkStart w:id="160" w:name="_Toc20871"/>
      <w:bookmarkStart w:id="161" w:name="_Toc254970685"/>
      <w:bookmarkStart w:id="162" w:name="_Toc6762"/>
      <w:bookmarkStart w:id="163" w:name="_Toc254970544"/>
      <w:r>
        <w:rPr>
          <w:rFonts w:hint="eastAsia" w:ascii="宋体" w:hAnsi="宋体" w:cs="宋体"/>
          <w:color w:val="auto"/>
          <w:highlight w:val="none"/>
        </w:rPr>
        <w:t>四、开    标</w:t>
      </w:r>
      <w:bookmarkEnd w:id="157"/>
      <w:bookmarkEnd w:id="158"/>
      <w:bookmarkEnd w:id="159"/>
      <w:bookmarkEnd w:id="160"/>
      <w:bookmarkEnd w:id="161"/>
      <w:bookmarkEnd w:id="162"/>
      <w:bookmarkEnd w:id="163"/>
    </w:p>
    <w:p w14:paraId="47A10BD3">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bookmarkStart w:id="164" w:name="_23.开标时间和地点"/>
      <w:bookmarkEnd w:id="164"/>
      <w:r>
        <w:rPr>
          <w:rFonts w:hint="eastAsia" w:ascii="宋体" w:hAnsi="宋体" w:cs="宋体"/>
          <w:color w:val="auto"/>
          <w:sz w:val="24"/>
          <w:highlight w:val="none"/>
        </w:rPr>
        <w:t>23.开标时间和地点</w:t>
      </w:r>
    </w:p>
    <w:p w14:paraId="258DE4AD">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4083F8EE">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color w:val="auto"/>
          <w:szCs w:val="21"/>
          <w:highlight w:val="none"/>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48914114">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24.开标程序</w:t>
      </w:r>
    </w:p>
    <w:p w14:paraId="62F89CE5">
      <w:pPr>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7C3EBCE6">
      <w:pPr>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依法抽取评审专家，如采购代理机构未按规定抽取专家的，视为本次开评标无效，应当重新采购；</w:t>
      </w:r>
    </w:p>
    <w:p w14:paraId="38373283">
      <w:pPr>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DF08D85">
      <w:pPr>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14:paraId="0D692EA7">
      <w:pPr>
        <w:pStyle w:val="10"/>
        <w:pageBreakBefore w:val="0"/>
        <w:widowControl w:val="0"/>
        <w:kinsoku/>
        <w:wordWrap/>
        <w:overflowPunct/>
        <w:topLinePunct w:val="0"/>
        <w:bidi w:val="0"/>
        <w:spacing w:line="360" w:lineRule="exact"/>
        <w:ind w:firstLine="420" w:firstLineChars="200"/>
        <w:textAlignment w:val="auto"/>
        <w:rPr>
          <w:rFonts w:hint="eastAsia" w:hAnsi="宋体" w:cs="宋体"/>
          <w:color w:val="auto"/>
          <w:szCs w:val="21"/>
          <w:highlight w:val="none"/>
        </w:rPr>
      </w:pPr>
      <w:r>
        <w:rPr>
          <w:rFonts w:hint="eastAsia" w:hAnsi="宋体" w:cs="宋体"/>
          <w:bCs/>
          <w:color w:val="auto"/>
          <w:szCs w:val="21"/>
          <w:highlight w:val="none"/>
        </w:rPr>
        <w:t>（1）</w:t>
      </w:r>
      <w:r>
        <w:rPr>
          <w:rFonts w:hint="eastAsia" w:hAnsi="宋体" w:cs="宋体"/>
          <w:b/>
          <w:color w:val="auto"/>
          <w:szCs w:val="21"/>
          <w:highlight w:val="none"/>
        </w:rPr>
        <w:t>解密电子投标文件。</w:t>
      </w:r>
      <w:r>
        <w:rPr>
          <w:rFonts w:hint="eastAsia" w:ascii="宋体" w:hAnsi="宋体" w:cs="宋体"/>
          <w:color w:val="auto"/>
          <w:szCs w:val="21"/>
          <w:highlight w:val="none"/>
        </w:rPr>
        <w:t>广西政府采购云平台</w:t>
      </w:r>
      <w:r>
        <w:rPr>
          <w:rFonts w:ascii="宋体" w:hAnsi="宋体" w:cs="仿宋"/>
          <w:color w:val="auto"/>
          <w:kern w:val="1"/>
          <w:szCs w:val="21"/>
          <w:highlight w:val="none"/>
        </w:rPr>
        <w:t>按开标时间自动提取所有投标文件。采购代理机构依托</w:t>
      </w:r>
      <w:r>
        <w:rPr>
          <w:rFonts w:hint="eastAsia" w:ascii="宋体" w:hAnsi="宋体" w:cs="宋体"/>
          <w:color w:val="auto"/>
          <w:szCs w:val="21"/>
          <w:highlight w:val="none"/>
        </w:rPr>
        <w:t>广西政府采购云平台</w:t>
      </w:r>
      <w:r>
        <w:rPr>
          <w:rFonts w:ascii="宋体" w:hAnsi="宋体" w:cs="宋体"/>
          <w:color w:val="auto"/>
          <w:kern w:val="1"/>
          <w:szCs w:val="21"/>
          <w:highlight w:val="none"/>
        </w:rPr>
        <w:t>向各投标人发出电子加密投标文件【开始解密】通知，由投标人</w:t>
      </w:r>
      <w:r>
        <w:rPr>
          <w:rFonts w:hint="eastAsia" w:ascii="宋体" w:hAnsi="宋体" w:cs="宋体"/>
          <w:color w:val="auto"/>
          <w:kern w:val="1"/>
          <w:szCs w:val="21"/>
          <w:highlight w:val="none"/>
        </w:rPr>
        <w:t>在</w:t>
      </w:r>
      <w:r>
        <w:rPr>
          <w:rFonts w:ascii="宋体" w:hAnsi="宋体" w:cs="宋体"/>
          <w:color w:val="auto"/>
          <w:kern w:val="1"/>
          <w:szCs w:val="21"/>
          <w:highlight w:val="none"/>
        </w:rPr>
        <w:t>规定的时间内自行</w:t>
      </w:r>
      <w:r>
        <w:rPr>
          <w:rFonts w:hint="eastAsia" w:ascii="宋体" w:hAnsi="宋体" w:cs="宋体"/>
          <w:color w:val="auto"/>
          <w:kern w:val="1"/>
          <w:szCs w:val="21"/>
          <w:highlight w:val="none"/>
        </w:rPr>
        <w:t>将</w:t>
      </w:r>
      <w:r>
        <w:rPr>
          <w:rFonts w:ascii="宋体" w:hAnsi="宋体" w:cs="宋体"/>
          <w:color w:val="auto"/>
          <w:kern w:val="1"/>
          <w:szCs w:val="21"/>
          <w:highlight w:val="none"/>
        </w:rPr>
        <w:t>投标文件</w:t>
      </w:r>
      <w:r>
        <w:rPr>
          <w:rFonts w:hint="eastAsia" w:ascii="宋体" w:hAnsi="宋体" w:cs="宋体"/>
          <w:color w:val="auto"/>
          <w:kern w:val="1"/>
          <w:szCs w:val="21"/>
          <w:highlight w:val="none"/>
        </w:rPr>
        <w:t>在线</w:t>
      </w:r>
      <w:r>
        <w:rPr>
          <w:rFonts w:ascii="宋体" w:hAnsi="宋体" w:cs="宋体"/>
          <w:color w:val="auto"/>
          <w:kern w:val="1"/>
          <w:szCs w:val="21"/>
          <w:highlight w:val="none"/>
        </w:rPr>
        <w:t>解密。投标人的法定代表人或其委托代理人</w:t>
      </w:r>
      <w:r>
        <w:rPr>
          <w:rFonts w:ascii="宋体" w:hAnsi="宋体" w:cs="宋体"/>
          <w:b/>
          <w:color w:val="auto"/>
          <w:kern w:val="1"/>
          <w:szCs w:val="21"/>
          <w:highlight w:val="none"/>
        </w:rPr>
        <w:t>须携带加密时所用的CA锁准时登录到广西政府采购云平台电子开标大厅签到并对电子投标文件</w:t>
      </w:r>
      <w:r>
        <w:rPr>
          <w:rFonts w:hint="eastAsia" w:ascii="宋体" w:hAnsi="宋体" w:cs="宋体"/>
          <w:b/>
          <w:color w:val="auto"/>
          <w:kern w:val="1"/>
          <w:szCs w:val="21"/>
          <w:highlight w:val="none"/>
        </w:rPr>
        <w:t>在线</w:t>
      </w:r>
      <w:r>
        <w:rPr>
          <w:rFonts w:ascii="宋体" w:hAnsi="宋体" w:cs="宋体"/>
          <w:b/>
          <w:color w:val="auto"/>
          <w:kern w:val="1"/>
          <w:szCs w:val="21"/>
          <w:highlight w:val="none"/>
        </w:rPr>
        <w:t>解密</w:t>
      </w:r>
      <w:r>
        <w:rPr>
          <w:rFonts w:ascii="宋体" w:hAnsi="宋体" w:cs="宋体"/>
          <w:color w:val="auto"/>
          <w:kern w:val="1"/>
          <w:szCs w:val="21"/>
          <w:highlight w:val="none"/>
        </w:rPr>
        <w:t>。</w:t>
      </w:r>
      <w:r>
        <w:rPr>
          <w:rFonts w:ascii="宋体" w:hAnsi="宋体" w:cs="仿宋"/>
          <w:color w:val="auto"/>
          <w:kern w:val="1"/>
          <w:szCs w:val="21"/>
          <w:highlight w:val="none"/>
        </w:rPr>
        <w:t>投标文件未按时解密</w:t>
      </w:r>
      <w:r>
        <w:rPr>
          <w:rFonts w:ascii="宋体" w:hAnsi="宋体" w:cs="宋体"/>
          <w:color w:val="auto"/>
          <w:kern w:val="1"/>
          <w:szCs w:val="21"/>
          <w:highlight w:val="none"/>
        </w:rPr>
        <w:t>的，</w:t>
      </w:r>
      <w:r>
        <w:rPr>
          <w:rFonts w:ascii="宋体" w:hAnsi="宋体" w:cs="宋体"/>
          <w:b/>
          <w:color w:val="auto"/>
          <w:kern w:val="1"/>
          <w:szCs w:val="21"/>
          <w:highlight w:val="none"/>
        </w:rPr>
        <w:t>均视为无效投标。</w:t>
      </w:r>
    </w:p>
    <w:p w14:paraId="7C698528">
      <w:pPr>
        <w:pStyle w:val="15"/>
        <w:pageBreakBefore w:val="0"/>
        <w:widowControl w:val="0"/>
        <w:kinsoku/>
        <w:wordWrap/>
        <w:overflowPunct/>
        <w:topLinePunct w:val="0"/>
        <w:bidi w:val="0"/>
        <w:snapToGrid w:val="0"/>
        <w:spacing w:line="360" w:lineRule="exact"/>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095E0320">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5D532398">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4F56ED34">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842164D">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（5）开标结束。</w:t>
      </w:r>
    </w:p>
    <w:p w14:paraId="2CB66D12">
      <w:pPr>
        <w:pStyle w:val="15"/>
        <w:pageBreakBefore w:val="0"/>
        <w:widowControl w:val="0"/>
        <w:kinsoku/>
        <w:wordWrap/>
        <w:overflowPunct/>
        <w:topLinePunct w:val="0"/>
        <w:bidi w:val="0"/>
        <w:snapToGrid w:val="0"/>
        <w:spacing w:line="360" w:lineRule="exact"/>
        <w:ind w:firstLine="422" w:firstLineChars="200"/>
        <w:textAlignment w:val="auto"/>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6278A0F2">
      <w:pPr>
        <w:pStyle w:val="15"/>
        <w:pageBreakBefore w:val="0"/>
        <w:widowControl w:val="0"/>
        <w:kinsoku/>
        <w:wordWrap/>
        <w:overflowPunct/>
        <w:topLinePunct w:val="0"/>
        <w:bidi w:val="0"/>
        <w:snapToGrid w:val="0"/>
        <w:spacing w:line="360" w:lineRule="exact"/>
        <w:ind w:left="689" w:leftChars="228" w:hanging="210" w:hangingChars="100"/>
        <w:textAlignment w:val="auto"/>
        <w:rPr>
          <w:rFonts w:hint="eastAsia" w:hAnsi="宋体" w:cs="宋体"/>
          <w:color w:val="auto"/>
          <w:highlight w:val="none"/>
        </w:rPr>
      </w:pPr>
    </w:p>
    <w:p w14:paraId="017C6430">
      <w:pPr>
        <w:pStyle w:val="4"/>
        <w:keepNext w:val="0"/>
        <w:keepLines w:val="0"/>
        <w:pageBreakBefore w:val="0"/>
        <w:widowControl w:val="0"/>
        <w:kinsoku/>
        <w:wordWrap/>
        <w:overflowPunct/>
        <w:topLinePunct w:val="0"/>
        <w:bidi w:val="0"/>
        <w:spacing w:line="360" w:lineRule="exact"/>
        <w:jc w:val="center"/>
        <w:textAlignment w:val="auto"/>
        <w:rPr>
          <w:rFonts w:hint="eastAsia" w:ascii="宋体" w:hAnsi="宋体" w:cs="宋体"/>
          <w:color w:val="auto"/>
          <w:highlight w:val="none"/>
        </w:rPr>
      </w:pPr>
      <w:bookmarkStart w:id="165" w:name="_Toc29347"/>
      <w:bookmarkStart w:id="166" w:name="_Toc30961"/>
      <w:bookmarkStart w:id="167" w:name="_Toc29757"/>
      <w:bookmarkStart w:id="168" w:name="_Toc31687"/>
      <w:bookmarkStart w:id="169" w:name="_Toc10935"/>
      <w:r>
        <w:rPr>
          <w:rFonts w:hint="eastAsia" w:ascii="宋体" w:hAnsi="宋体" w:cs="宋体"/>
          <w:color w:val="auto"/>
          <w:highlight w:val="none"/>
        </w:rPr>
        <w:t>五、资格审查</w:t>
      </w:r>
      <w:bookmarkEnd w:id="165"/>
      <w:bookmarkEnd w:id="166"/>
      <w:bookmarkEnd w:id="167"/>
      <w:bookmarkEnd w:id="168"/>
      <w:bookmarkEnd w:id="169"/>
    </w:p>
    <w:p w14:paraId="1DCA77A1">
      <w:pPr>
        <w:pStyle w:val="6"/>
        <w:keepNext w:val="0"/>
        <w:keepLines w:val="0"/>
        <w:pageBreakBefore w:val="0"/>
        <w:widowControl w:val="0"/>
        <w:kinsoku/>
        <w:wordWrap/>
        <w:overflowPunct/>
        <w:topLinePunct w:val="0"/>
        <w:bidi w:val="0"/>
        <w:spacing w:before="0" w:after="0" w:line="360" w:lineRule="exact"/>
        <w:ind w:firstLine="482"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25.资格审查</w:t>
      </w:r>
    </w:p>
    <w:p w14:paraId="08DE133B">
      <w:pPr>
        <w:pageBreakBefore w:val="0"/>
        <w:widowControl w:val="0"/>
        <w:kinsoku/>
        <w:wordWrap/>
        <w:overflowPunct/>
        <w:topLinePunct w:val="0"/>
        <w:bidi w:val="0"/>
        <w:spacing w:line="360" w:lineRule="exact"/>
        <w:ind w:firstLine="422" w:firstLineChars="200"/>
        <w:textAlignment w:val="auto"/>
        <w:rPr>
          <w:rFonts w:hint="eastAsia" w:ascii="宋体" w:hAnsi="宋体" w:cs="宋体"/>
          <w:b/>
          <w:bCs/>
          <w:color w:val="auto"/>
          <w:szCs w:val="20"/>
          <w:highlight w:val="none"/>
        </w:rPr>
      </w:pPr>
      <w:r>
        <w:rPr>
          <w:rFonts w:hint="eastAsia" w:ascii="宋体" w:hAnsi="宋体" w:cs="宋体"/>
          <w:b/>
          <w:bCs/>
          <w:color w:val="auto"/>
          <w:szCs w:val="20"/>
          <w:highlight w:val="none"/>
        </w:rPr>
        <w:t>25.1开标结束后，采购人或采购代理机构依法通过电子投标文件对投标人的资格进行线上审查。</w:t>
      </w:r>
    </w:p>
    <w:p w14:paraId="385C9173">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0F5E97FF">
      <w:pPr>
        <w:pageBreakBefore w:val="0"/>
        <w:widowControl w:val="0"/>
        <w:kinsoku/>
        <w:wordWrap/>
        <w:overflowPunct/>
        <w:topLinePunct w:val="0"/>
        <w:bidi w:val="0"/>
        <w:spacing w:line="360" w:lineRule="exact"/>
        <w:ind w:firstLine="422" w:firstLineChars="200"/>
        <w:textAlignment w:val="auto"/>
        <w:rPr>
          <w:rFonts w:hint="eastAsia" w:ascii="宋体" w:hAnsi="宋体" w:cs="宋体"/>
          <w:b/>
          <w:bCs/>
          <w:color w:val="auto"/>
          <w:szCs w:val="20"/>
          <w:highlight w:val="none"/>
        </w:rPr>
      </w:pPr>
      <w:bookmarkStart w:id="170" w:name="_25.3_投标人有下列情形之一的，资格审查不通过而导致其投标无效："/>
      <w:bookmarkEnd w:id="170"/>
      <w:r>
        <w:rPr>
          <w:rFonts w:hint="eastAsia" w:ascii="宋体" w:hAnsi="宋体" w:cs="宋体"/>
          <w:b/>
          <w:bCs/>
          <w:color w:val="auto"/>
          <w:szCs w:val="20"/>
          <w:highlight w:val="none"/>
        </w:rPr>
        <w:t>25.3投标人有下列情形之一的，资格审查不通过，作无效投标处理：</w:t>
      </w:r>
    </w:p>
    <w:p w14:paraId="4B72DBDB">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hAnsi="宋体"/>
          <w:color w:val="auto"/>
          <w:highlight w:val="none"/>
        </w:rPr>
        <w:t>（1）不具备招标文件中规定的资格要求的；（注：其中信用查询规则见“投标人须知前附表”，</w:t>
      </w:r>
      <w:r>
        <w:rPr>
          <w:rFonts w:hint="eastAsia" w:ascii="宋体" w:hAnsi="宋体" w:cs="宋体"/>
          <w:color w:val="auto"/>
          <w:szCs w:val="21"/>
          <w:highlight w:val="none"/>
        </w:rPr>
        <w:t>广西政府采购云平台</w:t>
      </w:r>
      <w:r>
        <w:rPr>
          <w:rFonts w:hint="eastAsia" w:hAnsi="宋体"/>
          <w:color w:val="auto"/>
          <w:highlight w:val="none"/>
        </w:rPr>
        <w:t>已与“信用中国”平台做接口，</w:t>
      </w:r>
      <w:r>
        <w:rPr>
          <w:rFonts w:hint="eastAsia" w:ascii="宋体" w:hAnsi="宋体" w:cs="宋体"/>
          <w:color w:val="auto"/>
          <w:szCs w:val="20"/>
          <w:highlight w:val="none"/>
        </w:rPr>
        <w:t>采购人或者采购代理机构</w:t>
      </w:r>
      <w:r>
        <w:rPr>
          <w:rFonts w:hint="eastAsia" w:ascii="宋体" w:hAnsi="宋体" w:cs="宋体"/>
          <w:color w:val="auto"/>
          <w:highlight w:val="none"/>
        </w:rPr>
        <w:t>可直接在线查询）</w:t>
      </w:r>
    </w:p>
    <w:p w14:paraId="081A8341">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726C4978">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20A1555">
      <w:pPr>
        <w:pStyle w:val="16"/>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（4）同一合同项下的不同供应商，单位负责人为同一人或者存在直接控股、管理关系的；为本项目提供过整体设计、规范编制或者项目管理、监理、检测等服务的。</w:t>
      </w:r>
    </w:p>
    <w:p w14:paraId="153CA9AF">
      <w:pPr>
        <w:pStyle w:val="6"/>
        <w:keepNext w:val="0"/>
        <w:keepLines w:val="0"/>
        <w:pageBreakBefore w:val="0"/>
        <w:widowControl w:val="0"/>
        <w:kinsoku/>
        <w:wordWrap/>
        <w:overflowPunct/>
        <w:topLinePunct w:val="0"/>
        <w:bidi w:val="0"/>
        <w:spacing w:before="0" w:after="0" w:line="360" w:lineRule="exact"/>
        <w:ind w:firstLine="420" w:firstLineChars="200"/>
        <w:textAlignment w:val="auto"/>
        <w:rPr>
          <w:rFonts w:hint="eastAsia" w:ascii="宋体" w:hAnsi="宋体" w:cs="宋体"/>
          <w:b w:val="0"/>
          <w:bCs w:val="0"/>
          <w:color w:val="auto"/>
          <w:sz w:val="21"/>
          <w:szCs w:val="20"/>
          <w:highlight w:val="none"/>
        </w:rPr>
      </w:pPr>
      <w:r>
        <w:rPr>
          <w:rFonts w:hint="eastAsia" w:ascii="宋体" w:hAnsi="宋体" w:cs="宋体"/>
          <w:b w:val="0"/>
          <w:bCs w:val="0"/>
          <w:color w:val="auto"/>
          <w:sz w:val="21"/>
          <w:szCs w:val="20"/>
          <w:highlight w:val="none"/>
        </w:rPr>
        <w:t>25.4资格审查的合格投标人不足3家的，不得评标。</w:t>
      </w:r>
    </w:p>
    <w:p w14:paraId="426BF3DF">
      <w:pPr>
        <w:pStyle w:val="4"/>
        <w:keepNext w:val="0"/>
        <w:keepLines w:val="0"/>
        <w:pageBreakBefore w:val="0"/>
        <w:widowControl w:val="0"/>
        <w:kinsoku/>
        <w:wordWrap/>
        <w:overflowPunct/>
        <w:topLinePunct w:val="0"/>
        <w:bidi w:val="0"/>
        <w:spacing w:line="360" w:lineRule="exact"/>
        <w:jc w:val="center"/>
        <w:textAlignment w:val="auto"/>
        <w:rPr>
          <w:rFonts w:hint="eastAsia" w:ascii="宋体" w:hAnsi="宋体" w:cs="宋体"/>
          <w:color w:val="auto"/>
          <w:highlight w:val="none"/>
        </w:rPr>
      </w:pPr>
      <w:bookmarkStart w:id="171" w:name="_Toc23135"/>
      <w:bookmarkStart w:id="172" w:name="_Toc29675"/>
      <w:bookmarkStart w:id="173" w:name="_Toc28977"/>
      <w:bookmarkStart w:id="174" w:name="_Toc10753"/>
      <w:bookmarkStart w:id="175" w:name="_Toc17458"/>
      <w:r>
        <w:rPr>
          <w:rFonts w:hint="eastAsia" w:ascii="宋体" w:hAnsi="宋体" w:cs="宋体"/>
          <w:color w:val="auto"/>
          <w:highlight w:val="none"/>
        </w:rPr>
        <w:t>六、评   标</w:t>
      </w:r>
      <w:bookmarkEnd w:id="171"/>
      <w:bookmarkEnd w:id="172"/>
      <w:bookmarkEnd w:id="173"/>
      <w:bookmarkEnd w:id="174"/>
      <w:bookmarkEnd w:id="175"/>
    </w:p>
    <w:p w14:paraId="2AA44E9C">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bookmarkStart w:id="176" w:name="_26.组建评标委员会"/>
      <w:bookmarkEnd w:id="176"/>
      <w:r>
        <w:rPr>
          <w:rFonts w:hint="eastAsia" w:ascii="宋体" w:hAnsi="宋体" w:cs="宋体"/>
          <w:color w:val="auto"/>
          <w:sz w:val="24"/>
          <w:highlight w:val="none"/>
        </w:rPr>
        <w:t>26.组建评标委员会</w:t>
      </w:r>
    </w:p>
    <w:p w14:paraId="33D53340">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40E3087C">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1AB47BEF">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27.评标的依据</w:t>
      </w:r>
    </w:p>
    <w:p w14:paraId="0475F053">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592CB015">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28.评标原则</w:t>
      </w:r>
    </w:p>
    <w:p w14:paraId="55D98120">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6FD25F5">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9A68792">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78A58A6D">
      <w:pPr>
        <w:pStyle w:val="16"/>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4"/>
          <w:highlight w:val="none"/>
        </w:rPr>
        <w:t>28.4</w:t>
      </w:r>
      <w:r>
        <w:rPr>
          <w:rFonts w:hint="eastAsia" w:ascii="宋体" w:hAnsi="宋体" w:cs="宋体"/>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60C906">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29.评标方法和评标标准</w:t>
      </w:r>
    </w:p>
    <w:p w14:paraId="63638537">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05D935E6">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23F3539D">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E4003AC">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6C7D653A">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69FC0498">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5F1640B">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2AF3694A">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4D53E6AF">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471B14D">
      <w:pPr>
        <w:pStyle w:val="15"/>
        <w:pageBreakBefore w:val="0"/>
        <w:widowControl w:val="0"/>
        <w:kinsoku/>
        <w:wordWrap/>
        <w:overflowPunct/>
        <w:topLinePunct w:val="0"/>
        <w:bidi w:val="0"/>
        <w:snapToGrid w:val="0"/>
        <w:spacing w:line="360" w:lineRule="exact"/>
        <w:ind w:firstLine="420" w:firstLineChars="200"/>
        <w:textAlignment w:val="auto"/>
        <w:rPr>
          <w:rFonts w:hint="eastAsia" w:hAnsi="宋体" w:cs="宋体"/>
          <w:color w:val="auto"/>
          <w:highlight w:val="none"/>
        </w:rPr>
      </w:pPr>
    </w:p>
    <w:p w14:paraId="3AB44501">
      <w:pPr>
        <w:pStyle w:val="4"/>
        <w:keepNext w:val="0"/>
        <w:keepLines w:val="0"/>
        <w:pageBreakBefore w:val="0"/>
        <w:widowControl w:val="0"/>
        <w:kinsoku/>
        <w:wordWrap/>
        <w:overflowPunct/>
        <w:topLinePunct w:val="0"/>
        <w:bidi w:val="0"/>
        <w:spacing w:line="360" w:lineRule="exact"/>
        <w:jc w:val="center"/>
        <w:textAlignment w:val="auto"/>
        <w:rPr>
          <w:rFonts w:hint="eastAsia" w:ascii="宋体" w:hAnsi="宋体" w:cs="宋体"/>
          <w:color w:val="auto"/>
          <w:highlight w:val="none"/>
        </w:rPr>
      </w:pPr>
      <w:bookmarkStart w:id="177" w:name="_Toc254970546"/>
      <w:bookmarkStart w:id="178" w:name="_Toc254970687"/>
      <w:bookmarkStart w:id="179" w:name="_Toc11609"/>
      <w:bookmarkStart w:id="180" w:name="_Toc6053"/>
      <w:bookmarkStart w:id="181" w:name="_Toc17138"/>
      <w:bookmarkStart w:id="182" w:name="_Toc20927"/>
      <w:bookmarkStart w:id="183" w:name="_Toc16461"/>
      <w:r>
        <w:rPr>
          <w:rFonts w:hint="eastAsia" w:ascii="宋体" w:hAnsi="宋体" w:cs="宋体"/>
          <w:color w:val="auto"/>
          <w:highlight w:val="none"/>
        </w:rPr>
        <w:t>七、</w:t>
      </w:r>
      <w:bookmarkEnd w:id="177"/>
      <w:bookmarkEnd w:id="178"/>
      <w:r>
        <w:rPr>
          <w:rFonts w:hint="eastAsia" w:ascii="宋体" w:hAnsi="宋体" w:cs="宋体"/>
          <w:color w:val="auto"/>
          <w:highlight w:val="none"/>
        </w:rPr>
        <w:t>中标和合同</w:t>
      </w:r>
      <w:bookmarkEnd w:id="179"/>
      <w:bookmarkEnd w:id="180"/>
      <w:bookmarkEnd w:id="181"/>
      <w:bookmarkEnd w:id="182"/>
      <w:bookmarkEnd w:id="183"/>
    </w:p>
    <w:p w14:paraId="483210E5">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30.确定中标人</w:t>
      </w:r>
    </w:p>
    <w:p w14:paraId="12A82E7E">
      <w:pPr>
        <w:pageBreakBefore w:val="0"/>
        <w:widowControl w:val="0"/>
        <w:kinsoku/>
        <w:wordWrap/>
        <w:overflowPunct/>
        <w:topLinePunct w:val="0"/>
        <w:bidi w:val="0"/>
        <w:spacing w:line="360" w:lineRule="exact"/>
        <w:ind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color w:val="auto"/>
          <w:highlight w:val="none"/>
        </w:rPr>
        <w:t>“投标人须知前附表”</w:t>
      </w:r>
      <w:r>
        <w:rPr>
          <w:rFonts w:ascii="宋体" w:hAnsi="宋体" w:cs="宋体"/>
          <w:color w:val="auto"/>
          <w:highlight w:val="none"/>
        </w:rPr>
        <w:t>规定的方式确定中标人；招标文件未规定的，采取随机抽取的方式确定。</w:t>
      </w:r>
      <w:r>
        <w:rPr>
          <w:rFonts w:hint="eastAsia" w:ascii="宋体" w:hAnsi="宋体" w:cs="宋体"/>
          <w:b/>
          <w:bCs/>
          <w:color w:val="auto"/>
          <w:szCs w:val="21"/>
          <w:highlight w:val="none"/>
        </w:rPr>
        <w:t xml:space="preserve">   </w:t>
      </w:r>
    </w:p>
    <w:p w14:paraId="10875763">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3B8630A">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30.3中标人无正当理由拒签合同的，根据《中华人民共和国政府采购法》第七十七条第一款规定处理。</w:t>
      </w:r>
    </w:p>
    <w:p w14:paraId="26E6ECF7">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212E7D76">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31. 结果公告</w:t>
      </w:r>
    </w:p>
    <w:p w14:paraId="1CD09232">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auto"/>
          <w:szCs w:val="21"/>
          <w:highlight w:val="none"/>
        </w:rPr>
        <w:t>排名第二的中标候选人因前款规定的同样原因被取消中标资格的，采购人可以依法确定排名第三的中标候选人为中标人，以此类推。</w:t>
      </w:r>
    </w:p>
    <w:p w14:paraId="4AC1574C">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35D833C">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0AD66374">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465B7ED6">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32.1在发布中标公告的同时，采购代理机构向中标人通过广西政府采购云平台发出电子中标通知书。</w:t>
      </w:r>
    </w:p>
    <w:p w14:paraId="3A39BC60">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0CDE7256">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50B138AB">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4E437F5C">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732FAB49">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56ADC0E7">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35.履约保证金</w:t>
      </w:r>
    </w:p>
    <w:p w14:paraId="5FEBA645">
      <w:pPr>
        <w:pStyle w:val="6"/>
        <w:keepNext w:val="0"/>
        <w:keepLines w:val="0"/>
        <w:pageBreakBefore w:val="0"/>
        <w:widowControl w:val="0"/>
        <w:kinsoku/>
        <w:wordWrap/>
        <w:overflowPunct/>
        <w:topLinePunct w:val="0"/>
        <w:bidi w:val="0"/>
        <w:spacing w:before="0" w:after="0" w:line="360" w:lineRule="exact"/>
        <w:ind w:firstLine="315" w:firstLineChars="150"/>
        <w:textAlignment w:val="auto"/>
        <w:rPr>
          <w:rFonts w:hint="eastAsia" w:ascii="宋体" w:hAnsi="宋体" w:cs="宋体"/>
          <w:b w:val="0"/>
          <w:color w:val="auto"/>
          <w:sz w:val="21"/>
          <w:szCs w:val="21"/>
          <w:highlight w:val="none"/>
        </w:rPr>
      </w:pPr>
      <w:bookmarkStart w:id="184" w:name="_39.1中标人须于签订合同前按本须知前附表规定的金额转账或电汇到指定账"/>
      <w:bookmarkEnd w:id="184"/>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1EF53735">
      <w:pPr>
        <w:pStyle w:val="6"/>
        <w:keepNext w:val="0"/>
        <w:keepLines w:val="0"/>
        <w:pageBreakBefore w:val="0"/>
        <w:widowControl w:val="0"/>
        <w:kinsoku/>
        <w:wordWrap/>
        <w:overflowPunct/>
        <w:topLinePunct w:val="0"/>
        <w:bidi w:val="0"/>
        <w:spacing w:before="0" w:after="0" w:line="360" w:lineRule="exact"/>
        <w:ind w:firstLine="315" w:firstLineChars="15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39552CB4">
      <w:pPr>
        <w:pStyle w:val="6"/>
        <w:keepNext w:val="0"/>
        <w:keepLines w:val="0"/>
        <w:pageBreakBefore w:val="0"/>
        <w:widowControl w:val="0"/>
        <w:kinsoku/>
        <w:wordWrap/>
        <w:overflowPunct/>
        <w:topLinePunct w:val="0"/>
        <w:bidi w:val="0"/>
        <w:spacing w:before="0" w:after="0" w:line="360" w:lineRule="exact"/>
        <w:ind w:firstLine="420" w:firstLine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6D00504C">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36.签订合同</w:t>
      </w:r>
    </w:p>
    <w:p w14:paraId="6EA05ECA">
      <w:pPr>
        <w:pageBreakBefore w:val="0"/>
        <w:widowControl w:val="0"/>
        <w:kinsoku/>
        <w:wordWrap/>
        <w:overflowPunct/>
        <w:topLinePunct w:val="0"/>
        <w:bidi w:val="0"/>
        <w:spacing w:line="360" w:lineRule="exact"/>
        <w:ind w:firstLine="420" w:firstLineChars="200"/>
        <w:textAlignment w:val="auto"/>
        <w:rPr>
          <w:b/>
          <w:bCs/>
          <w:i/>
          <w:iCs/>
          <w:color w:val="auto"/>
          <w:szCs w:val="21"/>
          <w:highlight w:val="none"/>
        </w:rPr>
      </w:pPr>
      <w:bookmarkStart w:id="185" w:name="_40.1投标人接到中标通知书后，按须知前附表规定向采购人出示相关资格证"/>
      <w:bookmarkEnd w:id="185"/>
      <w:r>
        <w:rPr>
          <w:rFonts w:hint="eastAsia" w:ascii="宋体" w:hAnsi="宋体" w:cs="宋体"/>
          <w:color w:val="auto"/>
          <w:szCs w:val="21"/>
          <w:highlight w:val="none"/>
        </w:rPr>
        <w:t xml:space="preserve"> </w:t>
      </w:r>
      <w:r>
        <w:rPr>
          <w:rFonts w:hint="eastAsia" w:ascii="宋体" w:hAnsi="宋体" w:cs="宋体"/>
          <w:b/>
          <w:bCs/>
          <w:color w:val="auto"/>
          <w:szCs w:val="21"/>
          <w:highlight w:val="none"/>
        </w:rPr>
        <w:t>36.1中标人在中标通知书发出之日起，</w:t>
      </w:r>
      <w:r>
        <w:rPr>
          <w:rFonts w:hint="eastAsia" w:ascii="宋体" w:hAnsi="宋体" w:cs="宋体"/>
          <w:color w:val="auto"/>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b/>
          <w:bCs/>
          <w:i/>
          <w:iCs/>
          <w:color w:val="auto"/>
          <w:szCs w:val="21"/>
          <w:highlight w:val="none"/>
        </w:rPr>
        <w:t>（适用于签订纸质合同的情形）</w:t>
      </w:r>
    </w:p>
    <w:p w14:paraId="1379E607">
      <w:pPr>
        <w:pageBreakBefore w:val="0"/>
        <w:widowControl w:val="0"/>
        <w:kinsoku/>
        <w:wordWrap/>
        <w:overflowPunct/>
        <w:topLinePunct w:val="0"/>
        <w:bidi w:val="0"/>
        <w:spacing w:line="360" w:lineRule="exact"/>
        <w:ind w:firstLine="420" w:firstLineChars="200"/>
        <w:textAlignment w:val="auto"/>
        <w:rPr>
          <w:b/>
          <w:bCs/>
          <w:i/>
          <w:iCs/>
          <w:color w:val="auto"/>
          <w:szCs w:val="21"/>
          <w:highlight w:val="none"/>
        </w:rPr>
      </w:pPr>
      <w:r>
        <w:rPr>
          <w:rFonts w:hint="eastAsia" w:ascii="宋体" w:hAnsi="宋体"/>
          <w:color w:val="auto"/>
          <w:szCs w:val="21"/>
          <w:highlight w:val="none"/>
          <w:lang w:val="zh-CN"/>
        </w:rPr>
        <w:t>36.2采购合同由采购人与中标人根据招标文件、投标文件等内容签订。</w:t>
      </w:r>
      <w:r>
        <w:rPr>
          <w:rFonts w:hint="eastAsia"/>
          <w:b/>
          <w:bCs/>
          <w:i/>
          <w:iCs/>
          <w:color w:val="auto"/>
          <w:szCs w:val="21"/>
          <w:highlight w:val="none"/>
        </w:rPr>
        <w:t>（适用于签订纸质合同的情形）</w:t>
      </w:r>
    </w:p>
    <w:p w14:paraId="4C35C1E7">
      <w:pPr>
        <w:pStyle w:val="46"/>
        <w:pageBreakBefore w:val="0"/>
        <w:widowControl w:val="0"/>
        <w:kinsoku/>
        <w:wordWrap/>
        <w:overflowPunct/>
        <w:topLinePunct w:val="0"/>
        <w:bidi w:val="0"/>
        <w:snapToGrid w:val="0"/>
        <w:spacing w:before="0" w:line="36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w:t>
      </w:r>
    </w:p>
    <w:p w14:paraId="23EA962F">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2EA9B919">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6117D1A">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4FC4DE10">
      <w:pPr>
        <w:pageBreakBefore w:val="0"/>
        <w:widowControl w:val="0"/>
        <w:kinsoku/>
        <w:wordWrap/>
        <w:overflowPunct/>
        <w:topLinePunct w:val="0"/>
        <w:bidi w:val="0"/>
        <w:spacing w:line="36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36.7如签订合同并生效后，中标人无故拒绝或延期，除按照合同条款处理外，将承担相应的法律责任。</w:t>
      </w:r>
    </w:p>
    <w:p w14:paraId="3FDAD582">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bookmarkStart w:id="186" w:name="_41.政府采购合同公告"/>
      <w:bookmarkEnd w:id="186"/>
      <w:r>
        <w:rPr>
          <w:rFonts w:hint="eastAsia" w:ascii="宋体" w:hAnsi="宋体" w:cs="宋体"/>
          <w:color w:val="auto"/>
          <w:sz w:val="24"/>
          <w:highlight w:val="none"/>
        </w:rPr>
        <w:t>37.政府采购合同公告</w:t>
      </w:r>
    </w:p>
    <w:p w14:paraId="2518572C">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cs="宋体"/>
          <w:color w:val="auto"/>
          <w:kern w:val="1"/>
          <w:highlight w:val="none"/>
        </w:rPr>
        <w:t>采购人应当自政府采购合同签订之日起2个工作日内，将政府采购合同</w:t>
      </w:r>
      <w:r>
        <w:rPr>
          <w:rFonts w:hint="eastAsia" w:ascii="宋体" w:hAnsi="宋体" w:cs="宋体"/>
          <w:bCs/>
          <w:color w:val="auto"/>
          <w:kern w:val="1"/>
          <w:highlight w:val="none"/>
        </w:rPr>
        <w:t>在</w:t>
      </w:r>
      <w:r>
        <w:rPr>
          <w:rFonts w:hint="eastAsia"/>
          <w:color w:val="auto"/>
          <w:highlight w:val="none"/>
        </w:rPr>
        <w:t>省级以上人民政府财政部门指定的</w:t>
      </w:r>
      <w:r>
        <w:rPr>
          <w:rFonts w:hint="eastAsia" w:ascii="宋体" w:hAnsi="宋体" w:cs="宋体"/>
          <w:bCs/>
          <w:color w:val="auto"/>
          <w:kern w:val="1"/>
          <w:highlight w:val="none"/>
        </w:rPr>
        <w:t>媒体上</w:t>
      </w:r>
      <w:r>
        <w:rPr>
          <w:rFonts w:hint="eastAsia" w:cs="宋体"/>
          <w:color w:val="auto"/>
          <w:kern w:val="1"/>
          <w:highlight w:val="none"/>
        </w:rPr>
        <w:t>公告，</w:t>
      </w:r>
      <w:r>
        <w:rPr>
          <w:rFonts w:cs="宋体"/>
          <w:color w:val="auto"/>
          <w:kern w:val="1"/>
          <w:highlight w:val="none"/>
        </w:rPr>
        <w:t>但政府采购合同中涉及国家秘密、商业秘密的内容除外。</w:t>
      </w:r>
    </w:p>
    <w:p w14:paraId="4CD2EC04">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38. 询问、质疑和投诉</w:t>
      </w:r>
    </w:p>
    <w:p w14:paraId="04084402">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02EB715C">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508AB6E8">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7C0F70C8">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38EFB225">
      <w:pPr>
        <w:pageBreakBefore w:val="0"/>
        <w:widowControl w:val="0"/>
        <w:kinsoku/>
        <w:wordWrap/>
        <w:overflowPunct/>
        <w:topLinePunct w:val="0"/>
        <w:bidi w:val="0"/>
        <w:spacing w:line="3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47D5DEAA">
      <w:pPr>
        <w:pageBreakBefore w:val="0"/>
        <w:widowControl w:val="0"/>
        <w:kinsoku/>
        <w:wordWrap/>
        <w:overflowPunct/>
        <w:topLinePunct w:val="0"/>
        <w:bidi w:val="0"/>
        <w:spacing w:line="360" w:lineRule="exact"/>
        <w:ind w:firstLine="420" w:firstLineChars="200"/>
        <w:textAlignment w:val="auto"/>
        <w:rPr>
          <w:rFonts w:hint="eastAsia" w:ascii="宋体" w:hAnsi="宋体" w:cs="宋体"/>
          <w:b/>
          <w:color w:val="auto"/>
          <w:szCs w:val="21"/>
          <w:highlight w:val="none"/>
        </w:rPr>
      </w:pPr>
      <w:r>
        <w:rPr>
          <w:rFonts w:hint="eastAsia" w:ascii="宋体" w:hAnsi="宋体" w:cs="宋体"/>
          <w:bCs/>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3DFF13F">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694981C1">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55236D98">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2F54E63A">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38.2.2供应商质疑实行实名制，其质疑应当有具体的质疑事项及事实根据，质疑应当坚持依法依规、诚实信用原则，不得进行虚假、恶意质疑。</w:t>
      </w:r>
    </w:p>
    <w:p w14:paraId="62D3F681">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szCs w:val="21"/>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2B043A30">
      <w:pPr>
        <w:pageBreakBefore w:val="0"/>
        <w:widowControl w:val="0"/>
        <w:kinsoku/>
        <w:wordWrap/>
        <w:overflowPunct/>
        <w:topLinePunct w:val="0"/>
        <w:bidi w:val="0"/>
        <w:spacing w:line="360" w:lineRule="exact"/>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64A34B96">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60B764AD">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14:paraId="09EAA5F8">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（3）在质疑有效期限内提起质疑；</w:t>
      </w:r>
    </w:p>
    <w:p w14:paraId="20969A78">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 xml:space="preserve">（4）属于所质疑的采购人或采购人委托的采购代理机构组织的采购活动； </w:t>
      </w:r>
    </w:p>
    <w:p w14:paraId="1C821814">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2F9E7DE1">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69E19E39">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bCs/>
          <w:color w:val="auto"/>
          <w:highlight w:val="none"/>
        </w:rPr>
        <w:t>（7）财政部门规定的其他条件。</w:t>
      </w:r>
    </w:p>
    <w:p w14:paraId="174E3FDC">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szCs w:val="21"/>
          <w:highlight w:val="none"/>
        </w:rPr>
      </w:pPr>
      <w:bookmarkStart w:id="187" w:name="_9.2质疑、投诉应当采用书面形式，质疑函、投诉书均应明确阐述招标文件、"/>
      <w:bookmarkEnd w:id="187"/>
      <w:r>
        <w:rPr>
          <w:rFonts w:hint="eastAsia" w:ascii="宋体" w:hAnsi="宋体" w:cs="宋体"/>
          <w:b/>
          <w:bCs/>
          <w:color w:val="auto"/>
          <w:szCs w:val="21"/>
          <w:highlight w:val="none"/>
        </w:rPr>
        <w:t xml:space="preserve"> 38.2.5 </w:t>
      </w:r>
      <w:r>
        <w:rPr>
          <w:rFonts w:hint="eastAsia" w:ascii="宋体" w:hAns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auto"/>
          <w:highlight w:val="none"/>
        </w:rPr>
        <w:t>：</w:t>
      </w:r>
    </w:p>
    <w:p w14:paraId="6CFC55DA">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7ABB760A">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（2）质疑项目的名称、编号；</w:t>
      </w:r>
    </w:p>
    <w:p w14:paraId="21ADB67A">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0B439EEF">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14:paraId="1BD3DE71">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（5）必要的法律依据；</w:t>
      </w:r>
    </w:p>
    <w:p w14:paraId="2F17CFDB">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（6）提出质疑的日期。</w:t>
      </w:r>
    </w:p>
    <w:p w14:paraId="051BF33F">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562843CB">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500B4B34">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D3C3F42">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17F820F7">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5C6D7CB">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w:t>
      </w:r>
      <w:r>
        <w:rPr>
          <w:rFonts w:hint="eastAsia" w:ascii="宋体" w:hAnsi="宋体" w:cs="宋体"/>
          <w:color w:val="auto"/>
          <w:szCs w:val="21"/>
          <w:highlight w:val="none"/>
        </w:rPr>
        <w:t>本级财政部门</w:t>
      </w:r>
      <w:r>
        <w:rPr>
          <w:rFonts w:hint="eastAsia" w:ascii="宋体" w:hAnsi="宋体" w:cs="宋体"/>
          <w:bCs/>
          <w:color w:val="auto"/>
          <w:highlight w:val="none"/>
        </w:rPr>
        <w:t>。</w:t>
      </w:r>
    </w:p>
    <w:p w14:paraId="7BB14542">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38.3投诉</w:t>
      </w:r>
    </w:p>
    <w:p w14:paraId="607306DB">
      <w:pPr>
        <w:pageBreakBefore w:val="0"/>
        <w:widowControl w:val="0"/>
        <w:kinsoku/>
        <w:wordWrap/>
        <w:overflowPunct/>
        <w:topLinePunct w:val="0"/>
        <w:bidi w:val="0"/>
        <w:spacing w:line="360" w:lineRule="exact"/>
        <w:ind w:firstLine="422" w:firstLineChars="200"/>
        <w:textAlignment w:val="auto"/>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328E05F8">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b/>
          <w:color w:val="auto"/>
          <w:szCs w:val="21"/>
          <w:highlight w:val="none"/>
        </w:rPr>
        <w:t>应当包括下列主要内容</w:t>
      </w:r>
      <w:r>
        <w:rPr>
          <w:rFonts w:hint="eastAsia" w:ascii="宋体" w:hAnsi="宋体" w:cs="宋体"/>
          <w:b/>
          <w:color w:val="auto"/>
          <w:highlight w:val="none"/>
        </w:rPr>
        <w:t>（如材料中有外文资料应同时附上对应的中文译本）（投诉书格式后附）</w:t>
      </w:r>
      <w:r>
        <w:rPr>
          <w:rFonts w:hint="eastAsia" w:ascii="宋体" w:hAnsi="宋体" w:cs="宋体"/>
          <w:b/>
          <w:color w:val="auto"/>
          <w:szCs w:val="21"/>
          <w:highlight w:val="none"/>
        </w:rPr>
        <w:t>：</w:t>
      </w:r>
    </w:p>
    <w:p w14:paraId="1BB1D590">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519379C">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275F7737">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1AA6BC3D">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（4）事实依据；</w:t>
      </w:r>
    </w:p>
    <w:p w14:paraId="4B87325D">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（5）法律依据；</w:t>
      </w:r>
    </w:p>
    <w:p w14:paraId="67DA5667">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（6）提起投诉的日期。</w:t>
      </w:r>
      <w:r>
        <w:rPr>
          <w:rFonts w:hint="eastAsia" w:ascii="宋体" w:hAnsi="宋体" w:cs="宋体"/>
          <w:color w:val="auto"/>
          <w:highlight w:val="none"/>
        </w:rPr>
        <w:tab/>
      </w:r>
    </w:p>
    <w:p w14:paraId="741DBE87">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1DD8FCE0">
      <w:pPr>
        <w:pageBreakBefore w:val="0"/>
        <w:widowControl w:val="0"/>
        <w:kinsoku/>
        <w:wordWrap/>
        <w:overflowPunct/>
        <w:topLinePunct w:val="0"/>
        <w:bidi w:val="0"/>
        <w:spacing w:line="360" w:lineRule="exact"/>
        <w:ind w:firstLine="422" w:firstLineChars="200"/>
        <w:textAlignment w:val="auto"/>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3F72D259">
      <w:pPr>
        <w:pageBreakBefore w:val="0"/>
        <w:widowControl w:val="0"/>
        <w:kinsoku/>
        <w:wordWrap/>
        <w:overflowPunct/>
        <w:topLinePunct w:val="0"/>
        <w:bidi w:val="0"/>
        <w:spacing w:line="360" w:lineRule="exact"/>
        <w:ind w:firstLine="422" w:firstLineChars="200"/>
        <w:textAlignment w:val="auto"/>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102EF1A3">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6D37C0F2">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（2）提起投诉前已依法进行质疑；</w:t>
      </w:r>
    </w:p>
    <w:p w14:paraId="317BB5D9">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3399578E">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（4）在投诉有效期限内提起投诉；</w:t>
      </w:r>
    </w:p>
    <w:p w14:paraId="648A8AE0">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（5）同一投诉事项未经</w:t>
      </w:r>
      <w:r>
        <w:rPr>
          <w:rFonts w:hint="eastAsia" w:ascii="宋体" w:hAnsi="宋体" w:cs="宋体"/>
          <w:bCs/>
          <w:color w:val="auto"/>
          <w:highlight w:val="none"/>
        </w:rPr>
        <w:t>财政部门</w:t>
      </w:r>
      <w:r>
        <w:rPr>
          <w:rFonts w:hint="eastAsia" w:ascii="宋体" w:hAnsi="宋体" w:cs="宋体"/>
          <w:color w:val="auto"/>
          <w:highlight w:val="none"/>
        </w:rPr>
        <w:t>投诉处理；</w:t>
      </w:r>
    </w:p>
    <w:p w14:paraId="5ECE8C4F">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（6）国务院财政部门规定的其他条件。</w:t>
      </w:r>
    </w:p>
    <w:p w14:paraId="33690116">
      <w:pPr>
        <w:pStyle w:val="4"/>
        <w:pageBreakBefore w:val="0"/>
        <w:widowControl w:val="0"/>
        <w:kinsoku/>
        <w:wordWrap/>
        <w:overflowPunct/>
        <w:topLinePunct w:val="0"/>
        <w:bidi w:val="0"/>
        <w:spacing w:line="360" w:lineRule="exact"/>
        <w:ind w:firstLine="4498" w:firstLineChars="1400"/>
        <w:textAlignment w:val="auto"/>
        <w:rPr>
          <w:rFonts w:hint="eastAsia" w:ascii="宋体" w:hAnsi="宋体" w:cs="宋体"/>
          <w:color w:val="auto"/>
          <w:highlight w:val="none"/>
        </w:rPr>
      </w:pPr>
      <w:bookmarkStart w:id="188" w:name="_Toc18873"/>
      <w:bookmarkStart w:id="189" w:name="_Toc22303"/>
      <w:bookmarkStart w:id="190" w:name="_Toc28886"/>
      <w:bookmarkStart w:id="191" w:name="_Toc17335"/>
      <w:bookmarkStart w:id="192" w:name="_Toc17503"/>
      <w:r>
        <w:rPr>
          <w:rFonts w:hint="eastAsia" w:ascii="宋体" w:hAnsi="宋体" w:cs="宋体"/>
          <w:color w:val="auto"/>
          <w:highlight w:val="none"/>
        </w:rPr>
        <w:t>八、验收</w:t>
      </w:r>
      <w:bookmarkEnd w:id="188"/>
      <w:bookmarkEnd w:id="189"/>
      <w:bookmarkEnd w:id="190"/>
      <w:bookmarkEnd w:id="191"/>
      <w:bookmarkEnd w:id="192"/>
    </w:p>
    <w:p w14:paraId="07F700BF">
      <w:pPr>
        <w:pageBreakBefore w:val="0"/>
        <w:widowControl w:val="0"/>
        <w:kinsoku/>
        <w:wordWrap/>
        <w:overflowPunct/>
        <w:topLinePunct w:val="0"/>
        <w:bidi w:val="0"/>
        <w:spacing w:line="3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39.验收</w:t>
      </w:r>
    </w:p>
    <w:p w14:paraId="3FD165EC">
      <w:pPr>
        <w:pageBreakBefore w:val="0"/>
        <w:widowControl w:val="0"/>
        <w:tabs>
          <w:tab w:val="left" w:pos="0"/>
        </w:tabs>
        <w:kinsoku/>
        <w:wordWrap/>
        <w:overflowPunct/>
        <w:topLinePunct w:val="0"/>
        <w:bidi w:val="0"/>
        <w:spacing w:line="360" w:lineRule="exact"/>
        <w:ind w:firstLine="480"/>
        <w:textAlignment w:val="auto"/>
        <w:rPr>
          <w:rFonts w:hint="eastAsia"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3FFEB242">
      <w:pPr>
        <w:pageBreakBefore w:val="0"/>
        <w:widowControl w:val="0"/>
        <w:tabs>
          <w:tab w:val="left" w:pos="0"/>
        </w:tabs>
        <w:kinsoku/>
        <w:wordWrap/>
        <w:overflowPunct/>
        <w:topLinePunct w:val="0"/>
        <w:bidi w:val="0"/>
        <w:spacing w:line="360" w:lineRule="exact"/>
        <w:ind w:firstLine="480"/>
        <w:textAlignment w:val="auto"/>
        <w:rPr>
          <w:rFonts w:hint="eastAsia"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7A2CB4EA">
      <w:pPr>
        <w:pageBreakBefore w:val="0"/>
        <w:widowControl w:val="0"/>
        <w:tabs>
          <w:tab w:val="left" w:pos="0"/>
        </w:tabs>
        <w:kinsoku/>
        <w:wordWrap/>
        <w:overflowPunct/>
        <w:topLinePunct w:val="0"/>
        <w:bidi w:val="0"/>
        <w:spacing w:line="360" w:lineRule="exact"/>
        <w:ind w:firstLine="480"/>
        <w:textAlignment w:val="auto"/>
        <w:rPr>
          <w:rFonts w:hint="eastAsia"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3828635A">
      <w:pPr>
        <w:pageBreakBefore w:val="0"/>
        <w:widowControl w:val="0"/>
        <w:tabs>
          <w:tab w:val="left" w:pos="0"/>
        </w:tabs>
        <w:kinsoku/>
        <w:wordWrap/>
        <w:overflowPunct/>
        <w:topLinePunct w:val="0"/>
        <w:bidi w:val="0"/>
        <w:spacing w:line="360" w:lineRule="exact"/>
        <w:ind w:firstLine="480"/>
        <w:textAlignment w:val="auto"/>
        <w:rPr>
          <w:rFonts w:hint="eastAsia"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29097D13">
      <w:pPr>
        <w:pStyle w:val="15"/>
        <w:pageBreakBefore w:val="0"/>
        <w:widowControl w:val="0"/>
        <w:kinsoku/>
        <w:wordWrap/>
        <w:overflowPunct/>
        <w:topLinePunct w:val="0"/>
        <w:bidi w:val="0"/>
        <w:snapToGrid w:val="0"/>
        <w:spacing w:line="360" w:lineRule="exact"/>
        <w:textAlignment w:val="auto"/>
        <w:rPr>
          <w:rFonts w:hint="eastAsia" w:hAnsi="宋体" w:cs="宋体"/>
          <w:color w:val="auto"/>
          <w:highlight w:val="none"/>
        </w:rPr>
      </w:pPr>
    </w:p>
    <w:p w14:paraId="58077617">
      <w:pPr>
        <w:pStyle w:val="4"/>
        <w:keepNext w:val="0"/>
        <w:keepLines w:val="0"/>
        <w:pageBreakBefore w:val="0"/>
        <w:widowControl w:val="0"/>
        <w:kinsoku/>
        <w:wordWrap/>
        <w:overflowPunct/>
        <w:topLinePunct w:val="0"/>
        <w:bidi w:val="0"/>
        <w:spacing w:line="360" w:lineRule="exact"/>
        <w:jc w:val="center"/>
        <w:textAlignment w:val="auto"/>
        <w:rPr>
          <w:rFonts w:hint="eastAsia" w:ascii="宋体" w:hAnsi="宋体" w:cs="宋体"/>
          <w:color w:val="auto"/>
          <w:highlight w:val="none"/>
        </w:rPr>
      </w:pPr>
      <w:bookmarkStart w:id="193" w:name="_八、其他事项"/>
      <w:bookmarkEnd w:id="193"/>
      <w:bookmarkStart w:id="194" w:name="_Toc32572"/>
      <w:bookmarkStart w:id="195" w:name="_Toc22183"/>
      <w:bookmarkStart w:id="196" w:name="_Toc13415"/>
      <w:bookmarkStart w:id="197" w:name="_Toc30046"/>
      <w:bookmarkStart w:id="198" w:name="_Toc18658"/>
      <w:r>
        <w:rPr>
          <w:rFonts w:hint="eastAsia" w:ascii="宋体" w:hAnsi="宋体" w:cs="宋体"/>
          <w:color w:val="auto"/>
          <w:highlight w:val="none"/>
        </w:rPr>
        <w:t>九、其他事项</w:t>
      </w:r>
      <w:bookmarkEnd w:id="194"/>
      <w:bookmarkEnd w:id="195"/>
      <w:bookmarkEnd w:id="196"/>
      <w:bookmarkEnd w:id="197"/>
      <w:bookmarkEnd w:id="198"/>
    </w:p>
    <w:p w14:paraId="18A4338C">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bookmarkStart w:id="199" w:name="_42.代理服务费"/>
      <w:bookmarkEnd w:id="199"/>
      <w:r>
        <w:rPr>
          <w:rFonts w:hint="eastAsia" w:ascii="宋体" w:hAnsi="宋体" w:cs="宋体"/>
          <w:color w:val="auto"/>
          <w:sz w:val="24"/>
          <w:highlight w:val="none"/>
        </w:rPr>
        <w:t>40.采购代理服务费</w:t>
      </w:r>
    </w:p>
    <w:p w14:paraId="7711F2E4">
      <w:pPr>
        <w:pageBreakBefore w:val="0"/>
        <w:widowControl w:val="0"/>
        <w:kinsoku/>
        <w:wordWrap/>
        <w:overflowPunct/>
        <w:topLinePunct w:val="0"/>
        <w:bidi w:val="0"/>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40.1采购代理服务费收费标准及缴费账户详见“投标人须知前附表”，投标人为联合体的，可以由联合体中的一方或者多方共同缴纳采购代理服务费。</w:t>
      </w:r>
    </w:p>
    <w:p w14:paraId="7A00E224">
      <w:pPr>
        <w:pStyle w:val="6"/>
        <w:keepNext w:val="0"/>
        <w:keepLines w:val="0"/>
        <w:pageBreakBefore w:val="0"/>
        <w:widowControl w:val="0"/>
        <w:kinsoku/>
        <w:wordWrap/>
        <w:overflowPunct/>
        <w:topLinePunct w:val="0"/>
        <w:bidi w:val="0"/>
        <w:spacing w:before="0" w:after="0" w:line="360" w:lineRule="exact"/>
        <w:ind w:left="420" w:leftChars="200"/>
        <w:textAlignment w:val="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6"/>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C51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350FC33">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241E692">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053AFA55">
            <w:pPr>
              <w:pageBreakBefore w:val="0"/>
              <w:widowControl w:val="0"/>
              <w:kinsoku/>
              <w:wordWrap/>
              <w:overflowPunct/>
              <w:topLinePunct w:val="0"/>
              <w:bidi w:val="0"/>
              <w:spacing w:line="36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687" w:type="dxa"/>
            <w:vAlign w:val="center"/>
          </w:tcPr>
          <w:p w14:paraId="5F13EE21">
            <w:pPr>
              <w:pageBreakBefore w:val="0"/>
              <w:widowControl w:val="0"/>
              <w:kinsoku/>
              <w:wordWrap/>
              <w:overflowPunct/>
              <w:topLinePunct w:val="0"/>
              <w:bidi w:val="0"/>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659" w:type="dxa"/>
            <w:vAlign w:val="center"/>
          </w:tcPr>
          <w:p w14:paraId="1127290C">
            <w:pPr>
              <w:pageBreakBefore w:val="0"/>
              <w:widowControl w:val="0"/>
              <w:kinsoku/>
              <w:wordWrap/>
              <w:overflowPunct/>
              <w:topLinePunct w:val="0"/>
              <w:bidi w:val="0"/>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6C0C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7F314FD">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3469E723">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tcPr>
          <w:p w14:paraId="44519B45">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262BF855">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25C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7D7465D">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701C9A6C">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tcPr>
          <w:p w14:paraId="6CBE14E9">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55EF7287">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EDF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446A48">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5BBBA092">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tcPr>
          <w:p w14:paraId="6DB5C5B5">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1FC6319E">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DAD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851C24">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452049A1">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tcPr>
          <w:p w14:paraId="43995781">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39C4B40E">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6D3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EA5A89">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17E32C2F">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tcPr>
          <w:p w14:paraId="5413CD4E">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75692E75">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0B5E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ADF9EAA">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E2249B4">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38309269">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tcPr>
          <w:p w14:paraId="18FA34C7">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459A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1242481">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4F36CCC5">
            <w:pPr>
              <w:pageBreakBefore w:val="0"/>
              <w:widowControl w:val="0"/>
              <w:kinsoku/>
              <w:wordWrap/>
              <w:overflowPunct/>
              <w:topLinePunct w:val="0"/>
              <w:bidi w:val="0"/>
              <w:spacing w:line="3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2A6451AF">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tcPr>
          <w:p w14:paraId="1C484DD6">
            <w:pPr>
              <w:pageBreakBefore w:val="0"/>
              <w:widowControl w:val="0"/>
              <w:kinsoku/>
              <w:wordWrap/>
              <w:overflowPunct/>
              <w:topLinePunct w:val="0"/>
              <w:bidi w:val="0"/>
              <w:spacing w:line="3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96F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785CA5">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1934DEC1">
            <w:pPr>
              <w:pageBreakBefore w:val="0"/>
              <w:widowControl w:val="0"/>
              <w:kinsoku/>
              <w:wordWrap/>
              <w:overflowPunct/>
              <w:topLinePunct w:val="0"/>
              <w:bidi w:val="0"/>
              <w:spacing w:line="3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019F35CF">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2D9984EC">
            <w:pPr>
              <w:pageBreakBefore w:val="0"/>
              <w:widowControl w:val="0"/>
              <w:kinsoku/>
              <w:wordWrap/>
              <w:overflowPunct/>
              <w:topLinePunct w:val="0"/>
              <w:bidi w:val="0"/>
              <w:spacing w:line="3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D0B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2389360">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6E9734BE">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tcPr>
          <w:p w14:paraId="7967DCF7">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59" w:type="dxa"/>
          </w:tcPr>
          <w:p w14:paraId="2CD3A97B">
            <w:pPr>
              <w:pageBreakBefore w:val="0"/>
              <w:widowControl w:val="0"/>
              <w:kinsoku/>
              <w:wordWrap/>
              <w:overflowPunct/>
              <w:topLinePunct w:val="0"/>
              <w:bidi w:val="0"/>
              <w:spacing w:line="3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CCC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84B253">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Pr>
          <w:p w14:paraId="5B546C31">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tcPr>
          <w:p w14:paraId="5E44183F">
            <w:pPr>
              <w:pageBreakBefore w:val="0"/>
              <w:widowControl w:val="0"/>
              <w:kinsoku/>
              <w:wordWrap/>
              <w:overflowPunct/>
              <w:topLinePunct w:val="0"/>
              <w:bidi w:val="0"/>
              <w:spacing w:line="3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4C58B25B">
            <w:pPr>
              <w:pageBreakBefore w:val="0"/>
              <w:widowControl w:val="0"/>
              <w:kinsoku/>
              <w:wordWrap/>
              <w:overflowPunct/>
              <w:topLinePunct w:val="0"/>
              <w:bidi w:val="0"/>
              <w:spacing w:line="3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61CDDA86">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3B13142A">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093F23F1">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7A8F9E23">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（3）本项目按本表费率计算的</w:t>
      </w:r>
      <w:r>
        <w:rPr>
          <w:rFonts w:hint="eastAsia" w:hAnsi="宋体" w:cs="Arial"/>
          <w:color w:val="auto"/>
          <w:highlight w:val="none"/>
        </w:rPr>
        <w:t>标准费率下浮35%收取，其中单位项目招标代理服务费低于人民币伍仟元（￥5000.00）按伍仟元（￥5000.00）收取</w:t>
      </w:r>
    </w:p>
    <w:p w14:paraId="7D2565B3">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41. 需要补充的其他内容</w:t>
      </w:r>
    </w:p>
    <w:p w14:paraId="4CD45AA8">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14:paraId="72AF788A">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41.2 其他事项详见“投标人须知前附表”。</w:t>
      </w:r>
    </w:p>
    <w:p w14:paraId="45224762">
      <w:pPr>
        <w:pStyle w:val="15"/>
        <w:pageBreakBefore w:val="0"/>
        <w:widowControl w:val="0"/>
        <w:kinsoku/>
        <w:wordWrap/>
        <w:overflowPunct/>
        <w:topLinePunct w:val="0"/>
        <w:bidi w:val="0"/>
        <w:spacing w:line="360" w:lineRule="exact"/>
        <w:ind w:firstLine="420" w:firstLineChars="200"/>
        <w:textAlignment w:val="auto"/>
        <w:rPr>
          <w:rFonts w:hint="eastAsia" w:hAnsi="宋体" w:cs="宋体"/>
          <w:color w:val="auto"/>
          <w:highlight w:val="none"/>
        </w:rPr>
      </w:pPr>
      <w:r>
        <w:rPr>
          <w:rFonts w:hint="eastAsia" w:hAnsi="宋体" w:cs="宋体"/>
          <w:color w:val="auto"/>
          <w:highlight w:val="none"/>
        </w:rPr>
        <w:t>41.3</w:t>
      </w:r>
      <w:bookmarkStart w:id="200" w:name="_Hlk65857140"/>
      <w:r>
        <w:rPr>
          <w:rFonts w:hint="eastAsia" w:hAnsi="宋体" w:cs="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400E4D2A">
      <w:pPr>
        <w:pStyle w:val="15"/>
        <w:pageBreakBefore w:val="0"/>
        <w:widowControl w:val="0"/>
        <w:kinsoku/>
        <w:wordWrap/>
        <w:overflowPunct/>
        <w:topLinePunct w:val="0"/>
        <w:bidi w:val="0"/>
        <w:spacing w:line="36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0C9ED3A">
      <w:pPr>
        <w:pStyle w:val="15"/>
        <w:pageBreakBefore w:val="0"/>
        <w:widowControl w:val="0"/>
        <w:kinsoku/>
        <w:wordWrap/>
        <w:overflowPunct/>
        <w:topLinePunct w:val="0"/>
        <w:bidi w:val="0"/>
        <w:spacing w:line="36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bookmarkEnd w:id="200"/>
    </w:p>
    <w:p w14:paraId="11A1893A">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42.供应商可凭中标(成交)通知书、政府采购合同，通过中征应收账款融资服务平台向银行在线申请“政采贷”融资。</w:t>
      </w:r>
    </w:p>
    <w:p w14:paraId="5C6D8204">
      <w:pPr>
        <w:pageBreakBefore w:val="0"/>
        <w:widowControl w:val="0"/>
        <w:kinsoku/>
        <w:wordWrap/>
        <w:overflowPunct/>
        <w:topLinePunct w:val="0"/>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43. 广西线上“政采贷”政策告知函</w:t>
      </w:r>
    </w:p>
    <w:p w14:paraId="7F4EF648">
      <w:pPr>
        <w:pageBreakBefore w:val="0"/>
        <w:widowControl w:val="0"/>
        <w:kinsoku/>
        <w:wordWrap/>
        <w:overflowPunct/>
        <w:topLinePunct w:val="0"/>
        <w:bidi w:val="0"/>
        <w:spacing w:line="360" w:lineRule="exact"/>
        <w:jc w:val="center"/>
        <w:textAlignment w:val="auto"/>
        <w:rPr>
          <w:rFonts w:hint="eastAsia" w:ascii="宋体" w:hAnsi="宋体" w:cs="宋体"/>
          <w:color w:val="auto"/>
          <w:sz w:val="44"/>
          <w:szCs w:val="44"/>
          <w:highlight w:val="none"/>
        </w:rPr>
      </w:pPr>
    </w:p>
    <w:p w14:paraId="695F3C2A">
      <w:pPr>
        <w:pageBreakBefore w:val="0"/>
        <w:widowControl w:val="0"/>
        <w:kinsoku/>
        <w:wordWrap/>
        <w:overflowPunct/>
        <w:topLinePunct w:val="0"/>
        <w:bidi w:val="0"/>
        <w:spacing w:line="360" w:lineRule="exact"/>
        <w:jc w:val="center"/>
        <w:textAlignment w:val="auto"/>
        <w:rPr>
          <w:rFonts w:ascii="宋体" w:hAnsi="宋体" w:cs="宋体"/>
          <w:color w:val="auto"/>
          <w:sz w:val="32"/>
          <w:szCs w:val="32"/>
          <w:highlight w:val="none"/>
        </w:rPr>
      </w:pPr>
    </w:p>
    <w:p w14:paraId="1C100A28">
      <w:pPr>
        <w:pageBreakBefore w:val="0"/>
        <w:widowControl w:val="0"/>
        <w:kinsoku/>
        <w:wordWrap/>
        <w:overflowPunct/>
        <w:topLinePunct w:val="0"/>
        <w:bidi w:val="0"/>
        <w:spacing w:line="360" w:lineRule="exact"/>
        <w:jc w:val="center"/>
        <w:textAlignment w:val="auto"/>
        <w:rPr>
          <w:rFonts w:ascii="宋体" w:hAnsi="宋体" w:cs="宋体"/>
          <w:color w:val="auto"/>
          <w:sz w:val="32"/>
          <w:szCs w:val="32"/>
          <w:highlight w:val="none"/>
        </w:rPr>
      </w:pPr>
    </w:p>
    <w:p w14:paraId="712A7E36">
      <w:pPr>
        <w:pageBreakBefore w:val="0"/>
        <w:widowControl w:val="0"/>
        <w:kinsoku/>
        <w:wordWrap/>
        <w:overflowPunct/>
        <w:topLinePunct w:val="0"/>
        <w:bidi w:val="0"/>
        <w:spacing w:line="360" w:lineRule="exact"/>
        <w:jc w:val="center"/>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2B8E180D">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32"/>
          <w:highlight w:val="none"/>
        </w:rPr>
      </w:pPr>
    </w:p>
    <w:p w14:paraId="406D25D3">
      <w:pPr>
        <w:pageBreakBefore w:val="0"/>
        <w:widowControl w:val="0"/>
        <w:kinsoku/>
        <w:wordWrap/>
        <w:overflowPunct/>
        <w:topLinePunct w:val="0"/>
        <w:bidi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4F9148C6">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0CED7B8B">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C9C7567">
      <w:pPr>
        <w:pageBreakBefore w:val="0"/>
        <w:widowControl w:val="0"/>
        <w:kinsoku/>
        <w:wordWrap/>
        <w:overflowPunct/>
        <w:topLinePunct w:val="0"/>
        <w:bidi w:val="0"/>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1"/>
          <w:rFonts w:hint="default" w:ascii="宋体" w:hAnsi="宋体" w:eastAsia="宋体" w:cs="宋体"/>
          <w:color w:val="auto"/>
          <w:szCs w:val="21"/>
          <w:highlight w:val="none"/>
        </w:rPr>
        <w:t>https://www.crcrfsp.com/</w:t>
      </w:r>
      <w:r>
        <w:rPr>
          <w:rStyle w:val="31"/>
          <w:rFonts w:hint="default"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14:paraId="1EDB0E5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br w:type="page"/>
      </w:r>
      <w:bookmarkStart w:id="201" w:name="_Toc532545043"/>
    </w:p>
    <w:p w14:paraId="05BDEBA6">
      <w:pPr>
        <w:pStyle w:val="15"/>
        <w:jc w:val="center"/>
        <w:outlineLvl w:val="0"/>
        <w:rPr>
          <w:rFonts w:hint="eastAsia" w:hAnsi="宋体" w:cs="宋体"/>
          <w:b/>
          <w:color w:val="auto"/>
          <w:sz w:val="36"/>
          <w:highlight w:val="none"/>
        </w:rPr>
      </w:pPr>
      <w:bookmarkStart w:id="202" w:name="_Toc18150"/>
      <w:bookmarkStart w:id="203" w:name="_Toc5517"/>
      <w:bookmarkStart w:id="204" w:name="_Toc2111"/>
      <w:bookmarkStart w:id="205" w:name="_Toc22348"/>
      <w:bookmarkStart w:id="206" w:name="_Toc26538"/>
      <w:bookmarkStart w:id="207" w:name="_Toc22076"/>
      <w:bookmarkStart w:id="208" w:name="_Toc31334"/>
      <w:bookmarkStart w:id="209" w:name="_Toc25066"/>
      <w:bookmarkStart w:id="210" w:name="_Toc12598"/>
      <w:bookmarkStart w:id="211" w:name="_Toc6459"/>
      <w:bookmarkStart w:id="212" w:name="_Toc1883"/>
      <w:r>
        <w:rPr>
          <w:rFonts w:hint="eastAsia" w:hAnsi="宋体" w:cs="宋体"/>
          <w:b/>
          <w:color w:val="auto"/>
          <w:sz w:val="36"/>
          <w:highlight w:val="none"/>
        </w:rPr>
        <w:t xml:space="preserve">第四章  </w:t>
      </w:r>
      <w:bookmarkEnd w:id="201"/>
      <w:bookmarkEnd w:id="202"/>
      <w:bookmarkEnd w:id="203"/>
      <w:r>
        <w:rPr>
          <w:rFonts w:hint="eastAsia" w:hAnsi="宋体" w:cs="宋体"/>
          <w:b/>
          <w:color w:val="auto"/>
          <w:sz w:val="36"/>
          <w:highlight w:val="none"/>
        </w:rPr>
        <w:t>评标方法和评标标准</w:t>
      </w:r>
      <w:bookmarkEnd w:id="204"/>
      <w:bookmarkEnd w:id="205"/>
      <w:bookmarkEnd w:id="206"/>
      <w:bookmarkEnd w:id="207"/>
      <w:bookmarkEnd w:id="208"/>
      <w:bookmarkEnd w:id="209"/>
      <w:bookmarkEnd w:id="210"/>
      <w:bookmarkEnd w:id="211"/>
      <w:bookmarkEnd w:id="212"/>
    </w:p>
    <w:p w14:paraId="725F62F1">
      <w:pPr>
        <w:pStyle w:val="15"/>
        <w:keepNext w:val="0"/>
        <w:keepLines w:val="0"/>
        <w:pageBreakBefore w:val="0"/>
        <w:kinsoku/>
        <w:wordWrap/>
        <w:overflowPunct/>
        <w:topLinePunct w:val="0"/>
        <w:autoSpaceDE/>
        <w:autoSpaceDN/>
        <w:bidi w:val="0"/>
        <w:adjustRightInd/>
        <w:spacing w:beforeAutospacing="0" w:afterAutospacing="0" w:line="360" w:lineRule="exact"/>
        <w:jc w:val="center"/>
        <w:outlineLvl w:val="1"/>
        <w:rPr>
          <w:rFonts w:hint="eastAsia" w:hAnsi="宋体" w:cs="宋体"/>
          <w:b/>
          <w:bCs/>
          <w:color w:val="auto"/>
          <w:sz w:val="32"/>
          <w:szCs w:val="32"/>
          <w:highlight w:val="none"/>
        </w:rPr>
      </w:pPr>
      <w:bookmarkStart w:id="213" w:name="_Toc8187"/>
      <w:bookmarkStart w:id="214" w:name="_Toc31286"/>
      <w:bookmarkStart w:id="215" w:name="_Toc3364"/>
      <w:bookmarkStart w:id="216" w:name="_Toc18908"/>
      <w:bookmarkStart w:id="217" w:name="_Toc2086"/>
      <w:r>
        <w:rPr>
          <w:rFonts w:hint="eastAsia" w:hAnsi="宋体" w:cs="宋体"/>
          <w:b/>
          <w:bCs/>
          <w:color w:val="auto"/>
          <w:sz w:val="32"/>
          <w:szCs w:val="32"/>
          <w:highlight w:val="none"/>
        </w:rPr>
        <w:t>第一节 评标方法</w:t>
      </w:r>
      <w:bookmarkEnd w:id="213"/>
      <w:bookmarkEnd w:id="214"/>
      <w:bookmarkEnd w:id="215"/>
      <w:bookmarkEnd w:id="216"/>
      <w:bookmarkEnd w:id="217"/>
    </w:p>
    <w:p w14:paraId="63EB3CB6">
      <w:pPr>
        <w:pStyle w:val="15"/>
        <w:keepNext w:val="0"/>
        <w:keepLines w:val="0"/>
        <w:pageBreakBefore w:val="0"/>
        <w:tabs>
          <w:tab w:val="left" w:pos="2472"/>
        </w:tabs>
        <w:kinsoku/>
        <w:wordWrap/>
        <w:overflowPunct/>
        <w:topLinePunct w:val="0"/>
        <w:autoSpaceDE/>
        <w:autoSpaceDN/>
        <w:bidi w:val="0"/>
        <w:adjustRightInd/>
        <w:spacing w:beforeAutospacing="0" w:afterAutospacing="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4E65C4BE">
      <w:pPr>
        <w:pStyle w:val="15"/>
        <w:keepNext w:val="0"/>
        <w:keepLines w:val="0"/>
        <w:pageBreakBefore w:val="0"/>
        <w:kinsoku/>
        <w:wordWrap/>
        <w:overflowPunct/>
        <w:topLinePunct w:val="0"/>
        <w:autoSpaceDE/>
        <w:autoSpaceDN/>
        <w:bidi w:val="0"/>
        <w:adjustRightInd/>
        <w:spacing w:beforeAutospacing="0" w:afterAutospacing="0" w:line="360" w:lineRule="exact"/>
        <w:ind w:firstLine="420"/>
        <w:rPr>
          <w:rFonts w:hint="eastAsia"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09A31265">
      <w:pPr>
        <w:keepNext w:val="0"/>
        <w:keepLines w:val="0"/>
        <w:pageBreakBefore w:val="0"/>
        <w:widowControl/>
        <w:kinsoku/>
        <w:wordWrap/>
        <w:overflowPunct/>
        <w:topLinePunct w:val="0"/>
        <w:autoSpaceDE/>
        <w:autoSpaceDN/>
        <w:bidi w:val="0"/>
        <w:adjustRightInd/>
        <w:spacing w:beforeAutospacing="0" w:afterAutospacing="0" w:line="360" w:lineRule="exact"/>
        <w:ind w:firstLine="420" w:firstLineChars="200"/>
        <w:jc w:val="left"/>
        <w:rPr>
          <w:rFonts w:hint="eastAsia" w:ascii="宋体" w:hAnsi="宋体" w:cs="宋体"/>
          <w:color w:val="auto"/>
          <w:sz w:val="24"/>
          <w:highlight w:val="none"/>
        </w:rPr>
      </w:pPr>
      <w:r>
        <w:rPr>
          <w:rFonts w:ascii="Segoe UI Symbol" w:hAnsi="Segoe UI Symbol" w:cs="Segoe UI Symbol"/>
          <w:color w:val="auto"/>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 </w:t>
      </w:r>
    </w:p>
    <w:p w14:paraId="551D344E">
      <w:pPr>
        <w:pStyle w:val="15"/>
        <w:keepNext w:val="0"/>
        <w:keepLines w:val="0"/>
        <w:pageBreakBefore w:val="0"/>
        <w:kinsoku/>
        <w:wordWrap/>
        <w:overflowPunct/>
        <w:topLinePunct w:val="0"/>
        <w:autoSpaceDE/>
        <w:autoSpaceDN/>
        <w:bidi w:val="0"/>
        <w:adjustRightInd/>
        <w:spacing w:beforeAutospacing="0" w:afterAutospacing="0" w:line="360" w:lineRule="exact"/>
        <w:ind w:firstLine="420"/>
        <w:rPr>
          <w:rFonts w:hint="eastAsia" w:hAnsi="宋体" w:cs="宋体"/>
          <w:color w:val="auto"/>
          <w:highlight w:val="none"/>
        </w:rPr>
      </w:pPr>
    </w:p>
    <w:p w14:paraId="24C88365">
      <w:pPr>
        <w:pStyle w:val="15"/>
        <w:keepNext w:val="0"/>
        <w:keepLines w:val="0"/>
        <w:pageBreakBefore w:val="0"/>
        <w:tabs>
          <w:tab w:val="left" w:pos="2472"/>
        </w:tabs>
        <w:kinsoku/>
        <w:wordWrap/>
        <w:overflowPunct/>
        <w:topLinePunct w:val="0"/>
        <w:autoSpaceDE/>
        <w:autoSpaceDN/>
        <w:bidi w:val="0"/>
        <w:adjustRightInd/>
        <w:spacing w:beforeAutospacing="0" w:afterAutospacing="0" w:line="360" w:lineRule="exact"/>
        <w:jc w:val="center"/>
        <w:outlineLvl w:val="1"/>
        <w:rPr>
          <w:rFonts w:hint="eastAsia" w:hAnsi="宋体" w:cs="宋体"/>
          <w:b/>
          <w:bCs/>
          <w:color w:val="auto"/>
          <w:sz w:val="32"/>
          <w:szCs w:val="32"/>
          <w:highlight w:val="none"/>
        </w:rPr>
      </w:pPr>
      <w:bookmarkStart w:id="218" w:name="_Toc11308"/>
      <w:bookmarkStart w:id="219" w:name="_Toc6695"/>
      <w:bookmarkStart w:id="220" w:name="_Toc13065"/>
      <w:bookmarkStart w:id="221" w:name="_Toc13037"/>
      <w:bookmarkStart w:id="222" w:name="_Toc12508"/>
      <w:r>
        <w:rPr>
          <w:rFonts w:hint="eastAsia" w:hAnsi="宋体" w:cs="宋体"/>
          <w:b/>
          <w:bCs/>
          <w:color w:val="auto"/>
          <w:sz w:val="32"/>
          <w:szCs w:val="32"/>
          <w:highlight w:val="none"/>
        </w:rPr>
        <w:t>第二节 评标程序</w:t>
      </w:r>
      <w:bookmarkEnd w:id="218"/>
      <w:bookmarkEnd w:id="219"/>
      <w:bookmarkEnd w:id="220"/>
      <w:bookmarkEnd w:id="221"/>
      <w:bookmarkEnd w:id="222"/>
    </w:p>
    <w:p w14:paraId="4CAB47B1">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31ADC4A7">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A17E6AF">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0A716709">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38BB73AE">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7C0EDBCB">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40598019">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6627787C">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（3）报价超出招标文件规定最高限价，或者超出采购预算金额的；</w:t>
      </w:r>
    </w:p>
    <w:p w14:paraId="62AA59F1">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（4）投标人未就所投项目进行报价或者存在漏项报价；投标人未就所投</w:t>
      </w:r>
      <w:r>
        <w:rPr>
          <w:rFonts w:hint="eastAsia" w:cs="宋体"/>
          <w:color w:val="auto"/>
          <w:szCs w:val="21"/>
          <w:highlight w:val="none"/>
        </w:rPr>
        <w:t>项目</w:t>
      </w:r>
      <w:r>
        <w:rPr>
          <w:rFonts w:hint="eastAsia" w:ascii="宋体" w:hAnsi="宋体" w:cs="宋体"/>
          <w:color w:val="auto"/>
          <w:szCs w:val="21"/>
          <w:highlight w:val="none"/>
        </w:rPr>
        <w:t>的单项内容作唯一报价；投标人未就所投项目的全部内容作唯一总价报价；存在有选择、有条件报价的（招标文件允许有备选方案或者其他约定的除外）；</w:t>
      </w:r>
    </w:p>
    <w:p w14:paraId="3B835C9D">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0655435B">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（6）投标人属于本章第5条第（4）项情形的。</w:t>
      </w:r>
    </w:p>
    <w:p w14:paraId="08F737C5">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4C2E860C">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12DFBDA0">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46897A6B">
      <w:pPr>
        <w:pStyle w:val="16"/>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（3）为无效投标保证金的或者未按照招标文件的规定提交投标保证金的；</w:t>
      </w:r>
    </w:p>
    <w:p w14:paraId="4700D8B4">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（4）投标文件未提供“投标人须知前附表”第13.1条规定中“必须提供”或者“委托时必须提供”的文件资料的；</w:t>
      </w:r>
    </w:p>
    <w:p w14:paraId="20DA9EBE">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（5）投标有效期、项目完成时间（交货时间、货物完成时间或者服务期等）、质保期及招标文件中标“▲”的商务条款发生负偏离的；</w:t>
      </w:r>
    </w:p>
    <w:p w14:paraId="375B685A">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（6）商务条款评审允许负偏离的条款数超过“投标人须知前附表”规定项数的。</w:t>
      </w:r>
    </w:p>
    <w:p w14:paraId="0C535AE6">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（7）投标文件的实质性内容未使用中文表述、使用计量单位不符合招标文件要求的；</w:t>
      </w:r>
    </w:p>
    <w:p w14:paraId="7833A0F8">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（8）投标文件中的文件资料因填写不齐全或者内容虚假或者出现其他情形而导致被评标委员会认定无效的；</w:t>
      </w:r>
    </w:p>
    <w:p w14:paraId="00B1DBD7">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（9）投标文件含有采购人不能接受的附加条件的；</w:t>
      </w:r>
    </w:p>
    <w:p w14:paraId="79F7A281">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（10）未响应招标文件实质性要求的；</w:t>
      </w:r>
    </w:p>
    <w:p w14:paraId="2C30326D">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（11）属于投标人须知正文第9.2条情形的；</w:t>
      </w:r>
    </w:p>
    <w:p w14:paraId="44F01FA1">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（12）法律、法规和招标文件规定的其他无效情形。</w:t>
      </w:r>
    </w:p>
    <w:p w14:paraId="4DC87DF6">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73EAD8BF">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（1）不满足招标文件要求的货物内容、技术要求、安全、质量标准，或者与招标文件中标“▲”的技术需求发生负偏离的；</w:t>
      </w:r>
    </w:p>
    <w:p w14:paraId="58D07058">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772749B5">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5AC99AD5">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2AF0505C">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）招标文件要求提供技术方案的，投标技术方案不明确，招标文件未允许但存在一个或者一个以上备选（替代）投标方案的。</w:t>
      </w:r>
    </w:p>
    <w:p w14:paraId="75A3481E">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14:paraId="044928BE">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投标人未在规定时间内进行澄清、说明或者补正的，有可能对评审产生影响</w:t>
      </w:r>
      <w:r>
        <w:rPr>
          <w:rFonts w:hint="eastAsia" w:ascii="宋体" w:hAnsi="宋体" w:cs="宋体"/>
          <w:color w:val="auto"/>
          <w:szCs w:val="21"/>
          <w:highlight w:val="none"/>
        </w:rPr>
        <w:t>。</w:t>
      </w:r>
    </w:p>
    <w:p w14:paraId="3EB63879">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BD6A46">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2A8DE5FC">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2B1AA1A7">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93EBAA3">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09B1044C">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213C0DF">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3595BBF">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同时出现两种以上不一致的，按照以上（1）-（4）规定的顺序修正。</w:t>
      </w:r>
      <w:r>
        <w:rPr>
          <w:rFonts w:hint="eastAsia" w:ascii="宋体" w:hAnsi="宋体" w:cs="宋体"/>
          <w:b/>
          <w:bCs/>
          <w:color w:val="auto"/>
          <w:highlight w:val="none"/>
        </w:rPr>
        <w:t>修正后的报价经投标人确认后产生约束力，投标人不确认的，其投标无效</w:t>
      </w:r>
      <w:r>
        <w:rPr>
          <w:rFonts w:hint="eastAsia" w:ascii="宋体" w:hAnsi="宋体" w:cs="宋体"/>
          <w:color w:val="auto"/>
          <w:highlight w:val="none"/>
        </w:rPr>
        <w:t>。</w:t>
      </w:r>
    </w:p>
    <w:p w14:paraId="787F5674">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4.2经投标人确认修正后的报价若超过采购预算金额或者最高限价，投标人的投标文件作无效投标处理。</w:t>
      </w:r>
    </w:p>
    <w:p w14:paraId="063210D1">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0D721CC7">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5.比较与评价</w:t>
      </w:r>
    </w:p>
    <w:p w14:paraId="45D64BC4">
      <w:pPr>
        <w:keepNext w:val="0"/>
        <w:keepLines w:val="0"/>
        <w:pageBreakBefore w:val="0"/>
        <w:tabs>
          <w:tab w:val="center" w:pos="4153"/>
          <w:tab w:val="right" w:pos="8306"/>
        </w:tabs>
        <w:kinsoku/>
        <w:wordWrap/>
        <w:overflowPunct/>
        <w:topLinePunct w:val="0"/>
        <w:autoSpaceDE/>
        <w:autoSpaceDN/>
        <w:bidi w:val="0"/>
        <w:adjustRightInd/>
        <w:spacing w:beforeAutospacing="0" w:afterAutospacing="0" w:line="360" w:lineRule="exact"/>
        <w:ind w:firstLine="420" w:firstLineChars="200"/>
        <w:rPr>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679AD28A">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（2）评标委员会按照招标文件中规定的评标方法和评标标准，对符合性审查合格的投标文件进行商务和技术评估，综合比较与评价。</w:t>
      </w:r>
    </w:p>
    <w:p w14:paraId="21E1E817">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（3）评标委员会各成员独立对每个投标人的投标文件进行评价，并汇总每个投标人的得分。</w:t>
      </w:r>
    </w:p>
    <w:p w14:paraId="03DE13A2">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05D27BC">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（5）评标委员会按照招标文件中规定的评标方法和标准计算各投标人的报价得分。在评标过程中，不得去掉报价中的最高报价和最低报价。</w:t>
      </w:r>
    </w:p>
    <w:p w14:paraId="6534194B">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（6）各投标人的得分为评标委员会各成员的有效评分的算术平均数。</w:t>
      </w:r>
    </w:p>
    <w:p w14:paraId="184AD68F">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（7）评标委员会按照招标文件中的规定推荐中标候选人。</w:t>
      </w:r>
    </w:p>
    <w:p w14:paraId="1CD71AFD">
      <w:pPr>
        <w:keepNext w:val="0"/>
        <w:keepLines w:val="0"/>
        <w:pageBreakBefore w:val="0"/>
        <w:tabs>
          <w:tab w:val="center" w:pos="4153"/>
          <w:tab w:val="right" w:pos="8306"/>
        </w:tabs>
        <w:kinsoku/>
        <w:wordWrap/>
        <w:overflowPunct/>
        <w:topLinePunct w:val="0"/>
        <w:autoSpaceDE/>
        <w:autoSpaceDN/>
        <w:bidi w:val="0"/>
        <w:adjustRightInd/>
        <w:spacing w:beforeAutospacing="0" w:afterAutospacing="0"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6630C7">
      <w:pPr>
        <w:keepNext w:val="0"/>
        <w:keepLines w:val="0"/>
        <w:pageBreakBefore w:val="0"/>
        <w:kinsoku/>
        <w:wordWrap/>
        <w:overflowPunct/>
        <w:topLinePunct w:val="0"/>
        <w:autoSpaceDE/>
        <w:autoSpaceDN/>
        <w:bidi w:val="0"/>
        <w:adjustRightInd/>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6.评审复核</w:t>
      </w:r>
    </w:p>
    <w:p w14:paraId="27A74EE0">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286A6282">
      <w:pPr>
        <w:keepNext w:val="0"/>
        <w:keepLines w:val="0"/>
        <w:pageBreakBefore w:val="0"/>
        <w:widowControl/>
        <w:kinsoku/>
        <w:wordWrap/>
        <w:overflowPunct/>
        <w:topLinePunct w:val="0"/>
        <w:autoSpaceDE/>
        <w:autoSpaceDN/>
        <w:bidi w:val="0"/>
        <w:adjustRightInd/>
        <w:spacing w:beforeAutospacing="0" w:afterAutospacing="0" w:line="360" w:lineRule="exact"/>
        <w:ind w:firstLine="420" w:firstLineChars="200"/>
        <w:jc w:val="left"/>
        <w:textAlignment w:val="baseline"/>
        <w:rPr>
          <w:rFonts w:hint="eastAsia" w:hAnsi="宋体"/>
          <w:color w:val="auto"/>
          <w:highlight w:val="none"/>
        </w:rPr>
      </w:pPr>
      <w:r>
        <w:rPr>
          <w:rFonts w:hint="eastAsia" w:ascii="宋体" w:hAnsi="宋体" w:cs="宋体"/>
          <w:color w:val="auto"/>
          <w:highlight w:val="none"/>
        </w:rPr>
        <w:t>6.2</w:t>
      </w:r>
      <w:r>
        <w:rPr>
          <w:rFonts w:hint="eastAsia" w:hAnsi="宋体"/>
          <w:color w:val="auto"/>
          <w:highlight w:val="none"/>
        </w:rPr>
        <w:t>评标结果汇总完成后，除下列情形外，任何人不得修改评标结果：</w:t>
      </w:r>
    </w:p>
    <w:p w14:paraId="41735CF9">
      <w:pPr>
        <w:keepNext w:val="0"/>
        <w:keepLines w:val="0"/>
        <w:pageBreakBefore w:val="0"/>
        <w:widowControl/>
        <w:kinsoku/>
        <w:wordWrap/>
        <w:overflowPunct/>
        <w:topLinePunct w:val="0"/>
        <w:autoSpaceDE/>
        <w:autoSpaceDN/>
        <w:bidi w:val="0"/>
        <w:adjustRightInd/>
        <w:spacing w:beforeAutospacing="0" w:afterAutospacing="0" w:line="360" w:lineRule="exact"/>
        <w:jc w:val="left"/>
        <w:textAlignment w:val="baseline"/>
        <w:rPr>
          <w:rFonts w:hint="eastAsia" w:hAnsi="宋体"/>
          <w:color w:val="auto"/>
          <w:highlight w:val="none"/>
        </w:rPr>
      </w:pPr>
      <w:r>
        <w:rPr>
          <w:rFonts w:hint="eastAsia" w:hAnsi="宋体"/>
          <w:color w:val="auto"/>
          <w:highlight w:val="none"/>
        </w:rPr>
        <w:t>　　（一）分值汇总计算错误的；</w:t>
      </w:r>
    </w:p>
    <w:p w14:paraId="7A7BD8B1">
      <w:pPr>
        <w:keepNext w:val="0"/>
        <w:keepLines w:val="0"/>
        <w:pageBreakBefore w:val="0"/>
        <w:widowControl/>
        <w:kinsoku/>
        <w:wordWrap/>
        <w:overflowPunct/>
        <w:topLinePunct w:val="0"/>
        <w:autoSpaceDE/>
        <w:autoSpaceDN/>
        <w:bidi w:val="0"/>
        <w:adjustRightInd/>
        <w:spacing w:beforeAutospacing="0" w:afterAutospacing="0" w:line="360" w:lineRule="exact"/>
        <w:jc w:val="left"/>
        <w:textAlignment w:val="baseline"/>
        <w:rPr>
          <w:rFonts w:hint="eastAsia" w:hAnsi="宋体"/>
          <w:color w:val="auto"/>
          <w:highlight w:val="none"/>
        </w:rPr>
      </w:pPr>
      <w:r>
        <w:rPr>
          <w:rFonts w:hint="eastAsia" w:hAnsi="宋体"/>
          <w:color w:val="auto"/>
          <w:highlight w:val="none"/>
        </w:rPr>
        <w:t>　　（二）分项评分超出评分标准范围的；</w:t>
      </w:r>
    </w:p>
    <w:p w14:paraId="013351A2">
      <w:pPr>
        <w:keepNext w:val="0"/>
        <w:keepLines w:val="0"/>
        <w:pageBreakBefore w:val="0"/>
        <w:widowControl/>
        <w:kinsoku/>
        <w:wordWrap/>
        <w:overflowPunct/>
        <w:topLinePunct w:val="0"/>
        <w:autoSpaceDE/>
        <w:autoSpaceDN/>
        <w:bidi w:val="0"/>
        <w:adjustRightInd/>
        <w:spacing w:beforeAutospacing="0" w:afterAutospacing="0" w:line="360" w:lineRule="exact"/>
        <w:jc w:val="left"/>
        <w:textAlignment w:val="baseline"/>
        <w:rPr>
          <w:rFonts w:hint="eastAsia" w:hAnsi="宋体"/>
          <w:color w:val="auto"/>
          <w:highlight w:val="none"/>
        </w:rPr>
      </w:pPr>
      <w:r>
        <w:rPr>
          <w:rFonts w:hint="eastAsia" w:hAnsi="宋体"/>
          <w:color w:val="auto"/>
          <w:highlight w:val="none"/>
        </w:rPr>
        <w:t>　　（三）评标委员会成员对客观评审因素评分不一致的；</w:t>
      </w:r>
    </w:p>
    <w:p w14:paraId="2EB796BB">
      <w:pPr>
        <w:keepNext w:val="0"/>
        <w:keepLines w:val="0"/>
        <w:pageBreakBefore w:val="0"/>
        <w:widowControl/>
        <w:kinsoku/>
        <w:wordWrap/>
        <w:overflowPunct/>
        <w:topLinePunct w:val="0"/>
        <w:autoSpaceDE/>
        <w:autoSpaceDN/>
        <w:bidi w:val="0"/>
        <w:adjustRightInd/>
        <w:spacing w:beforeAutospacing="0" w:afterAutospacing="0" w:line="360" w:lineRule="exact"/>
        <w:jc w:val="left"/>
        <w:textAlignment w:val="baseline"/>
        <w:rPr>
          <w:rFonts w:hint="eastAsia" w:hAnsi="宋体"/>
          <w:color w:val="auto"/>
          <w:highlight w:val="none"/>
        </w:rPr>
      </w:pPr>
      <w:r>
        <w:rPr>
          <w:rFonts w:hint="eastAsia" w:hAnsi="宋体"/>
          <w:color w:val="auto"/>
          <w:highlight w:val="none"/>
        </w:rPr>
        <w:t>　　（四）经评标委员会认定评分畸高、畸低的。</w:t>
      </w:r>
    </w:p>
    <w:p w14:paraId="30596832">
      <w:pPr>
        <w:keepNext w:val="0"/>
        <w:keepLines w:val="0"/>
        <w:pageBreakBefore w:val="0"/>
        <w:kinsoku/>
        <w:wordWrap/>
        <w:overflowPunct/>
        <w:topLinePunct w:val="0"/>
        <w:autoSpaceDE/>
        <w:autoSpaceDN/>
        <w:bidi w:val="0"/>
        <w:adjustRightInd/>
        <w:spacing w:beforeAutospacing="0" w:afterAutospacing="0" w:line="360" w:lineRule="exact"/>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2D0CEEC">
      <w:pPr>
        <w:pStyle w:val="16"/>
        <w:keepNext w:val="0"/>
        <w:keepLines w:val="0"/>
        <w:pageBreakBefore w:val="0"/>
        <w:kinsoku/>
        <w:wordWrap/>
        <w:overflowPunct/>
        <w:topLinePunct w:val="0"/>
        <w:autoSpaceDE/>
        <w:autoSpaceDN/>
        <w:bidi w:val="0"/>
        <w:adjustRightInd/>
        <w:spacing w:beforeAutospacing="0" w:afterAutospacing="0" w:line="360" w:lineRule="exact"/>
        <w:rPr>
          <w:color w:val="auto"/>
          <w:highlight w:val="none"/>
        </w:rPr>
      </w:pPr>
    </w:p>
    <w:p w14:paraId="20532048">
      <w:pPr>
        <w:pStyle w:val="3"/>
        <w:pageBreakBefore w:val="0"/>
        <w:kinsoku/>
        <w:wordWrap/>
        <w:overflowPunct/>
        <w:topLinePunct w:val="0"/>
        <w:autoSpaceDE/>
        <w:autoSpaceDN/>
        <w:bidi w:val="0"/>
        <w:spacing w:before="0" w:after="0" w:line="360" w:lineRule="exact"/>
        <w:jc w:val="center"/>
        <w:rPr>
          <w:rFonts w:hint="eastAsia" w:ascii="宋体" w:hAnsi="宋体" w:eastAsia="宋体" w:cs="宋体"/>
          <w:b w:val="0"/>
          <w:color w:val="auto"/>
          <w:sz w:val="30"/>
          <w:szCs w:val="30"/>
          <w:highlight w:val="none"/>
        </w:rPr>
      </w:pPr>
      <w:bookmarkStart w:id="223" w:name="_Toc17840"/>
      <w:bookmarkStart w:id="224" w:name="_Toc25387"/>
      <w:bookmarkStart w:id="225" w:name="_Toc32041"/>
      <w:bookmarkStart w:id="226" w:name="_Toc17655"/>
      <w:bookmarkStart w:id="227" w:name="_Toc2655"/>
      <w:r>
        <w:rPr>
          <w:rFonts w:hint="eastAsia" w:ascii="宋体" w:hAnsi="宋体" w:eastAsia="宋体" w:cs="宋体"/>
          <w:b w:val="0"/>
          <w:color w:val="auto"/>
          <w:sz w:val="30"/>
          <w:szCs w:val="30"/>
          <w:highlight w:val="none"/>
        </w:rPr>
        <w:br w:type="page"/>
      </w:r>
      <w:r>
        <w:rPr>
          <w:rFonts w:hint="eastAsia" w:ascii="宋体" w:hAnsi="宋体" w:eastAsia="宋体" w:cs="宋体"/>
          <w:b w:val="0"/>
          <w:color w:val="auto"/>
          <w:sz w:val="30"/>
          <w:szCs w:val="30"/>
          <w:highlight w:val="none"/>
        </w:rPr>
        <w:t>第三节 评分标准</w:t>
      </w:r>
      <w:bookmarkEnd w:id="223"/>
      <w:bookmarkEnd w:id="224"/>
      <w:bookmarkEnd w:id="225"/>
      <w:bookmarkEnd w:id="226"/>
      <w:bookmarkEnd w:id="227"/>
    </w:p>
    <w:p w14:paraId="2BCF4ADA">
      <w:pPr>
        <w:pStyle w:val="15"/>
        <w:pageBreakBefore w:val="0"/>
        <w:kinsoku/>
        <w:wordWrap/>
        <w:overflowPunct/>
        <w:topLinePunct w:val="0"/>
        <w:autoSpaceDE/>
        <w:autoSpaceDN/>
        <w:bidi w:val="0"/>
        <w:spacing w:line="360" w:lineRule="exact"/>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rPr>
        <w:t>综合评分法（分标1、分标）</w:t>
      </w:r>
    </w:p>
    <w:p w14:paraId="12E1F365">
      <w:pPr>
        <w:pStyle w:val="15"/>
        <w:pageBreakBefore w:val="0"/>
        <w:kinsoku/>
        <w:wordWrap/>
        <w:overflowPunct/>
        <w:topLinePunct w:val="0"/>
        <w:autoSpaceDE/>
        <w:autoSpaceDN/>
        <w:bidi w:val="0"/>
        <w:spacing w:line="360" w:lineRule="exact"/>
        <w:ind w:firstLine="420"/>
        <w:rPr>
          <w:rFonts w:hint="eastAsia" w:hAnsi="宋体" w:cs="宋体"/>
          <w:bCs/>
          <w:color w:val="auto"/>
          <w:highlight w:val="none"/>
        </w:rPr>
      </w:pPr>
      <w:r>
        <w:rPr>
          <w:rFonts w:hint="eastAsia" w:hAnsi="宋体" w:cs="宋体"/>
          <w:bCs/>
          <w:color w:val="auto"/>
          <w:highlight w:val="none"/>
        </w:rPr>
        <w:t>注：计分方法按四舍五入取至百分位。</w:t>
      </w:r>
    </w:p>
    <w:tbl>
      <w:tblPr>
        <w:tblStyle w:val="2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39"/>
        <w:gridCol w:w="1500"/>
        <w:gridCol w:w="5886"/>
      </w:tblGrid>
      <w:tr w14:paraId="49DA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14:paraId="3A7C8CB4">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序号</w:t>
            </w:r>
          </w:p>
        </w:tc>
        <w:tc>
          <w:tcPr>
            <w:tcW w:w="1500" w:type="dxa"/>
            <w:vAlign w:val="center"/>
          </w:tcPr>
          <w:p w14:paraId="7DD75331">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评审因素</w:t>
            </w:r>
          </w:p>
        </w:tc>
        <w:tc>
          <w:tcPr>
            <w:tcW w:w="5886" w:type="dxa"/>
            <w:vAlign w:val="center"/>
          </w:tcPr>
          <w:p w14:paraId="26A5EBB8">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评分标准</w:t>
            </w:r>
          </w:p>
        </w:tc>
      </w:tr>
      <w:tr w14:paraId="7FEE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109D4925">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539" w:type="dxa"/>
            <w:vAlign w:val="center"/>
          </w:tcPr>
          <w:p w14:paraId="105EA342">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价格分</w:t>
            </w:r>
          </w:p>
          <w:p w14:paraId="7C17C852">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（满分30分）</w:t>
            </w:r>
          </w:p>
        </w:tc>
        <w:tc>
          <w:tcPr>
            <w:tcW w:w="1500" w:type="dxa"/>
            <w:vAlign w:val="center"/>
          </w:tcPr>
          <w:p w14:paraId="21D31CA8">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投标报价</w:t>
            </w:r>
          </w:p>
        </w:tc>
        <w:tc>
          <w:tcPr>
            <w:tcW w:w="5886" w:type="dxa"/>
            <w:vAlign w:val="center"/>
          </w:tcPr>
          <w:p w14:paraId="047C8D4C">
            <w:pPr>
              <w:pageBreakBefore w:val="0"/>
              <w:kinsoku/>
              <w:wordWrap/>
              <w:overflowPunct/>
              <w:topLinePunct w:val="0"/>
              <w:autoSpaceDE/>
              <w:autoSpaceDN/>
              <w:bidi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（1）评标报价为投标人的投标报价进行政策性扣除后的价格，评标报价只是作为评标时使用。最终中标人的中标金额等于投标报价。</w:t>
            </w:r>
          </w:p>
          <w:p w14:paraId="3F658725">
            <w:pPr>
              <w:pStyle w:val="2"/>
              <w:pageBreakBefore w:val="0"/>
              <w:widowControl/>
              <w:shd w:val="clear" w:color="auto" w:fill="FFFFFF"/>
              <w:kinsoku/>
              <w:wordWrap/>
              <w:overflowPunct/>
              <w:topLinePunct w:val="0"/>
              <w:autoSpaceDE/>
              <w:autoSpaceDN/>
              <w:bidi w:val="0"/>
              <w:spacing w:before="0" w:beforeAutospacing="0" w:after="0" w:afterAutospacing="0" w:line="360" w:lineRule="exact"/>
              <w:rPr>
                <w:rFonts w:cs="宋体"/>
                <w:bCs/>
                <w:color w:val="auto"/>
                <w:szCs w:val="21"/>
                <w:highlight w:val="none"/>
              </w:rPr>
            </w:pPr>
            <w:bookmarkStart w:id="228" w:name="_Toc19273"/>
            <w:r>
              <w:rPr>
                <w:rFonts w:cs="宋体"/>
                <w:b w:val="0"/>
                <w:bCs/>
                <w:color w:val="auto"/>
                <w:kern w:val="2"/>
                <w:sz w:val="21"/>
                <w:szCs w:val="21"/>
                <w:highlight w:val="none"/>
              </w:rPr>
              <w:t>（2）按照《政府采购促进中小企业发展管理办法》（财库〔2020〕46号）及《广西壮族自治区财政厅关于贯彻落实政府采购支持中小企业发展政策的通知》（桂财采〔2022〕31号）、广西壮族自治区财政厅关于持续优化政府采购营商环境推动高质量发展的通知  桂财采〔2024〕55号的规定，投标人在其投标文件中提供《中小企业声明函》，且其提供的货物全部由符合政策要求的小型、微型企业制造，即货物由小型、微型企业生产且使用该小型、微型企业商号或者注册商标，对其投标价格给予10%的扣除。</w:t>
            </w:r>
            <w:bookmarkEnd w:id="228"/>
          </w:p>
          <w:p w14:paraId="750DF260">
            <w:pPr>
              <w:pageBreakBefore w:val="0"/>
              <w:kinsoku/>
              <w:wordWrap/>
              <w:overflowPunct/>
              <w:topLinePunct w:val="0"/>
              <w:autoSpaceDE/>
              <w:autoSpaceDN/>
              <w:bidi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不重复享受政策。</w:t>
            </w:r>
          </w:p>
          <w:p w14:paraId="43D27D6B">
            <w:pPr>
              <w:pageBreakBefore w:val="0"/>
              <w:kinsoku/>
              <w:wordWrap/>
              <w:overflowPunct/>
              <w:topLinePunct w:val="0"/>
              <w:autoSpaceDE/>
              <w:autoSpaceDN/>
              <w:bidi w:val="0"/>
              <w:spacing w:line="3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Cs w:val="21"/>
                <w:highlight w:val="none"/>
              </w:rPr>
              <w:t>残疾人福利性单位属于小型、微型企业的，不重复享受政策。</w:t>
            </w:r>
          </w:p>
          <w:p w14:paraId="28BAD802">
            <w:pPr>
              <w:pageBreakBefore w:val="0"/>
              <w:kinsoku/>
              <w:wordWrap/>
              <w:overflowPunct/>
              <w:topLinePunct w:val="0"/>
              <w:autoSpaceDE/>
              <w:autoSpaceDN/>
              <w:bidi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（5）政策性扣除计算方法。</w:t>
            </w:r>
          </w:p>
          <w:p w14:paraId="166EB8D5">
            <w:pPr>
              <w:pageBreakBefore w:val="0"/>
              <w:kinsoku/>
              <w:wordWrap/>
              <w:overflowPunct/>
              <w:topLinePunct w:val="0"/>
              <w:autoSpaceDE/>
              <w:autoSpaceDN/>
              <w:bidi w:val="0"/>
              <w:spacing w:line="36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投标人</w:t>
            </w:r>
            <w:r>
              <w:rPr>
                <w:rFonts w:hint="eastAsia" w:ascii="宋体" w:hAnsi="宋体" w:cs="宋体"/>
                <w:color w:val="auto"/>
                <w:szCs w:val="21"/>
                <w:highlight w:val="none"/>
              </w:rPr>
              <w:t>被评定为</w:t>
            </w:r>
            <w:r>
              <w:rPr>
                <w:rFonts w:hint="eastAsia" w:ascii="宋体" w:hAnsi="宋体" w:cs="宋体"/>
                <w:bCs/>
                <w:color w:val="auto"/>
                <w:szCs w:val="21"/>
                <w:highlight w:val="none"/>
              </w:rPr>
              <w:t>监狱企业或者残疾人福利性单位或者其</w:t>
            </w:r>
            <w:r>
              <w:rPr>
                <w:rFonts w:hint="eastAsia" w:ascii="宋体" w:hAnsi="宋体" w:cs="宋体"/>
                <w:color w:val="auto"/>
                <w:szCs w:val="21"/>
                <w:highlight w:val="none"/>
              </w:rPr>
              <w:t>提供的货物全部由符合政策要求的小型、微型企业制造，即货物由小型、微型企业生产且使用该小型、微型企业商号或者注册商标的，</w:t>
            </w:r>
            <w:r>
              <w:rPr>
                <w:rFonts w:hint="eastAsia" w:ascii="宋体" w:hAnsi="宋体" w:cs="宋体"/>
                <w:bCs/>
                <w:color w:val="auto"/>
                <w:szCs w:val="21"/>
                <w:highlight w:val="none"/>
              </w:rPr>
              <w:t>该投标人的投标报价</w:t>
            </w:r>
            <w:r>
              <w:rPr>
                <w:rFonts w:hint="eastAsia" w:ascii="宋体" w:hAnsi="宋体" w:cs="宋体"/>
                <w:color w:val="auto"/>
                <w:szCs w:val="21"/>
                <w:highlight w:val="none"/>
              </w:rPr>
              <w:t>给予 10% 的扣除</w:t>
            </w:r>
            <w:r>
              <w:rPr>
                <w:rFonts w:hint="eastAsia" w:ascii="宋体" w:hAnsi="宋体" w:cs="宋体"/>
                <w:bCs/>
                <w:color w:val="auto"/>
                <w:szCs w:val="21"/>
                <w:highlight w:val="none"/>
              </w:rPr>
              <w:t>，</w:t>
            </w:r>
            <w:r>
              <w:rPr>
                <w:rFonts w:hint="eastAsia" w:ascii="宋体" w:hAnsi="宋体" w:cs="宋体"/>
                <w:color w:val="auto"/>
                <w:szCs w:val="21"/>
                <w:highlight w:val="none"/>
              </w:rPr>
              <w:t>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扣除后的价格为评标报价，即评标报价=投标报价×（1－4%）；除上述情况外，评标报价=投标报价。</w:t>
            </w:r>
          </w:p>
          <w:p w14:paraId="0A46A87F">
            <w:pPr>
              <w:pageBreakBefore w:val="0"/>
              <w:kinsoku/>
              <w:wordWrap/>
              <w:overflowPunct/>
              <w:topLinePunct w:val="0"/>
              <w:autoSpaceDE/>
              <w:autoSpaceDN/>
              <w:bidi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（6）满足招标文件要求且评标报价最低的评标报价为评标基准价，基准价得分为</w:t>
            </w:r>
            <w:r>
              <w:rPr>
                <w:rFonts w:hint="eastAsia" w:ascii="宋体" w:hAnsi="宋体" w:cs="宋体"/>
                <w:bCs/>
                <w:color w:val="auto"/>
                <w:szCs w:val="21"/>
                <w:highlight w:val="none"/>
                <w:u w:val="single"/>
              </w:rPr>
              <w:t>30</w:t>
            </w:r>
            <w:r>
              <w:rPr>
                <w:rFonts w:hint="eastAsia" w:ascii="宋体" w:hAnsi="宋体" w:cs="宋体"/>
                <w:bCs/>
                <w:color w:val="auto"/>
                <w:szCs w:val="21"/>
                <w:highlight w:val="none"/>
              </w:rPr>
              <w:t>分。</w:t>
            </w:r>
          </w:p>
          <w:p w14:paraId="39950985">
            <w:pPr>
              <w:pageBreakBefore w:val="0"/>
              <w:kinsoku/>
              <w:wordWrap/>
              <w:overflowPunct/>
              <w:topLinePunct w:val="0"/>
              <w:autoSpaceDE/>
              <w:autoSpaceDN/>
              <w:bidi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（7）价格分计算公式：        </w:t>
            </w:r>
          </w:p>
          <w:p w14:paraId="11EB1D57">
            <w:pPr>
              <w:pageBreakBefore w:val="0"/>
              <w:kinsoku/>
              <w:wordWrap/>
              <w:overflowPunct/>
              <w:topLinePunct w:val="0"/>
              <w:autoSpaceDE/>
              <w:autoSpaceDN/>
              <w:bidi w:val="0"/>
              <w:spacing w:line="3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价格分=(评标基准价／评标报价)×</w:t>
            </w:r>
            <w:r>
              <w:rPr>
                <w:rFonts w:hint="eastAsia" w:ascii="宋体" w:hAnsi="宋体" w:cs="宋体"/>
                <w:bCs/>
                <w:color w:val="auto"/>
                <w:highlight w:val="none"/>
                <w:u w:val="single"/>
              </w:rPr>
              <w:t>30</w:t>
            </w:r>
            <w:r>
              <w:rPr>
                <w:rFonts w:hint="eastAsia" w:ascii="宋体" w:hAnsi="宋体" w:cs="宋体"/>
                <w:bCs/>
                <w:color w:val="auto"/>
                <w:highlight w:val="none"/>
              </w:rPr>
              <w:t>分</w:t>
            </w:r>
          </w:p>
        </w:tc>
      </w:tr>
      <w:tr w14:paraId="7D7B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3F76F4C1">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539" w:type="dxa"/>
            <w:vMerge w:val="restart"/>
            <w:vAlign w:val="center"/>
          </w:tcPr>
          <w:p w14:paraId="42253D7B">
            <w:pPr>
              <w:pageBreakBefore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p w14:paraId="76D2B3BA">
            <w:pPr>
              <w:pageBreakBefore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cs="宋体"/>
                <w:color w:val="auto"/>
                <w:spacing w:val="-18"/>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满分62</w:t>
            </w:r>
            <w:r>
              <w:rPr>
                <w:rFonts w:hint="eastAsia" w:ascii="宋体" w:hAnsi="宋体" w:cs="宋体"/>
                <w:bCs/>
                <w:color w:val="auto"/>
                <w:szCs w:val="21"/>
                <w:highlight w:val="none"/>
              </w:rPr>
              <w:t>分）</w:t>
            </w:r>
          </w:p>
        </w:tc>
        <w:tc>
          <w:tcPr>
            <w:tcW w:w="1500" w:type="dxa"/>
            <w:vAlign w:val="center"/>
          </w:tcPr>
          <w:p w14:paraId="26BE5D33">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color w:val="auto"/>
                <w:szCs w:val="21"/>
                <w:highlight w:val="none"/>
                <w:u w:val="single"/>
              </w:rPr>
            </w:pPr>
            <w:r>
              <w:rPr>
                <w:rFonts w:hint="eastAsia" w:ascii="宋体" w:hAnsi="宋体" w:cs="宋体"/>
                <w:b/>
                <w:bCs/>
                <w:color w:val="auto"/>
                <w:szCs w:val="21"/>
                <w:highlight w:val="none"/>
              </w:rPr>
              <w:t>技术性能分</w:t>
            </w:r>
            <w:r>
              <w:rPr>
                <w:rFonts w:hint="eastAsia" w:ascii="宋体" w:hAnsi="宋体" w:cs="宋体"/>
                <w:color w:val="auto"/>
                <w:szCs w:val="21"/>
                <w:highlight w:val="none"/>
              </w:rPr>
              <w:t>（满分30分）</w:t>
            </w:r>
          </w:p>
        </w:tc>
        <w:tc>
          <w:tcPr>
            <w:tcW w:w="5886" w:type="dxa"/>
            <w:vAlign w:val="center"/>
          </w:tcPr>
          <w:p w14:paraId="56511D99">
            <w:pPr>
              <w:pageBreakBefore w:val="0"/>
              <w:kinsoku/>
              <w:wordWrap/>
              <w:overflowPunct/>
              <w:topLinePunct w:val="0"/>
              <w:autoSpaceDE/>
              <w:autoSpaceDN/>
              <w:bidi w:val="0"/>
              <w:spacing w:line="360" w:lineRule="exact"/>
              <w:rPr>
                <w:rFonts w:hint="eastAsia" w:ascii="宋体" w:hAnsi="宋体" w:cs="宋体"/>
                <w:bCs/>
                <w:color w:val="auto"/>
                <w:spacing w:val="-2"/>
                <w:szCs w:val="21"/>
                <w:highlight w:val="none"/>
              </w:rPr>
            </w:pPr>
            <w:r>
              <w:rPr>
                <w:rFonts w:hint="eastAsia"/>
                <w:color w:val="auto"/>
                <w:highlight w:val="none"/>
              </w:rPr>
              <w:t>“技术性能分”改为技术指标响应程度分：</w:t>
            </w:r>
            <w:r>
              <w:rPr>
                <w:rFonts w:hint="eastAsia" w:ascii="宋体" w:hAnsi="宋体" w:cs="宋体"/>
                <w:bCs/>
                <w:color w:val="auto"/>
                <w:spacing w:val="-2"/>
                <w:szCs w:val="21"/>
                <w:highlight w:val="none"/>
              </w:rPr>
              <w:t>据投标文件对服务要求的响应程度打分。</w:t>
            </w:r>
          </w:p>
          <w:p w14:paraId="654C3C47">
            <w:pPr>
              <w:pageBreakBefore w:val="0"/>
              <w:kinsoku/>
              <w:wordWrap/>
              <w:overflowPunct/>
              <w:topLinePunct w:val="0"/>
              <w:autoSpaceDE/>
              <w:autoSpaceDN/>
              <w:bidi w:val="0"/>
              <w:spacing w:line="360" w:lineRule="exact"/>
              <w:rPr>
                <w:color w:val="auto"/>
                <w:highlight w:val="none"/>
              </w:rPr>
            </w:pPr>
            <w:r>
              <w:rPr>
                <w:rFonts w:hint="eastAsia"/>
                <w:color w:val="auto"/>
                <w:highlight w:val="none"/>
              </w:rPr>
              <w:t>一档30分：一般参数指标无负偏离，且有3项及以上正偏离。</w:t>
            </w:r>
          </w:p>
          <w:p w14:paraId="05BB8E02">
            <w:pPr>
              <w:pageBreakBefore w:val="0"/>
              <w:kinsoku/>
              <w:wordWrap/>
              <w:overflowPunct/>
              <w:topLinePunct w:val="0"/>
              <w:autoSpaceDE/>
              <w:autoSpaceDN/>
              <w:bidi w:val="0"/>
              <w:spacing w:line="360" w:lineRule="exact"/>
              <w:rPr>
                <w:color w:val="auto"/>
                <w:highlight w:val="none"/>
              </w:rPr>
            </w:pPr>
            <w:r>
              <w:rPr>
                <w:rFonts w:hint="eastAsia"/>
                <w:color w:val="auto"/>
                <w:highlight w:val="none"/>
              </w:rPr>
              <w:t>二档26分：一般参数指标无负偏离，且有1项及以上正偏离。</w:t>
            </w:r>
          </w:p>
          <w:p w14:paraId="4775D419">
            <w:pPr>
              <w:pageBreakBefore w:val="0"/>
              <w:kinsoku/>
              <w:wordWrap/>
              <w:overflowPunct/>
              <w:topLinePunct w:val="0"/>
              <w:autoSpaceDE/>
              <w:autoSpaceDN/>
              <w:bidi w:val="0"/>
              <w:spacing w:line="360" w:lineRule="exact"/>
              <w:rPr>
                <w:color w:val="auto"/>
                <w:highlight w:val="none"/>
              </w:rPr>
            </w:pPr>
            <w:r>
              <w:rPr>
                <w:rFonts w:hint="eastAsia"/>
                <w:color w:val="auto"/>
                <w:highlight w:val="none"/>
              </w:rPr>
              <w:t>三挡22分：一般参数指标有无负偏离。</w:t>
            </w:r>
          </w:p>
          <w:p w14:paraId="299B74C1">
            <w:pPr>
              <w:pageBreakBefore w:val="0"/>
              <w:kinsoku/>
              <w:wordWrap/>
              <w:overflowPunct/>
              <w:topLinePunct w:val="0"/>
              <w:autoSpaceDE/>
              <w:autoSpaceDN/>
              <w:bidi w:val="0"/>
              <w:spacing w:line="360" w:lineRule="exact"/>
              <w:rPr>
                <w:color w:val="auto"/>
                <w:highlight w:val="none"/>
              </w:rPr>
            </w:pPr>
            <w:r>
              <w:rPr>
                <w:rFonts w:hint="eastAsia"/>
                <w:color w:val="auto"/>
                <w:highlight w:val="none"/>
              </w:rPr>
              <w:t>四挡18分：一般参数指标有1项负偏离。</w:t>
            </w:r>
          </w:p>
          <w:p w14:paraId="016D0B37">
            <w:pPr>
              <w:pageBreakBefore w:val="0"/>
              <w:kinsoku/>
              <w:wordWrap/>
              <w:overflowPunct/>
              <w:topLinePunct w:val="0"/>
              <w:autoSpaceDE/>
              <w:autoSpaceDN/>
              <w:bidi w:val="0"/>
              <w:spacing w:line="360" w:lineRule="exact"/>
              <w:rPr>
                <w:color w:val="auto"/>
                <w:highlight w:val="none"/>
              </w:rPr>
            </w:pPr>
            <w:r>
              <w:rPr>
                <w:rFonts w:hint="eastAsia"/>
                <w:color w:val="auto"/>
                <w:highlight w:val="none"/>
              </w:rPr>
              <w:t>五档14分：一般参数指标有2项负偏离。</w:t>
            </w:r>
          </w:p>
          <w:p w14:paraId="5040315C">
            <w:pPr>
              <w:pStyle w:val="10"/>
              <w:pageBreakBefore w:val="0"/>
              <w:kinsoku/>
              <w:wordWrap/>
              <w:overflowPunct/>
              <w:topLinePunct w:val="0"/>
              <w:autoSpaceDE/>
              <w:autoSpaceDN/>
              <w:bidi w:val="0"/>
              <w:spacing w:line="360" w:lineRule="exact"/>
              <w:rPr>
                <w:color w:val="auto"/>
                <w:highlight w:val="none"/>
              </w:rPr>
            </w:pPr>
            <w:r>
              <w:rPr>
                <w:rFonts w:hint="eastAsia" w:ascii="宋体" w:hAnsi="宋体" w:cs="宋体"/>
                <w:b/>
                <w:bCs/>
                <w:color w:val="auto"/>
                <w:highlight w:val="none"/>
              </w:rPr>
              <w:t>注：对于“货物需求一览表”中有相关证明材料要求的条款，应如实提供，如厂家的产品使用说明书为英文版，请同时提供中文版，否则在技术分的评分阶段（不适用于“符合性审查”等其他评审阶段，仅用于区分所属评分档次）评标委员会有权视相应技术参数响应为负偏离，并归入上述相应评分档次。</w:t>
            </w:r>
          </w:p>
        </w:tc>
      </w:tr>
      <w:tr w14:paraId="70F9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7B2E770C">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p>
        </w:tc>
        <w:tc>
          <w:tcPr>
            <w:tcW w:w="1539" w:type="dxa"/>
            <w:vMerge w:val="continue"/>
            <w:vAlign w:val="center"/>
          </w:tcPr>
          <w:p w14:paraId="557EEEB0">
            <w:pPr>
              <w:pageBreakBefore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cs="宋体"/>
                <w:bCs/>
                <w:color w:val="auto"/>
                <w:szCs w:val="21"/>
                <w:highlight w:val="none"/>
              </w:rPr>
            </w:pPr>
          </w:p>
        </w:tc>
        <w:tc>
          <w:tcPr>
            <w:tcW w:w="1500" w:type="dxa"/>
            <w:vAlign w:val="center"/>
          </w:tcPr>
          <w:p w14:paraId="6FC5680B">
            <w:pPr>
              <w:pageBreakBefore w:val="0"/>
              <w:kinsoku/>
              <w:wordWrap/>
              <w:overflowPunct/>
              <w:topLinePunct w:val="0"/>
              <w:autoSpaceDE/>
              <w:autoSpaceDN/>
              <w:bidi w:val="0"/>
              <w:spacing w:line="360" w:lineRule="exact"/>
              <w:jc w:val="center"/>
              <w:rPr>
                <w:rFonts w:hint="eastAsia" w:ascii="宋体" w:hAnsi="宋体" w:cs="宋体"/>
                <w:bCs/>
                <w:color w:val="auto"/>
                <w:szCs w:val="21"/>
                <w:highlight w:val="none"/>
              </w:rPr>
            </w:pPr>
            <w:r>
              <w:rPr>
                <w:rFonts w:hint="eastAsia" w:ascii="宋体" w:hAnsi="宋体"/>
                <w:b/>
                <w:bCs/>
                <w:color w:val="auto"/>
                <w:highlight w:val="none"/>
              </w:rPr>
              <w:t>货物性能分</w:t>
            </w:r>
            <w:r>
              <w:rPr>
                <w:rFonts w:hint="eastAsia" w:ascii="宋体" w:hAnsi="宋体"/>
                <w:color w:val="auto"/>
                <w:highlight w:val="none"/>
              </w:rPr>
              <w:t>（满分12分）</w:t>
            </w:r>
          </w:p>
        </w:tc>
        <w:tc>
          <w:tcPr>
            <w:tcW w:w="5886" w:type="dxa"/>
          </w:tcPr>
          <w:p w14:paraId="4B85944B">
            <w:pPr>
              <w:pageBreakBefore w:val="0"/>
              <w:kinsoku/>
              <w:wordWrap/>
              <w:overflowPunct/>
              <w:topLinePunct w:val="0"/>
              <w:autoSpaceDE/>
              <w:autoSpaceDN/>
              <w:bidi w:val="0"/>
              <w:adjustRightInd w:val="0"/>
              <w:snapToGrid w:val="0"/>
              <w:spacing w:line="360" w:lineRule="exact"/>
              <w:jc w:val="left"/>
              <w:rPr>
                <w:color w:val="auto"/>
                <w:highlight w:val="none"/>
              </w:rPr>
            </w:pPr>
            <w:r>
              <w:rPr>
                <w:rFonts w:hint="eastAsia"/>
                <w:color w:val="auto"/>
                <w:highlight w:val="none"/>
              </w:rPr>
              <w:t>一档（12分）：投标人拟投货物选型采用的技术原理及整机各类功能的设计原理可以满足或优于采购单位的技术需求，整机各部件、附件采用的工艺或材料选材保证在正常使用年限内稳定表现，能够充分节约使用单位的使用成本，能够保证在质保期满后1年以上的稳定运行及整机各类功能实现，充分符合或优于使用单位对整机操控及安装维修的便利性需求及实际使用需求，设计原理保证其维修期承诺能够落地、易于使用单位技术人员判断维修需求。</w:t>
            </w:r>
          </w:p>
          <w:p w14:paraId="48E34592">
            <w:pPr>
              <w:pageBreakBefore w:val="0"/>
              <w:kinsoku/>
              <w:wordWrap/>
              <w:overflowPunct/>
              <w:topLinePunct w:val="0"/>
              <w:autoSpaceDE/>
              <w:autoSpaceDN/>
              <w:bidi w:val="0"/>
              <w:adjustRightInd w:val="0"/>
              <w:snapToGrid w:val="0"/>
              <w:spacing w:line="360" w:lineRule="exact"/>
              <w:jc w:val="left"/>
              <w:rPr>
                <w:color w:val="auto"/>
                <w:highlight w:val="none"/>
              </w:rPr>
            </w:pPr>
            <w:r>
              <w:rPr>
                <w:rFonts w:hint="eastAsia"/>
                <w:color w:val="auto"/>
                <w:highlight w:val="none"/>
              </w:rPr>
              <w:t>二档（8分）：投标人拟投货物选型所采用的技术原理及设计原理在功能实现的效率和效果上能满足使用单位的基本需求，主要部件、附件采用的工艺或材料选材在满足二档要求的基础上，能够保证使用单位的使用效率、在质保期满后1年内不会影响使用单位正常使用，操控及安装维修的便利性设计有利于需求目标实现的设计亮点且能够满足使用单位的操作及正常维护需求。</w:t>
            </w:r>
          </w:p>
          <w:p w14:paraId="6EF2D23D">
            <w:pPr>
              <w:pageBreakBefore w:val="0"/>
              <w:kinsoku/>
              <w:wordWrap/>
              <w:overflowPunct/>
              <w:topLinePunct w:val="0"/>
              <w:autoSpaceDE/>
              <w:autoSpaceDN/>
              <w:bidi w:val="0"/>
              <w:adjustRightInd w:val="0"/>
              <w:snapToGrid w:val="0"/>
              <w:spacing w:line="360" w:lineRule="exact"/>
              <w:jc w:val="left"/>
              <w:rPr>
                <w:color w:val="auto"/>
                <w:highlight w:val="none"/>
              </w:rPr>
            </w:pPr>
            <w:r>
              <w:rPr>
                <w:rFonts w:hint="eastAsia"/>
                <w:color w:val="auto"/>
                <w:highlight w:val="none"/>
              </w:rPr>
              <w:t>三档（4分）：无一档所描述情形，且投标人拟投货物的选型在实现主要使用功能方面所采用的技术原理、设计原理没有利于采购需求目标实现的技术优势，设备主要核心部件、重要附件、关键部件的采用的工艺或材料选材能够保证设备质保期内表现稳定、不会影响使用单位正常使用，操控及安装维修的便利性没有设计优势但能够满足使用单位的基本使用需求。</w:t>
            </w:r>
          </w:p>
          <w:p w14:paraId="3903F05E">
            <w:pPr>
              <w:pageBreakBefore w:val="0"/>
              <w:kinsoku/>
              <w:wordWrap/>
              <w:overflowPunct/>
              <w:topLinePunct w:val="0"/>
              <w:autoSpaceDE/>
              <w:autoSpaceDN/>
              <w:bidi w:val="0"/>
              <w:adjustRightInd w:val="0"/>
              <w:snapToGrid w:val="0"/>
              <w:spacing w:line="360" w:lineRule="exact"/>
              <w:jc w:val="left"/>
              <w:rPr>
                <w:color w:val="auto"/>
                <w:highlight w:val="none"/>
              </w:rPr>
            </w:pPr>
            <w:r>
              <w:rPr>
                <w:rFonts w:hint="eastAsia"/>
                <w:color w:val="auto"/>
                <w:highlight w:val="none"/>
              </w:rPr>
              <w:t>四档（0分）：投标人拟投货物实现使用功能所采用的技术原理、设计原理有不利于项目目标实现的缺陷，或设备主要核心部件、重要附件的材料选材、采用的工艺存在落后情形或不能保证设备质保期内的稳定功能实现，操控及安装维修不能满足使用单位的便利性的基本现实需求。</w:t>
            </w:r>
          </w:p>
        </w:tc>
      </w:tr>
      <w:tr w14:paraId="6604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14:paraId="1DAD56E6">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p>
        </w:tc>
        <w:tc>
          <w:tcPr>
            <w:tcW w:w="1539" w:type="dxa"/>
            <w:vMerge w:val="continue"/>
          </w:tcPr>
          <w:p w14:paraId="6880A505">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color w:val="auto"/>
                <w:szCs w:val="21"/>
                <w:highlight w:val="none"/>
              </w:rPr>
            </w:pPr>
          </w:p>
        </w:tc>
        <w:tc>
          <w:tcPr>
            <w:tcW w:w="1500" w:type="dxa"/>
            <w:tcMar>
              <w:left w:w="57" w:type="dxa"/>
              <w:right w:w="57" w:type="dxa"/>
            </w:tcMar>
            <w:vAlign w:val="center"/>
          </w:tcPr>
          <w:p w14:paraId="206E35D8">
            <w:pPr>
              <w:pageBreakBefore w:val="0"/>
              <w:kinsoku/>
              <w:wordWrap/>
              <w:overflowPunct/>
              <w:topLinePunct w:val="0"/>
              <w:autoSpaceDE/>
              <w:autoSpaceDN/>
              <w:bidi w:val="0"/>
              <w:spacing w:line="360" w:lineRule="exact"/>
              <w:jc w:val="center"/>
              <w:rPr>
                <w:rFonts w:hint="eastAsia" w:ascii="宋体" w:hAnsi="宋体"/>
                <w:b/>
                <w:bCs/>
                <w:color w:val="auto"/>
                <w:highlight w:val="none"/>
              </w:rPr>
            </w:pPr>
            <w:r>
              <w:rPr>
                <w:rFonts w:hint="eastAsia" w:ascii="宋体" w:hAnsi="宋体"/>
                <w:b/>
                <w:bCs/>
                <w:color w:val="auto"/>
                <w:highlight w:val="none"/>
              </w:rPr>
              <w:t>售后服务方案</w:t>
            </w:r>
          </w:p>
          <w:p w14:paraId="7436AF0D">
            <w:pPr>
              <w:pageBreakBefore w:val="0"/>
              <w:kinsoku/>
              <w:wordWrap/>
              <w:overflowPunct/>
              <w:topLinePunct w:val="0"/>
              <w:autoSpaceDE/>
              <w:autoSpaceDN/>
              <w:bidi w:val="0"/>
              <w:spacing w:line="360" w:lineRule="exact"/>
              <w:jc w:val="center"/>
              <w:rPr>
                <w:rFonts w:hint="eastAsia" w:ascii="宋体" w:hAnsi="宋体" w:cs="宋体"/>
                <w:bCs/>
                <w:color w:val="auto"/>
                <w:szCs w:val="21"/>
                <w:highlight w:val="none"/>
              </w:rPr>
            </w:pPr>
            <w:r>
              <w:rPr>
                <w:rFonts w:hint="eastAsia" w:ascii="宋体" w:hAnsi="宋体"/>
                <w:bCs/>
                <w:color w:val="auto"/>
                <w:highlight w:val="none"/>
              </w:rPr>
              <w:t>（</w:t>
            </w:r>
            <w:r>
              <w:rPr>
                <w:rFonts w:hint="eastAsia" w:ascii="宋体" w:hAnsi="宋体"/>
                <w:color w:val="auto"/>
                <w:highlight w:val="none"/>
              </w:rPr>
              <w:t>满分20分</w:t>
            </w:r>
            <w:r>
              <w:rPr>
                <w:rFonts w:hint="eastAsia" w:ascii="宋体" w:hAnsi="宋体"/>
                <w:bCs/>
                <w:color w:val="auto"/>
                <w:highlight w:val="none"/>
              </w:rPr>
              <w:t>）</w:t>
            </w:r>
          </w:p>
        </w:tc>
        <w:tc>
          <w:tcPr>
            <w:tcW w:w="5886" w:type="dxa"/>
            <w:vAlign w:val="center"/>
          </w:tcPr>
          <w:p w14:paraId="693ABED5">
            <w:pPr>
              <w:pageBreakBefore w:val="0"/>
              <w:kinsoku/>
              <w:wordWrap/>
              <w:overflowPunct/>
              <w:topLinePunct w:val="0"/>
              <w:autoSpaceDE/>
              <w:autoSpaceDN/>
              <w:bidi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一档（20分）投标人提供的售后服务方案内容详细，有具体到达故障现场</w:t>
            </w:r>
            <w:r>
              <w:rPr>
                <w:rFonts w:hint="eastAsia"/>
                <w:color w:val="auto"/>
                <w:highlight w:val="none"/>
              </w:rPr>
              <w:t>的</w:t>
            </w:r>
            <w:r>
              <w:rPr>
                <w:rFonts w:hint="eastAsia" w:ascii="宋体" w:hAnsi="宋体"/>
                <w:color w:val="auto"/>
                <w:kern w:val="0"/>
                <w:szCs w:val="21"/>
                <w:highlight w:val="none"/>
              </w:rPr>
              <w:t>时间</w:t>
            </w:r>
            <w:r>
              <w:rPr>
                <w:rFonts w:hint="eastAsia" w:hAnsi="宋体"/>
                <w:bCs/>
                <w:color w:val="auto"/>
                <w:highlight w:val="none"/>
              </w:rPr>
              <w:t>（接到货物故障通知后于12小时内到达现场）</w:t>
            </w:r>
            <w:r>
              <w:rPr>
                <w:rFonts w:hint="eastAsia" w:ascii="宋体" w:hAnsi="宋体"/>
                <w:color w:val="auto"/>
                <w:kern w:val="0"/>
                <w:szCs w:val="21"/>
                <w:highlight w:val="none"/>
              </w:rPr>
              <w:t>、故障出现解决方案（有替代品或配件、有应急方案等）、定期维护（注明时间）承诺、技术培训方案、</w:t>
            </w:r>
            <w:bookmarkStart w:id="229" w:name="OLE_LINK79"/>
            <w:r>
              <w:rPr>
                <w:rFonts w:hint="eastAsia" w:ascii="宋体" w:hAnsi="宋体"/>
                <w:color w:val="auto"/>
                <w:kern w:val="0"/>
                <w:szCs w:val="21"/>
                <w:highlight w:val="none"/>
              </w:rPr>
              <w:t>保修期</w:t>
            </w:r>
            <w:bookmarkEnd w:id="229"/>
            <w:bookmarkStart w:id="230" w:name="OLE_LINK80"/>
            <w:r>
              <w:rPr>
                <w:rFonts w:hint="eastAsia" w:ascii="宋体" w:hAnsi="宋体"/>
                <w:color w:val="auto"/>
                <w:kern w:val="0"/>
                <w:szCs w:val="21"/>
                <w:highlight w:val="none"/>
              </w:rPr>
              <w:t>维修</w:t>
            </w:r>
            <w:bookmarkEnd w:id="230"/>
            <w:r>
              <w:rPr>
                <w:rFonts w:hint="eastAsia" w:ascii="宋体" w:hAnsi="宋体"/>
                <w:color w:val="auto"/>
                <w:kern w:val="0"/>
                <w:szCs w:val="21"/>
                <w:highlight w:val="none"/>
              </w:rPr>
              <w:t>方案、配套耗材的价格、其他优惠措施，整体售后服务方案详细。</w:t>
            </w:r>
          </w:p>
          <w:p w14:paraId="7941E89E">
            <w:pPr>
              <w:pageBreakBefore w:val="0"/>
              <w:kinsoku/>
              <w:wordWrap/>
              <w:overflowPunct/>
              <w:topLinePunct w:val="0"/>
              <w:autoSpaceDE/>
              <w:autoSpaceDN/>
              <w:bidi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二档（15分）：投标人提供的售后服务方案内容详细，有具体的到达故障现场时间</w:t>
            </w:r>
            <w:r>
              <w:rPr>
                <w:rFonts w:hint="eastAsia" w:hAnsi="宋体"/>
                <w:bCs/>
                <w:color w:val="auto"/>
                <w:highlight w:val="none"/>
              </w:rPr>
              <w:t>（接到货物</w:t>
            </w:r>
            <w:bookmarkStart w:id="231" w:name="OLE_LINK81"/>
            <w:r>
              <w:rPr>
                <w:rFonts w:hint="eastAsia" w:hAnsi="宋体"/>
                <w:bCs/>
                <w:color w:val="auto"/>
                <w:highlight w:val="none"/>
              </w:rPr>
              <w:t>故障通知</w:t>
            </w:r>
            <w:bookmarkEnd w:id="231"/>
            <w:r>
              <w:rPr>
                <w:rFonts w:hint="eastAsia" w:hAnsi="宋体"/>
                <w:bCs/>
                <w:color w:val="auto"/>
                <w:highlight w:val="none"/>
              </w:rPr>
              <w:t>后于</w:t>
            </w:r>
            <w:r>
              <w:rPr>
                <w:rFonts w:hAnsi="宋体"/>
                <w:bCs/>
                <w:color w:val="auto"/>
                <w:highlight w:val="none"/>
              </w:rPr>
              <w:t>18</w:t>
            </w:r>
            <w:r>
              <w:rPr>
                <w:rFonts w:hint="eastAsia" w:hAnsi="宋体"/>
                <w:bCs/>
                <w:color w:val="auto"/>
                <w:highlight w:val="none"/>
              </w:rPr>
              <w:t>小时内到达现场）</w:t>
            </w:r>
            <w:r>
              <w:rPr>
                <w:rFonts w:hint="eastAsia" w:ascii="宋体" w:hAnsi="宋体"/>
                <w:color w:val="auto"/>
                <w:kern w:val="0"/>
                <w:szCs w:val="21"/>
                <w:highlight w:val="none"/>
              </w:rPr>
              <w:t>、故障出现解决方案、定期维护（注明时间）承诺、技术培训方案、保修期维修方案，整体售后服务方案详细。</w:t>
            </w:r>
          </w:p>
          <w:p w14:paraId="2EEEE8DC">
            <w:pPr>
              <w:pageBreakBefore w:val="0"/>
              <w:kinsoku/>
              <w:wordWrap/>
              <w:overflowPunct/>
              <w:topLinePunct w:val="0"/>
              <w:autoSpaceDE/>
              <w:autoSpaceDN/>
              <w:bidi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三档（10分）：投标人提供的</w:t>
            </w:r>
            <w:r>
              <w:rPr>
                <w:rFonts w:hint="eastAsia" w:ascii="宋体" w:hAnsi="宋体"/>
                <w:color w:val="auto"/>
                <w:highlight w:val="none"/>
              </w:rPr>
              <w:t>售后服务方案</w:t>
            </w:r>
            <w:r>
              <w:rPr>
                <w:rFonts w:hint="eastAsia" w:ascii="宋体" w:hAnsi="宋体"/>
                <w:color w:val="auto"/>
                <w:kern w:val="0"/>
                <w:szCs w:val="21"/>
                <w:highlight w:val="none"/>
              </w:rPr>
              <w:t>内容简单，无具体故障无法排除时的解决方案或无保修期维修方案。</w:t>
            </w:r>
          </w:p>
          <w:p w14:paraId="799E6EC7">
            <w:pPr>
              <w:pageBreakBefore w:val="0"/>
              <w:kinsoku/>
              <w:wordWrap/>
              <w:overflowPunct/>
              <w:topLinePunct w:val="0"/>
              <w:autoSpaceDE/>
              <w:autoSpaceDN/>
              <w:bidi w:val="0"/>
              <w:spacing w:line="360" w:lineRule="exact"/>
              <w:rPr>
                <w:color w:val="auto"/>
                <w:highlight w:val="none"/>
              </w:rPr>
            </w:pPr>
            <w:r>
              <w:rPr>
                <w:rFonts w:hint="eastAsia" w:ascii="宋体" w:hAnsi="宋体"/>
                <w:b/>
                <w:bCs/>
                <w:color w:val="auto"/>
                <w:kern w:val="0"/>
                <w:szCs w:val="21"/>
                <w:highlight w:val="none"/>
              </w:rPr>
              <w:t>注：未提供售后服务方案得0分。</w:t>
            </w:r>
          </w:p>
        </w:tc>
      </w:tr>
      <w:tr w14:paraId="3010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25" w:type="dxa"/>
            <w:vMerge w:val="restart"/>
            <w:vAlign w:val="center"/>
          </w:tcPr>
          <w:p w14:paraId="4D672215">
            <w:pPr>
              <w:pageBreakBefore w:val="0"/>
              <w:kinsoku/>
              <w:wordWrap/>
              <w:overflowPunct/>
              <w:topLinePunct w:val="0"/>
              <w:autoSpaceDE/>
              <w:autoSpaceDN/>
              <w:bidi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539" w:type="dxa"/>
            <w:vMerge w:val="restart"/>
            <w:vAlign w:val="center"/>
          </w:tcPr>
          <w:p w14:paraId="2B337881">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商务分</w:t>
            </w:r>
          </w:p>
          <w:p w14:paraId="7BC463E1">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满分8</w:t>
            </w:r>
            <w:r>
              <w:rPr>
                <w:rFonts w:hint="eastAsia" w:ascii="宋体" w:hAnsi="宋体" w:cs="宋体"/>
                <w:bCs/>
                <w:color w:val="auto"/>
                <w:szCs w:val="21"/>
                <w:highlight w:val="none"/>
              </w:rPr>
              <w:t>分）</w:t>
            </w:r>
          </w:p>
        </w:tc>
        <w:tc>
          <w:tcPr>
            <w:tcW w:w="1500" w:type="dxa"/>
            <w:vAlign w:val="center"/>
          </w:tcPr>
          <w:p w14:paraId="4AD853F5">
            <w:pPr>
              <w:pageBreakBefore w:val="0"/>
              <w:kinsoku/>
              <w:wordWrap/>
              <w:overflowPunct/>
              <w:topLinePunct w:val="0"/>
              <w:autoSpaceDE/>
              <w:autoSpaceDN/>
              <w:bidi w:val="0"/>
              <w:spacing w:line="360" w:lineRule="exact"/>
              <w:jc w:val="center"/>
              <w:rPr>
                <w:rFonts w:hint="eastAsia" w:ascii="宋体" w:hAnsi="宋体"/>
                <w:b/>
                <w:bCs/>
                <w:color w:val="auto"/>
                <w:highlight w:val="none"/>
              </w:rPr>
            </w:pPr>
            <w:r>
              <w:rPr>
                <w:rFonts w:hint="eastAsia" w:ascii="宋体" w:hAnsi="宋体"/>
                <w:b/>
                <w:bCs/>
                <w:color w:val="auto"/>
                <w:highlight w:val="none"/>
              </w:rPr>
              <w:t>业绩分</w:t>
            </w:r>
          </w:p>
          <w:p w14:paraId="35EEFCC6">
            <w:pPr>
              <w:pageBreakBefore w:val="0"/>
              <w:kinsoku/>
              <w:wordWrap/>
              <w:overflowPunct/>
              <w:topLinePunct w:val="0"/>
              <w:autoSpaceDE/>
              <w:autoSpaceDN/>
              <w:bidi w:val="0"/>
              <w:spacing w:line="360" w:lineRule="exact"/>
              <w:jc w:val="center"/>
              <w:rPr>
                <w:rFonts w:hint="eastAsia" w:ascii="宋体" w:hAnsi="宋体"/>
                <w:color w:val="auto"/>
                <w:kern w:val="0"/>
                <w:szCs w:val="21"/>
                <w:highlight w:val="none"/>
              </w:rPr>
            </w:pPr>
            <w:r>
              <w:rPr>
                <w:rFonts w:hint="eastAsia" w:ascii="宋体" w:hAnsi="宋体"/>
                <w:bCs/>
                <w:color w:val="auto"/>
                <w:highlight w:val="none"/>
              </w:rPr>
              <w:t>（</w:t>
            </w:r>
            <w:r>
              <w:rPr>
                <w:rFonts w:hint="eastAsia" w:ascii="宋体" w:hAnsi="宋体"/>
                <w:color w:val="auto"/>
                <w:highlight w:val="none"/>
              </w:rPr>
              <w:t>满分6分</w:t>
            </w:r>
            <w:r>
              <w:rPr>
                <w:rFonts w:hint="eastAsia" w:ascii="宋体" w:hAnsi="宋体"/>
                <w:bCs/>
                <w:color w:val="auto"/>
                <w:highlight w:val="none"/>
              </w:rPr>
              <w:t>）</w:t>
            </w:r>
          </w:p>
        </w:tc>
        <w:tc>
          <w:tcPr>
            <w:tcW w:w="5886" w:type="dxa"/>
            <w:vAlign w:val="center"/>
          </w:tcPr>
          <w:p w14:paraId="23081A6A">
            <w:pPr>
              <w:pageBreakBefore w:val="0"/>
              <w:kinsoku/>
              <w:wordWrap/>
              <w:overflowPunct/>
              <w:topLinePunct w:val="0"/>
              <w:autoSpaceDE/>
              <w:autoSpaceDN/>
              <w:bidi w:val="0"/>
              <w:spacing w:line="360" w:lineRule="exact"/>
              <w:ind w:firstLine="420" w:firstLineChars="200"/>
              <w:rPr>
                <w:rFonts w:hint="eastAsia" w:ascii="宋体" w:hAnsi="宋体"/>
                <w:color w:val="auto"/>
                <w:kern w:val="0"/>
                <w:szCs w:val="21"/>
                <w:highlight w:val="none"/>
              </w:rPr>
            </w:pPr>
            <w:r>
              <w:rPr>
                <w:rFonts w:hint="eastAsia" w:ascii="宋体" w:hAnsi="宋体" w:cs="宋体"/>
                <w:bCs/>
                <w:color w:val="auto"/>
                <w:szCs w:val="21"/>
                <w:highlight w:val="none"/>
              </w:rPr>
              <w:t>供应商2022年1月1日至首次投标文件提交截止时间止，具有医疗设备采购项目的业绩的，每个得2分，满分6分</w:t>
            </w:r>
            <w:r>
              <w:rPr>
                <w:rFonts w:hint="eastAsia" w:ascii="宋体" w:hAnsi="宋体" w:cs="宋体"/>
                <w:b/>
                <w:color w:val="auto"/>
                <w:szCs w:val="21"/>
                <w:highlight w:val="none"/>
              </w:rPr>
              <w:t>（需在投标文件中提供相应业绩的合同复印件并加盖投标人公章，</w:t>
            </w:r>
            <w:r>
              <w:rPr>
                <w:rFonts w:hint="eastAsia" w:ascii="宋体" w:hAnsi="宋体" w:cs="宋体"/>
                <w:b/>
                <w:bCs/>
                <w:color w:val="auto"/>
                <w:highlight w:val="none"/>
              </w:rPr>
              <w:t>否则不予计分。）</w:t>
            </w:r>
          </w:p>
        </w:tc>
      </w:tr>
      <w:tr w14:paraId="62DE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525" w:type="dxa"/>
            <w:vMerge w:val="continue"/>
            <w:vAlign w:val="center"/>
          </w:tcPr>
          <w:p w14:paraId="71D47395">
            <w:pPr>
              <w:pageBreakBefore w:val="0"/>
              <w:kinsoku/>
              <w:wordWrap/>
              <w:overflowPunct/>
              <w:topLinePunct w:val="0"/>
              <w:autoSpaceDE/>
              <w:autoSpaceDN/>
              <w:bidi w:val="0"/>
              <w:spacing w:line="360" w:lineRule="exact"/>
              <w:jc w:val="center"/>
              <w:rPr>
                <w:rFonts w:hint="eastAsia" w:ascii="宋体" w:hAnsi="宋体" w:cs="宋体"/>
                <w:b/>
                <w:color w:val="auto"/>
                <w:szCs w:val="21"/>
                <w:highlight w:val="none"/>
              </w:rPr>
            </w:pPr>
          </w:p>
        </w:tc>
        <w:tc>
          <w:tcPr>
            <w:tcW w:w="1539" w:type="dxa"/>
            <w:vMerge w:val="continue"/>
            <w:vAlign w:val="center"/>
          </w:tcPr>
          <w:p w14:paraId="4AF5E714">
            <w:pPr>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p>
        </w:tc>
        <w:tc>
          <w:tcPr>
            <w:tcW w:w="1500" w:type="dxa"/>
            <w:vAlign w:val="center"/>
          </w:tcPr>
          <w:p w14:paraId="71B4E3DA">
            <w:pPr>
              <w:pageBreakBefore w:val="0"/>
              <w:kinsoku/>
              <w:wordWrap/>
              <w:overflowPunct/>
              <w:topLinePunct w:val="0"/>
              <w:autoSpaceDE/>
              <w:autoSpaceDN/>
              <w:bidi w:val="0"/>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履约能力分</w:t>
            </w:r>
            <w:r>
              <w:rPr>
                <w:rFonts w:hint="eastAsia" w:ascii="宋体" w:hAnsi="宋体" w:cs="宋体"/>
                <w:bCs/>
                <w:color w:val="auto"/>
                <w:szCs w:val="21"/>
                <w:highlight w:val="none"/>
              </w:rPr>
              <w:t>（</w:t>
            </w:r>
            <w:r>
              <w:rPr>
                <w:rFonts w:hint="eastAsia" w:ascii="宋体" w:hAnsi="宋体" w:cs="宋体"/>
                <w:color w:val="auto"/>
                <w:szCs w:val="21"/>
                <w:highlight w:val="none"/>
              </w:rPr>
              <w:t>满分2分</w:t>
            </w:r>
            <w:r>
              <w:rPr>
                <w:rFonts w:hint="eastAsia" w:ascii="宋体" w:hAnsi="宋体" w:cs="宋体"/>
                <w:bCs/>
                <w:color w:val="auto"/>
                <w:szCs w:val="21"/>
                <w:highlight w:val="none"/>
              </w:rPr>
              <w:t>）</w:t>
            </w:r>
          </w:p>
        </w:tc>
        <w:tc>
          <w:tcPr>
            <w:tcW w:w="5886" w:type="dxa"/>
            <w:tcMar>
              <w:left w:w="57" w:type="dxa"/>
              <w:right w:w="57" w:type="dxa"/>
            </w:tcMar>
            <w:vAlign w:val="center"/>
          </w:tcPr>
          <w:p w14:paraId="5EBAC468">
            <w:pPr>
              <w:pageBreakBefore w:val="0"/>
              <w:tabs>
                <w:tab w:val="left" w:pos="0"/>
              </w:tabs>
              <w:kinsoku/>
              <w:wordWrap/>
              <w:overflowPunct/>
              <w:topLinePunct w:val="0"/>
              <w:autoSpaceDE/>
              <w:autoSpaceDN/>
              <w:bidi w:val="0"/>
              <w:spacing w:line="360" w:lineRule="exact"/>
              <w:ind w:right="105" w:firstLine="420" w:firstLineChars="200"/>
              <w:jc w:val="left"/>
              <w:rPr>
                <w:rFonts w:ascii="宋体"/>
                <w:b/>
                <w:bCs/>
                <w:color w:val="auto"/>
                <w:highlight w:val="none"/>
              </w:rPr>
            </w:pPr>
            <w:r>
              <w:rPr>
                <w:rFonts w:hint="eastAsia" w:ascii="宋体"/>
                <w:color w:val="auto"/>
                <w:highlight w:val="none"/>
              </w:rPr>
              <w:t>供应商通过ISO9001系列质量管理体系认证、ISO13485医疗器械行业质量管理体系，投标文件中提供有效的证书复印件，每个得1分，满分2分。</w:t>
            </w:r>
            <w:r>
              <w:rPr>
                <w:rFonts w:hint="eastAsia" w:ascii="宋体"/>
                <w:b/>
                <w:bCs/>
                <w:color w:val="auto"/>
                <w:highlight w:val="none"/>
              </w:rPr>
              <w:t>（需在投标文件中提供有效的相应证书扫描件或通过全国认证认可信息公共服务平台（http://cx.cnca.cn）查询结果截图并加盖投标人公章，否则不予计分。）</w:t>
            </w:r>
          </w:p>
        </w:tc>
      </w:tr>
      <w:tr w14:paraId="7132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14:paraId="1804B33F">
            <w:pPr>
              <w:pStyle w:val="15"/>
              <w:pageBreakBefore w:val="0"/>
              <w:kinsoku/>
              <w:wordWrap/>
              <w:overflowPunct/>
              <w:topLinePunct w:val="0"/>
              <w:autoSpaceDE/>
              <w:autoSpaceDN/>
              <w:bidi w:val="0"/>
              <w:spacing w:line="360" w:lineRule="exact"/>
              <w:ind w:firstLine="420"/>
              <w:rPr>
                <w:rFonts w:hint="eastAsia" w:hAnsi="宋体" w:cs="宋体"/>
                <w:bCs/>
                <w:color w:val="auto"/>
                <w:highlight w:val="none"/>
              </w:rPr>
            </w:pPr>
            <w:r>
              <w:rPr>
                <w:rFonts w:hint="eastAsia" w:hAnsi="宋体" w:cs="宋体"/>
                <w:b/>
                <w:bCs/>
                <w:color w:val="auto"/>
                <w:highlight w:val="none"/>
              </w:rPr>
              <w:t>总得分=1+2+3。</w:t>
            </w:r>
          </w:p>
        </w:tc>
      </w:tr>
    </w:tbl>
    <w:p w14:paraId="3A39201A">
      <w:pPr>
        <w:pStyle w:val="3"/>
        <w:pageBreakBefore w:val="0"/>
        <w:kinsoku/>
        <w:wordWrap/>
        <w:overflowPunct/>
        <w:topLinePunct w:val="0"/>
        <w:autoSpaceDE/>
        <w:autoSpaceDN/>
        <w:bidi w:val="0"/>
        <w:spacing w:before="0" w:after="0" w:line="360" w:lineRule="exact"/>
        <w:jc w:val="center"/>
        <w:rPr>
          <w:rFonts w:hint="eastAsia" w:ascii="宋体" w:hAnsi="宋体" w:eastAsia="宋体" w:cs="宋体"/>
          <w:b w:val="0"/>
          <w:color w:val="auto"/>
          <w:sz w:val="30"/>
          <w:szCs w:val="30"/>
          <w:highlight w:val="none"/>
        </w:rPr>
      </w:pPr>
      <w:bookmarkStart w:id="232" w:name="_Toc28332"/>
      <w:bookmarkStart w:id="233" w:name="_Toc16607"/>
      <w:bookmarkStart w:id="234" w:name="_Toc1251"/>
      <w:bookmarkStart w:id="235" w:name="_Toc30734"/>
      <w:bookmarkStart w:id="236" w:name="_Toc5054"/>
      <w:r>
        <w:rPr>
          <w:rFonts w:hint="eastAsia" w:ascii="宋体" w:hAnsi="宋体" w:eastAsia="宋体" w:cs="宋体"/>
          <w:b w:val="0"/>
          <w:color w:val="auto"/>
          <w:sz w:val="30"/>
          <w:szCs w:val="30"/>
          <w:highlight w:val="none"/>
        </w:rPr>
        <w:t>第四节 中标候选人推荐原则</w:t>
      </w:r>
      <w:bookmarkEnd w:id="232"/>
      <w:bookmarkEnd w:id="233"/>
      <w:bookmarkEnd w:id="234"/>
      <w:bookmarkEnd w:id="235"/>
      <w:bookmarkEnd w:id="236"/>
    </w:p>
    <w:p w14:paraId="3B3B1964">
      <w:pPr>
        <w:pStyle w:val="15"/>
        <w:pageBreakBefore w:val="0"/>
        <w:numPr>
          <w:ilvl w:val="0"/>
          <w:numId w:val="5"/>
        </w:numPr>
        <w:kinsoku/>
        <w:wordWrap/>
        <w:overflowPunct/>
        <w:topLinePunct w:val="0"/>
        <w:autoSpaceDE/>
        <w:autoSpaceDN/>
        <w:bidi w:val="0"/>
        <w:spacing w:line="360" w:lineRule="exact"/>
        <w:contextualSpacing/>
        <w:rPr>
          <w:rFonts w:hint="eastAsia" w:hAnsi="宋体" w:cs="宋体"/>
          <w:b/>
          <w:bCs/>
          <w:color w:val="auto"/>
          <w:sz w:val="24"/>
          <w:szCs w:val="24"/>
          <w:highlight w:val="none"/>
        </w:rPr>
      </w:pPr>
      <w:r>
        <w:rPr>
          <w:rFonts w:hint="eastAsia" w:hAnsi="宋体" w:cs="宋体"/>
          <w:b/>
          <w:bCs/>
          <w:color w:val="auto"/>
          <w:sz w:val="24"/>
          <w:szCs w:val="24"/>
          <w:highlight w:val="none"/>
        </w:rPr>
        <w:t>综合评分法</w:t>
      </w:r>
    </w:p>
    <w:p w14:paraId="46109E2D">
      <w:pPr>
        <w:pStyle w:val="15"/>
        <w:pageBreakBefore w:val="0"/>
        <w:kinsoku/>
        <w:wordWrap/>
        <w:overflowPunct/>
        <w:topLinePunct w:val="0"/>
        <w:autoSpaceDE/>
        <w:autoSpaceDN/>
        <w:bidi w:val="0"/>
        <w:spacing w:line="360" w:lineRule="exact"/>
        <w:ind w:firstLine="420" w:firstLineChars="200"/>
        <w:rPr>
          <w:rFonts w:hint="eastAsia" w:hAnsi="宋体" w:cs="宋体"/>
          <w:color w:val="auto"/>
          <w:highlight w:val="none"/>
        </w:rPr>
      </w:pPr>
      <w:r>
        <w:rPr>
          <w:rFonts w:hint="eastAsia" w:hAnsi="宋体" w:cs="宋体"/>
          <w:color w:val="auto"/>
          <w:highlight w:val="none"/>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0DC775A3">
      <w:pPr>
        <w:pStyle w:val="15"/>
        <w:pageBreakBefore w:val="0"/>
        <w:kinsoku/>
        <w:wordWrap/>
        <w:overflowPunct/>
        <w:topLinePunct w:val="0"/>
        <w:autoSpaceDE/>
        <w:autoSpaceDN/>
        <w:bidi w:val="0"/>
        <w:spacing w:line="360" w:lineRule="exact"/>
        <w:ind w:firstLine="420" w:firstLineChars="200"/>
        <w:rPr>
          <w:rFonts w:hint="eastAsia" w:hAnsi="宋体" w:cs="宋体"/>
          <w:color w:val="auto"/>
          <w:highlight w:val="none"/>
        </w:rPr>
      </w:pPr>
      <w:r>
        <w:rPr>
          <w:rFonts w:hint="eastAsia" w:hAnsi="宋体" w:cs="宋体"/>
          <w:color w:val="auto"/>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14:paraId="2CC717C6">
      <w:pPr>
        <w:pStyle w:val="15"/>
        <w:pageBreakBefore w:val="0"/>
        <w:kinsoku/>
        <w:wordWrap/>
        <w:overflowPunct/>
        <w:topLinePunct w:val="0"/>
        <w:autoSpaceDE/>
        <w:autoSpaceDN/>
        <w:bidi w:val="0"/>
        <w:spacing w:line="360" w:lineRule="exact"/>
        <w:ind w:firstLine="482" w:firstLineChars="200"/>
        <w:rPr>
          <w:rFonts w:hint="eastAsia" w:hAnsi="宋体" w:cs="宋体"/>
          <w:color w:val="auto"/>
          <w:highlight w:val="none"/>
        </w:rPr>
      </w:pPr>
      <w:r>
        <w:rPr>
          <w:rFonts w:hint="eastAsia" w:hAnsi="宋体" w:cs="宋体"/>
          <w:b/>
          <w:bCs/>
          <w:color w:val="auto"/>
          <w:sz w:val="24"/>
          <w:szCs w:val="24"/>
          <w:highlight w:val="none"/>
        </w:rPr>
        <w:t>（二）最低评标报价法</w:t>
      </w:r>
    </w:p>
    <w:p w14:paraId="5C04FC94">
      <w:pPr>
        <w:pStyle w:val="15"/>
        <w:pageBreakBefore w:val="0"/>
        <w:tabs>
          <w:tab w:val="left" w:pos="2472"/>
        </w:tabs>
        <w:kinsoku/>
        <w:wordWrap/>
        <w:overflowPunct/>
        <w:topLinePunct w:val="0"/>
        <w:autoSpaceDE/>
        <w:autoSpaceDN/>
        <w:bidi w:val="0"/>
        <w:spacing w:line="360" w:lineRule="exact"/>
        <w:ind w:firstLine="420" w:firstLineChars="200"/>
        <w:rPr>
          <w:rFonts w:hint="eastAsia" w:hAnsi="宋体" w:cs="宋体"/>
          <w:color w:val="auto"/>
          <w:highlight w:val="none"/>
        </w:rPr>
      </w:pPr>
      <w:r>
        <w:rPr>
          <w:rFonts w:hint="eastAsia" w:hAnsi="宋体" w:cs="宋体"/>
          <w:color w:val="auto"/>
          <w:highlight w:val="none"/>
        </w:rPr>
        <w:t>1.评标委员会将按照有效评标报价从低到高顺序排列，评标报价相同的并列。投标文件满足招标文件全部实质性要求且评标报价最低的投标人为排名第一的中标候选人。</w:t>
      </w:r>
    </w:p>
    <w:p w14:paraId="5E616E83">
      <w:pPr>
        <w:pStyle w:val="15"/>
        <w:pageBreakBefore w:val="0"/>
        <w:kinsoku/>
        <w:wordWrap/>
        <w:overflowPunct/>
        <w:topLinePunct w:val="0"/>
        <w:autoSpaceDE/>
        <w:autoSpaceDN/>
        <w:bidi w:val="0"/>
        <w:spacing w:line="360" w:lineRule="exact"/>
        <w:ind w:firstLine="420" w:firstLineChars="200"/>
        <w:rPr>
          <w:rFonts w:hint="eastAsia" w:hAnsi="宋体" w:cs="宋体"/>
          <w:color w:val="auto"/>
          <w:highlight w:val="none"/>
        </w:rPr>
      </w:pPr>
      <w:r>
        <w:rPr>
          <w:rFonts w:hint="eastAsia" w:hAnsi="宋体" w:cs="宋体"/>
          <w:color w:val="auto"/>
          <w:highlight w:val="none"/>
        </w:rPr>
        <w:t>2. 根据《政府采购货物和服务招标投标管理办法》（财政部令第87号）第三十一条第一款规定，采用最低评标价法的采购项目，提供相同品牌产品的不同投标人参加同一合同项下投标的，以其中通过资格审查、符合性审查且报价最低的参加评标；报价相同的，按照“投标人须知前附表”8.4条款的规定推荐。</w:t>
      </w:r>
    </w:p>
    <w:p w14:paraId="0EF88B73">
      <w:pPr>
        <w:pStyle w:val="15"/>
        <w:pageBreakBefore w:val="0"/>
        <w:tabs>
          <w:tab w:val="left" w:pos="2472"/>
        </w:tabs>
        <w:kinsoku/>
        <w:wordWrap/>
        <w:overflowPunct/>
        <w:topLinePunct w:val="0"/>
        <w:autoSpaceDE/>
        <w:autoSpaceDN/>
        <w:bidi w:val="0"/>
        <w:spacing w:line="360" w:lineRule="exact"/>
        <w:ind w:firstLine="420" w:firstLineChars="200"/>
        <w:rPr>
          <w:rFonts w:hint="eastAsia" w:hAnsi="宋体" w:cs="宋体"/>
          <w:color w:val="auto"/>
          <w:highlight w:val="none"/>
        </w:rPr>
      </w:pPr>
    </w:p>
    <w:p w14:paraId="5C51ED00">
      <w:pPr>
        <w:pStyle w:val="3"/>
        <w:pageBreakBefore w:val="0"/>
        <w:kinsoku/>
        <w:wordWrap/>
        <w:overflowPunct/>
        <w:topLinePunct w:val="0"/>
        <w:autoSpaceDE/>
        <w:autoSpaceDN/>
        <w:bidi w:val="0"/>
        <w:spacing w:before="0" w:after="0" w:line="360" w:lineRule="exact"/>
        <w:ind w:firstLine="600" w:firstLineChars="200"/>
        <w:jc w:val="center"/>
        <w:rPr>
          <w:rFonts w:hint="eastAsia" w:ascii="宋体" w:hAnsi="宋体" w:eastAsia="宋体" w:cs="宋体"/>
          <w:b w:val="0"/>
          <w:color w:val="auto"/>
          <w:sz w:val="30"/>
          <w:szCs w:val="30"/>
          <w:highlight w:val="none"/>
        </w:rPr>
      </w:pPr>
      <w:bookmarkStart w:id="237" w:name="_Toc21738"/>
      <w:bookmarkStart w:id="238" w:name="_Toc29998"/>
      <w:bookmarkStart w:id="239" w:name="_Toc671"/>
      <w:bookmarkStart w:id="240" w:name="_Toc24005"/>
      <w:bookmarkStart w:id="241" w:name="_Toc8014"/>
      <w:r>
        <w:rPr>
          <w:rFonts w:hint="eastAsia" w:ascii="宋体" w:hAnsi="宋体" w:eastAsia="宋体" w:cs="宋体"/>
          <w:b w:val="0"/>
          <w:color w:val="auto"/>
          <w:sz w:val="30"/>
          <w:szCs w:val="30"/>
          <w:highlight w:val="none"/>
        </w:rPr>
        <w:t>第五节 评标报告</w:t>
      </w:r>
      <w:bookmarkEnd w:id="237"/>
      <w:bookmarkEnd w:id="238"/>
      <w:bookmarkEnd w:id="239"/>
      <w:bookmarkEnd w:id="240"/>
      <w:bookmarkEnd w:id="241"/>
    </w:p>
    <w:p w14:paraId="46A193DA">
      <w:pPr>
        <w:pStyle w:val="46"/>
        <w:pageBreakBefore w:val="0"/>
        <w:kinsoku/>
        <w:wordWrap/>
        <w:overflowPunct/>
        <w:topLinePunct w:val="0"/>
        <w:autoSpaceDE/>
        <w:autoSpaceDN/>
        <w:bidi w:val="0"/>
        <w:spacing w:before="0" w:line="360" w:lineRule="exact"/>
        <w:ind w:firstLine="482"/>
        <w:rPr>
          <w:rFonts w:hint="eastAsia"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52C15E2E">
      <w:pPr>
        <w:pStyle w:val="15"/>
        <w:pageBreakBefore w:val="0"/>
        <w:tabs>
          <w:tab w:val="left" w:pos="2472"/>
        </w:tabs>
        <w:kinsoku/>
        <w:wordWrap/>
        <w:overflowPunct/>
        <w:topLinePunct w:val="0"/>
        <w:autoSpaceDE/>
        <w:autoSpaceDN/>
        <w:bidi w:val="0"/>
        <w:spacing w:line="360" w:lineRule="exact"/>
        <w:ind w:firstLine="420" w:firstLineChars="200"/>
        <w:rPr>
          <w:rFonts w:hint="eastAsia"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4B66BC33">
      <w:pPr>
        <w:pageBreakBefore w:val="0"/>
        <w:widowControl/>
        <w:kinsoku/>
        <w:wordWrap/>
        <w:overflowPunct/>
        <w:topLinePunct w:val="0"/>
        <w:autoSpaceDE/>
        <w:autoSpaceDN/>
        <w:bidi w:val="0"/>
        <w:spacing w:line="36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（二）评标争议事项处理</w:t>
      </w:r>
    </w:p>
    <w:p w14:paraId="3CFCDC56">
      <w:pPr>
        <w:pStyle w:val="15"/>
        <w:pageBreakBefore w:val="0"/>
        <w:tabs>
          <w:tab w:val="left" w:pos="2472"/>
        </w:tabs>
        <w:kinsoku/>
        <w:wordWrap/>
        <w:overflowPunct/>
        <w:topLinePunct w:val="0"/>
        <w:autoSpaceDE/>
        <w:autoSpaceDN/>
        <w:bidi w:val="0"/>
        <w:spacing w:line="360" w:lineRule="exact"/>
        <w:ind w:firstLine="420" w:firstLineChars="200"/>
        <w:rPr>
          <w:rFonts w:hint="eastAsia"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3B54693">
      <w:pPr>
        <w:pageBreakBefore w:val="0"/>
        <w:widowControl/>
        <w:kinsoku/>
        <w:wordWrap/>
        <w:overflowPunct/>
        <w:topLinePunct w:val="0"/>
        <w:autoSpaceDE/>
        <w:autoSpaceDN/>
        <w:bidi w:val="0"/>
        <w:spacing w:line="360" w:lineRule="exact"/>
        <w:jc w:val="left"/>
        <w:rPr>
          <w:rFonts w:hint="eastAsia" w:ascii="宋体" w:hAnsi="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14:paraId="3A7F829E">
      <w:pPr>
        <w:pStyle w:val="15"/>
        <w:tabs>
          <w:tab w:val="left" w:pos="2472"/>
        </w:tabs>
        <w:spacing w:line="460" w:lineRule="exact"/>
        <w:jc w:val="center"/>
        <w:rPr>
          <w:rFonts w:hint="eastAsia" w:hAnsi="宋体" w:cs="宋体"/>
          <w:b/>
          <w:color w:val="auto"/>
          <w:sz w:val="36"/>
          <w:highlight w:val="none"/>
        </w:rPr>
      </w:pPr>
    </w:p>
    <w:p w14:paraId="7D54D5C4">
      <w:pPr>
        <w:pStyle w:val="15"/>
        <w:tabs>
          <w:tab w:val="left" w:pos="2472"/>
        </w:tabs>
        <w:spacing w:line="460" w:lineRule="exact"/>
        <w:jc w:val="center"/>
        <w:rPr>
          <w:rFonts w:hint="eastAsia" w:hAnsi="宋体" w:cs="宋体"/>
          <w:b/>
          <w:color w:val="auto"/>
          <w:sz w:val="36"/>
          <w:highlight w:val="none"/>
        </w:rPr>
      </w:pPr>
    </w:p>
    <w:p w14:paraId="0CC0477A">
      <w:pPr>
        <w:pStyle w:val="15"/>
        <w:tabs>
          <w:tab w:val="left" w:pos="2472"/>
        </w:tabs>
        <w:spacing w:line="460" w:lineRule="exact"/>
        <w:jc w:val="center"/>
        <w:rPr>
          <w:rFonts w:hint="eastAsia" w:hAnsi="宋体" w:cs="宋体"/>
          <w:b/>
          <w:color w:val="auto"/>
          <w:sz w:val="36"/>
          <w:highlight w:val="none"/>
        </w:rPr>
      </w:pPr>
    </w:p>
    <w:p w14:paraId="517D9DAF">
      <w:pPr>
        <w:pStyle w:val="15"/>
        <w:tabs>
          <w:tab w:val="left" w:pos="2472"/>
        </w:tabs>
        <w:spacing w:line="460" w:lineRule="exact"/>
        <w:jc w:val="center"/>
        <w:rPr>
          <w:rFonts w:hint="eastAsia" w:hAnsi="宋体" w:cs="宋体"/>
          <w:b/>
          <w:color w:val="auto"/>
          <w:sz w:val="36"/>
          <w:highlight w:val="none"/>
        </w:rPr>
      </w:pPr>
    </w:p>
    <w:p w14:paraId="4A9256EF">
      <w:pPr>
        <w:pStyle w:val="15"/>
        <w:tabs>
          <w:tab w:val="left" w:pos="2472"/>
        </w:tabs>
        <w:spacing w:line="460" w:lineRule="exact"/>
        <w:jc w:val="center"/>
        <w:rPr>
          <w:rFonts w:hint="eastAsia" w:hAnsi="宋体" w:cs="宋体"/>
          <w:b/>
          <w:color w:val="auto"/>
          <w:sz w:val="36"/>
          <w:highlight w:val="none"/>
        </w:rPr>
      </w:pPr>
    </w:p>
    <w:p w14:paraId="3E64C1A0">
      <w:pPr>
        <w:pStyle w:val="15"/>
        <w:tabs>
          <w:tab w:val="left" w:pos="2472"/>
        </w:tabs>
        <w:spacing w:line="460" w:lineRule="exact"/>
        <w:jc w:val="center"/>
        <w:rPr>
          <w:rFonts w:hint="eastAsia" w:hAnsi="宋体" w:cs="宋体"/>
          <w:b/>
          <w:color w:val="auto"/>
          <w:sz w:val="36"/>
          <w:highlight w:val="none"/>
        </w:rPr>
      </w:pPr>
    </w:p>
    <w:p w14:paraId="1410AAC7">
      <w:pPr>
        <w:pStyle w:val="15"/>
        <w:tabs>
          <w:tab w:val="left" w:pos="2472"/>
        </w:tabs>
        <w:spacing w:line="460" w:lineRule="exact"/>
        <w:jc w:val="center"/>
        <w:rPr>
          <w:rFonts w:hint="eastAsia" w:hAnsi="宋体" w:cs="宋体"/>
          <w:b/>
          <w:color w:val="auto"/>
          <w:sz w:val="36"/>
          <w:highlight w:val="none"/>
        </w:rPr>
      </w:pPr>
    </w:p>
    <w:p w14:paraId="52476E9B">
      <w:pPr>
        <w:pStyle w:val="15"/>
        <w:tabs>
          <w:tab w:val="left" w:pos="2472"/>
        </w:tabs>
        <w:spacing w:line="460" w:lineRule="exact"/>
        <w:jc w:val="center"/>
        <w:rPr>
          <w:rFonts w:hint="eastAsia" w:hAnsi="宋体" w:cs="宋体"/>
          <w:b/>
          <w:color w:val="auto"/>
          <w:sz w:val="36"/>
          <w:highlight w:val="none"/>
        </w:rPr>
      </w:pPr>
    </w:p>
    <w:p w14:paraId="3F4F0FB3">
      <w:pPr>
        <w:pStyle w:val="15"/>
        <w:tabs>
          <w:tab w:val="left" w:pos="2472"/>
        </w:tabs>
        <w:spacing w:line="460" w:lineRule="exact"/>
        <w:jc w:val="center"/>
        <w:rPr>
          <w:rFonts w:hint="eastAsia" w:hAnsi="宋体" w:cs="宋体"/>
          <w:b/>
          <w:color w:val="auto"/>
          <w:sz w:val="36"/>
          <w:highlight w:val="none"/>
        </w:rPr>
      </w:pPr>
    </w:p>
    <w:p w14:paraId="4F83344A">
      <w:pPr>
        <w:pStyle w:val="15"/>
        <w:tabs>
          <w:tab w:val="left" w:pos="2472"/>
        </w:tabs>
        <w:spacing w:line="460" w:lineRule="exact"/>
        <w:jc w:val="center"/>
        <w:rPr>
          <w:rFonts w:hint="eastAsia" w:hAnsi="宋体" w:cs="宋体"/>
          <w:b/>
          <w:color w:val="auto"/>
          <w:sz w:val="36"/>
          <w:highlight w:val="none"/>
        </w:rPr>
      </w:pPr>
    </w:p>
    <w:p w14:paraId="59792051">
      <w:pPr>
        <w:pStyle w:val="15"/>
        <w:tabs>
          <w:tab w:val="left" w:pos="2472"/>
        </w:tabs>
        <w:spacing w:line="460" w:lineRule="exact"/>
        <w:jc w:val="center"/>
        <w:rPr>
          <w:rFonts w:hint="eastAsia" w:hAnsi="宋体" w:cs="宋体"/>
          <w:b/>
          <w:color w:val="auto"/>
          <w:sz w:val="36"/>
          <w:highlight w:val="none"/>
        </w:rPr>
      </w:pPr>
    </w:p>
    <w:p w14:paraId="1B09AEF5">
      <w:pPr>
        <w:pStyle w:val="15"/>
        <w:tabs>
          <w:tab w:val="left" w:pos="2472"/>
        </w:tabs>
        <w:spacing w:line="460" w:lineRule="exact"/>
        <w:jc w:val="center"/>
        <w:rPr>
          <w:rFonts w:hint="eastAsia" w:hAnsi="宋体" w:cs="宋体"/>
          <w:b/>
          <w:color w:val="auto"/>
          <w:sz w:val="36"/>
          <w:highlight w:val="none"/>
        </w:rPr>
      </w:pPr>
    </w:p>
    <w:p w14:paraId="6C09F5BB">
      <w:pPr>
        <w:pStyle w:val="15"/>
        <w:tabs>
          <w:tab w:val="left" w:pos="2472"/>
        </w:tabs>
        <w:spacing w:line="460" w:lineRule="exact"/>
        <w:jc w:val="center"/>
        <w:rPr>
          <w:rFonts w:hint="eastAsia" w:hAnsi="宋体" w:cs="宋体"/>
          <w:b/>
          <w:color w:val="auto"/>
          <w:sz w:val="36"/>
          <w:highlight w:val="none"/>
        </w:rPr>
      </w:pPr>
    </w:p>
    <w:p w14:paraId="501DA3CB">
      <w:pPr>
        <w:pStyle w:val="15"/>
        <w:tabs>
          <w:tab w:val="left" w:pos="2472"/>
        </w:tabs>
        <w:spacing w:line="460" w:lineRule="exact"/>
        <w:jc w:val="center"/>
        <w:outlineLvl w:val="0"/>
        <w:rPr>
          <w:rFonts w:hint="eastAsia" w:hAnsi="宋体" w:cs="宋体"/>
          <w:b/>
          <w:color w:val="auto"/>
          <w:sz w:val="36"/>
          <w:highlight w:val="none"/>
        </w:rPr>
      </w:pPr>
      <w:bookmarkStart w:id="242" w:name="_Toc17443"/>
      <w:bookmarkStart w:id="243" w:name="_Toc1174"/>
      <w:bookmarkStart w:id="244" w:name="_Toc30669"/>
      <w:bookmarkStart w:id="245" w:name="_Toc27349"/>
      <w:bookmarkStart w:id="246" w:name="_Toc1169"/>
      <w:bookmarkStart w:id="247" w:name="_Toc5426"/>
      <w:bookmarkStart w:id="248" w:name="_Toc14956"/>
      <w:bookmarkStart w:id="249" w:name="_Toc15462"/>
      <w:bookmarkStart w:id="250" w:name="_Toc14385"/>
      <w:bookmarkStart w:id="251" w:name="_Toc24905"/>
      <w:bookmarkStart w:id="252" w:name="_Toc10920"/>
      <w:r>
        <w:rPr>
          <w:rFonts w:hint="eastAsia" w:hAnsi="宋体" w:cs="宋体"/>
          <w:b/>
          <w:color w:val="auto"/>
          <w:sz w:val="36"/>
          <w:highlight w:val="none"/>
        </w:rPr>
        <w:t>第五章 拟签订的合同文本</w:t>
      </w:r>
      <w:bookmarkEnd w:id="242"/>
      <w:bookmarkEnd w:id="243"/>
      <w:bookmarkEnd w:id="244"/>
      <w:bookmarkEnd w:id="245"/>
      <w:bookmarkEnd w:id="246"/>
      <w:bookmarkEnd w:id="247"/>
      <w:bookmarkEnd w:id="248"/>
      <w:bookmarkEnd w:id="249"/>
      <w:bookmarkEnd w:id="250"/>
      <w:bookmarkEnd w:id="251"/>
      <w:bookmarkEnd w:id="252"/>
    </w:p>
    <w:p w14:paraId="07E2639A">
      <w:pPr>
        <w:widowControl/>
        <w:jc w:val="left"/>
        <w:rPr>
          <w:rFonts w:hint="eastAsia" w:ascii="宋体" w:hAnsi="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23D2D3A6">
      <w:pPr>
        <w:snapToGrid w:val="0"/>
        <w:spacing w:line="400" w:lineRule="exact"/>
        <w:jc w:val="center"/>
        <w:rPr>
          <w:rFonts w:hint="eastAsia" w:ascii="宋体" w:hAnsi="宋体" w:cs="宋体"/>
          <w:b/>
          <w:bCs/>
          <w:color w:val="auto"/>
          <w:sz w:val="32"/>
          <w:szCs w:val="32"/>
          <w:highlight w:val="none"/>
        </w:rPr>
      </w:pPr>
    </w:p>
    <w:p w14:paraId="2EAD0382">
      <w:pPr>
        <w:snapToGrid w:val="0"/>
        <w:spacing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r>
        <w:rPr>
          <w:rFonts w:hint="eastAsia" w:ascii="宋体" w:hAnsi="宋体" w:cs="宋体"/>
          <w:b/>
          <w:color w:val="auto"/>
          <w:sz w:val="32"/>
          <w:szCs w:val="32"/>
          <w:highlight w:val="none"/>
        </w:rPr>
        <w:t>文本</w:t>
      </w:r>
    </w:p>
    <w:p w14:paraId="433517D4">
      <w:pPr>
        <w:snapToGrid w:val="0"/>
        <w:spacing w:line="360" w:lineRule="auto"/>
        <w:ind w:right="480" w:firstLine="5670" w:firstLineChars="2700"/>
        <w:rPr>
          <w:rFonts w:hint="eastAsia" w:ascii="宋体" w:hAnsi="宋体" w:cs="宋体"/>
          <w:bCs/>
          <w:color w:val="auto"/>
          <w:szCs w:val="21"/>
          <w:highlight w:val="none"/>
        </w:rPr>
      </w:pPr>
    </w:p>
    <w:p w14:paraId="7BA6D600">
      <w:pPr>
        <w:snapToGrid w:val="0"/>
        <w:spacing w:line="360" w:lineRule="auto"/>
        <w:ind w:right="480" w:firstLine="5670" w:firstLineChars="2700"/>
        <w:rPr>
          <w:rFonts w:hint="eastAsia" w:ascii="宋体" w:hAnsi="宋体" w:cs="宋体"/>
          <w:color w:val="auto"/>
          <w:szCs w:val="21"/>
          <w:highlight w:val="none"/>
        </w:rPr>
      </w:pP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406C6160">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5186A3A8">
      <w:pPr>
        <w:snapToGrid w:val="0"/>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中标人（乙方）：</w:t>
      </w:r>
      <w:r>
        <w:rPr>
          <w:rFonts w:hint="eastAsia" w:ascii="宋体" w:hAnsi="宋体" w:cs="宋体"/>
          <w:color w:val="auto"/>
          <w:szCs w:val="21"/>
          <w:highlight w:val="none"/>
          <w:u w:val="single"/>
        </w:rPr>
        <w:t xml:space="preserve">                       </w:t>
      </w:r>
    </w:p>
    <w:p w14:paraId="4DB519C8">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 w:val="18"/>
          <w:szCs w:val="21"/>
          <w:highlight w:val="none"/>
          <w:u w:val="single"/>
        </w:rPr>
        <w:t xml:space="preserve">                                       </w:t>
      </w:r>
      <w:r>
        <w:rPr>
          <w:rFonts w:hint="eastAsia" w:ascii="宋体" w:hAnsi="宋体" w:cs="宋体"/>
          <w:color w:val="auto"/>
          <w:szCs w:val="21"/>
          <w:highlight w:val="none"/>
        </w:rPr>
        <w:t xml:space="preserve">                               </w:t>
      </w:r>
    </w:p>
    <w:p w14:paraId="4DA3ACB8">
      <w:pPr>
        <w:snapToGrid w:val="0"/>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w:t>
      </w:r>
      <w:r>
        <w:rPr>
          <w:rFonts w:hint="eastAsia" w:ascii="宋体" w:hAnsi="宋体" w:cs="宋体"/>
          <w:color w:val="auto"/>
          <w:spacing w:val="-20"/>
          <w:szCs w:val="21"/>
          <w:highlight w:val="none"/>
        </w:rPr>
        <w:t>编 号：</w:t>
      </w:r>
      <w:r>
        <w:rPr>
          <w:rFonts w:hint="eastAsia" w:ascii="宋体" w:hAnsi="宋体" w:cs="宋体"/>
          <w:color w:val="auto"/>
          <w:szCs w:val="21"/>
          <w:highlight w:val="none"/>
          <w:u w:val="single"/>
        </w:rPr>
        <w:t xml:space="preserve">                                  </w:t>
      </w:r>
    </w:p>
    <w:p w14:paraId="52E653F8">
      <w:pPr>
        <w:snapToGrid w:val="0"/>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44C9632D">
      <w:pPr>
        <w:snapToGrid w:val="0"/>
        <w:spacing w:line="360" w:lineRule="auto"/>
        <w:ind w:firstLine="420" w:firstLineChars="200"/>
        <w:rPr>
          <w:rFonts w:hint="eastAsia" w:ascii="宋体" w:hAnsi="宋体" w:cs="宋体"/>
          <w:color w:val="auto"/>
          <w:szCs w:val="21"/>
          <w:highlight w:val="none"/>
        </w:rPr>
      </w:pPr>
    </w:p>
    <w:p w14:paraId="5D692C8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根据《中华人民共和国政府采购法》、《中华人民共和国民法典》等法律、法规规定，按照招标文件（采购文件）规定条款和中标（成交）供应商承诺，甲乙双方签订本合同。</w:t>
      </w:r>
    </w:p>
    <w:p w14:paraId="07ECB35E">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125FBF1">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1.合同总金额：（大写）</w:t>
      </w:r>
      <w:r>
        <w:rPr>
          <w:rFonts w:hint="eastAsia" w:ascii="宋体" w:hAnsi="宋体" w:cs="宋体"/>
          <w:color w:val="auto"/>
          <w:szCs w:val="21"/>
          <w:highlight w:val="none"/>
          <w:u w:val="single"/>
        </w:rPr>
        <w:t xml:space="preserve">人民币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14:paraId="620438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2.供货一览表</w:t>
      </w:r>
    </w:p>
    <w:tbl>
      <w:tblPr>
        <w:tblStyle w:val="26"/>
        <w:tblW w:w="976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593"/>
      </w:tblGrid>
      <w:tr w14:paraId="5E8A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6CAA84A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33" w:type="dxa"/>
            <w:vAlign w:val="center"/>
          </w:tcPr>
          <w:p w14:paraId="583DE23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059" w:type="dxa"/>
            <w:vAlign w:val="center"/>
          </w:tcPr>
          <w:p w14:paraId="1D7C7EC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品牌</w:t>
            </w:r>
          </w:p>
          <w:p w14:paraId="35159FF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（如有）</w:t>
            </w:r>
          </w:p>
        </w:tc>
        <w:tc>
          <w:tcPr>
            <w:tcW w:w="1233" w:type="dxa"/>
            <w:vAlign w:val="center"/>
          </w:tcPr>
          <w:p w14:paraId="25BA202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210" w:type="dxa"/>
            <w:vAlign w:val="center"/>
          </w:tcPr>
          <w:p w14:paraId="5DE23C1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生产厂家</w:t>
            </w:r>
          </w:p>
        </w:tc>
        <w:tc>
          <w:tcPr>
            <w:tcW w:w="908" w:type="dxa"/>
            <w:vAlign w:val="center"/>
          </w:tcPr>
          <w:p w14:paraId="165DCB5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68" w:type="dxa"/>
            <w:vAlign w:val="center"/>
          </w:tcPr>
          <w:p w14:paraId="2E3B5A1B">
            <w:pPr>
              <w:snapToGrid w:val="0"/>
              <w:spacing w:line="360" w:lineRule="auto"/>
              <w:rPr>
                <w:rFonts w:hint="eastAsia" w:ascii="宋体" w:hAnsi="宋体" w:cs="宋体"/>
                <w:color w:val="auto"/>
                <w:highlight w:val="none"/>
              </w:rPr>
            </w:pPr>
            <w:r>
              <w:rPr>
                <w:rFonts w:hint="eastAsia" w:ascii="宋体" w:hAnsi="宋体" w:cs="宋体"/>
                <w:color w:val="auto"/>
                <w:highlight w:val="none"/>
              </w:rPr>
              <w:t>数量</w:t>
            </w:r>
          </w:p>
          <w:p w14:paraId="4FBC0C1A">
            <w:pPr>
              <w:snapToGrid w:val="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①</w:t>
            </w:r>
          </w:p>
        </w:tc>
        <w:tc>
          <w:tcPr>
            <w:tcW w:w="1149" w:type="dxa"/>
            <w:vAlign w:val="center"/>
          </w:tcPr>
          <w:p w14:paraId="063241A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93" w:type="dxa"/>
            <w:vAlign w:val="center"/>
          </w:tcPr>
          <w:p w14:paraId="5B64920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单项合计（元）</w:t>
            </w:r>
          </w:p>
          <w:p w14:paraId="17ECF60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2"/>
                <w:highlight w:val="none"/>
              </w:rPr>
              <w:t>③=</w:t>
            </w:r>
            <w:r>
              <w:rPr>
                <w:rFonts w:hint="eastAsia" w:ascii="宋体" w:hAnsi="宋体" w:cs="宋体"/>
                <w:color w:val="auto"/>
                <w:highlight w:val="none"/>
              </w:rPr>
              <w:t>①X</w:t>
            </w:r>
            <w:r>
              <w:rPr>
                <w:rFonts w:hint="eastAsia" w:ascii="宋体" w:hAnsi="宋体" w:cs="宋体"/>
                <w:color w:val="auto"/>
                <w:szCs w:val="21"/>
                <w:highlight w:val="none"/>
              </w:rPr>
              <w:t>②</w:t>
            </w:r>
          </w:p>
        </w:tc>
      </w:tr>
      <w:tr w14:paraId="5F9F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089C71D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3" w:type="dxa"/>
            <w:vAlign w:val="center"/>
          </w:tcPr>
          <w:p w14:paraId="2BD02447">
            <w:pPr>
              <w:snapToGrid w:val="0"/>
              <w:spacing w:line="360" w:lineRule="auto"/>
              <w:jc w:val="center"/>
              <w:rPr>
                <w:rFonts w:hint="eastAsia" w:ascii="宋体" w:hAnsi="宋体" w:cs="宋体"/>
                <w:color w:val="auto"/>
                <w:szCs w:val="21"/>
                <w:highlight w:val="none"/>
              </w:rPr>
            </w:pPr>
          </w:p>
        </w:tc>
        <w:tc>
          <w:tcPr>
            <w:tcW w:w="1059" w:type="dxa"/>
            <w:vAlign w:val="center"/>
          </w:tcPr>
          <w:p w14:paraId="508751F0">
            <w:pPr>
              <w:snapToGrid w:val="0"/>
              <w:spacing w:line="360" w:lineRule="auto"/>
              <w:jc w:val="center"/>
              <w:rPr>
                <w:rFonts w:hint="eastAsia" w:ascii="宋体" w:hAnsi="宋体" w:cs="宋体"/>
                <w:color w:val="auto"/>
                <w:szCs w:val="21"/>
                <w:highlight w:val="none"/>
              </w:rPr>
            </w:pPr>
          </w:p>
        </w:tc>
        <w:tc>
          <w:tcPr>
            <w:tcW w:w="1233" w:type="dxa"/>
            <w:vAlign w:val="center"/>
          </w:tcPr>
          <w:p w14:paraId="685199AB">
            <w:pPr>
              <w:snapToGrid w:val="0"/>
              <w:spacing w:line="360" w:lineRule="auto"/>
              <w:jc w:val="center"/>
              <w:rPr>
                <w:rFonts w:hint="eastAsia" w:ascii="宋体" w:hAnsi="宋体" w:cs="宋体"/>
                <w:color w:val="auto"/>
                <w:szCs w:val="21"/>
                <w:highlight w:val="none"/>
              </w:rPr>
            </w:pPr>
          </w:p>
        </w:tc>
        <w:tc>
          <w:tcPr>
            <w:tcW w:w="1210" w:type="dxa"/>
          </w:tcPr>
          <w:p w14:paraId="3614D44A">
            <w:pPr>
              <w:snapToGrid w:val="0"/>
              <w:spacing w:line="360" w:lineRule="auto"/>
              <w:jc w:val="center"/>
              <w:rPr>
                <w:rFonts w:hint="eastAsia" w:ascii="宋体" w:hAnsi="宋体" w:cs="宋体"/>
                <w:color w:val="auto"/>
                <w:szCs w:val="21"/>
                <w:highlight w:val="none"/>
              </w:rPr>
            </w:pPr>
          </w:p>
        </w:tc>
        <w:tc>
          <w:tcPr>
            <w:tcW w:w="908" w:type="dxa"/>
          </w:tcPr>
          <w:p w14:paraId="3FCEB81C">
            <w:pPr>
              <w:snapToGrid w:val="0"/>
              <w:spacing w:line="360" w:lineRule="auto"/>
              <w:jc w:val="center"/>
              <w:rPr>
                <w:rFonts w:hint="eastAsia" w:ascii="宋体" w:hAnsi="宋体" w:cs="宋体"/>
                <w:color w:val="auto"/>
                <w:szCs w:val="21"/>
                <w:highlight w:val="none"/>
              </w:rPr>
            </w:pPr>
          </w:p>
        </w:tc>
        <w:tc>
          <w:tcPr>
            <w:tcW w:w="668" w:type="dxa"/>
          </w:tcPr>
          <w:p w14:paraId="35A70E28">
            <w:pPr>
              <w:snapToGrid w:val="0"/>
              <w:spacing w:line="360" w:lineRule="auto"/>
              <w:jc w:val="center"/>
              <w:rPr>
                <w:rFonts w:hint="eastAsia" w:ascii="宋体" w:hAnsi="宋体" w:cs="宋体"/>
                <w:color w:val="auto"/>
                <w:szCs w:val="21"/>
                <w:highlight w:val="none"/>
              </w:rPr>
            </w:pPr>
          </w:p>
        </w:tc>
        <w:tc>
          <w:tcPr>
            <w:tcW w:w="1149" w:type="dxa"/>
            <w:vAlign w:val="center"/>
          </w:tcPr>
          <w:p w14:paraId="6B50E90D">
            <w:pPr>
              <w:snapToGrid w:val="0"/>
              <w:spacing w:line="360" w:lineRule="auto"/>
              <w:jc w:val="center"/>
              <w:rPr>
                <w:rFonts w:hint="eastAsia" w:ascii="宋体" w:hAnsi="宋体" w:cs="宋体"/>
                <w:color w:val="auto"/>
                <w:szCs w:val="21"/>
                <w:highlight w:val="none"/>
              </w:rPr>
            </w:pPr>
          </w:p>
        </w:tc>
        <w:tc>
          <w:tcPr>
            <w:tcW w:w="1593" w:type="dxa"/>
            <w:vAlign w:val="center"/>
          </w:tcPr>
          <w:p w14:paraId="1606BDA4">
            <w:pPr>
              <w:snapToGrid w:val="0"/>
              <w:spacing w:line="360" w:lineRule="auto"/>
              <w:jc w:val="center"/>
              <w:rPr>
                <w:rFonts w:hint="eastAsia" w:ascii="宋体" w:hAnsi="宋体" w:cs="宋体"/>
                <w:color w:val="auto"/>
                <w:szCs w:val="21"/>
                <w:highlight w:val="none"/>
              </w:rPr>
            </w:pPr>
          </w:p>
        </w:tc>
      </w:tr>
      <w:tr w14:paraId="1AF5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56ADFC7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33" w:type="dxa"/>
            <w:vAlign w:val="center"/>
          </w:tcPr>
          <w:p w14:paraId="2D451B7D">
            <w:pPr>
              <w:snapToGrid w:val="0"/>
              <w:spacing w:line="360" w:lineRule="auto"/>
              <w:jc w:val="center"/>
              <w:rPr>
                <w:rFonts w:hint="eastAsia" w:ascii="宋体" w:hAnsi="宋体" w:cs="宋体"/>
                <w:color w:val="auto"/>
                <w:szCs w:val="21"/>
                <w:highlight w:val="none"/>
              </w:rPr>
            </w:pPr>
          </w:p>
        </w:tc>
        <w:tc>
          <w:tcPr>
            <w:tcW w:w="1059" w:type="dxa"/>
            <w:vAlign w:val="center"/>
          </w:tcPr>
          <w:p w14:paraId="3B7DE66D">
            <w:pPr>
              <w:snapToGrid w:val="0"/>
              <w:spacing w:line="360" w:lineRule="auto"/>
              <w:jc w:val="center"/>
              <w:rPr>
                <w:rFonts w:hint="eastAsia" w:ascii="宋体" w:hAnsi="宋体" w:cs="宋体"/>
                <w:color w:val="auto"/>
                <w:szCs w:val="21"/>
                <w:highlight w:val="none"/>
              </w:rPr>
            </w:pPr>
          </w:p>
        </w:tc>
        <w:tc>
          <w:tcPr>
            <w:tcW w:w="1233" w:type="dxa"/>
            <w:vAlign w:val="center"/>
          </w:tcPr>
          <w:p w14:paraId="593DA663">
            <w:pPr>
              <w:snapToGrid w:val="0"/>
              <w:spacing w:line="360" w:lineRule="auto"/>
              <w:jc w:val="center"/>
              <w:rPr>
                <w:rFonts w:hint="eastAsia" w:ascii="宋体" w:hAnsi="宋体" w:cs="宋体"/>
                <w:color w:val="auto"/>
                <w:szCs w:val="21"/>
                <w:highlight w:val="none"/>
              </w:rPr>
            </w:pPr>
          </w:p>
        </w:tc>
        <w:tc>
          <w:tcPr>
            <w:tcW w:w="1210" w:type="dxa"/>
          </w:tcPr>
          <w:p w14:paraId="5624E113">
            <w:pPr>
              <w:snapToGrid w:val="0"/>
              <w:spacing w:line="360" w:lineRule="auto"/>
              <w:jc w:val="center"/>
              <w:rPr>
                <w:rFonts w:hint="eastAsia" w:ascii="宋体" w:hAnsi="宋体" w:cs="宋体"/>
                <w:color w:val="auto"/>
                <w:szCs w:val="21"/>
                <w:highlight w:val="none"/>
              </w:rPr>
            </w:pPr>
          </w:p>
        </w:tc>
        <w:tc>
          <w:tcPr>
            <w:tcW w:w="908" w:type="dxa"/>
          </w:tcPr>
          <w:p w14:paraId="1F308437">
            <w:pPr>
              <w:snapToGrid w:val="0"/>
              <w:spacing w:line="360" w:lineRule="auto"/>
              <w:jc w:val="center"/>
              <w:rPr>
                <w:rFonts w:hint="eastAsia" w:ascii="宋体" w:hAnsi="宋体" w:cs="宋体"/>
                <w:color w:val="auto"/>
                <w:szCs w:val="21"/>
                <w:highlight w:val="none"/>
              </w:rPr>
            </w:pPr>
          </w:p>
        </w:tc>
        <w:tc>
          <w:tcPr>
            <w:tcW w:w="668" w:type="dxa"/>
          </w:tcPr>
          <w:p w14:paraId="307B1F48">
            <w:pPr>
              <w:snapToGrid w:val="0"/>
              <w:spacing w:line="360" w:lineRule="auto"/>
              <w:jc w:val="center"/>
              <w:rPr>
                <w:rFonts w:hint="eastAsia" w:ascii="宋体" w:hAnsi="宋体" w:cs="宋体"/>
                <w:color w:val="auto"/>
                <w:szCs w:val="21"/>
                <w:highlight w:val="none"/>
              </w:rPr>
            </w:pPr>
          </w:p>
        </w:tc>
        <w:tc>
          <w:tcPr>
            <w:tcW w:w="1149" w:type="dxa"/>
            <w:vAlign w:val="center"/>
          </w:tcPr>
          <w:p w14:paraId="1F9109BF">
            <w:pPr>
              <w:snapToGrid w:val="0"/>
              <w:spacing w:line="360" w:lineRule="auto"/>
              <w:jc w:val="center"/>
              <w:rPr>
                <w:rFonts w:hint="eastAsia" w:ascii="宋体" w:hAnsi="宋体" w:cs="宋体"/>
                <w:color w:val="auto"/>
                <w:szCs w:val="21"/>
                <w:highlight w:val="none"/>
              </w:rPr>
            </w:pPr>
          </w:p>
        </w:tc>
        <w:tc>
          <w:tcPr>
            <w:tcW w:w="1593" w:type="dxa"/>
            <w:vAlign w:val="center"/>
          </w:tcPr>
          <w:p w14:paraId="7DCC04CF">
            <w:pPr>
              <w:snapToGrid w:val="0"/>
              <w:spacing w:line="360" w:lineRule="auto"/>
              <w:jc w:val="center"/>
              <w:rPr>
                <w:rFonts w:hint="eastAsia" w:ascii="宋体" w:hAnsi="宋体" w:cs="宋体"/>
                <w:color w:val="auto"/>
                <w:szCs w:val="21"/>
                <w:highlight w:val="none"/>
              </w:rPr>
            </w:pPr>
          </w:p>
        </w:tc>
      </w:tr>
      <w:tr w14:paraId="3951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5D0983C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33" w:type="dxa"/>
            <w:vAlign w:val="center"/>
          </w:tcPr>
          <w:p w14:paraId="3DB120EF">
            <w:pPr>
              <w:snapToGrid w:val="0"/>
              <w:spacing w:line="360" w:lineRule="auto"/>
              <w:jc w:val="center"/>
              <w:rPr>
                <w:rFonts w:hint="eastAsia" w:ascii="宋体" w:hAnsi="宋体" w:cs="宋体"/>
                <w:color w:val="auto"/>
                <w:szCs w:val="21"/>
                <w:highlight w:val="none"/>
              </w:rPr>
            </w:pPr>
          </w:p>
        </w:tc>
        <w:tc>
          <w:tcPr>
            <w:tcW w:w="1059" w:type="dxa"/>
            <w:vAlign w:val="center"/>
          </w:tcPr>
          <w:p w14:paraId="0F087B30">
            <w:pPr>
              <w:snapToGrid w:val="0"/>
              <w:spacing w:line="360" w:lineRule="auto"/>
              <w:jc w:val="center"/>
              <w:rPr>
                <w:rFonts w:hint="eastAsia" w:ascii="宋体" w:hAnsi="宋体" w:cs="宋体"/>
                <w:color w:val="auto"/>
                <w:szCs w:val="21"/>
                <w:highlight w:val="none"/>
              </w:rPr>
            </w:pPr>
          </w:p>
        </w:tc>
        <w:tc>
          <w:tcPr>
            <w:tcW w:w="1233" w:type="dxa"/>
            <w:vAlign w:val="center"/>
          </w:tcPr>
          <w:p w14:paraId="20320C0C">
            <w:pPr>
              <w:snapToGrid w:val="0"/>
              <w:spacing w:line="360" w:lineRule="auto"/>
              <w:jc w:val="center"/>
              <w:rPr>
                <w:rFonts w:hint="eastAsia" w:ascii="宋体" w:hAnsi="宋体" w:cs="宋体"/>
                <w:color w:val="auto"/>
                <w:szCs w:val="21"/>
                <w:highlight w:val="none"/>
              </w:rPr>
            </w:pPr>
          </w:p>
        </w:tc>
        <w:tc>
          <w:tcPr>
            <w:tcW w:w="1210" w:type="dxa"/>
          </w:tcPr>
          <w:p w14:paraId="4474619A">
            <w:pPr>
              <w:snapToGrid w:val="0"/>
              <w:spacing w:line="360" w:lineRule="auto"/>
              <w:jc w:val="center"/>
              <w:rPr>
                <w:rFonts w:hint="eastAsia" w:ascii="宋体" w:hAnsi="宋体" w:cs="宋体"/>
                <w:color w:val="auto"/>
                <w:szCs w:val="21"/>
                <w:highlight w:val="none"/>
              </w:rPr>
            </w:pPr>
          </w:p>
        </w:tc>
        <w:tc>
          <w:tcPr>
            <w:tcW w:w="908" w:type="dxa"/>
          </w:tcPr>
          <w:p w14:paraId="1528A825">
            <w:pPr>
              <w:snapToGrid w:val="0"/>
              <w:spacing w:line="360" w:lineRule="auto"/>
              <w:jc w:val="center"/>
              <w:rPr>
                <w:rFonts w:hint="eastAsia" w:ascii="宋体" w:hAnsi="宋体" w:cs="宋体"/>
                <w:color w:val="auto"/>
                <w:szCs w:val="21"/>
                <w:highlight w:val="none"/>
              </w:rPr>
            </w:pPr>
          </w:p>
        </w:tc>
        <w:tc>
          <w:tcPr>
            <w:tcW w:w="668" w:type="dxa"/>
          </w:tcPr>
          <w:p w14:paraId="1BD4CDE6">
            <w:pPr>
              <w:snapToGrid w:val="0"/>
              <w:spacing w:line="360" w:lineRule="auto"/>
              <w:jc w:val="center"/>
              <w:rPr>
                <w:rFonts w:hint="eastAsia" w:ascii="宋体" w:hAnsi="宋体" w:cs="宋体"/>
                <w:color w:val="auto"/>
                <w:szCs w:val="21"/>
                <w:highlight w:val="none"/>
              </w:rPr>
            </w:pPr>
          </w:p>
        </w:tc>
        <w:tc>
          <w:tcPr>
            <w:tcW w:w="1149" w:type="dxa"/>
            <w:vAlign w:val="center"/>
          </w:tcPr>
          <w:p w14:paraId="547F5BE0">
            <w:pPr>
              <w:snapToGrid w:val="0"/>
              <w:spacing w:line="360" w:lineRule="auto"/>
              <w:jc w:val="center"/>
              <w:rPr>
                <w:rFonts w:hint="eastAsia" w:ascii="宋体" w:hAnsi="宋体" w:cs="宋体"/>
                <w:color w:val="auto"/>
                <w:szCs w:val="21"/>
                <w:highlight w:val="none"/>
              </w:rPr>
            </w:pPr>
          </w:p>
        </w:tc>
        <w:tc>
          <w:tcPr>
            <w:tcW w:w="1593" w:type="dxa"/>
            <w:vAlign w:val="center"/>
          </w:tcPr>
          <w:p w14:paraId="00E98BC1">
            <w:pPr>
              <w:snapToGrid w:val="0"/>
              <w:spacing w:line="360" w:lineRule="auto"/>
              <w:jc w:val="center"/>
              <w:rPr>
                <w:rFonts w:hint="eastAsia" w:ascii="宋体" w:hAnsi="宋体" w:cs="宋体"/>
                <w:color w:val="auto"/>
                <w:szCs w:val="21"/>
                <w:highlight w:val="none"/>
              </w:rPr>
            </w:pPr>
          </w:p>
        </w:tc>
      </w:tr>
      <w:tr w14:paraId="68CD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62" w:type="dxa"/>
            <w:gridSpan w:val="9"/>
            <w:vAlign w:val="center"/>
          </w:tcPr>
          <w:p w14:paraId="680D9F7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合计金额：（大写）</w:t>
            </w:r>
            <w:r>
              <w:rPr>
                <w:rFonts w:hint="eastAsia" w:ascii="宋体" w:hAnsi="宋体" w:cs="宋体"/>
                <w:color w:val="auto"/>
                <w:szCs w:val="21"/>
                <w:highlight w:val="none"/>
                <w:u w:val="single"/>
              </w:rPr>
              <w:t xml:space="preserve">人民币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6BBB1A0C">
      <w:pPr>
        <w:pStyle w:val="10"/>
        <w:rPr>
          <w:color w:val="auto"/>
          <w:highlight w:val="none"/>
        </w:rPr>
      </w:pPr>
      <w:r>
        <w:rPr>
          <w:rFonts w:hint="eastAsia" w:ascii="宋体" w:hAnsi="宋体" w:cs="宋体"/>
          <w:color w:val="auto"/>
          <w:szCs w:val="21"/>
          <w:highlight w:val="none"/>
        </w:rPr>
        <w:t>3合同合计金额包括但不限于：设备（材料）采购运输及安装（施工）、调试、验收、技术指导、售后服务费，技术规范中特别要求的或出厂标准供应的备品备件（备品备件费）、拆装特殊工具（工具费）和易损件、包装固定费、运输费、运输保险费、税收</w:t>
      </w:r>
      <w:r>
        <w:rPr>
          <w:rFonts w:hint="eastAsia" w:hAnsi="宋体" w:cs="宋体"/>
          <w:color w:val="auto"/>
          <w:szCs w:val="21"/>
          <w:highlight w:val="none"/>
        </w:rPr>
        <w:t>、</w:t>
      </w:r>
      <w:r>
        <w:rPr>
          <w:rFonts w:hint="eastAsia" w:hAnsi="宋体" w:cs="宋体"/>
          <w:color w:val="auto"/>
          <w:szCs w:val="21"/>
          <w:highlight w:val="none"/>
        </w:rPr>
        <w:t>接入甲方相关信息系统</w:t>
      </w:r>
      <w:r>
        <w:rPr>
          <w:rFonts w:hint="eastAsia" w:ascii="宋体" w:hAnsi="宋体" w:cs="宋体"/>
          <w:color w:val="auto"/>
          <w:szCs w:val="21"/>
          <w:highlight w:val="none"/>
        </w:rPr>
        <w:t>在内的直至系统运行交付使用的一切全部费用。如招投标文件对其另有规定的，从其规定。</w:t>
      </w:r>
    </w:p>
    <w:p w14:paraId="15CCA8C7">
      <w:pPr>
        <w:snapToGrid w:val="0"/>
        <w:spacing w:line="360" w:lineRule="auto"/>
        <w:ind w:right="420" w:firstLine="420" w:firstLineChars="200"/>
        <w:rPr>
          <w:rFonts w:hint="eastAsia" w:ascii="宋体" w:hAnsi="宋体" w:cs="宋体"/>
          <w:color w:val="auto"/>
          <w:szCs w:val="21"/>
          <w:highlight w:val="none"/>
        </w:rPr>
      </w:pPr>
    </w:p>
    <w:p w14:paraId="2944F121">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第二条　质量要求</w:t>
      </w:r>
    </w:p>
    <w:p w14:paraId="5E31E83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15528335">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60DD0648">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57B9F6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1.乙方应保证所提供货物在使用时不会侵犯任何第三方的专利权、商标权、工业设计权或者其他权利。</w:t>
      </w:r>
      <w:r>
        <w:rPr>
          <w:rFonts w:ascii="宋体" w:hAnsi="宋体" w:cs="宋体"/>
          <w:color w:val="auto"/>
          <w:szCs w:val="21"/>
          <w:highlight w:val="none"/>
        </w:rPr>
        <w:t>若发生侵权纠纷，乙方需承担甲方因此遭受的全部损失，包括但不限于诉讼费、律师费、赔偿金、甲方因处理侵权事宜而支出的合理费用等。</w:t>
      </w:r>
    </w:p>
    <w:p w14:paraId="78A1B3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2.乙方应按招标文件规定或者投标文件承诺的时间向甲方提供使用货物的有关技术资料。</w:t>
      </w:r>
    </w:p>
    <w:p w14:paraId="7454B9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14:paraId="1A78F27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4.乙方保证将要交付的货物的所有权完全属于乙方且无任何抵押、质押、查封等产权瑕疵。</w:t>
      </w:r>
    </w:p>
    <w:p w14:paraId="7DB84BD5">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第四条　包装和运输</w:t>
      </w:r>
    </w:p>
    <w:p w14:paraId="495768A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6D2F67F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2.货物的运输方式：</w:t>
      </w:r>
      <w:r>
        <w:rPr>
          <w:rFonts w:hint="eastAsia" w:ascii="宋体" w:hAnsi="宋体" w:cs="宋体"/>
          <w:color w:val="auto"/>
          <w:szCs w:val="21"/>
          <w:highlight w:val="none"/>
          <w:u w:val="single"/>
        </w:rPr>
        <w:t xml:space="preserve"> 由乙方全部负责  </w:t>
      </w:r>
      <w:r>
        <w:rPr>
          <w:rFonts w:hint="eastAsia" w:ascii="宋体" w:hAnsi="宋体" w:cs="宋体"/>
          <w:color w:val="auto"/>
          <w:szCs w:val="21"/>
          <w:highlight w:val="none"/>
        </w:rPr>
        <w:t>。</w:t>
      </w:r>
    </w:p>
    <w:p w14:paraId="2F241C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3.乙方负责货物运输，货物运输合理损耗及计算方法：</w:t>
      </w:r>
      <w:r>
        <w:rPr>
          <w:rFonts w:hint="eastAsia" w:ascii="宋体" w:hAnsi="宋体" w:cs="宋体"/>
          <w:color w:val="auto"/>
          <w:szCs w:val="21"/>
          <w:highlight w:val="none"/>
          <w:u w:val="single"/>
        </w:rPr>
        <w:t xml:space="preserve"> 由乙方全部负责 </w:t>
      </w:r>
      <w:r>
        <w:rPr>
          <w:rFonts w:hint="eastAsia" w:ascii="宋体" w:hAnsi="宋体" w:cs="宋体"/>
          <w:color w:val="auto"/>
          <w:szCs w:val="21"/>
          <w:highlight w:val="none"/>
        </w:rPr>
        <w:t xml:space="preserve"> 。</w:t>
      </w:r>
    </w:p>
    <w:p w14:paraId="463D681F">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第五条　交付和验收</w:t>
      </w:r>
    </w:p>
    <w:p w14:paraId="5B194D6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color w:val="auto"/>
          <w:highlight w:val="none"/>
        </w:rPr>
        <w:t>交</w:t>
      </w:r>
      <w:bookmarkStart w:id="253" w:name="OLE_LINK28"/>
      <w:r>
        <w:rPr>
          <w:rFonts w:hint="eastAsia"/>
          <w:color w:val="auto"/>
          <w:highlight w:val="none"/>
        </w:rPr>
        <w:t>货</w:t>
      </w:r>
      <w:bookmarkEnd w:id="253"/>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交货</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柳州市甲方指定地点 </w:t>
      </w:r>
      <w:r>
        <w:rPr>
          <w:rFonts w:hint="eastAsia" w:ascii="宋体" w:hAnsi="宋体" w:cs="宋体"/>
          <w:color w:val="auto"/>
          <w:szCs w:val="21"/>
          <w:highlight w:val="none"/>
        </w:rPr>
        <w:t>。</w:t>
      </w:r>
    </w:p>
    <w:p w14:paraId="286308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2.乙方提供不符合招标文件规定或者投标文件承诺的和本合同规定的货物，甲方有权拒绝接受。</w:t>
      </w:r>
    </w:p>
    <w:p w14:paraId="5C0C899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5064014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4.甲方应当在到货（安装、调试完成）后七个工作日内进行验收。验收合格后由甲乙双方签署货物验收单并加盖甲方公章，甲乙双方各执一份。</w:t>
      </w:r>
    </w:p>
    <w:p w14:paraId="3238054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993266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6.甲方对验收有异议的，在验收后五个工作日内以书面形式向乙方提出，乙方应自收到甲方书面异议后</w:t>
      </w:r>
      <w:r>
        <w:rPr>
          <w:rFonts w:hint="eastAsia" w:ascii="宋体" w:hAnsi="宋体" w:cs="宋体"/>
          <w:color w:val="auto"/>
          <w:szCs w:val="21"/>
          <w:highlight w:val="none"/>
          <w:u w:val="single"/>
        </w:rPr>
        <w:t>2</w:t>
      </w:r>
      <w:r>
        <w:rPr>
          <w:rFonts w:hint="eastAsia" w:ascii="宋体" w:hAnsi="宋体" w:cs="宋体"/>
          <w:color w:val="auto"/>
          <w:szCs w:val="21"/>
          <w:highlight w:val="none"/>
        </w:rPr>
        <w:t>日内及时予以解决。</w:t>
      </w:r>
    </w:p>
    <w:p w14:paraId="6C0200EE">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安装和培训</w:t>
      </w:r>
    </w:p>
    <w:p w14:paraId="21549A3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133F5C1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2.乙方投标文件承诺负责甲方有关人员的培训。培训时间、地点：</w:t>
      </w:r>
      <w:r>
        <w:rPr>
          <w:rFonts w:hint="eastAsia" w:ascii="宋体" w:hAnsi="宋体" w:cs="宋体"/>
          <w:color w:val="auto"/>
          <w:szCs w:val="21"/>
          <w:highlight w:val="none"/>
          <w:u w:val="single"/>
        </w:rPr>
        <w:t xml:space="preserve">  柳州市甲方指定地点 </w:t>
      </w:r>
      <w:r>
        <w:rPr>
          <w:rFonts w:hint="eastAsia" w:ascii="宋体" w:hAnsi="宋体" w:cs="宋体"/>
          <w:color w:val="auto"/>
          <w:szCs w:val="21"/>
          <w:highlight w:val="none"/>
        </w:rPr>
        <w:t xml:space="preserve"> 。</w:t>
      </w:r>
    </w:p>
    <w:p w14:paraId="0A7012C7">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售后服务、质保期</w:t>
      </w:r>
    </w:p>
    <w:p w14:paraId="725EB4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1.乙方应按照国家有关法律法规和“三包”规定以及本合同所附的《服务承诺》，为甲方提供售后服务。</w:t>
      </w:r>
    </w:p>
    <w:p w14:paraId="7E64047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2.货物质保期：</w:t>
      </w:r>
      <w:r>
        <w:rPr>
          <w:rFonts w:hint="eastAsia" w:ascii="宋体" w:hAnsi="宋体" w:cs="宋体"/>
          <w:color w:val="auto"/>
          <w:szCs w:val="21"/>
          <w:highlight w:val="none"/>
          <w:u w:val="single"/>
        </w:rPr>
        <w:t xml:space="preserve"> 自交货验收合格正常使用之日起  年。</w:t>
      </w:r>
    </w:p>
    <w:p w14:paraId="0F07CB5B">
      <w:pPr>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3.乙方提供的服务承诺和售后服务及保修期责任等其他具体约定事项。（见合同附件）</w:t>
      </w:r>
    </w:p>
    <w:p w14:paraId="520F869F">
      <w:pPr>
        <w:snapToGrid w:val="0"/>
        <w:spacing w:line="48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第八条　付款方式</w:t>
      </w:r>
    </w:p>
    <w:p w14:paraId="4E94450A">
      <w:pPr>
        <w:snapToGrid w:val="0"/>
        <w:spacing w:line="480" w:lineRule="auto"/>
        <w:ind w:firstLine="420" w:firstLineChars="200"/>
        <w:rPr>
          <w:rFonts w:hint="eastAsia" w:ascii="宋体" w:hAnsi="宋体" w:cs="宋体"/>
          <w:color w:val="auto"/>
          <w:szCs w:val="21"/>
          <w:highlight w:val="none"/>
        </w:rPr>
      </w:pPr>
      <w:r>
        <w:rPr>
          <w:rFonts w:hint="eastAsia" w:hAnsi="宋体" w:cs="微软雅黑"/>
          <w:color w:val="auto"/>
          <w:kern w:val="1"/>
          <w:szCs w:val="21"/>
          <w:highlight w:val="none"/>
        </w:rPr>
        <w:t>签订合同(合同签订前乙方必须提交履约保证金)之日起10个工作日内支付合同总金额的30%作为预付款给乙方；货物全部交货、安装、调试完毕，项目整体交付并最终验收合格正常使用，且甲方收到乙方开具全额增值税普通发票后，甲方于10个工作日内支付至合同总金额的100%（不计利息）。</w:t>
      </w:r>
    </w:p>
    <w:p w14:paraId="5A7DF6A4">
      <w:pPr>
        <w:snapToGrid w:val="0"/>
        <w:spacing w:line="480" w:lineRule="auto"/>
        <w:ind w:left="-61" w:leftChars="-29" w:firstLine="517" w:firstLineChars="245"/>
        <w:rPr>
          <w:rFonts w:hint="eastAsia" w:ascii="宋体" w:hAnsi="宋体" w:cs="宋体"/>
          <w:b/>
          <w:color w:val="auto"/>
          <w:szCs w:val="21"/>
          <w:highlight w:val="none"/>
        </w:rPr>
      </w:pPr>
      <w:r>
        <w:rPr>
          <w:rFonts w:hint="eastAsia" w:ascii="宋体" w:hAnsi="宋体" w:cs="宋体"/>
          <w:b/>
          <w:color w:val="auto"/>
          <w:szCs w:val="21"/>
          <w:highlight w:val="none"/>
        </w:rPr>
        <w:t>第九条　</w:t>
      </w:r>
      <w:bookmarkStart w:id="254" w:name="OLE_LINK29"/>
      <w:r>
        <w:rPr>
          <w:rFonts w:hint="eastAsia" w:ascii="宋体" w:hAnsi="宋体" w:cs="宋体"/>
          <w:b/>
          <w:color w:val="auto"/>
          <w:szCs w:val="21"/>
          <w:highlight w:val="none"/>
        </w:rPr>
        <w:t>履约保证金</w:t>
      </w:r>
      <w:bookmarkEnd w:id="254"/>
    </w:p>
    <w:p w14:paraId="4FF3C645">
      <w:pPr>
        <w:numPr>
          <w:ilvl w:val="0"/>
          <w:numId w:val="6"/>
        </w:numP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履约保证金金额：按项目中标总金额的2%。</w:t>
      </w:r>
    </w:p>
    <w:p w14:paraId="0C4E34D5">
      <w:pPr>
        <w:numPr>
          <w:ilvl w:val="0"/>
          <w:numId w:val="6"/>
        </w:numPr>
        <w:autoSpaceDE w:val="0"/>
        <w:autoSpaceDN w:val="0"/>
        <w:snapToGrid w:val="0"/>
        <w:spacing w:line="360" w:lineRule="auto"/>
        <w:ind w:firstLine="420" w:firstLineChars="200"/>
        <w:textAlignment w:val="bottom"/>
        <w:rPr>
          <w:rFonts w:hint="eastAsia" w:ascii="宋体" w:hAnsi="宋体" w:cs="宋体"/>
          <w:color w:val="auto"/>
          <w:szCs w:val="21"/>
          <w:highlight w:val="none"/>
          <w:u w:val="single"/>
        </w:rPr>
      </w:pPr>
      <w:r>
        <w:rPr>
          <w:rFonts w:hint="eastAsia" w:ascii="宋体" w:hAnsi="宋体" w:cs="宋体"/>
          <w:color w:val="auto"/>
          <w:szCs w:val="21"/>
          <w:highlight w:val="none"/>
        </w:rPr>
        <w:t>履约保证金递交方式：中标人在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rPr>
        <w:t>以银行转账、支票、汇票、本票或者金融机构、担保机构出具的保函等非现金方式向</w:t>
      </w:r>
      <w:r>
        <w:rPr>
          <w:rFonts w:hint="eastAsia" w:ascii="宋体" w:hAnsi="宋体" w:cs="宋体"/>
          <w:color w:val="auto"/>
          <w:szCs w:val="21"/>
          <w:highlight w:val="none"/>
          <w:u w:val="single"/>
        </w:rPr>
        <w:t>采购人</w:t>
      </w:r>
      <w:r>
        <w:rPr>
          <w:rFonts w:hint="eastAsia" w:ascii="宋体" w:hAnsi="宋体" w:cs="宋体"/>
          <w:color w:val="auto"/>
          <w:szCs w:val="21"/>
          <w:highlight w:val="none"/>
        </w:rPr>
        <w:t>提交。</w:t>
      </w:r>
    </w:p>
    <w:p w14:paraId="516E34E4">
      <w:pPr>
        <w:numPr>
          <w:ilvl w:val="0"/>
          <w:numId w:val="6"/>
        </w:numP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签订合同后，如乙方不按双方签订的合同规定履约，则没收其全部履约保证金，履约保证金不足以赔偿损失的，按实际损失赔偿。履约保证金符合退还条件的，</w:t>
      </w:r>
      <w:r>
        <w:rPr>
          <w:rFonts w:ascii="宋体" w:hAnsi="宋体" w:cs="宋体"/>
          <w:color w:val="auto"/>
          <w:szCs w:val="21"/>
          <w:highlight w:val="none"/>
          <w:u w:val="single"/>
        </w:rPr>
        <w:t>设备最终验收合格且质保期满，乙方无任何违约行为，甲方在收到乙方退付申请及质保期内设备运行无故障证明后</w:t>
      </w:r>
      <w:r>
        <w:rPr>
          <w:rFonts w:hint="eastAsia" w:ascii="宋体" w:hAnsi="宋体" w:cs="宋体"/>
          <w:color w:val="auto"/>
          <w:szCs w:val="21"/>
          <w:highlight w:val="none"/>
          <w:u w:val="single"/>
        </w:rPr>
        <w:t>5个工作日内退还履约保证金（无息）。</w:t>
      </w:r>
    </w:p>
    <w:p w14:paraId="467B8E86">
      <w:pPr>
        <w:numPr>
          <w:ilvl w:val="0"/>
          <w:numId w:val="6"/>
        </w:numP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缴纳履约保证金的指定账户：</w:t>
      </w:r>
    </w:p>
    <w:p w14:paraId="3E5AC0B7">
      <w:pPr>
        <w:pStyle w:val="56"/>
        <w:spacing w:before="0" w:beforeAutospacing="0" w:after="0" w:afterAutospacing="0" w:line="380" w:lineRule="exact"/>
        <w:ind w:firstLine="630" w:firstLineChars="300"/>
        <w:rPr>
          <w:rFonts w:hint="eastAsia"/>
          <w:color w:val="auto"/>
          <w:kern w:val="2"/>
          <w:sz w:val="21"/>
          <w:szCs w:val="21"/>
          <w:highlight w:val="none"/>
        </w:rPr>
      </w:pPr>
      <w:r>
        <w:rPr>
          <w:rFonts w:hint="eastAsia"/>
          <w:color w:val="auto"/>
          <w:kern w:val="2"/>
          <w:sz w:val="21"/>
          <w:szCs w:val="21"/>
          <w:highlight w:val="none"/>
        </w:rPr>
        <w:t>开户名称：广西壮族自治区胸科医院(广西壮族自治区第四人民医院、广西壮族自治区结核病医院)</w:t>
      </w:r>
    </w:p>
    <w:p w14:paraId="4550DEDC">
      <w:pPr>
        <w:pStyle w:val="56"/>
        <w:spacing w:before="0" w:beforeAutospacing="0" w:after="0" w:afterAutospacing="0" w:line="380" w:lineRule="exact"/>
        <w:ind w:firstLine="630" w:firstLineChars="300"/>
        <w:rPr>
          <w:rFonts w:hint="eastAsia"/>
          <w:color w:val="auto"/>
          <w:kern w:val="2"/>
          <w:sz w:val="21"/>
          <w:szCs w:val="21"/>
          <w:highlight w:val="none"/>
        </w:rPr>
      </w:pPr>
      <w:r>
        <w:rPr>
          <w:rFonts w:hint="eastAsia"/>
          <w:color w:val="auto"/>
          <w:kern w:val="2"/>
          <w:sz w:val="21"/>
          <w:szCs w:val="21"/>
          <w:highlight w:val="none"/>
        </w:rPr>
        <w:t>开户银行：交通银行柳州西江支行</w:t>
      </w:r>
    </w:p>
    <w:p w14:paraId="3E536D70">
      <w:pPr>
        <w:pStyle w:val="56"/>
        <w:spacing w:before="0" w:beforeAutospacing="0" w:after="0" w:afterAutospacing="0" w:line="380" w:lineRule="exact"/>
        <w:ind w:firstLine="630" w:firstLineChars="300"/>
        <w:rPr>
          <w:rFonts w:hint="eastAsia"/>
          <w:color w:val="auto"/>
          <w:kern w:val="2"/>
          <w:sz w:val="21"/>
          <w:szCs w:val="21"/>
          <w:highlight w:val="none"/>
        </w:rPr>
      </w:pPr>
      <w:r>
        <w:rPr>
          <w:rFonts w:hint="eastAsia"/>
          <w:color w:val="auto"/>
          <w:kern w:val="2"/>
          <w:sz w:val="21"/>
          <w:szCs w:val="21"/>
          <w:highlight w:val="none"/>
        </w:rPr>
        <w:t>银行账号：4520 60602018010069582</w:t>
      </w:r>
    </w:p>
    <w:p w14:paraId="38843A04">
      <w:pPr>
        <w:autoSpaceDE w:val="0"/>
        <w:autoSpaceDN w:val="0"/>
        <w:snapToGrid w:val="0"/>
        <w:spacing w:line="360" w:lineRule="auto"/>
        <w:ind w:firstLine="420" w:firstLineChars="200"/>
        <w:textAlignment w:val="bottom"/>
        <w:rPr>
          <w:rFonts w:hint="eastAsia" w:ascii="宋体" w:hAnsi="宋体" w:cs="宋体"/>
          <w:color w:val="auto"/>
          <w:szCs w:val="21"/>
          <w:highlight w:val="none"/>
          <w:u w:val="single"/>
        </w:rPr>
      </w:pPr>
    </w:p>
    <w:p w14:paraId="39CF9183">
      <w:pPr>
        <w:snapToGrid w:val="0"/>
        <w:spacing w:line="360" w:lineRule="auto"/>
        <w:ind w:left="-61" w:firstLine="514"/>
        <w:rPr>
          <w:rFonts w:hint="eastAsia" w:ascii="宋体" w:hAnsi="宋体" w:cs="宋体"/>
          <w:b/>
          <w:color w:val="auto"/>
          <w:szCs w:val="21"/>
          <w:highlight w:val="none"/>
        </w:rPr>
      </w:pPr>
      <w:r>
        <w:rPr>
          <w:rFonts w:hint="eastAsia" w:ascii="宋体" w:hAnsi="宋体" w:cs="宋体"/>
          <w:b/>
          <w:color w:val="auto"/>
          <w:szCs w:val="21"/>
          <w:highlight w:val="none"/>
        </w:rPr>
        <w:t>第十条  税费</w:t>
      </w:r>
    </w:p>
    <w:p w14:paraId="6F2FA4C4">
      <w:pPr>
        <w:snapToGrid w:val="0"/>
        <w:spacing w:line="360" w:lineRule="auto"/>
        <w:ind w:left="-61" w:firstLine="514"/>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4953D4D0">
      <w:pPr>
        <w:snapToGrid w:val="0"/>
        <w:spacing w:line="360" w:lineRule="auto"/>
        <w:ind w:left="-61" w:firstLine="514"/>
        <w:rPr>
          <w:rFonts w:hint="eastAsia" w:ascii="宋体" w:hAnsi="宋体" w:cs="宋体"/>
          <w:color w:val="auto"/>
          <w:szCs w:val="21"/>
          <w:highlight w:val="none"/>
        </w:rPr>
      </w:pPr>
      <w:r>
        <w:rPr>
          <w:rFonts w:hint="eastAsia" w:ascii="宋体" w:hAnsi="宋体" w:cs="宋体"/>
          <w:b/>
          <w:color w:val="auto"/>
          <w:szCs w:val="21"/>
          <w:highlight w:val="none"/>
        </w:rPr>
        <w:t>第十一条  质量保证及售后服务</w:t>
      </w:r>
    </w:p>
    <w:p w14:paraId="59AF459D">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bCs/>
          <w:color w:val="auto"/>
          <w:szCs w:val="20"/>
          <w:highlight w:val="none"/>
        </w:rPr>
        <w:t>1.</w:t>
      </w:r>
      <w:r>
        <w:rPr>
          <w:rFonts w:hint="eastAsia" w:ascii="宋体" w:hAnsi="宋体" w:cs="宋体"/>
          <w:color w:val="auto"/>
          <w:szCs w:val="20"/>
          <w:highlight w:val="none"/>
        </w:rPr>
        <w:t>乙方应按投标文件承诺的产品名称、商标品牌、生产厂家、规格型号、技术参数、质量标准向甲方提供未经使用的全新产品。不符合要求的，根据实际情况，经双方协商，可按以下办法处理：</w:t>
      </w:r>
    </w:p>
    <w:p w14:paraId="71DC247F">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⑴更换：由乙方承担所发生的全部费用。</w:t>
      </w:r>
    </w:p>
    <w:p w14:paraId="43288240">
      <w:pPr>
        <w:snapToGrid w:val="0"/>
        <w:spacing w:line="360" w:lineRule="auto"/>
        <w:ind w:firstLine="420"/>
        <w:rPr>
          <w:rFonts w:hint="eastAsia" w:ascii="宋体" w:hAnsi="宋体" w:cs="宋体"/>
          <w:color w:val="auto"/>
          <w:szCs w:val="20"/>
          <w:highlight w:val="none"/>
        </w:rPr>
      </w:pPr>
      <w:r>
        <w:rPr>
          <w:rFonts w:hint="eastAsia" w:ascii="宋体" w:hAnsi="宋体" w:cs="宋体"/>
          <w:color w:val="auto"/>
          <w:szCs w:val="20"/>
          <w:highlight w:val="none"/>
        </w:rPr>
        <w:t>⑵贬值处理：由甲乙双方合议定价。</w:t>
      </w:r>
    </w:p>
    <w:p w14:paraId="41B93F15">
      <w:pPr>
        <w:snapToGrid w:val="0"/>
        <w:spacing w:line="360" w:lineRule="auto"/>
        <w:ind w:left="420" w:leftChars="200"/>
        <w:rPr>
          <w:rFonts w:hint="eastAsia" w:ascii="宋体" w:hAnsi="宋体" w:cs="宋体"/>
          <w:color w:val="auto"/>
          <w:szCs w:val="20"/>
          <w:highlight w:val="none"/>
        </w:rPr>
      </w:pPr>
      <w:r>
        <w:rPr>
          <w:rFonts w:hint="eastAsia" w:ascii="宋体" w:hAnsi="宋体" w:cs="宋体"/>
          <w:color w:val="auto"/>
          <w:szCs w:val="20"/>
          <w:highlight w:val="none"/>
        </w:rPr>
        <w:t>⑶退货处理：乙方应退还甲方支付的合同款，同时应承担该货物的直接费用（运输、保险、检验、</w:t>
      </w:r>
    </w:p>
    <w:p w14:paraId="628772D8">
      <w:pPr>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贷款利息及银行手续费等）。</w:t>
      </w:r>
    </w:p>
    <w:p w14:paraId="3A915E45">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2.如在使用过程中发生质量问题，乙方在接到甲方通知后到达甲方现场处理的时间</w:t>
      </w:r>
      <w:r>
        <w:rPr>
          <w:rFonts w:hint="eastAsia" w:ascii="宋体" w:hAnsi="宋体" w:cs="宋体"/>
          <w:i/>
          <w:iCs/>
          <w:color w:val="auto"/>
          <w:szCs w:val="20"/>
          <w:highlight w:val="none"/>
        </w:rPr>
        <w:t>（</w:t>
      </w:r>
      <w:r>
        <w:rPr>
          <w:rFonts w:hint="eastAsia" w:ascii="宋体" w:hAnsi="宋体" w:cs="宋体"/>
          <w:i/>
          <w:iCs/>
          <w:color w:val="auto"/>
          <w:szCs w:val="20"/>
          <w:highlight w:val="none"/>
          <w:u w:val="single"/>
        </w:rPr>
        <w:t>按投标文件承诺的数据填写</w:t>
      </w:r>
      <w:r>
        <w:rPr>
          <w:rFonts w:hint="eastAsia" w:ascii="宋体" w:hAnsi="宋体" w:cs="宋体"/>
          <w:i/>
          <w:iCs/>
          <w:color w:val="auto"/>
          <w:szCs w:val="20"/>
          <w:highlight w:val="none"/>
        </w:rPr>
        <w:t>）</w:t>
      </w:r>
      <w:r>
        <w:rPr>
          <w:rFonts w:hint="eastAsia" w:ascii="宋体" w:hAnsi="宋体" w:cs="宋体"/>
          <w:color w:val="auto"/>
          <w:szCs w:val="20"/>
          <w:highlight w:val="none"/>
        </w:rPr>
        <w:t>小时内。</w:t>
      </w:r>
    </w:p>
    <w:p w14:paraId="69E93DFB">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3.在质保期内，乙方应对货物出现的质量及安全问题负责处理解决并承担一切费用，质保期内如乙方违约造成损失，甲方将从余款中扣除，</w:t>
      </w:r>
      <w:bookmarkStart w:id="255" w:name="OLE_LINK5"/>
      <w:r>
        <w:rPr>
          <w:rFonts w:hint="eastAsia" w:ascii="宋体" w:hAnsi="宋体" w:cs="宋体"/>
          <w:color w:val="auto"/>
          <w:szCs w:val="20"/>
          <w:highlight w:val="none"/>
        </w:rPr>
        <w:t>不足</w:t>
      </w:r>
      <w:bookmarkEnd w:id="255"/>
      <w:r>
        <w:rPr>
          <w:rFonts w:hint="eastAsia" w:ascii="宋体" w:hAnsi="宋体" w:cs="宋体"/>
          <w:color w:val="auto"/>
          <w:szCs w:val="20"/>
          <w:highlight w:val="none"/>
        </w:rPr>
        <w:t>另补。</w:t>
      </w:r>
    </w:p>
    <w:p w14:paraId="6C8696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4.上述的货物质保期为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年，因人为因素出现的故障不在免费保修范围内。超过保修期的机器设备，终身维修，维修时只收部件成本费</w:t>
      </w:r>
      <w:r>
        <w:rPr>
          <w:rFonts w:ascii="宋体" w:hAnsi="宋体" w:cs="宋体"/>
          <w:color w:val="auto"/>
          <w:szCs w:val="21"/>
          <w:highlight w:val="none"/>
        </w:rPr>
        <w:t>且不高于行业同期平均水平</w:t>
      </w:r>
      <w:r>
        <w:rPr>
          <w:rFonts w:hint="eastAsia" w:ascii="宋体" w:hAnsi="宋体" w:cs="宋体"/>
          <w:color w:val="auto"/>
          <w:szCs w:val="21"/>
          <w:highlight w:val="none"/>
        </w:rPr>
        <w:t>。</w:t>
      </w:r>
    </w:p>
    <w:p w14:paraId="29973B9F">
      <w:pPr>
        <w:snapToGrid w:val="0"/>
        <w:spacing w:line="360" w:lineRule="auto"/>
        <w:ind w:left="-61" w:firstLine="514"/>
        <w:rPr>
          <w:rFonts w:hint="eastAsia" w:ascii="宋体" w:hAnsi="宋体" w:cs="宋体"/>
          <w:color w:val="auto"/>
          <w:szCs w:val="21"/>
          <w:highlight w:val="none"/>
        </w:rPr>
      </w:pPr>
      <w:r>
        <w:rPr>
          <w:rFonts w:hint="eastAsia" w:ascii="宋体" w:hAnsi="宋体" w:cs="宋体"/>
          <w:b/>
          <w:color w:val="auto"/>
          <w:szCs w:val="21"/>
          <w:highlight w:val="none"/>
        </w:rPr>
        <w:t>第十二条  调试和验收</w:t>
      </w:r>
      <w:r>
        <w:rPr>
          <w:rFonts w:hint="eastAsia" w:ascii="宋体" w:hAnsi="宋体" w:cs="宋体"/>
          <w:b/>
          <w:i/>
          <w:iCs/>
          <w:color w:val="auto"/>
          <w:szCs w:val="21"/>
          <w:highlight w:val="none"/>
        </w:rPr>
        <w:t>（本条款适用于甲方自行验收，委托第三方验收的结合项目实际情况另行规定）</w:t>
      </w:r>
    </w:p>
    <w:p w14:paraId="009F6959">
      <w:pPr>
        <w:snapToGrid w:val="0"/>
        <w:spacing w:line="360" w:lineRule="auto"/>
        <w:ind w:firstLine="420" w:firstLineChars="200"/>
        <w:jc w:val="left"/>
        <w:rPr>
          <w:rFonts w:hint="eastAsia" w:ascii="宋体" w:hAnsi="宋体" w:cs="宋体"/>
          <w:color w:val="auto"/>
          <w:szCs w:val="20"/>
          <w:highlight w:val="none"/>
        </w:rPr>
      </w:pPr>
      <w:r>
        <w:rPr>
          <w:rFonts w:hint="eastAsia" w:ascii="宋体" w:hAnsi="宋体" w:cs="宋体"/>
          <w:color w:val="auto"/>
          <w:szCs w:val="20"/>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4871B97B">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2.乙方交货前应对产品作出全面检查和对验收文件进行整理，并列出清单，作为甲方收货验收和使用的技术条件依据，检验的结果应随货物交甲方。</w:t>
      </w:r>
    </w:p>
    <w:p w14:paraId="581EE70F">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3.甲方对乙方提供的货物在使用前进行调试时，乙方需负责安装并培训甲方的使用操作人员，并协助甲方一起调试，直到符合技术要求，甲方才做最终验收。</w:t>
      </w:r>
    </w:p>
    <w:p w14:paraId="21B2155A">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4.对技术复杂的货物，甲方应请国家认可的专业检测机构参与初步验收及最终验收，并由其出具质量检测报告。</w:t>
      </w:r>
      <w:r>
        <w:rPr>
          <w:rFonts w:ascii="宋体" w:hAnsi="宋体" w:cs="宋体"/>
          <w:color w:val="auto"/>
          <w:szCs w:val="20"/>
          <w:highlight w:val="none"/>
        </w:rPr>
        <w:t>检测费用由乙方承担，若检测结果不合格，乙方需承担二次检测费用及设备整改费用</w:t>
      </w:r>
      <w:r>
        <w:rPr>
          <w:rFonts w:hint="eastAsia" w:ascii="宋体" w:hAnsi="宋体" w:cs="宋体"/>
          <w:color w:val="auto"/>
          <w:szCs w:val="20"/>
          <w:highlight w:val="none"/>
        </w:rPr>
        <w:t>。</w:t>
      </w:r>
    </w:p>
    <w:p w14:paraId="3574F462">
      <w:pPr>
        <w:snapToGrid w:val="0"/>
        <w:spacing w:line="360" w:lineRule="auto"/>
        <w:ind w:left="-61" w:firstLine="514"/>
        <w:rPr>
          <w:rFonts w:hint="eastAsia" w:ascii="宋体" w:hAnsi="宋体" w:cs="宋体"/>
          <w:color w:val="auto"/>
          <w:szCs w:val="21"/>
          <w:highlight w:val="none"/>
        </w:rPr>
      </w:pPr>
      <w:r>
        <w:rPr>
          <w:rFonts w:hint="eastAsia" w:ascii="宋体" w:hAnsi="宋体" w:cs="宋体"/>
          <w:color w:val="auto"/>
          <w:szCs w:val="21"/>
          <w:highlight w:val="none"/>
        </w:rPr>
        <w:t>5. 验收时乙方必须在现场，验收完毕后作出验收结果报告；验收费用由乙方承担方负责。</w:t>
      </w:r>
    </w:p>
    <w:p w14:paraId="00C1386A">
      <w:pPr>
        <w:snapToGrid w:val="0"/>
        <w:spacing w:line="360" w:lineRule="auto"/>
        <w:ind w:firstLine="413" w:firstLineChars="196"/>
        <w:rPr>
          <w:rFonts w:hint="eastAsia" w:ascii="宋体" w:hAnsi="宋体" w:cs="宋体"/>
          <w:b/>
          <w:color w:val="auto"/>
          <w:szCs w:val="20"/>
          <w:highlight w:val="none"/>
        </w:rPr>
      </w:pPr>
      <w:r>
        <w:rPr>
          <w:rFonts w:hint="eastAsia" w:ascii="宋体" w:hAnsi="宋体" w:cs="宋体"/>
          <w:b/>
          <w:color w:val="auto"/>
          <w:szCs w:val="20"/>
          <w:highlight w:val="none"/>
        </w:rPr>
        <w:t>第十三条  货物包装、发运及运输</w:t>
      </w:r>
    </w:p>
    <w:p w14:paraId="3BD998C8">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1.乙方应在货物发运前对其进行满足运输距离、防潮、防震、防锈和防破损装卸等要求包装，以保证货物安全运达甲方指定地点。</w:t>
      </w:r>
    </w:p>
    <w:p w14:paraId="32A0C4C4">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 使用说明书（货物属于进口产品的，供货时应同时附上中文使用说明书）、质量检验证明书、随配附件和工具以及清单一并附于货物内。</w:t>
      </w:r>
    </w:p>
    <w:p w14:paraId="0401701F">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3.乙方在货物发运手续办理完毕后二十四小时内或者货到甲方四十八小时前通知甲方，以准备接货。</w:t>
      </w:r>
    </w:p>
    <w:p w14:paraId="2315371B">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4.货物在交付甲方前发生的风险均由乙方负责。</w:t>
      </w:r>
    </w:p>
    <w:p w14:paraId="0D946F10">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5.货物在规</w:t>
      </w:r>
      <w:r>
        <w:rPr>
          <w:rFonts w:hint="eastAsia" w:ascii="宋体" w:hAnsi="宋体" w:cs="宋体"/>
          <w:color w:val="auto"/>
          <w:spacing w:val="-8"/>
          <w:szCs w:val="20"/>
          <w:highlight w:val="none"/>
        </w:rPr>
        <w:t>定的交付期限内由乙方送达甲方指定的地点视为交付，乙方同时需通知甲方货物已送达。</w:t>
      </w:r>
    </w:p>
    <w:p w14:paraId="749999FE">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违约责任</w:t>
      </w:r>
    </w:p>
    <w:p w14:paraId="6A0938E6">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1.乙方所提供的产品名称、商标品牌、生产厂家、规格型号、技术参数等质量不合格的，</w:t>
      </w:r>
      <w:r>
        <w:rPr>
          <w:rFonts w:hint="eastAsia" w:ascii="宋体" w:hAnsi="宋体" w:cs="宋体"/>
          <w:color w:val="auto"/>
          <w:szCs w:val="20"/>
          <w:highlight w:val="none"/>
        </w:rPr>
        <w:t>应10个工作日内更换</w:t>
      </w:r>
      <w:r>
        <w:rPr>
          <w:rFonts w:hint="eastAsia" w:ascii="宋体" w:hAnsi="宋体" w:cs="宋体"/>
          <w:color w:val="auto"/>
          <w:szCs w:val="20"/>
          <w:highlight w:val="none"/>
        </w:rPr>
        <w:t xml:space="preserve">，更换不及时的按逾期交货处罚；因质量问题甲方不同意接收的或者特殊情况甲方同意接收的，乙方应向甲方支付违约货款额5%违约金并赔偿甲方经济损失。                                       </w:t>
      </w:r>
    </w:p>
    <w:p w14:paraId="74059068">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2.乙方提供的货物如侵犯了第三方合法权益而引发的任何纠纷或者诉讼，均由乙方负责交涉并承担全部责任。</w:t>
      </w:r>
    </w:p>
    <w:p w14:paraId="0D0F99BE">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3.因包装、运输引起的货物损坏，按质量不合格处罚。</w:t>
      </w:r>
    </w:p>
    <w:p w14:paraId="27327096">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4.甲方无故延期接收货物、乙方逾期交货的，每天向对方偿付违约货款额5‰违约金，超过</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天对方有权解除合同，违约方承担因此给对方造成的经济损失；甲方延期付货款的，每天向乙方偿付延期货款额3‰滞纳金，但滞纳金累计不得超过延期货款额5%。甲方无故延期退付履约保证金</w:t>
      </w:r>
      <w:r>
        <w:rPr>
          <w:rFonts w:hint="eastAsia"/>
          <w:color w:val="auto"/>
          <w:highlight w:val="none"/>
        </w:rPr>
        <w:t>（如有）</w:t>
      </w:r>
      <w:r>
        <w:rPr>
          <w:rFonts w:hint="eastAsia" w:ascii="宋体" w:hAnsi="宋体" w:cs="宋体"/>
          <w:color w:val="auto"/>
          <w:szCs w:val="20"/>
          <w:highlight w:val="none"/>
        </w:rPr>
        <w:t>的，每天向对方偿付未退付履约保证金3‰的违约金。</w:t>
      </w:r>
    </w:p>
    <w:p w14:paraId="1B88279A">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5. 乙方未按本合同和投标文件中规定的服务承诺提供售后服务的，</w:t>
      </w:r>
      <w:r>
        <w:rPr>
          <w:rFonts w:ascii="宋体" w:hAnsi="宋体" w:cs="宋体"/>
          <w:color w:val="auto"/>
          <w:szCs w:val="20"/>
          <w:highlight w:val="none"/>
        </w:rPr>
        <w:t>每出现一次售后服务违约（含响应超时、维修超期、未提供备用设备等），支付合同总金额</w:t>
      </w:r>
      <w:r>
        <w:rPr>
          <w:rFonts w:hint="eastAsia" w:ascii="宋体" w:hAnsi="宋体" w:cs="宋体"/>
          <w:color w:val="auto"/>
          <w:szCs w:val="20"/>
          <w:highlight w:val="none"/>
        </w:rPr>
        <w:t>5</w:t>
      </w:r>
      <w:r>
        <w:rPr>
          <w:rFonts w:ascii="宋体" w:hAnsi="宋体" w:cs="宋体"/>
          <w:color w:val="auto"/>
          <w:szCs w:val="20"/>
          <w:highlight w:val="none"/>
        </w:rPr>
        <w:t>% 的违约金，累计违约3次及以上，甲方有权解除合同并没收履约保证金</w:t>
      </w:r>
      <w:r>
        <w:rPr>
          <w:rFonts w:hint="eastAsia" w:ascii="宋体" w:hAnsi="宋体" w:cs="宋体"/>
          <w:color w:val="auto"/>
          <w:szCs w:val="20"/>
          <w:highlight w:val="none"/>
        </w:rPr>
        <w:t>。</w:t>
      </w:r>
    </w:p>
    <w:p w14:paraId="18F9E192">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6. 乙方提供的货物在质量保证期内，因设计、工艺或者材料的缺陷和其他质量原因造成的问题，由乙方负责，费用从余款或者履约保证金</w:t>
      </w:r>
      <w:r>
        <w:rPr>
          <w:rFonts w:hint="eastAsia"/>
          <w:color w:val="auto"/>
          <w:highlight w:val="none"/>
        </w:rPr>
        <w:t>（如有）</w:t>
      </w:r>
      <w:r>
        <w:rPr>
          <w:rFonts w:hint="eastAsia" w:ascii="宋体" w:hAnsi="宋体" w:cs="宋体"/>
          <w:color w:val="auto"/>
          <w:szCs w:val="20"/>
          <w:highlight w:val="none"/>
        </w:rPr>
        <w:t>中扣除，不足另补。</w:t>
      </w:r>
    </w:p>
    <w:p w14:paraId="015A6A99">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7. 甲乙双方有其他违约行为的，由违约方向对方支付违约内容涉及货款额的5%，违约内容涉及货款额的5%不足以赔偿经济损失的按实际赔偿。</w:t>
      </w:r>
    </w:p>
    <w:p w14:paraId="66B08F7C">
      <w:pPr>
        <w:snapToGrid w:val="0"/>
        <w:spacing w:line="360" w:lineRule="auto"/>
        <w:ind w:firstLine="413" w:firstLineChars="196"/>
        <w:rPr>
          <w:rFonts w:hint="eastAsia" w:ascii="宋体" w:hAnsi="宋体" w:cs="宋体"/>
          <w:b/>
          <w:color w:val="auto"/>
          <w:szCs w:val="20"/>
          <w:highlight w:val="none"/>
        </w:rPr>
      </w:pPr>
      <w:r>
        <w:rPr>
          <w:rFonts w:hint="eastAsia" w:ascii="宋体" w:hAnsi="宋体" w:cs="宋体"/>
          <w:b/>
          <w:color w:val="auto"/>
          <w:szCs w:val="20"/>
          <w:highlight w:val="none"/>
        </w:rPr>
        <w:t>第十五条  不可抗力事件处理</w:t>
      </w:r>
    </w:p>
    <w:p w14:paraId="3D621A30">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1.在合同有效期内，任何一方因不可抗力事件导致不能履行合同，则合同履行期可延长，其延长期与不可抗力影响期相同。</w:t>
      </w:r>
    </w:p>
    <w:p w14:paraId="291C9283">
      <w:pPr>
        <w:snapToGrid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2.不可抗力事件发生后，应立即通知对方，并寄送有关权威机构出具的证明。</w:t>
      </w:r>
    </w:p>
    <w:p w14:paraId="723DA9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70753FBD">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第十六条  合同争议解决</w:t>
      </w:r>
    </w:p>
    <w:p w14:paraId="3618D43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34B9472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因履行本合同引起的或者与本合同有关的争议，甲乙双方应首先通过友好协商解决，如果协商不能解决，可向甲方所在地有管辖权的人民法院提起诉讼。</w:t>
      </w:r>
    </w:p>
    <w:p w14:paraId="5633E49D">
      <w:pPr>
        <w:snapToGrid w:val="0"/>
        <w:spacing w:line="360" w:lineRule="auto"/>
        <w:ind w:left="-61" w:firstLine="514"/>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755B1890">
      <w:pPr>
        <w:snapToGrid w:val="0"/>
        <w:spacing w:line="360" w:lineRule="auto"/>
        <w:ind w:firstLine="413" w:firstLineChars="196"/>
        <w:rPr>
          <w:rFonts w:hint="eastAsia" w:ascii="宋体" w:hAnsi="宋体" w:cs="宋体"/>
          <w:b/>
          <w:color w:val="auto"/>
          <w:szCs w:val="20"/>
          <w:highlight w:val="none"/>
        </w:rPr>
      </w:pPr>
      <w:r>
        <w:rPr>
          <w:rFonts w:hint="eastAsia" w:ascii="宋体" w:hAnsi="宋体" w:cs="宋体"/>
          <w:b/>
          <w:color w:val="auto"/>
          <w:szCs w:val="20"/>
          <w:highlight w:val="none"/>
        </w:rPr>
        <w:t>第十七条  合同生效及其他</w:t>
      </w:r>
    </w:p>
    <w:p w14:paraId="158D0903">
      <w:pPr>
        <w:snapToGrid w:val="0"/>
        <w:spacing w:line="360" w:lineRule="auto"/>
        <w:ind w:firstLine="420" w:firstLineChars="200"/>
        <w:rPr>
          <w:rFonts w:hint="eastAsia" w:ascii="宋体" w:hAnsi="宋体" w:cs="宋体"/>
          <w:bCs/>
          <w:color w:val="auto"/>
          <w:szCs w:val="20"/>
          <w:highlight w:val="none"/>
        </w:rPr>
      </w:pPr>
      <w:r>
        <w:rPr>
          <w:rFonts w:hint="eastAsia" w:ascii="宋体" w:hAnsi="宋体" w:cs="宋体"/>
          <w:bCs/>
          <w:color w:val="auto"/>
          <w:szCs w:val="20"/>
          <w:highlight w:val="none"/>
        </w:rPr>
        <w:t>1. 合同经双方法定代表人或者其委托代理人签字并加盖单位公章后生效（委托代理人签字的需后附法定代表人授权委托书，格式自拟）。</w:t>
      </w:r>
    </w:p>
    <w:p w14:paraId="2F4E6679">
      <w:pPr>
        <w:snapToGrid w:val="0"/>
        <w:spacing w:line="360" w:lineRule="auto"/>
        <w:ind w:firstLine="420" w:firstLineChars="200"/>
        <w:rPr>
          <w:rFonts w:hint="eastAsia" w:ascii="宋体" w:hAnsi="宋体" w:cs="宋体"/>
          <w:bCs/>
          <w:color w:val="auto"/>
          <w:szCs w:val="20"/>
          <w:highlight w:val="none"/>
        </w:rPr>
      </w:pPr>
      <w:r>
        <w:rPr>
          <w:rFonts w:hint="eastAsia" w:ascii="宋体" w:hAnsi="宋体" w:cs="宋体"/>
          <w:bCs/>
          <w:color w:val="auto"/>
          <w:szCs w:val="20"/>
          <w:highlight w:val="none"/>
        </w:rPr>
        <w:t>2.合同执行中涉及采购资金和采购内容修改或者补充的，须经财政部门审批，并签书面补充协议报财政部门备案，方可作为主合同不可分割的一部分。</w:t>
      </w:r>
    </w:p>
    <w:p w14:paraId="4BD4B387">
      <w:pPr>
        <w:snapToGrid w:val="0"/>
        <w:spacing w:line="360" w:lineRule="auto"/>
        <w:ind w:left="420" w:leftChars="200"/>
        <w:rPr>
          <w:rFonts w:hint="eastAsia" w:ascii="宋体" w:hAnsi="宋体" w:cs="宋体"/>
          <w:bCs/>
          <w:color w:val="auto"/>
          <w:szCs w:val="20"/>
          <w:highlight w:val="none"/>
        </w:rPr>
      </w:pPr>
      <w:r>
        <w:rPr>
          <w:rFonts w:hint="eastAsia" w:ascii="宋体" w:hAnsi="宋体" w:cs="宋体"/>
          <w:bCs/>
          <w:color w:val="auto"/>
          <w:szCs w:val="20"/>
          <w:highlight w:val="none"/>
        </w:rPr>
        <w:t>3.本合同未尽事宜，遵照《中华人民共和国民法典》有关条文执行。</w:t>
      </w:r>
    </w:p>
    <w:p w14:paraId="1AE70FF7">
      <w:pPr>
        <w:snapToGrid w:val="0"/>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第十八条　</w:t>
      </w:r>
      <w:r>
        <w:rPr>
          <w:rFonts w:hint="eastAsia" w:ascii="宋体" w:hAnsi="宋体" w:cs="宋体"/>
          <w:bCs/>
          <w:color w:val="auto"/>
          <w:szCs w:val="21"/>
          <w:highlight w:val="none"/>
        </w:rPr>
        <w:t>合同的变更、终止与转让</w:t>
      </w:r>
    </w:p>
    <w:p w14:paraId="518F64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除《中华人民共和国政府采购法》第五十条规定的情形外，本合同一经签订，甲乙双方不得擅自变更、中止或者终止。</w:t>
      </w:r>
    </w:p>
    <w:p w14:paraId="66188C37">
      <w:pPr>
        <w:snapToGrid w:val="0"/>
        <w:spacing w:line="360" w:lineRule="auto"/>
        <w:ind w:left="-61" w:firstLine="514"/>
        <w:rPr>
          <w:rFonts w:hint="eastAsia" w:ascii="宋体" w:hAnsi="宋体" w:cs="宋体"/>
          <w:color w:val="auto"/>
          <w:szCs w:val="21"/>
          <w:highlight w:val="none"/>
        </w:rPr>
      </w:pPr>
      <w:r>
        <w:rPr>
          <w:rFonts w:hint="eastAsia" w:ascii="宋体" w:hAnsi="宋体" w:cs="宋体"/>
          <w:color w:val="auto"/>
          <w:szCs w:val="21"/>
          <w:highlight w:val="none"/>
        </w:rPr>
        <w:t>2. 乙方不得擅自转让（无进口资格的供应商委托进口货物除外）其应履行的合同义务。</w:t>
      </w:r>
    </w:p>
    <w:p w14:paraId="2ECBBE64">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pacing w:val="-2"/>
          <w:kern w:val="0"/>
          <w:szCs w:val="21"/>
          <w:highlight w:val="none"/>
        </w:rPr>
        <w:t>本</w:t>
      </w:r>
      <w:r>
        <w:rPr>
          <w:rFonts w:hint="eastAsia" w:ascii="宋体" w:hAnsi="宋体" w:cs="宋体"/>
          <w:color w:val="auto"/>
          <w:kern w:val="0"/>
          <w:szCs w:val="21"/>
          <w:highlight w:val="none"/>
        </w:rPr>
        <w:t>合同书</w:t>
      </w:r>
      <w:r>
        <w:rPr>
          <w:rFonts w:hint="eastAsia" w:ascii="宋体" w:hAnsi="宋体" w:cs="宋体"/>
          <w:color w:val="auto"/>
          <w:spacing w:val="-2"/>
          <w:kern w:val="0"/>
          <w:szCs w:val="21"/>
          <w:highlight w:val="none"/>
        </w:rPr>
        <w:t>与</w:t>
      </w:r>
      <w:r>
        <w:rPr>
          <w:rFonts w:hint="eastAsia" w:ascii="宋体" w:hAnsi="宋体" w:cs="宋体"/>
          <w:color w:val="auto"/>
          <w:kern w:val="0"/>
          <w:szCs w:val="21"/>
          <w:highlight w:val="none"/>
        </w:rPr>
        <w:t>下</w:t>
      </w:r>
      <w:r>
        <w:rPr>
          <w:rFonts w:hint="eastAsia" w:ascii="宋体" w:hAnsi="宋体" w:cs="宋体"/>
          <w:color w:val="auto"/>
          <w:spacing w:val="-2"/>
          <w:kern w:val="0"/>
          <w:szCs w:val="21"/>
          <w:highlight w:val="none"/>
        </w:rPr>
        <w:t>列</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件一</w:t>
      </w:r>
      <w:r>
        <w:rPr>
          <w:rFonts w:hint="eastAsia" w:ascii="宋体" w:hAnsi="宋体" w:cs="宋体"/>
          <w:color w:val="auto"/>
          <w:kern w:val="0"/>
          <w:szCs w:val="21"/>
          <w:highlight w:val="none"/>
        </w:rPr>
        <w:t>起构</w:t>
      </w:r>
      <w:r>
        <w:rPr>
          <w:rFonts w:hint="eastAsia" w:ascii="宋体" w:hAnsi="宋体" w:cs="宋体"/>
          <w:color w:val="auto"/>
          <w:spacing w:val="-2"/>
          <w:kern w:val="0"/>
          <w:szCs w:val="21"/>
          <w:highlight w:val="none"/>
        </w:rPr>
        <w:t>成</w:t>
      </w:r>
      <w:r>
        <w:rPr>
          <w:rFonts w:hint="eastAsia" w:ascii="宋体" w:hAnsi="宋体" w:cs="宋体"/>
          <w:color w:val="auto"/>
          <w:kern w:val="0"/>
          <w:szCs w:val="21"/>
          <w:highlight w:val="none"/>
        </w:rPr>
        <w:t>合</w:t>
      </w:r>
      <w:r>
        <w:rPr>
          <w:rFonts w:hint="eastAsia" w:ascii="宋体" w:hAnsi="宋体" w:cs="宋体"/>
          <w:color w:val="auto"/>
          <w:spacing w:val="-2"/>
          <w:kern w:val="0"/>
          <w:szCs w:val="21"/>
          <w:highlight w:val="none"/>
        </w:rPr>
        <w:t>同</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p>
    <w:p w14:paraId="6EE23295">
      <w:pPr>
        <w:snapToGrid w:val="0"/>
        <w:spacing w:line="360" w:lineRule="auto"/>
        <w:ind w:left="420" w:leftChars="200"/>
        <w:rPr>
          <w:rFonts w:hint="eastAsia" w:ascii="宋体" w:hAnsi="宋体" w:cs="宋体"/>
          <w:color w:val="auto"/>
          <w:szCs w:val="20"/>
          <w:highlight w:val="none"/>
        </w:rPr>
      </w:pPr>
      <w:r>
        <w:rPr>
          <w:rFonts w:hint="eastAsia" w:ascii="宋体" w:hAnsi="宋体" w:cs="宋体"/>
          <w:color w:val="auto"/>
          <w:szCs w:val="20"/>
          <w:highlight w:val="none"/>
        </w:rPr>
        <w:t>1.中标通知书；</w:t>
      </w:r>
    </w:p>
    <w:p w14:paraId="11AC52B4">
      <w:pPr>
        <w:snapToGrid w:val="0"/>
        <w:spacing w:line="360" w:lineRule="auto"/>
        <w:ind w:left="420" w:leftChars="200"/>
        <w:rPr>
          <w:rFonts w:hint="eastAsia" w:ascii="宋体" w:hAnsi="宋体" w:cs="宋体"/>
          <w:color w:val="auto"/>
          <w:szCs w:val="20"/>
          <w:highlight w:val="none"/>
        </w:rPr>
      </w:pPr>
      <w:r>
        <w:rPr>
          <w:rFonts w:hint="eastAsia" w:ascii="宋体" w:hAnsi="宋体" w:cs="宋体"/>
          <w:color w:val="auto"/>
          <w:szCs w:val="20"/>
          <w:highlight w:val="none"/>
        </w:rPr>
        <w:t>2.投标函；</w:t>
      </w:r>
    </w:p>
    <w:p w14:paraId="09FC482D">
      <w:pPr>
        <w:snapToGrid w:val="0"/>
        <w:spacing w:line="360" w:lineRule="auto"/>
        <w:ind w:left="420" w:leftChars="200"/>
        <w:rPr>
          <w:rFonts w:hint="eastAsia" w:ascii="宋体" w:hAnsi="宋体" w:cs="宋体"/>
          <w:color w:val="auto"/>
          <w:szCs w:val="20"/>
          <w:highlight w:val="none"/>
        </w:rPr>
      </w:pPr>
      <w:r>
        <w:rPr>
          <w:rFonts w:hint="eastAsia" w:ascii="宋体" w:hAnsi="宋体" w:cs="宋体"/>
          <w:color w:val="auto"/>
          <w:szCs w:val="20"/>
          <w:highlight w:val="none"/>
        </w:rPr>
        <w:t>3.商务条款偏离表和</w:t>
      </w:r>
      <w:r>
        <w:rPr>
          <w:rFonts w:hint="eastAsia" w:ascii="宋体" w:hAnsi="宋体" w:cs="宋体"/>
          <w:color w:val="auto"/>
          <w:szCs w:val="21"/>
          <w:highlight w:val="none"/>
        </w:rPr>
        <w:t>技术需求偏离表</w:t>
      </w:r>
      <w:r>
        <w:rPr>
          <w:rFonts w:hint="eastAsia" w:ascii="宋体" w:hAnsi="宋体" w:cs="宋体"/>
          <w:color w:val="auto"/>
          <w:szCs w:val="20"/>
          <w:highlight w:val="none"/>
        </w:rPr>
        <w:t>；</w:t>
      </w:r>
    </w:p>
    <w:p w14:paraId="1E9F3A4F">
      <w:pPr>
        <w:snapToGrid w:val="0"/>
        <w:spacing w:line="360" w:lineRule="auto"/>
        <w:ind w:left="420" w:leftChars="200"/>
        <w:rPr>
          <w:rFonts w:hint="eastAsia" w:ascii="宋体" w:hAnsi="宋体" w:cs="宋体"/>
          <w:color w:val="auto"/>
          <w:szCs w:val="20"/>
          <w:highlight w:val="none"/>
        </w:rPr>
      </w:pPr>
      <w:r>
        <w:rPr>
          <w:rFonts w:hint="eastAsia" w:ascii="宋体" w:hAnsi="宋体" w:cs="宋体"/>
          <w:color w:val="auto"/>
          <w:szCs w:val="20"/>
          <w:highlight w:val="none"/>
        </w:rPr>
        <w:t>4.采购需求；</w:t>
      </w:r>
    </w:p>
    <w:p w14:paraId="7BC98734">
      <w:pPr>
        <w:snapToGrid w:val="0"/>
        <w:spacing w:line="360" w:lineRule="auto"/>
        <w:ind w:left="420" w:leftChars="200"/>
        <w:rPr>
          <w:rFonts w:hint="eastAsia" w:ascii="宋体" w:hAnsi="宋体" w:cs="宋体"/>
          <w:color w:val="auto"/>
          <w:szCs w:val="20"/>
          <w:highlight w:val="none"/>
        </w:rPr>
      </w:pPr>
      <w:r>
        <w:rPr>
          <w:rFonts w:hint="eastAsia" w:ascii="宋体" w:hAnsi="宋体" w:cs="宋体"/>
          <w:color w:val="auto"/>
          <w:szCs w:val="20"/>
          <w:highlight w:val="none"/>
        </w:rPr>
        <w:t>5.开标一览表；</w:t>
      </w:r>
    </w:p>
    <w:p w14:paraId="0C9E8B3F">
      <w:pPr>
        <w:snapToGrid w:val="0"/>
        <w:spacing w:line="360" w:lineRule="auto"/>
        <w:ind w:left="420" w:leftChars="200"/>
        <w:rPr>
          <w:rFonts w:hint="eastAsia" w:ascii="宋体" w:hAnsi="宋体" w:cs="宋体"/>
          <w:color w:val="auto"/>
          <w:szCs w:val="20"/>
          <w:highlight w:val="none"/>
        </w:rPr>
      </w:pPr>
      <w:r>
        <w:rPr>
          <w:rFonts w:hint="eastAsia" w:ascii="宋体" w:hAnsi="宋体" w:cs="宋体"/>
          <w:color w:val="auto"/>
          <w:szCs w:val="20"/>
          <w:highlight w:val="none"/>
        </w:rPr>
        <w:t>6.其他合同文件。</w:t>
      </w:r>
    </w:p>
    <w:p w14:paraId="3047A6D2">
      <w:pPr>
        <w:snapToGrid w:val="0"/>
        <w:spacing w:line="360" w:lineRule="auto"/>
        <w:ind w:firstLine="420" w:firstLineChars="200"/>
        <w:rPr>
          <w:rFonts w:hint="eastAsia" w:ascii="宋体" w:hAnsi="宋体" w:cs="宋体"/>
          <w:b/>
          <w:color w:val="auto"/>
          <w:szCs w:val="20"/>
          <w:highlight w:val="none"/>
        </w:rPr>
      </w:pPr>
      <w:r>
        <w:rPr>
          <w:rFonts w:hint="eastAsia" w:ascii="宋体" w:hAnsi="宋体" w:cs="宋体"/>
          <w:color w:val="auto"/>
          <w:szCs w:val="20"/>
          <w:highlight w:val="none"/>
        </w:rPr>
        <w:t>7.上述合同文件互相补充和解释。如果合同文件之间存在矛盾或者不一致之处，以上述文件的排列顺序在先者为准。</w:t>
      </w:r>
    </w:p>
    <w:p w14:paraId="4AA1730F">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第二十条　</w:t>
      </w:r>
      <w:r>
        <w:rPr>
          <w:rFonts w:hint="eastAsia" w:ascii="宋体" w:hAnsi="宋体" w:cs="宋体"/>
          <w:color w:val="auto"/>
          <w:szCs w:val="21"/>
          <w:highlight w:val="none"/>
        </w:rPr>
        <w:t>本合同一式伍份，具有同等法律效力，财政部门（政府采购监管部门）、采购代理机构各一份，甲方二份，乙方一份（可根据需要另增加）。</w:t>
      </w:r>
    </w:p>
    <w:p w14:paraId="4C28B8EC">
      <w:pPr>
        <w:snapToGrid w:val="0"/>
        <w:spacing w:line="360" w:lineRule="auto"/>
        <w:ind w:left="-61" w:firstLine="514"/>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7075E6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9"/>
        <w:gridCol w:w="4920"/>
      </w:tblGrid>
      <w:tr w14:paraId="369D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4919" w:type="dxa"/>
            <w:vAlign w:val="center"/>
          </w:tcPr>
          <w:p w14:paraId="2A678D7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0984036D">
            <w:pPr>
              <w:snapToGrid w:val="0"/>
              <w:spacing w:line="360" w:lineRule="auto"/>
              <w:rPr>
                <w:rFonts w:hint="eastAsia" w:ascii="宋体" w:hAnsi="宋体" w:cs="宋体"/>
                <w:color w:val="auto"/>
                <w:szCs w:val="21"/>
                <w:highlight w:val="none"/>
              </w:rPr>
            </w:pPr>
          </w:p>
          <w:p w14:paraId="6AD7D56C">
            <w:pPr>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920" w:type="dxa"/>
            <w:vAlign w:val="center"/>
          </w:tcPr>
          <w:p w14:paraId="0BE855D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522B6C7A">
            <w:pPr>
              <w:snapToGrid w:val="0"/>
              <w:spacing w:line="360" w:lineRule="auto"/>
              <w:rPr>
                <w:rFonts w:hint="eastAsia" w:ascii="宋体" w:hAnsi="宋体" w:cs="宋体"/>
                <w:color w:val="auto"/>
                <w:szCs w:val="21"/>
                <w:highlight w:val="none"/>
              </w:rPr>
            </w:pPr>
          </w:p>
          <w:p w14:paraId="4A75B8BD">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EEE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14:paraId="16B4FF8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920" w:type="dxa"/>
            <w:vAlign w:val="center"/>
          </w:tcPr>
          <w:p w14:paraId="24FE72B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660E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tcPr>
          <w:p w14:paraId="2E175CD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法定代表人或者其委托代理人：</w:t>
            </w:r>
          </w:p>
        </w:tc>
        <w:tc>
          <w:tcPr>
            <w:tcW w:w="4920" w:type="dxa"/>
          </w:tcPr>
          <w:p w14:paraId="1BECF4B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法定代表人或者其委托代理人：</w:t>
            </w:r>
          </w:p>
        </w:tc>
      </w:tr>
      <w:tr w14:paraId="2373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14:paraId="2C89B7C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920" w:type="dxa"/>
            <w:vAlign w:val="center"/>
          </w:tcPr>
          <w:p w14:paraId="08E82D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0E20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14:paraId="37987D4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920" w:type="dxa"/>
            <w:vAlign w:val="center"/>
          </w:tcPr>
          <w:p w14:paraId="02F3374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7532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14:paraId="522111F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920" w:type="dxa"/>
            <w:vAlign w:val="center"/>
          </w:tcPr>
          <w:p w14:paraId="6DB574C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26FA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14:paraId="29891B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920" w:type="dxa"/>
            <w:vAlign w:val="center"/>
          </w:tcPr>
          <w:p w14:paraId="6A513CF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5188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4919" w:type="dxa"/>
            <w:vAlign w:val="center"/>
          </w:tcPr>
          <w:p w14:paraId="350FFF6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920" w:type="dxa"/>
            <w:vAlign w:val="center"/>
          </w:tcPr>
          <w:p w14:paraId="30C6039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18216A1B">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合 同 附 件</w:t>
      </w:r>
    </w:p>
    <w:p w14:paraId="37FCCD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一般货物类</w:t>
      </w:r>
    </w:p>
    <w:tbl>
      <w:tblPr>
        <w:tblStyle w:val="26"/>
        <w:tblW w:w="8522" w:type="dxa"/>
        <w:tblInd w:w="0" w:type="dxa"/>
        <w:tblLayout w:type="fixed"/>
        <w:tblCellMar>
          <w:top w:w="0" w:type="dxa"/>
          <w:left w:w="108" w:type="dxa"/>
          <w:bottom w:w="0" w:type="dxa"/>
          <w:right w:w="108" w:type="dxa"/>
        </w:tblCellMar>
      </w:tblPr>
      <w:tblGrid>
        <w:gridCol w:w="4248"/>
        <w:gridCol w:w="4274"/>
      </w:tblGrid>
      <w:tr w14:paraId="15E186B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7A18DFFF">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 乙方承诺具体事项：</w:t>
            </w:r>
          </w:p>
        </w:tc>
      </w:tr>
      <w:tr w14:paraId="6F09E0CB">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73876B68">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 售后服务具体事项：</w:t>
            </w:r>
          </w:p>
        </w:tc>
      </w:tr>
      <w:tr w14:paraId="3B7B4ED9">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71C43E3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 保修期责任：</w:t>
            </w:r>
          </w:p>
        </w:tc>
      </w:tr>
      <w:tr w14:paraId="461CD6D9">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592F328B">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 其他具体事项：</w:t>
            </w:r>
          </w:p>
        </w:tc>
      </w:tr>
      <w:tr w14:paraId="7B9BA978">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1FCEC511">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甲方（章）</w:t>
            </w:r>
          </w:p>
          <w:p w14:paraId="185A6694">
            <w:pPr>
              <w:snapToGrid w:val="0"/>
              <w:spacing w:line="360" w:lineRule="auto"/>
              <w:ind w:firstLine="422" w:firstLineChars="200"/>
              <w:rPr>
                <w:rFonts w:hint="eastAsia" w:ascii="宋体" w:hAnsi="宋体" w:cs="宋体"/>
                <w:b/>
                <w:color w:val="auto"/>
                <w:szCs w:val="21"/>
                <w:highlight w:val="none"/>
              </w:rPr>
            </w:pPr>
          </w:p>
          <w:p w14:paraId="4509D351">
            <w:pPr>
              <w:snapToGrid w:val="0"/>
              <w:spacing w:line="360" w:lineRule="auto"/>
              <w:rPr>
                <w:rFonts w:hint="eastAsia" w:ascii="宋体" w:hAnsi="宋体" w:cs="宋体"/>
                <w:b/>
                <w:color w:val="auto"/>
                <w:szCs w:val="21"/>
                <w:highlight w:val="none"/>
              </w:rPr>
            </w:pPr>
          </w:p>
          <w:p w14:paraId="34CBDE9D">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46071FF4">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乙方（章）</w:t>
            </w:r>
          </w:p>
          <w:p w14:paraId="3A30294D">
            <w:pPr>
              <w:snapToGrid w:val="0"/>
              <w:spacing w:line="360" w:lineRule="auto"/>
              <w:ind w:firstLine="422" w:firstLineChars="200"/>
              <w:rPr>
                <w:rFonts w:hint="eastAsia" w:ascii="宋体" w:hAnsi="宋体" w:cs="宋体"/>
                <w:b/>
                <w:color w:val="auto"/>
                <w:szCs w:val="21"/>
                <w:highlight w:val="none"/>
              </w:rPr>
            </w:pPr>
          </w:p>
          <w:p w14:paraId="50AD72C4">
            <w:pPr>
              <w:snapToGrid w:val="0"/>
              <w:spacing w:line="360" w:lineRule="auto"/>
              <w:rPr>
                <w:rFonts w:hint="eastAsia" w:ascii="宋体" w:hAnsi="宋体" w:cs="宋体"/>
                <w:b/>
                <w:color w:val="auto"/>
                <w:szCs w:val="21"/>
                <w:highlight w:val="none"/>
              </w:rPr>
            </w:pPr>
          </w:p>
          <w:p w14:paraId="6409949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年   月   日</w:t>
            </w:r>
          </w:p>
        </w:tc>
      </w:tr>
    </w:tbl>
    <w:p w14:paraId="79AFE3E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注：售后服务事项填不下时可另加附页</w:t>
      </w:r>
    </w:p>
    <w:p w14:paraId="6D986B40">
      <w:pPr>
        <w:snapToGrid w:val="0"/>
        <w:spacing w:line="360" w:lineRule="auto"/>
        <w:jc w:val="left"/>
        <w:rPr>
          <w:rFonts w:hint="eastAsia" w:ascii="宋体" w:hAnsi="宋体" w:cs="宋体"/>
          <w:color w:val="auto"/>
          <w:szCs w:val="21"/>
          <w:highlight w:val="none"/>
        </w:rPr>
      </w:pPr>
    </w:p>
    <w:p w14:paraId="33C871FB">
      <w:pPr>
        <w:spacing w:line="360" w:lineRule="auto"/>
        <w:rPr>
          <w:rFonts w:hint="eastAsia" w:ascii="宋体" w:hAnsi="宋体" w:cs="宋体"/>
          <w:b/>
          <w:color w:val="auto"/>
          <w:sz w:val="36"/>
          <w:szCs w:val="20"/>
          <w:highlight w:val="none"/>
        </w:rPr>
      </w:pPr>
    </w:p>
    <w:p w14:paraId="204BCE89">
      <w:pPr>
        <w:rPr>
          <w:color w:val="auto"/>
          <w:sz w:val="15"/>
          <w:szCs w:val="15"/>
          <w:highlight w:val="none"/>
        </w:rPr>
      </w:pPr>
      <w:r>
        <w:rPr>
          <w:color w:val="auto"/>
          <w:sz w:val="15"/>
          <w:szCs w:val="15"/>
          <w:highlight w:val="none"/>
        </w:rPr>
        <w:br w:type="page"/>
      </w:r>
    </w:p>
    <w:p w14:paraId="4A4205E0">
      <w:pPr>
        <w:pStyle w:val="15"/>
        <w:tabs>
          <w:tab w:val="left" w:pos="2472"/>
        </w:tabs>
        <w:spacing w:line="460" w:lineRule="exact"/>
        <w:jc w:val="center"/>
        <w:outlineLvl w:val="0"/>
        <w:rPr>
          <w:rFonts w:hint="eastAsia" w:hAnsi="宋体" w:cs="宋体"/>
          <w:b/>
          <w:color w:val="auto"/>
          <w:sz w:val="36"/>
          <w:highlight w:val="none"/>
        </w:rPr>
      </w:pPr>
      <w:bookmarkStart w:id="256" w:name="_Toc27021"/>
      <w:bookmarkStart w:id="257" w:name="_Toc8784"/>
      <w:bookmarkStart w:id="258" w:name="_Toc21691"/>
      <w:bookmarkStart w:id="259" w:name="_Toc10298"/>
      <w:bookmarkStart w:id="260" w:name="_Toc8074"/>
      <w:bookmarkStart w:id="261" w:name="_Toc14291"/>
      <w:bookmarkStart w:id="262" w:name="_Toc23759"/>
      <w:bookmarkStart w:id="263" w:name="_Toc20288"/>
      <w:bookmarkStart w:id="264" w:name="_Toc19166"/>
      <w:bookmarkStart w:id="265" w:name="_Toc7880"/>
    </w:p>
    <w:p w14:paraId="11702534">
      <w:pPr>
        <w:pStyle w:val="15"/>
        <w:tabs>
          <w:tab w:val="left" w:pos="2472"/>
        </w:tabs>
        <w:spacing w:line="460" w:lineRule="exact"/>
        <w:jc w:val="center"/>
        <w:outlineLvl w:val="0"/>
        <w:rPr>
          <w:rFonts w:hint="eastAsia" w:hAnsi="宋体" w:cs="宋体"/>
          <w:b/>
          <w:color w:val="auto"/>
          <w:sz w:val="36"/>
          <w:highlight w:val="none"/>
        </w:rPr>
      </w:pPr>
    </w:p>
    <w:p w14:paraId="34D08328">
      <w:pPr>
        <w:pStyle w:val="15"/>
        <w:tabs>
          <w:tab w:val="left" w:pos="2472"/>
        </w:tabs>
        <w:spacing w:line="460" w:lineRule="exact"/>
        <w:jc w:val="center"/>
        <w:outlineLvl w:val="0"/>
        <w:rPr>
          <w:rFonts w:hint="eastAsia" w:hAnsi="宋体" w:cs="宋体"/>
          <w:b/>
          <w:color w:val="auto"/>
          <w:sz w:val="36"/>
          <w:highlight w:val="none"/>
        </w:rPr>
      </w:pPr>
    </w:p>
    <w:p w14:paraId="022E6F8D">
      <w:pPr>
        <w:pStyle w:val="15"/>
        <w:tabs>
          <w:tab w:val="left" w:pos="2472"/>
        </w:tabs>
        <w:spacing w:line="460" w:lineRule="exact"/>
        <w:jc w:val="center"/>
        <w:outlineLvl w:val="0"/>
        <w:rPr>
          <w:rFonts w:hint="eastAsia" w:hAnsi="宋体" w:cs="宋体"/>
          <w:b/>
          <w:color w:val="auto"/>
          <w:sz w:val="36"/>
          <w:highlight w:val="none"/>
        </w:rPr>
      </w:pPr>
    </w:p>
    <w:p w14:paraId="72BF5254">
      <w:pPr>
        <w:pStyle w:val="15"/>
        <w:tabs>
          <w:tab w:val="left" w:pos="2472"/>
        </w:tabs>
        <w:spacing w:line="460" w:lineRule="exact"/>
        <w:jc w:val="center"/>
        <w:outlineLvl w:val="0"/>
        <w:rPr>
          <w:rFonts w:hint="eastAsia" w:hAnsi="宋体" w:cs="宋体"/>
          <w:b/>
          <w:color w:val="auto"/>
          <w:sz w:val="36"/>
          <w:highlight w:val="none"/>
        </w:rPr>
      </w:pPr>
    </w:p>
    <w:p w14:paraId="03B89061">
      <w:pPr>
        <w:pStyle w:val="15"/>
        <w:tabs>
          <w:tab w:val="left" w:pos="2472"/>
        </w:tabs>
        <w:spacing w:line="460" w:lineRule="exact"/>
        <w:jc w:val="center"/>
        <w:outlineLvl w:val="0"/>
        <w:rPr>
          <w:rFonts w:hint="eastAsia" w:hAnsi="宋体" w:cs="宋体"/>
          <w:b/>
          <w:color w:val="auto"/>
          <w:sz w:val="36"/>
          <w:highlight w:val="none"/>
        </w:rPr>
      </w:pPr>
    </w:p>
    <w:p w14:paraId="3151429B">
      <w:pPr>
        <w:pStyle w:val="15"/>
        <w:tabs>
          <w:tab w:val="left" w:pos="2472"/>
        </w:tabs>
        <w:spacing w:line="460" w:lineRule="exact"/>
        <w:jc w:val="center"/>
        <w:outlineLvl w:val="0"/>
        <w:rPr>
          <w:rFonts w:hint="eastAsia" w:hAnsi="宋体" w:cs="宋体"/>
          <w:b/>
          <w:color w:val="auto"/>
          <w:sz w:val="36"/>
          <w:highlight w:val="none"/>
        </w:rPr>
      </w:pPr>
    </w:p>
    <w:p w14:paraId="4BAAD82B">
      <w:pPr>
        <w:pStyle w:val="15"/>
        <w:tabs>
          <w:tab w:val="left" w:pos="2472"/>
        </w:tabs>
        <w:spacing w:line="460" w:lineRule="exact"/>
        <w:jc w:val="center"/>
        <w:outlineLvl w:val="0"/>
        <w:rPr>
          <w:rFonts w:hint="eastAsia" w:hAnsi="宋体" w:cs="宋体"/>
          <w:b/>
          <w:color w:val="auto"/>
          <w:sz w:val="36"/>
          <w:highlight w:val="none"/>
        </w:rPr>
      </w:pPr>
    </w:p>
    <w:p w14:paraId="12052B5F">
      <w:pPr>
        <w:pStyle w:val="15"/>
        <w:tabs>
          <w:tab w:val="left" w:pos="2472"/>
        </w:tabs>
        <w:spacing w:line="460" w:lineRule="exact"/>
        <w:jc w:val="center"/>
        <w:outlineLvl w:val="0"/>
        <w:rPr>
          <w:rFonts w:hint="eastAsia" w:hAnsi="宋体" w:cs="宋体"/>
          <w:b/>
          <w:color w:val="auto"/>
          <w:sz w:val="36"/>
          <w:highlight w:val="none"/>
        </w:rPr>
      </w:pPr>
    </w:p>
    <w:p w14:paraId="4058B072">
      <w:pPr>
        <w:pStyle w:val="15"/>
        <w:tabs>
          <w:tab w:val="left" w:pos="2472"/>
        </w:tabs>
        <w:spacing w:line="460" w:lineRule="exact"/>
        <w:jc w:val="center"/>
        <w:outlineLvl w:val="0"/>
        <w:rPr>
          <w:rFonts w:hint="eastAsia" w:hAnsi="宋体" w:cs="宋体"/>
          <w:b/>
          <w:color w:val="auto"/>
          <w:sz w:val="36"/>
          <w:highlight w:val="none"/>
        </w:rPr>
      </w:pPr>
    </w:p>
    <w:p w14:paraId="23B58432">
      <w:pPr>
        <w:pStyle w:val="15"/>
        <w:tabs>
          <w:tab w:val="left" w:pos="2472"/>
        </w:tabs>
        <w:spacing w:line="460" w:lineRule="exact"/>
        <w:jc w:val="center"/>
        <w:outlineLvl w:val="0"/>
        <w:rPr>
          <w:rFonts w:hint="eastAsia" w:hAnsi="宋体" w:cs="宋体"/>
          <w:b/>
          <w:color w:val="auto"/>
          <w:sz w:val="36"/>
          <w:highlight w:val="none"/>
        </w:rPr>
      </w:pPr>
    </w:p>
    <w:p w14:paraId="68604B7C">
      <w:pPr>
        <w:pStyle w:val="15"/>
        <w:tabs>
          <w:tab w:val="left" w:pos="2472"/>
        </w:tabs>
        <w:spacing w:line="460" w:lineRule="exact"/>
        <w:jc w:val="center"/>
        <w:outlineLvl w:val="0"/>
        <w:rPr>
          <w:rFonts w:hint="eastAsia" w:hAnsi="宋体" w:cs="宋体"/>
          <w:b/>
          <w:color w:val="auto"/>
          <w:sz w:val="36"/>
          <w:highlight w:val="none"/>
        </w:rPr>
      </w:pPr>
    </w:p>
    <w:p w14:paraId="280C6CB7">
      <w:pPr>
        <w:pStyle w:val="15"/>
        <w:tabs>
          <w:tab w:val="left" w:pos="2472"/>
        </w:tabs>
        <w:spacing w:line="460" w:lineRule="exact"/>
        <w:jc w:val="center"/>
        <w:outlineLvl w:val="0"/>
        <w:rPr>
          <w:rFonts w:hint="eastAsia" w:hAnsi="宋体" w:cs="宋体"/>
          <w:b/>
          <w:color w:val="auto"/>
          <w:sz w:val="36"/>
          <w:highlight w:val="none"/>
        </w:rPr>
      </w:pPr>
    </w:p>
    <w:p w14:paraId="507A84DE">
      <w:pPr>
        <w:pStyle w:val="15"/>
        <w:tabs>
          <w:tab w:val="left" w:pos="2472"/>
        </w:tabs>
        <w:spacing w:line="460" w:lineRule="exact"/>
        <w:jc w:val="center"/>
        <w:outlineLvl w:val="0"/>
        <w:rPr>
          <w:rFonts w:hint="eastAsia" w:hAnsi="宋体" w:cs="宋体"/>
          <w:b/>
          <w:color w:val="auto"/>
          <w:sz w:val="36"/>
          <w:highlight w:val="none"/>
        </w:rPr>
      </w:pPr>
      <w:bookmarkStart w:id="266" w:name="_Toc28419"/>
      <w:r>
        <w:rPr>
          <w:rFonts w:hint="eastAsia" w:hAnsi="宋体" w:cs="宋体"/>
          <w:b/>
          <w:color w:val="auto"/>
          <w:sz w:val="36"/>
          <w:highlight w:val="none"/>
        </w:rPr>
        <w:t>第六章 投标文件格式</w:t>
      </w:r>
      <w:bookmarkEnd w:id="256"/>
      <w:bookmarkEnd w:id="257"/>
      <w:bookmarkEnd w:id="258"/>
      <w:bookmarkEnd w:id="259"/>
      <w:bookmarkEnd w:id="260"/>
      <w:bookmarkEnd w:id="261"/>
      <w:bookmarkEnd w:id="262"/>
      <w:bookmarkEnd w:id="263"/>
      <w:bookmarkEnd w:id="264"/>
      <w:bookmarkEnd w:id="265"/>
      <w:bookmarkEnd w:id="266"/>
    </w:p>
    <w:p w14:paraId="7355FCF3">
      <w:pPr>
        <w:widowControl/>
        <w:spacing w:beforeAutospacing="1" w:line="360" w:lineRule="auto"/>
        <w:jc w:val="left"/>
        <w:rPr>
          <w:rFonts w:hint="eastAsia" w:ascii="宋体" w:hAnsi="宋体" w:cs="宋体"/>
          <w:color w:val="auto"/>
          <w:szCs w:val="20"/>
          <w:highlight w:val="none"/>
        </w:rPr>
        <w:sectPr>
          <w:pgSz w:w="11906" w:h="16838"/>
          <w:pgMar w:top="1134" w:right="1134" w:bottom="1134" w:left="1134" w:header="720" w:footer="720" w:gutter="0"/>
          <w:cols w:space="720" w:num="1"/>
          <w:docGrid w:type="lines" w:linePitch="331" w:charSpace="0"/>
        </w:sectPr>
      </w:pPr>
    </w:p>
    <w:p w14:paraId="1BFF31A1">
      <w:pPr>
        <w:pStyle w:val="15"/>
        <w:jc w:val="center"/>
        <w:outlineLvl w:val="1"/>
        <w:rPr>
          <w:rFonts w:hint="eastAsia" w:hAnsi="宋体" w:cs="宋体"/>
          <w:b/>
          <w:bCs/>
          <w:color w:val="auto"/>
          <w:sz w:val="28"/>
          <w:szCs w:val="28"/>
          <w:highlight w:val="none"/>
        </w:rPr>
      </w:pPr>
      <w:bookmarkStart w:id="267" w:name="_Toc16447"/>
      <w:bookmarkStart w:id="268" w:name="_Toc30455"/>
      <w:bookmarkStart w:id="269" w:name="_Toc29743"/>
      <w:bookmarkStart w:id="270" w:name="_Toc247"/>
      <w:bookmarkStart w:id="271" w:name="_Toc26915"/>
      <w:r>
        <w:rPr>
          <w:rFonts w:hint="eastAsia" w:hAnsi="宋体" w:cs="宋体"/>
          <w:b/>
          <w:bCs/>
          <w:color w:val="auto"/>
          <w:sz w:val="28"/>
          <w:szCs w:val="28"/>
          <w:highlight w:val="none"/>
        </w:rPr>
        <w:t>第一节 资格证明文件格式</w:t>
      </w:r>
      <w:bookmarkEnd w:id="267"/>
      <w:bookmarkEnd w:id="268"/>
      <w:bookmarkEnd w:id="269"/>
      <w:bookmarkEnd w:id="270"/>
      <w:bookmarkEnd w:id="271"/>
    </w:p>
    <w:p w14:paraId="1944B51E">
      <w:pPr>
        <w:pStyle w:val="15"/>
        <w:spacing w:line="360" w:lineRule="auto"/>
        <w:ind w:firstLine="420"/>
        <w:rPr>
          <w:rFonts w:hint="eastAsia" w:hAnsi="宋体" w:cs="宋体"/>
          <w:color w:val="auto"/>
          <w:sz w:val="24"/>
          <w:szCs w:val="24"/>
          <w:highlight w:val="none"/>
        </w:rPr>
      </w:pPr>
    </w:p>
    <w:p w14:paraId="78022EBB">
      <w:pPr>
        <w:pStyle w:val="15"/>
        <w:spacing w:line="360" w:lineRule="auto"/>
        <w:ind w:firstLine="420"/>
        <w:rPr>
          <w:rFonts w:hint="eastAsia" w:hAnsi="宋体" w:cs="宋体"/>
          <w:b/>
          <w:bCs/>
          <w:color w:val="auto"/>
          <w:sz w:val="24"/>
          <w:szCs w:val="24"/>
          <w:highlight w:val="none"/>
        </w:rPr>
      </w:pPr>
      <w:r>
        <w:rPr>
          <w:rFonts w:hint="eastAsia" w:hAnsi="宋体" w:cs="宋体"/>
          <w:b/>
          <w:bCs/>
          <w:color w:val="auto"/>
          <w:sz w:val="28"/>
          <w:szCs w:val="28"/>
          <w:highlight w:val="none"/>
        </w:rPr>
        <w:t>1.资格证明文件封面的格式</w:t>
      </w:r>
      <w:r>
        <w:rPr>
          <w:rFonts w:hint="eastAsia" w:hAnsi="宋体" w:cs="宋体"/>
          <w:b/>
          <w:color w:val="auto"/>
          <w:sz w:val="28"/>
          <w:szCs w:val="28"/>
          <w:highlight w:val="none"/>
        </w:rPr>
        <w:t>（参照此格式自拟）</w:t>
      </w:r>
      <w:r>
        <w:rPr>
          <w:rFonts w:hint="eastAsia" w:hAnsi="宋体" w:cs="宋体"/>
          <w:b/>
          <w:bCs/>
          <w:color w:val="auto"/>
          <w:sz w:val="28"/>
          <w:szCs w:val="28"/>
          <w:highlight w:val="none"/>
        </w:rPr>
        <w:t>：</w:t>
      </w:r>
      <w:r>
        <w:rPr>
          <w:rFonts w:hint="eastAsia" w:hAnsi="宋体" w:cs="宋体"/>
          <w:b/>
          <w:bCs/>
          <w:color w:val="auto"/>
          <w:sz w:val="24"/>
          <w:szCs w:val="24"/>
          <w:highlight w:val="none"/>
        </w:rPr>
        <w:t xml:space="preserve"> </w:t>
      </w:r>
    </w:p>
    <w:p w14:paraId="3950D049">
      <w:pPr>
        <w:pStyle w:val="8"/>
        <w:rPr>
          <w:color w:val="auto"/>
          <w:highlight w:val="none"/>
        </w:rPr>
      </w:pPr>
    </w:p>
    <w:p w14:paraId="6F1C6DD6">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84CB38D">
      <w:pPr>
        <w:snapToGrid w:val="0"/>
        <w:spacing w:before="165" w:beforeLines="50" w:after="50"/>
        <w:rPr>
          <w:rFonts w:hint="eastAsia" w:ascii="宋体" w:hAnsi="宋体" w:cs="宋体"/>
          <w:color w:val="auto"/>
          <w:sz w:val="24"/>
          <w:szCs w:val="20"/>
          <w:highlight w:val="none"/>
        </w:rPr>
      </w:pPr>
    </w:p>
    <w:p w14:paraId="7883F6AF">
      <w:pPr>
        <w:snapToGrid w:val="0"/>
        <w:spacing w:before="165" w:beforeLines="50" w:after="50"/>
        <w:jc w:val="center"/>
        <w:rPr>
          <w:rFonts w:hint="eastAsia" w:ascii="宋体" w:hAnsi="宋体" w:cs="宋体"/>
          <w:b/>
          <w:color w:val="auto"/>
          <w:sz w:val="32"/>
          <w:szCs w:val="32"/>
          <w:highlight w:val="none"/>
        </w:rPr>
      </w:pPr>
    </w:p>
    <w:p w14:paraId="3805F342">
      <w:pPr>
        <w:snapToGrid w:val="0"/>
        <w:spacing w:before="165"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EDBC855">
      <w:pPr>
        <w:snapToGrid w:val="0"/>
        <w:spacing w:before="165" w:beforeLines="50" w:after="50"/>
        <w:rPr>
          <w:rFonts w:hint="eastAsia" w:ascii="宋体" w:hAnsi="宋体" w:cs="宋体"/>
          <w:bCs/>
          <w:color w:val="auto"/>
          <w:sz w:val="24"/>
          <w:szCs w:val="20"/>
          <w:highlight w:val="none"/>
        </w:rPr>
      </w:pPr>
    </w:p>
    <w:p w14:paraId="70D39A7D">
      <w:pPr>
        <w:snapToGrid w:val="0"/>
        <w:spacing w:before="165" w:beforeLines="50" w:after="50"/>
        <w:rPr>
          <w:rFonts w:hint="eastAsia" w:ascii="宋体" w:hAnsi="宋体" w:cs="宋体"/>
          <w:bCs/>
          <w:color w:val="auto"/>
          <w:sz w:val="24"/>
          <w:szCs w:val="20"/>
          <w:highlight w:val="none"/>
        </w:rPr>
      </w:pPr>
    </w:p>
    <w:p w14:paraId="148FE78D">
      <w:pPr>
        <w:snapToGrid w:val="0"/>
        <w:spacing w:before="165" w:beforeLines="50" w:after="50"/>
        <w:rPr>
          <w:rFonts w:hint="eastAsia" w:ascii="宋体" w:hAnsi="宋体" w:cs="宋体"/>
          <w:bCs/>
          <w:color w:val="auto"/>
          <w:sz w:val="24"/>
          <w:szCs w:val="20"/>
          <w:highlight w:val="none"/>
        </w:rPr>
      </w:pPr>
    </w:p>
    <w:p w14:paraId="31119DC2">
      <w:pPr>
        <w:snapToGrid w:val="0"/>
        <w:spacing w:before="165" w:beforeLines="50" w:after="50"/>
        <w:rPr>
          <w:rFonts w:hint="eastAsia" w:ascii="宋体" w:hAnsi="宋体" w:cs="宋体"/>
          <w:bCs/>
          <w:color w:val="auto"/>
          <w:sz w:val="24"/>
          <w:szCs w:val="20"/>
          <w:highlight w:val="none"/>
        </w:rPr>
      </w:pPr>
    </w:p>
    <w:p w14:paraId="48367BC1">
      <w:pPr>
        <w:snapToGrid w:val="0"/>
        <w:spacing w:before="165" w:beforeLines="50" w:after="50"/>
        <w:rPr>
          <w:rFonts w:hint="eastAsia" w:ascii="宋体" w:hAnsi="宋体" w:cs="宋体"/>
          <w:bCs/>
          <w:color w:val="auto"/>
          <w:sz w:val="24"/>
          <w:szCs w:val="20"/>
          <w:highlight w:val="none"/>
        </w:rPr>
      </w:pPr>
    </w:p>
    <w:p w14:paraId="3135174F">
      <w:pPr>
        <w:snapToGrid w:val="0"/>
        <w:spacing w:before="165" w:beforeLines="50" w:after="50"/>
        <w:rPr>
          <w:rFonts w:hint="eastAsia" w:ascii="宋体" w:hAnsi="宋体" w:cs="宋体"/>
          <w:bCs/>
          <w:color w:val="auto"/>
          <w:sz w:val="24"/>
          <w:szCs w:val="20"/>
          <w:highlight w:val="none"/>
        </w:rPr>
      </w:pPr>
    </w:p>
    <w:p w14:paraId="2151F995">
      <w:pPr>
        <w:snapToGrid w:val="0"/>
        <w:spacing w:before="165" w:beforeLines="50" w:after="50"/>
        <w:rPr>
          <w:rFonts w:hint="eastAsia" w:ascii="宋体" w:hAnsi="宋体" w:cs="宋体"/>
          <w:bCs/>
          <w:color w:val="auto"/>
          <w:sz w:val="24"/>
          <w:szCs w:val="20"/>
          <w:highlight w:val="none"/>
        </w:rPr>
      </w:pPr>
    </w:p>
    <w:p w14:paraId="7D6A1D75">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项目名称：</w:t>
      </w:r>
    </w:p>
    <w:p w14:paraId="54D08F0C">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92FC881">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321269E0">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6B76A4EC">
      <w:pPr>
        <w:pStyle w:val="7"/>
        <w:snapToGrid w:val="0"/>
        <w:spacing w:before="50" w:after="50"/>
        <w:ind w:firstLine="540" w:firstLineChars="225"/>
        <w:rPr>
          <w:rFonts w:hint="eastAsia" w:ascii="宋体" w:hAnsi="宋体" w:cs="宋体"/>
          <w:bCs/>
          <w:color w:val="auto"/>
          <w:sz w:val="24"/>
          <w:szCs w:val="24"/>
          <w:highlight w:val="none"/>
        </w:rPr>
      </w:pPr>
    </w:p>
    <w:p w14:paraId="094AC330">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0E15886">
      <w:pPr>
        <w:pStyle w:val="7"/>
        <w:snapToGrid w:val="0"/>
        <w:spacing w:before="50" w:after="50"/>
        <w:ind w:firstLine="540" w:firstLineChars="225"/>
        <w:rPr>
          <w:rFonts w:hint="eastAsia" w:ascii="宋体" w:hAnsi="宋体" w:cs="宋体"/>
          <w:bCs/>
          <w:color w:val="auto"/>
          <w:sz w:val="24"/>
          <w:szCs w:val="24"/>
          <w:highlight w:val="none"/>
        </w:rPr>
      </w:pPr>
    </w:p>
    <w:p w14:paraId="53148370">
      <w:pPr>
        <w:pStyle w:val="7"/>
        <w:snapToGrid w:val="0"/>
        <w:spacing w:before="50" w:after="50"/>
        <w:ind w:firstLine="960" w:firstLineChars="400"/>
        <w:rPr>
          <w:rFonts w:hint="eastAsia" w:ascii="宋体" w:hAnsi="宋体" w:cs="宋体"/>
          <w:bCs/>
          <w:color w:val="auto"/>
          <w:sz w:val="24"/>
          <w:szCs w:val="24"/>
          <w:highlight w:val="none"/>
        </w:rPr>
      </w:pPr>
    </w:p>
    <w:p w14:paraId="4A93F320">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2EAC0E04">
      <w:pPr>
        <w:widowControl/>
        <w:spacing w:line="360" w:lineRule="auto"/>
        <w:jc w:val="left"/>
        <w:rPr>
          <w:rFonts w:hint="eastAsia" w:ascii="宋体" w:hAns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134C0C74">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2.资格证明文件目录</w:t>
      </w:r>
    </w:p>
    <w:p w14:paraId="08DA788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7DBCABE1">
      <w:pPr>
        <w:snapToGrid w:val="0"/>
        <w:spacing w:line="360" w:lineRule="auto"/>
        <w:rPr>
          <w:rFonts w:hint="eastAsia" w:ascii="宋体" w:hAnsi="宋体" w:cs="宋体"/>
          <w:b/>
          <w:color w:val="auto"/>
          <w:kern w:val="0"/>
          <w:sz w:val="32"/>
          <w:szCs w:val="32"/>
          <w:highlight w:val="none"/>
          <w:lang w:val="zh-CN"/>
        </w:rPr>
      </w:pPr>
    </w:p>
    <w:p w14:paraId="711E1585">
      <w:pPr>
        <w:snapToGrid w:val="0"/>
        <w:spacing w:line="360" w:lineRule="auto"/>
        <w:ind w:firstLine="5160" w:firstLineChars="2150"/>
        <w:rPr>
          <w:rFonts w:hint="eastAsia" w:ascii="宋体" w:hAnsi="宋体" w:cs="宋体"/>
          <w:color w:val="auto"/>
          <w:kern w:val="0"/>
          <w:sz w:val="24"/>
          <w:highlight w:val="none"/>
          <w:lang w:val="zh-CN"/>
        </w:rPr>
      </w:pPr>
    </w:p>
    <w:p w14:paraId="78AF423C">
      <w:pPr>
        <w:snapToGrid w:val="0"/>
        <w:spacing w:line="360" w:lineRule="auto"/>
        <w:ind w:right="480"/>
        <w:jc w:val="center"/>
        <w:rPr>
          <w:rFonts w:hint="eastAsia" w:ascii="宋体" w:hAnsi="宋体" w:cs="宋体"/>
          <w:b/>
          <w:color w:val="auto"/>
          <w:kern w:val="0"/>
          <w:sz w:val="32"/>
          <w:szCs w:val="32"/>
          <w:highlight w:val="none"/>
          <w:lang w:val="zh-CN"/>
        </w:rPr>
      </w:pPr>
    </w:p>
    <w:p w14:paraId="7F54ED25">
      <w:pPr>
        <w:pStyle w:val="16"/>
        <w:jc w:val="both"/>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0B157CD4">
      <w:pPr>
        <w:pStyle w:val="16"/>
        <w:rPr>
          <w:color w:val="auto"/>
          <w:highlight w:val="none"/>
        </w:rPr>
      </w:pPr>
    </w:p>
    <w:p w14:paraId="3C8A8D62">
      <w:pPr>
        <w:snapToGrid w:val="0"/>
        <w:spacing w:before="50" w:after="165" w:afterLines="5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声明函</w:t>
      </w:r>
    </w:p>
    <w:p w14:paraId="40A9F2BF">
      <w:pPr>
        <w:tabs>
          <w:tab w:val="left" w:pos="720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广西德元工程项目管理有限责任公司</w:t>
      </w:r>
    </w:p>
    <w:p w14:paraId="71C01578">
      <w:pPr>
        <w:pStyle w:val="16"/>
        <w:ind w:firstLine="420" w:firstLineChars="200"/>
        <w:rPr>
          <w:color w:val="auto"/>
          <w:sz w:val="21"/>
          <w:szCs w:val="21"/>
          <w:highlight w:val="none"/>
        </w:rPr>
      </w:pPr>
      <w:r>
        <w:rPr>
          <w:rFonts w:hint="eastAsia" w:ascii="宋体" w:hAnsi="宋体" w:cs="宋体"/>
          <w:i/>
          <w:iCs/>
          <w:color w:val="auto"/>
          <w:sz w:val="21"/>
          <w:szCs w:val="21"/>
          <w:highlight w:val="none"/>
          <w:u w:val="single"/>
        </w:rPr>
        <w:t>（投标人名称）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A06372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            ）项目的投标，为便于贵方公正、择优地确定中标人，我方就本次投标有关事项郑重声明如下：</w:t>
      </w:r>
    </w:p>
    <w:p w14:paraId="1CD94B2C">
      <w:pPr>
        <w:pStyle w:val="16"/>
        <w:ind w:firstLine="420" w:firstLineChars="200"/>
        <w:rPr>
          <w:color w:val="auto"/>
          <w:sz w:val="21"/>
          <w:szCs w:val="21"/>
          <w:highlight w:val="none"/>
        </w:rPr>
      </w:pPr>
      <w:r>
        <w:rPr>
          <w:rFonts w:hint="eastAsia" w:ascii="宋体" w:hAnsi="宋体" w:cs="宋体"/>
          <w:color w:val="auto"/>
          <w:sz w:val="21"/>
          <w:szCs w:val="21"/>
          <w:highlight w:val="none"/>
        </w:rPr>
        <w:t>1、我方向贵方提交的所有投标文件、资料都是准确的和真实的。</w:t>
      </w:r>
    </w:p>
    <w:p w14:paraId="4C8F265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309471">
      <w:pPr>
        <w:spacing w:line="36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4DF16A51">
      <w:pPr>
        <w:spacing w:line="36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56519E7F">
      <w:pPr>
        <w:spacing w:line="36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2F0B5CA0">
      <w:pPr>
        <w:spacing w:line="36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78AECA88">
      <w:pPr>
        <w:pStyle w:val="16"/>
        <w:rPr>
          <w:color w:val="auto"/>
          <w:highlight w:val="none"/>
        </w:rPr>
      </w:pPr>
    </w:p>
    <w:p w14:paraId="704963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olor w:val="auto"/>
          <w:szCs w:val="21"/>
          <w:highlight w:val="none"/>
        </w:rPr>
        <w:t>，未被列入失信被执行人、重大税收违法失信主体、政府采购严重违法失信行为记录名单。</w:t>
      </w:r>
    </w:p>
    <w:p w14:paraId="039084EC">
      <w:pPr>
        <w:spacing w:line="360" w:lineRule="exact"/>
        <w:ind w:firstLine="420" w:firstLineChars="200"/>
        <w:contextualSpacing/>
        <w:rPr>
          <w:rFonts w:hint="eastAsia"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0EDB7390">
      <w:pPr>
        <w:spacing w:line="36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242A0AF0">
      <w:pPr>
        <w:spacing w:line="36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73394C7">
      <w:pPr>
        <w:pStyle w:val="16"/>
        <w:rPr>
          <w:color w:val="auto"/>
          <w:highlight w:val="none"/>
        </w:rPr>
      </w:pPr>
    </w:p>
    <w:p w14:paraId="706E15F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3A08E29D">
      <w:pPr>
        <w:tabs>
          <w:tab w:val="left" w:pos="939"/>
        </w:tabs>
        <w:spacing w:line="360" w:lineRule="exact"/>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7E9C8B74">
      <w:pPr>
        <w:snapToGrid w:val="0"/>
        <w:spacing w:before="50" w:after="165" w:afterLines="50"/>
        <w:ind w:firstLine="181" w:firstLineChars="100"/>
        <w:jc w:val="left"/>
        <w:rPr>
          <w:rFonts w:hint="eastAsia" w:ascii="宋体" w:hAnsi="宋体"/>
          <w:color w:val="auto"/>
          <w:sz w:val="18"/>
          <w:szCs w:val="18"/>
          <w:highlight w:val="none"/>
        </w:rPr>
      </w:pPr>
      <w:r>
        <w:rPr>
          <w:rFonts w:hint="eastAsia" w:ascii="宋体" w:hAnsi="宋体"/>
          <w:b/>
          <w:color w:val="auto"/>
          <w:sz w:val="18"/>
          <w:szCs w:val="18"/>
          <w:highlight w:val="none"/>
        </w:rPr>
        <w:t xml:space="preserve">   注： 如为联合体投标，盖章处须加盖联合体各方公章，否则</w:t>
      </w:r>
      <w:r>
        <w:rPr>
          <w:rFonts w:hint="eastAsia" w:ascii="宋体" w:hAnsi="宋体" w:cs="宋体"/>
          <w:b/>
          <w:bCs/>
          <w:color w:val="auto"/>
          <w:sz w:val="18"/>
          <w:szCs w:val="18"/>
          <w:highlight w:val="none"/>
        </w:rPr>
        <w:t>其投标文件作无效响应处理</w:t>
      </w:r>
      <w:r>
        <w:rPr>
          <w:rFonts w:hint="eastAsia" w:ascii="宋体" w:hAnsi="宋体"/>
          <w:b/>
          <w:color w:val="auto"/>
          <w:sz w:val="18"/>
          <w:szCs w:val="18"/>
          <w:highlight w:val="none"/>
        </w:rPr>
        <w:t>。</w:t>
      </w:r>
    </w:p>
    <w:p w14:paraId="2945383B">
      <w:pPr>
        <w:snapToGrid w:val="0"/>
        <w:spacing w:before="50" w:after="331" w:afterLines="100"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2DB6976">
      <w:pPr>
        <w:snapToGrid w:val="0"/>
        <w:spacing w:before="50" w:after="331" w:afterLines="100" w:line="360" w:lineRule="auto"/>
        <w:ind w:left="7428" w:leftChars="2223" w:hanging="2760" w:hangingChars="1150"/>
        <w:jc w:val="left"/>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1DF0B76C">
      <w:pPr>
        <w:pStyle w:val="15"/>
        <w:spacing w:line="600" w:lineRule="exact"/>
        <w:jc w:val="center"/>
        <w:rPr>
          <w:rFonts w:hint="eastAsia" w:hAnsi="宋体" w:cs="宋体"/>
          <w:b/>
          <w:bCs/>
          <w:color w:val="auto"/>
          <w:sz w:val="30"/>
          <w:szCs w:val="30"/>
          <w:highlight w:val="none"/>
        </w:rPr>
      </w:pPr>
    </w:p>
    <w:p w14:paraId="318AEB7B">
      <w:pPr>
        <w:widowControl/>
        <w:jc w:val="left"/>
        <w:rPr>
          <w:rFonts w:hint="eastAsia" w:ascii="宋体" w:hAnsi="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46E3220F">
      <w:pPr>
        <w:pStyle w:val="15"/>
        <w:rPr>
          <w:rFonts w:hint="eastAsia" w:hAnsi="宋体" w:cs="宋体"/>
          <w:b/>
          <w:bCs/>
          <w:color w:val="auto"/>
          <w:sz w:val="28"/>
          <w:szCs w:val="28"/>
          <w:highlight w:val="none"/>
        </w:rPr>
      </w:pPr>
      <w:r>
        <w:rPr>
          <w:rFonts w:hint="eastAsia" w:hAnsi="宋体" w:cs="宋体"/>
          <w:b/>
          <w:bCs/>
          <w:color w:val="auto"/>
          <w:sz w:val="28"/>
          <w:szCs w:val="28"/>
          <w:highlight w:val="none"/>
        </w:rPr>
        <w:t>4.联合体投标协议书的格式：</w:t>
      </w:r>
    </w:p>
    <w:p w14:paraId="3C0141A7">
      <w:pPr>
        <w:pStyle w:val="15"/>
        <w:jc w:val="center"/>
        <w:rPr>
          <w:rFonts w:hint="eastAsia" w:hAnsi="宋体" w:cs="宋体"/>
          <w:color w:val="auto"/>
          <w:sz w:val="28"/>
          <w:szCs w:val="28"/>
          <w:highlight w:val="none"/>
        </w:rPr>
      </w:pPr>
      <w:r>
        <w:rPr>
          <w:rFonts w:hint="eastAsia" w:hAnsi="宋体" w:cs="宋体"/>
          <w:b/>
          <w:bCs/>
          <w:color w:val="auto"/>
          <w:sz w:val="28"/>
          <w:szCs w:val="28"/>
          <w:highlight w:val="none"/>
        </w:rPr>
        <w:t>联合体投标协议书</w:t>
      </w:r>
    </w:p>
    <w:p w14:paraId="4184EBE1">
      <w:pPr>
        <w:autoSpaceDE w:val="0"/>
        <w:autoSpaceDN w:val="0"/>
        <w:adjustRightInd w:val="0"/>
        <w:jc w:val="left"/>
        <w:rPr>
          <w:rFonts w:hint="eastAsia" w:ascii="宋体" w:hAnsi="宋体" w:cs="宋体"/>
          <w:color w:val="auto"/>
          <w:kern w:val="0"/>
          <w:szCs w:val="21"/>
          <w:highlight w:val="none"/>
          <w:u w:val="single"/>
        </w:rPr>
      </w:pPr>
    </w:p>
    <w:p w14:paraId="134FD459">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广西德元工程项目管理有限责任公司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2C5B021B">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10AF6ED9">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3BC3E2A">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07D60A62">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5E87F77">
      <w:pPr>
        <w:pStyle w:val="15"/>
        <w:spacing w:line="440" w:lineRule="exact"/>
        <w:ind w:firstLine="420" w:firstLineChars="200"/>
        <w:rPr>
          <w:rFonts w:hint="eastAsia"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3E7F68BE">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0AF564CC">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1E37DCE8">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30F9C495">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31436946">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2A2BBD8D">
      <w:pPr>
        <w:autoSpaceDE w:val="0"/>
        <w:autoSpaceDN w:val="0"/>
        <w:adjustRightInd w:val="0"/>
        <w:spacing w:line="440" w:lineRule="exact"/>
        <w:jc w:val="left"/>
        <w:rPr>
          <w:rFonts w:hint="eastAsia" w:ascii="宋体" w:hAnsi="宋体" w:cs="宋体"/>
          <w:color w:val="auto"/>
          <w:kern w:val="0"/>
          <w:szCs w:val="21"/>
          <w:highlight w:val="none"/>
        </w:rPr>
      </w:pPr>
    </w:p>
    <w:p w14:paraId="09C0D629">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5C59B6F3">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DF6ED11">
      <w:pPr>
        <w:autoSpaceDE w:val="0"/>
        <w:autoSpaceDN w:val="0"/>
        <w:adjustRightInd w:val="0"/>
        <w:spacing w:line="440" w:lineRule="exact"/>
        <w:jc w:val="left"/>
        <w:rPr>
          <w:rFonts w:hint="eastAsia" w:ascii="宋体" w:hAnsi="宋体" w:cs="宋体"/>
          <w:color w:val="auto"/>
          <w:kern w:val="0"/>
          <w:szCs w:val="21"/>
          <w:highlight w:val="none"/>
        </w:rPr>
      </w:pPr>
    </w:p>
    <w:p w14:paraId="23D703BD">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733D2D9">
      <w:pPr>
        <w:pStyle w:val="15"/>
        <w:spacing w:line="440" w:lineRule="exact"/>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（签字）</w:t>
      </w:r>
    </w:p>
    <w:p w14:paraId="419E32BD">
      <w:pPr>
        <w:pStyle w:val="7"/>
        <w:overflowPunct w:val="0"/>
        <w:spacing w:line="440" w:lineRule="exact"/>
        <w:ind w:firstLineChars="175"/>
        <w:rPr>
          <w:rFonts w:hint="eastAsia" w:ascii="宋体" w:hAnsi="宋体" w:cs="宋体"/>
          <w:color w:val="auto"/>
          <w:sz w:val="24"/>
          <w:highlight w:val="none"/>
        </w:rPr>
      </w:pPr>
      <w:r>
        <w:rPr>
          <w:rFonts w:hint="eastAsia" w:ascii="宋体" w:hAnsi="宋体" w:cs="宋体"/>
          <w:color w:val="auto"/>
          <w:sz w:val="24"/>
          <w:highlight w:val="none"/>
        </w:rPr>
        <w:t>……</w:t>
      </w:r>
    </w:p>
    <w:p w14:paraId="56DFB20A">
      <w:pPr>
        <w:pStyle w:val="7"/>
        <w:overflowPunct w:val="0"/>
        <w:spacing w:line="480" w:lineRule="exact"/>
        <w:ind w:firstLineChars="175"/>
        <w:rPr>
          <w:rFonts w:hint="eastAsia" w:ascii="宋体" w:hAnsi="宋体" w:cs="宋体"/>
          <w:color w:val="auto"/>
          <w:sz w:val="24"/>
          <w:highlight w:val="none"/>
        </w:rPr>
      </w:pPr>
    </w:p>
    <w:p w14:paraId="42A3E435">
      <w:pPr>
        <w:pStyle w:val="7"/>
        <w:overflowPunct w:val="0"/>
        <w:ind w:firstLine="7140" w:firstLineChars="2975"/>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14:paraId="1FB6AA8A">
      <w:pPr>
        <w:widowControl/>
        <w:spacing w:line="360" w:lineRule="auto"/>
        <w:jc w:val="left"/>
        <w:rPr>
          <w:rFonts w:hint="eastAsia" w:ascii="宋体" w:hAnsi="宋体" w:cs="宋体"/>
          <w:color w:val="auto"/>
          <w:szCs w:val="21"/>
          <w:highlight w:val="none"/>
        </w:rPr>
        <w:sectPr>
          <w:pgSz w:w="11906" w:h="16838"/>
          <w:pgMar w:top="1134" w:right="1134" w:bottom="1134" w:left="1134" w:header="720" w:footer="720" w:gutter="0"/>
          <w:cols w:space="720" w:num="1"/>
          <w:docGrid w:type="lines" w:linePitch="331" w:charSpace="0"/>
        </w:sectPr>
      </w:pPr>
    </w:p>
    <w:p w14:paraId="79974E2A">
      <w:pPr>
        <w:pStyle w:val="15"/>
        <w:jc w:val="center"/>
        <w:outlineLvl w:val="1"/>
        <w:rPr>
          <w:rFonts w:hint="eastAsia" w:hAnsi="宋体" w:cs="宋体"/>
          <w:color w:val="auto"/>
          <w:szCs w:val="21"/>
          <w:highlight w:val="none"/>
        </w:rPr>
      </w:pPr>
    </w:p>
    <w:p w14:paraId="5FCBF719">
      <w:pPr>
        <w:pStyle w:val="15"/>
        <w:jc w:val="center"/>
        <w:outlineLvl w:val="1"/>
        <w:rPr>
          <w:rFonts w:hint="eastAsia" w:hAnsi="宋体" w:cs="宋体"/>
          <w:b/>
          <w:bCs/>
          <w:color w:val="auto"/>
          <w:sz w:val="28"/>
          <w:szCs w:val="28"/>
          <w:highlight w:val="none"/>
        </w:rPr>
      </w:pPr>
      <w:bookmarkStart w:id="272" w:name="_Toc32555"/>
      <w:bookmarkStart w:id="273" w:name="_Toc15031"/>
      <w:bookmarkStart w:id="274" w:name="_Toc13558"/>
      <w:bookmarkStart w:id="275" w:name="_Toc13859"/>
      <w:bookmarkStart w:id="276" w:name="_Toc19686838"/>
      <w:bookmarkStart w:id="277" w:name="_Toc22991"/>
      <w:r>
        <w:rPr>
          <w:rFonts w:hint="eastAsia" w:hAnsi="宋体" w:cs="宋体"/>
          <w:b/>
          <w:bCs/>
          <w:color w:val="auto"/>
          <w:sz w:val="28"/>
          <w:szCs w:val="28"/>
          <w:highlight w:val="none"/>
        </w:rPr>
        <w:t>第二节 商务文件格式</w:t>
      </w:r>
      <w:bookmarkEnd w:id="272"/>
      <w:bookmarkEnd w:id="273"/>
      <w:bookmarkEnd w:id="274"/>
      <w:bookmarkEnd w:id="275"/>
      <w:bookmarkEnd w:id="276"/>
      <w:bookmarkEnd w:id="277"/>
    </w:p>
    <w:p w14:paraId="71403F84">
      <w:pPr>
        <w:snapToGrid w:val="0"/>
        <w:spacing w:before="165" w:beforeLines="50" w:after="50"/>
        <w:rPr>
          <w:rFonts w:hint="eastAsia" w:ascii="宋体" w:hAnsi="宋体" w:cs="宋体"/>
          <w:color w:val="auto"/>
          <w:sz w:val="30"/>
          <w:szCs w:val="20"/>
          <w:highlight w:val="none"/>
        </w:rPr>
      </w:pPr>
    </w:p>
    <w:p w14:paraId="4BDDEC17">
      <w:pPr>
        <w:snapToGrid w:val="0"/>
        <w:spacing w:before="165" w:beforeLines="50" w:after="50"/>
        <w:rPr>
          <w:rFonts w:hint="eastAsia" w:ascii="宋体" w:hAnsi="宋体" w:cs="宋体"/>
          <w:b/>
          <w:color w:val="auto"/>
          <w:sz w:val="28"/>
          <w:szCs w:val="28"/>
          <w:highlight w:val="none"/>
        </w:rPr>
      </w:pPr>
      <w:r>
        <w:rPr>
          <w:rFonts w:hint="eastAsia" w:ascii="宋体" w:hAnsi="宋体" w:cs="宋体"/>
          <w:b/>
          <w:color w:val="auto"/>
          <w:sz w:val="28"/>
          <w:szCs w:val="28"/>
          <w:highlight w:val="none"/>
        </w:rPr>
        <w:t>1.商务文件封面的格式（参照此格式自拟）：</w:t>
      </w:r>
    </w:p>
    <w:p w14:paraId="17617502">
      <w:pPr>
        <w:pStyle w:val="16"/>
        <w:rPr>
          <w:color w:val="auto"/>
          <w:highlight w:val="none"/>
        </w:rPr>
      </w:pPr>
    </w:p>
    <w:p w14:paraId="2384BF26">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20E8A279">
      <w:pPr>
        <w:snapToGrid w:val="0"/>
        <w:spacing w:before="165" w:beforeLines="50" w:after="50"/>
        <w:rPr>
          <w:rFonts w:hint="eastAsia" w:ascii="宋体" w:hAnsi="宋体" w:cs="宋体"/>
          <w:color w:val="auto"/>
          <w:sz w:val="24"/>
          <w:szCs w:val="20"/>
          <w:highlight w:val="none"/>
        </w:rPr>
      </w:pPr>
    </w:p>
    <w:p w14:paraId="37D0BF91">
      <w:pPr>
        <w:snapToGrid w:val="0"/>
        <w:spacing w:before="165" w:beforeLines="50" w:after="50"/>
        <w:jc w:val="center"/>
        <w:rPr>
          <w:rFonts w:hint="eastAsia" w:ascii="宋体" w:hAnsi="宋体" w:cs="宋体"/>
          <w:b/>
          <w:color w:val="auto"/>
          <w:sz w:val="32"/>
          <w:szCs w:val="32"/>
          <w:highlight w:val="none"/>
        </w:rPr>
      </w:pPr>
    </w:p>
    <w:p w14:paraId="2D7C2E9D">
      <w:pPr>
        <w:snapToGrid w:val="0"/>
        <w:spacing w:before="165"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商务文件</w:t>
      </w:r>
    </w:p>
    <w:p w14:paraId="054A84B9">
      <w:pPr>
        <w:snapToGrid w:val="0"/>
        <w:spacing w:before="165" w:beforeLines="50" w:after="50"/>
        <w:rPr>
          <w:rFonts w:hint="eastAsia" w:ascii="宋体" w:hAnsi="宋体" w:cs="宋体"/>
          <w:bCs/>
          <w:color w:val="auto"/>
          <w:sz w:val="24"/>
          <w:szCs w:val="20"/>
          <w:highlight w:val="none"/>
        </w:rPr>
      </w:pPr>
    </w:p>
    <w:p w14:paraId="16A7C00E">
      <w:pPr>
        <w:snapToGrid w:val="0"/>
        <w:spacing w:before="165" w:beforeLines="50" w:after="50"/>
        <w:ind w:firstLine="540" w:firstLineChars="225"/>
        <w:rPr>
          <w:rFonts w:hint="eastAsia" w:ascii="宋体" w:hAnsi="宋体" w:cs="宋体"/>
          <w:bCs/>
          <w:color w:val="auto"/>
          <w:sz w:val="24"/>
          <w:highlight w:val="none"/>
        </w:rPr>
      </w:pPr>
    </w:p>
    <w:p w14:paraId="10A03605">
      <w:pPr>
        <w:snapToGrid w:val="0"/>
        <w:spacing w:before="165" w:beforeLines="50" w:after="50"/>
        <w:ind w:firstLine="540" w:firstLineChars="225"/>
        <w:rPr>
          <w:rFonts w:hint="eastAsia" w:ascii="宋体" w:hAnsi="宋体" w:cs="宋体"/>
          <w:bCs/>
          <w:color w:val="auto"/>
          <w:sz w:val="24"/>
          <w:highlight w:val="none"/>
        </w:rPr>
      </w:pPr>
    </w:p>
    <w:p w14:paraId="452B83C5">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602F41A">
      <w:pPr>
        <w:snapToGrid w:val="0"/>
        <w:spacing w:before="165" w:beforeLines="50" w:after="50"/>
        <w:ind w:firstLine="540" w:firstLineChars="225"/>
        <w:rPr>
          <w:rFonts w:hint="eastAsia" w:ascii="宋体" w:hAnsi="宋体" w:cs="宋体"/>
          <w:bCs/>
          <w:color w:val="auto"/>
          <w:sz w:val="24"/>
          <w:szCs w:val="20"/>
          <w:highlight w:val="none"/>
        </w:rPr>
      </w:pPr>
    </w:p>
    <w:p w14:paraId="49C7CA86">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5ABCE6BD">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8DEAFD7">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6E647804">
      <w:pPr>
        <w:snapToGrid w:val="0"/>
        <w:spacing w:before="165" w:beforeLines="50" w:after="50"/>
        <w:ind w:firstLine="540" w:firstLineChars="225"/>
        <w:rPr>
          <w:rFonts w:hint="eastAsia" w:ascii="宋体" w:hAnsi="宋体" w:cs="宋体"/>
          <w:bCs/>
          <w:color w:val="auto"/>
          <w:sz w:val="24"/>
          <w:szCs w:val="20"/>
          <w:highlight w:val="none"/>
        </w:rPr>
      </w:pPr>
    </w:p>
    <w:p w14:paraId="2FD883A5">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65ED24D">
      <w:pPr>
        <w:pStyle w:val="7"/>
        <w:snapToGrid w:val="0"/>
        <w:spacing w:before="50" w:after="50"/>
        <w:ind w:firstLine="540" w:firstLineChars="225"/>
        <w:rPr>
          <w:rFonts w:hint="eastAsia" w:ascii="宋体" w:hAnsi="宋体" w:cs="宋体"/>
          <w:bCs/>
          <w:color w:val="auto"/>
          <w:sz w:val="24"/>
          <w:szCs w:val="24"/>
          <w:highlight w:val="none"/>
        </w:rPr>
      </w:pPr>
    </w:p>
    <w:p w14:paraId="36251BA9">
      <w:pPr>
        <w:pStyle w:val="7"/>
        <w:snapToGrid w:val="0"/>
        <w:spacing w:before="50" w:after="50"/>
        <w:ind w:firstLine="960" w:firstLineChars="400"/>
        <w:rPr>
          <w:rFonts w:hint="eastAsia" w:ascii="宋体" w:hAnsi="宋体" w:cs="宋体"/>
          <w:bCs/>
          <w:color w:val="auto"/>
          <w:sz w:val="24"/>
          <w:szCs w:val="24"/>
          <w:highlight w:val="none"/>
        </w:rPr>
      </w:pPr>
    </w:p>
    <w:p w14:paraId="2347F2DA">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72755EF">
      <w:pPr>
        <w:snapToGrid w:val="0"/>
        <w:spacing w:before="165" w:beforeLines="50" w:after="50"/>
        <w:ind w:firstLine="645"/>
        <w:rPr>
          <w:rFonts w:hint="eastAsia" w:ascii="宋体" w:hAnsi="宋体" w:cs="宋体"/>
          <w:color w:val="auto"/>
          <w:sz w:val="24"/>
          <w:highlight w:val="none"/>
        </w:rPr>
      </w:pPr>
    </w:p>
    <w:p w14:paraId="1C63CC04">
      <w:pPr>
        <w:snapToGrid w:val="0"/>
        <w:spacing w:before="165" w:beforeLines="50" w:after="50"/>
        <w:ind w:firstLine="4329" w:firstLineChars="1804"/>
        <w:rPr>
          <w:rFonts w:hint="eastAsia" w:ascii="宋体" w:hAnsi="宋体" w:cs="宋体"/>
          <w:color w:val="auto"/>
          <w:sz w:val="24"/>
          <w:highlight w:val="none"/>
        </w:rPr>
      </w:pPr>
      <w:r>
        <w:rPr>
          <w:rFonts w:hint="eastAsia" w:ascii="宋体" w:hAnsi="宋体" w:cs="宋体"/>
          <w:color w:val="auto"/>
          <w:sz w:val="24"/>
          <w:highlight w:val="none"/>
        </w:rPr>
        <w:t>年   月   日</w:t>
      </w:r>
    </w:p>
    <w:p w14:paraId="40AAC7DB">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A639A09">
      <w:pPr>
        <w:spacing w:line="360" w:lineRule="auto"/>
        <w:ind w:right="420"/>
        <w:rPr>
          <w:rFonts w:hint="eastAsia" w:ascii="宋体" w:hAnsi="宋体" w:cs="宋体"/>
          <w:color w:val="auto"/>
          <w:sz w:val="24"/>
          <w:szCs w:val="20"/>
          <w:highlight w:val="none"/>
        </w:rPr>
      </w:pPr>
    </w:p>
    <w:p w14:paraId="379FB3DC">
      <w:pPr>
        <w:spacing w:line="360" w:lineRule="auto"/>
        <w:ind w:right="420"/>
        <w:rPr>
          <w:rFonts w:hint="eastAsia" w:ascii="宋体" w:hAnsi="宋体" w:cs="宋体"/>
          <w:color w:val="auto"/>
          <w:sz w:val="24"/>
          <w:szCs w:val="20"/>
          <w:highlight w:val="none"/>
        </w:rPr>
      </w:pPr>
    </w:p>
    <w:p w14:paraId="7C02B78F">
      <w:pPr>
        <w:spacing w:line="360" w:lineRule="auto"/>
        <w:ind w:right="420"/>
        <w:rPr>
          <w:rFonts w:hint="eastAsia" w:ascii="宋体" w:hAnsi="宋体" w:cs="宋体"/>
          <w:color w:val="auto"/>
          <w:sz w:val="24"/>
          <w:szCs w:val="20"/>
          <w:highlight w:val="none"/>
        </w:rPr>
      </w:pPr>
    </w:p>
    <w:p w14:paraId="6CD767C7">
      <w:pPr>
        <w:spacing w:line="360" w:lineRule="auto"/>
        <w:ind w:right="420"/>
        <w:rPr>
          <w:rFonts w:hint="eastAsia" w:ascii="宋体" w:hAnsi="宋体" w:cs="宋体"/>
          <w:color w:val="auto"/>
          <w:sz w:val="24"/>
          <w:szCs w:val="20"/>
          <w:highlight w:val="none"/>
        </w:rPr>
      </w:pPr>
    </w:p>
    <w:p w14:paraId="6B8C09B9">
      <w:pPr>
        <w:spacing w:line="360" w:lineRule="auto"/>
        <w:ind w:right="420"/>
        <w:rPr>
          <w:rFonts w:hint="eastAsia" w:ascii="宋体" w:hAnsi="宋体" w:cs="宋体"/>
          <w:color w:val="auto"/>
          <w:sz w:val="24"/>
          <w:szCs w:val="20"/>
          <w:highlight w:val="none"/>
        </w:rPr>
      </w:pPr>
    </w:p>
    <w:p w14:paraId="65DAB9C2">
      <w:pPr>
        <w:spacing w:line="360" w:lineRule="auto"/>
        <w:ind w:right="420"/>
        <w:rPr>
          <w:rFonts w:hint="eastAsia" w:ascii="宋体" w:hAnsi="宋体" w:cs="宋体"/>
          <w:color w:val="auto"/>
          <w:sz w:val="24"/>
          <w:szCs w:val="20"/>
          <w:highlight w:val="none"/>
        </w:rPr>
      </w:pPr>
      <w:r>
        <w:rPr>
          <w:rFonts w:hint="eastAsia" w:ascii="宋体" w:hAnsi="宋体" w:cs="宋体"/>
          <w:b/>
          <w:bCs/>
          <w:color w:val="auto"/>
          <w:sz w:val="28"/>
          <w:szCs w:val="28"/>
          <w:highlight w:val="none"/>
        </w:rPr>
        <w:t>2.商务文件目录</w:t>
      </w:r>
    </w:p>
    <w:p w14:paraId="211D3DC8">
      <w:pPr>
        <w:spacing w:line="360" w:lineRule="auto"/>
        <w:ind w:right="420"/>
        <w:rPr>
          <w:rFonts w:hint="eastAsia"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6CDD778B">
      <w:pPr>
        <w:rPr>
          <w:rFonts w:hint="eastAsia" w:ascii="宋体" w:hAnsi="宋体" w:cs="宋体"/>
          <w:b/>
          <w:color w:val="auto"/>
          <w:kern w:val="0"/>
          <w:sz w:val="24"/>
          <w:highlight w:val="none"/>
        </w:rPr>
      </w:pPr>
    </w:p>
    <w:p w14:paraId="792F0ED2">
      <w:pPr>
        <w:spacing w:line="360" w:lineRule="auto"/>
        <w:rPr>
          <w:rFonts w:hint="eastAsia" w:ascii="宋体" w:hAnsi="宋体" w:cs="宋体"/>
          <w:b/>
          <w:bCs/>
          <w:color w:val="auto"/>
          <w:sz w:val="24"/>
          <w:highlight w:val="none"/>
        </w:rPr>
      </w:pPr>
    </w:p>
    <w:p w14:paraId="4DB57EC7">
      <w:pPr>
        <w:widowControl/>
        <w:spacing w:line="360" w:lineRule="auto"/>
        <w:jc w:val="left"/>
        <w:rPr>
          <w:rFonts w:hint="eastAsia" w:ascii="宋体" w:hAnsi="宋体" w:cs="宋体"/>
          <w:color w:val="auto"/>
          <w:highlight w:val="none"/>
        </w:rPr>
        <w:sectPr>
          <w:pgSz w:w="11906" w:h="16838"/>
          <w:pgMar w:top="1134" w:right="1134" w:bottom="1134" w:left="1134" w:header="720" w:footer="720" w:gutter="0"/>
          <w:cols w:space="720" w:num="1"/>
          <w:docGrid w:type="lines" w:linePitch="331" w:charSpace="0"/>
        </w:sectPr>
      </w:pPr>
    </w:p>
    <w:p w14:paraId="16165326">
      <w:pPr>
        <w:snapToGrid w:val="0"/>
        <w:spacing w:before="120" w:beforeLines="50" w:after="5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3.无串通投标行为的承诺函的格式：</w:t>
      </w:r>
    </w:p>
    <w:p w14:paraId="738E213B">
      <w:pPr>
        <w:snapToGrid w:val="0"/>
        <w:spacing w:before="120" w:beforeLines="50" w:after="50"/>
        <w:ind w:left="420"/>
        <w:jc w:val="center"/>
        <w:rPr>
          <w:rFonts w:hint="eastAsia" w:ascii="宋体" w:hAnsi="宋体" w:cs="宋体"/>
          <w:b/>
          <w:color w:val="auto"/>
          <w:sz w:val="28"/>
          <w:szCs w:val="28"/>
          <w:highlight w:val="none"/>
        </w:rPr>
      </w:pPr>
    </w:p>
    <w:p w14:paraId="0D82E394">
      <w:pPr>
        <w:snapToGrid w:val="0"/>
        <w:spacing w:before="120" w:beforeLines="50" w:after="50"/>
        <w:ind w:left="42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参加本项目无</w:t>
      </w:r>
      <w:r>
        <w:rPr>
          <w:rFonts w:hint="eastAsia" w:ascii="宋体" w:hAnsi="宋体" w:cs="宋体"/>
          <w:b/>
          <w:bCs/>
          <w:color w:val="auto"/>
          <w:sz w:val="28"/>
          <w:szCs w:val="28"/>
          <w:highlight w:val="none"/>
        </w:rPr>
        <w:t>串通投标</w:t>
      </w:r>
      <w:r>
        <w:rPr>
          <w:rFonts w:hint="eastAsia" w:ascii="宋体" w:hAnsi="宋体" w:cs="宋体"/>
          <w:b/>
          <w:color w:val="auto"/>
          <w:sz w:val="28"/>
          <w:szCs w:val="28"/>
          <w:highlight w:val="none"/>
        </w:rPr>
        <w:t>行为的承诺函</w:t>
      </w:r>
    </w:p>
    <w:p w14:paraId="3E160E06">
      <w:pPr>
        <w:snapToGrid w:val="0"/>
        <w:spacing w:before="120" w:beforeLines="50" w:after="50"/>
        <w:rPr>
          <w:rFonts w:hint="eastAsia" w:ascii="宋体" w:hAnsi="宋体" w:cs="宋体"/>
          <w:b/>
          <w:color w:val="auto"/>
          <w:szCs w:val="21"/>
          <w:highlight w:val="none"/>
        </w:rPr>
      </w:pPr>
    </w:p>
    <w:p w14:paraId="7B2C77AB">
      <w:pPr>
        <w:snapToGrid w:val="0"/>
        <w:spacing w:before="120" w:beforeLines="50" w:after="50"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12C2BF61">
      <w:pPr>
        <w:pStyle w:val="1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w:t>
      </w:r>
    </w:p>
    <w:p w14:paraId="47FE5435">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A265F5F">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F3EB2C2">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DD5914A">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017D9253">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.不同投标人的投标保证金从同一单位或者个人账户转出。</w:t>
      </w:r>
    </w:p>
    <w:p w14:paraId="7CC8F5B0">
      <w:pPr>
        <w:snapToGrid w:val="0"/>
        <w:spacing w:before="120" w:beforeLines="50" w:after="50"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5DEEA933">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11B5A591">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2B30FF92">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14:paraId="0E1EB7B3">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B019176">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10EC21F">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EEB7C6C">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178D1EDD">
      <w:pPr>
        <w:snapToGrid w:val="0"/>
        <w:spacing w:before="120" w:beforeLines="50" w:after="50" w:line="360" w:lineRule="auto"/>
        <w:ind w:firstLine="413"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auto"/>
          <w:szCs w:val="21"/>
          <w:highlight w:val="none"/>
        </w:rPr>
        <w:t>。</w:t>
      </w:r>
    </w:p>
    <w:p w14:paraId="4B799E78">
      <w:pPr>
        <w:pStyle w:val="16"/>
        <w:rPr>
          <w:rFonts w:hint="eastAsia" w:ascii="宋体" w:hAnsi="宋体" w:cs="宋体"/>
          <w:b/>
          <w:color w:val="auto"/>
          <w:szCs w:val="21"/>
          <w:highlight w:val="none"/>
        </w:rPr>
      </w:pPr>
    </w:p>
    <w:p w14:paraId="544C672A">
      <w:pPr>
        <w:pStyle w:val="16"/>
        <w:rPr>
          <w:rFonts w:hint="eastAsia" w:ascii="宋体" w:hAnsi="宋体" w:cs="宋体"/>
          <w:b/>
          <w:color w:val="auto"/>
          <w:szCs w:val="21"/>
          <w:highlight w:val="none"/>
        </w:rPr>
      </w:pPr>
    </w:p>
    <w:p w14:paraId="5330C324">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14:paraId="4822FF8A">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311D042">
      <w:pPr>
        <w:pStyle w:val="15"/>
        <w:snapToGrid w:val="0"/>
        <w:spacing w:before="295" w:after="295" w:line="360" w:lineRule="auto"/>
        <w:rPr>
          <w:rFonts w:hint="eastAsia"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28"/>
          <w:szCs w:val="28"/>
          <w:highlight w:val="none"/>
        </w:rPr>
        <w:t>4.法定代表人身份证明的格式：</w:t>
      </w:r>
    </w:p>
    <w:p w14:paraId="31949557">
      <w:pPr>
        <w:spacing w:before="240" w:beforeLines="100" w:after="120" w:afterLines="50"/>
        <w:ind w:left="540"/>
        <w:jc w:val="center"/>
        <w:rPr>
          <w:rFonts w:hint="eastAsia" w:ascii="宋体" w:hAnsi="宋体" w:cs="宋体"/>
          <w:b/>
          <w:color w:val="auto"/>
          <w:sz w:val="32"/>
          <w:szCs w:val="32"/>
          <w:highlight w:val="none"/>
        </w:rPr>
      </w:pPr>
    </w:p>
    <w:p w14:paraId="51721E08">
      <w:pPr>
        <w:spacing w:before="240" w:beforeLines="100" w:after="120" w:afterLines="50"/>
        <w:ind w:left="54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40C73C4A">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08D5770">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AE8D408">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EC4EE65">
      <w:pPr>
        <w:spacing w:line="500" w:lineRule="exact"/>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F29EC67">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4278C8C">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2BCE405">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566DB541">
      <w:pPr>
        <w:spacing w:line="500" w:lineRule="exact"/>
        <w:ind w:left="540"/>
        <w:rPr>
          <w:rFonts w:hint="eastAsia" w:ascii="宋体" w:hAnsi="宋体" w:cs="宋体"/>
          <w:color w:val="auto"/>
          <w:sz w:val="24"/>
          <w:highlight w:val="none"/>
        </w:rPr>
      </w:pPr>
    </w:p>
    <w:p w14:paraId="67EDED91">
      <w:pPr>
        <w:spacing w:line="500" w:lineRule="exact"/>
        <w:ind w:left="540"/>
        <w:rPr>
          <w:rFonts w:hint="eastAsia" w:ascii="宋体" w:hAnsi="宋体" w:cs="宋体"/>
          <w:color w:val="auto"/>
          <w:sz w:val="24"/>
          <w:highlight w:val="none"/>
        </w:rPr>
      </w:pPr>
    </w:p>
    <w:p w14:paraId="0CFD909A">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4861C85">
      <w:pPr>
        <w:spacing w:line="500" w:lineRule="exact"/>
        <w:ind w:left="540"/>
        <w:rPr>
          <w:rFonts w:hint="eastAsia" w:ascii="宋体" w:hAnsi="宋体" w:cs="宋体"/>
          <w:color w:val="auto"/>
          <w:sz w:val="24"/>
          <w:highlight w:val="none"/>
        </w:rPr>
      </w:pPr>
    </w:p>
    <w:p w14:paraId="78BCC86C">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14:paraId="3E6131F0">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9F1FC22">
      <w:pPr>
        <w:snapToGrid w:val="0"/>
        <w:spacing w:before="120" w:beforeLines="50" w:after="50"/>
        <w:jc w:val="center"/>
        <w:rPr>
          <w:rFonts w:hint="eastAsia" w:ascii="宋体" w:hAnsi="宋体" w:cs="宋体"/>
          <w:b/>
          <w:color w:val="auto"/>
          <w:sz w:val="24"/>
          <w:highlight w:val="none"/>
        </w:rPr>
      </w:pPr>
    </w:p>
    <w:p w14:paraId="6D31F0F1">
      <w:pPr>
        <w:snapToGrid w:val="0"/>
        <w:spacing w:before="120" w:beforeLines="50" w:after="50"/>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注：自然人投标的无需提供</w:t>
      </w:r>
    </w:p>
    <w:p w14:paraId="55F830CB">
      <w:pPr>
        <w:snapToGrid w:val="0"/>
        <w:spacing w:before="120" w:beforeLines="50" w:after="50"/>
        <w:ind w:firstLine="600" w:firstLineChars="250"/>
        <w:jc w:val="left"/>
        <w:rPr>
          <w:rFonts w:hint="eastAsia" w:ascii="宋体" w:hAnsi="宋体" w:cs="宋体"/>
          <w:color w:val="auto"/>
          <w:sz w:val="24"/>
          <w:highlight w:val="none"/>
        </w:rPr>
      </w:pPr>
    </w:p>
    <w:p w14:paraId="4A3AA9B7">
      <w:pPr>
        <w:snapToGrid w:val="0"/>
        <w:spacing w:before="120" w:beforeLines="50" w:after="50"/>
        <w:ind w:firstLine="602" w:firstLineChars="250"/>
        <w:jc w:val="left"/>
        <w:rPr>
          <w:rFonts w:hint="eastAsia" w:ascii="宋体" w:hAnsi="宋体" w:cs="宋体"/>
          <w:b/>
          <w:color w:val="auto"/>
          <w:sz w:val="24"/>
          <w:szCs w:val="20"/>
          <w:highlight w:val="none"/>
        </w:rPr>
      </w:pPr>
    </w:p>
    <w:tbl>
      <w:tblPr>
        <w:tblStyle w:val="26"/>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A2C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6355BDDA">
            <w:pPr>
              <w:spacing w:line="360" w:lineRule="auto"/>
              <w:rPr>
                <w:rFonts w:hint="eastAsia" w:ascii="宋体" w:hAnsi="宋体" w:cs="宋体"/>
                <w:b/>
                <w:color w:val="auto"/>
                <w:sz w:val="24"/>
                <w:highlight w:val="none"/>
              </w:rPr>
            </w:pPr>
          </w:p>
          <w:p w14:paraId="6D9D123F">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法定代表人有效身份证复印件粘贴处（正、反面）</w:t>
            </w:r>
          </w:p>
        </w:tc>
      </w:tr>
    </w:tbl>
    <w:p w14:paraId="58563A09">
      <w:pPr>
        <w:pStyle w:val="15"/>
        <w:snapToGrid w:val="0"/>
        <w:spacing w:before="295" w:after="295" w:line="360" w:lineRule="auto"/>
        <w:ind w:left="3" w:leftChars="-295" w:hanging="622" w:hangingChars="258"/>
        <w:jc w:val="left"/>
        <w:rPr>
          <w:rFonts w:hint="eastAsia"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5.法定代表人授权委托书的格式：</w:t>
      </w:r>
    </w:p>
    <w:p w14:paraId="103E5A42">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r>
        <w:rPr>
          <w:rFonts w:hint="eastAsia" w:ascii="宋体" w:hAnsi="宋体" w:cs="宋体"/>
          <w:b/>
          <w:bCs/>
          <w:color w:val="auto"/>
          <w:sz w:val="30"/>
          <w:szCs w:val="30"/>
          <w:highlight w:val="none"/>
        </w:rPr>
        <w:t>（如有委托时）</w:t>
      </w:r>
    </w:p>
    <w:p w14:paraId="059309B3">
      <w:pPr>
        <w:snapToGrid w:val="0"/>
        <w:spacing w:before="120" w:beforeLines="50" w:after="50"/>
        <w:jc w:val="center"/>
        <w:rPr>
          <w:rFonts w:hint="eastAsia" w:ascii="宋体" w:hAnsi="宋体" w:cs="宋体"/>
          <w:b/>
          <w:color w:val="auto"/>
          <w:sz w:val="24"/>
          <w:highlight w:val="none"/>
        </w:rPr>
      </w:pPr>
    </w:p>
    <w:p w14:paraId="382BF309">
      <w:pPr>
        <w:pStyle w:val="15"/>
        <w:spacing w:line="360" w:lineRule="exact"/>
        <w:ind w:firstLine="42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广西德元工程项目管理有限责任公司</w:t>
      </w:r>
    </w:p>
    <w:p w14:paraId="6C0254F1">
      <w:pPr>
        <w:pStyle w:val="15"/>
        <w:spacing w:line="360" w:lineRule="exact"/>
        <w:ind w:firstLine="420" w:firstLineChars="200"/>
        <w:rPr>
          <w:rFonts w:hint="eastAsia"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i/>
          <w:iCs/>
          <w:color w:val="auto"/>
          <w:highlight w:val="none"/>
          <w:u w:val="single"/>
        </w:rPr>
        <w:t>（项目名称）</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326EACC9">
      <w:pPr>
        <w:pStyle w:val="15"/>
        <w:spacing w:line="360" w:lineRule="exact"/>
        <w:ind w:firstLine="420" w:firstLineChars="200"/>
        <w:rPr>
          <w:rFonts w:hint="eastAsia"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6F56AAC2">
      <w:pPr>
        <w:pStyle w:val="15"/>
        <w:spacing w:line="360" w:lineRule="exact"/>
        <w:ind w:firstLine="420"/>
        <w:rPr>
          <w:rFonts w:hint="eastAsia" w:hAnsi="宋体" w:cs="宋体"/>
          <w:color w:val="auto"/>
          <w:highlight w:val="none"/>
        </w:rPr>
      </w:pPr>
      <w:r>
        <w:rPr>
          <w:rFonts w:hint="eastAsia" w:hAnsi="宋体" w:cs="宋体"/>
          <w:color w:val="auto"/>
          <w:highlight w:val="none"/>
        </w:rPr>
        <w:t>代理人无转委托权。</w:t>
      </w:r>
    </w:p>
    <w:p w14:paraId="695F05D8">
      <w:pPr>
        <w:pStyle w:val="15"/>
        <w:spacing w:line="360" w:lineRule="exact"/>
        <w:ind w:firstLine="420"/>
        <w:rPr>
          <w:rFonts w:hint="eastAsia" w:hAnsi="宋体" w:cs="宋体"/>
          <w:color w:val="auto"/>
          <w:highlight w:val="none"/>
        </w:rPr>
      </w:pPr>
    </w:p>
    <w:p w14:paraId="0560E89F">
      <w:pPr>
        <w:pStyle w:val="15"/>
        <w:spacing w:line="360" w:lineRule="exact"/>
        <w:ind w:firstLine="420"/>
        <w:rPr>
          <w:rFonts w:hint="eastAsia" w:hAnsi="宋体" w:cs="宋体"/>
          <w:color w:val="auto"/>
          <w:highlight w:val="none"/>
          <w:u w:val="single"/>
        </w:rPr>
      </w:pPr>
      <w:r>
        <w:rPr>
          <w:rFonts w:hint="eastAsia" w:hAnsi="宋体" w:cs="宋体"/>
          <w:color w:val="auto"/>
          <w:highlight w:val="none"/>
        </w:rPr>
        <w:t>投标人名称（或联合体投标</w:t>
      </w:r>
      <w:r>
        <w:rPr>
          <w:rFonts w:hint="eastAsia" w:hAnsi="宋体" w:cs="宋体"/>
          <w:color w:val="auto"/>
          <w:kern w:val="0"/>
          <w:szCs w:val="21"/>
          <w:highlight w:val="none"/>
        </w:rPr>
        <w:t>牵头人名称</w:t>
      </w:r>
      <w:r>
        <w:rPr>
          <w:rFonts w:hint="eastAsia" w:hAnsi="宋体" w:cs="宋体"/>
          <w:color w:val="auto"/>
          <w:highlight w:val="none"/>
        </w:rPr>
        <w:t>）（盖公章）：</w:t>
      </w:r>
      <w:r>
        <w:rPr>
          <w:rFonts w:hint="eastAsia" w:hAnsi="宋体" w:cs="宋体"/>
          <w:color w:val="auto"/>
          <w:highlight w:val="none"/>
          <w:u w:val="single"/>
        </w:rPr>
        <w:t xml:space="preserve">                                    </w:t>
      </w:r>
    </w:p>
    <w:p w14:paraId="38BDDC3A">
      <w:pPr>
        <w:pStyle w:val="15"/>
        <w:spacing w:line="360" w:lineRule="exact"/>
        <w:ind w:firstLine="42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68A9DBB0">
      <w:pPr>
        <w:pStyle w:val="15"/>
        <w:spacing w:line="360" w:lineRule="exact"/>
        <w:ind w:firstLine="420"/>
        <w:rPr>
          <w:rFonts w:hint="eastAsia"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6D848A46">
      <w:pPr>
        <w:pStyle w:val="15"/>
        <w:spacing w:line="360" w:lineRule="exact"/>
        <w:ind w:firstLine="420" w:firstLineChars="200"/>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59495089">
      <w:pPr>
        <w:pStyle w:val="15"/>
        <w:spacing w:line="360" w:lineRule="exact"/>
        <w:ind w:firstLine="420"/>
        <w:rPr>
          <w:rFonts w:hint="eastAsia"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6306DE9C">
      <w:pPr>
        <w:pStyle w:val="15"/>
        <w:spacing w:line="360" w:lineRule="exact"/>
        <w:ind w:firstLine="420"/>
        <w:rPr>
          <w:rFonts w:hint="eastAsia" w:hAnsi="宋体" w:cs="宋体"/>
          <w:color w:val="auto"/>
          <w:highlight w:val="none"/>
          <w:u w:val="single"/>
        </w:rPr>
      </w:pPr>
    </w:p>
    <w:p w14:paraId="01F0978C">
      <w:pPr>
        <w:pStyle w:val="15"/>
        <w:spacing w:line="360" w:lineRule="exact"/>
        <w:ind w:firstLine="420"/>
        <w:rPr>
          <w:rFonts w:hint="eastAsia"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（盖公章）：</w:t>
      </w:r>
      <w:r>
        <w:rPr>
          <w:rFonts w:hint="eastAsia" w:hAnsi="宋体" w:cs="宋体"/>
          <w:color w:val="auto"/>
          <w:highlight w:val="none"/>
          <w:u w:val="single"/>
        </w:rPr>
        <w:t xml:space="preserve">                                    </w:t>
      </w:r>
    </w:p>
    <w:p w14:paraId="3E499580">
      <w:pPr>
        <w:pStyle w:val="15"/>
        <w:spacing w:line="360" w:lineRule="exact"/>
        <w:ind w:firstLine="42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22E911BD">
      <w:pPr>
        <w:pStyle w:val="8"/>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14:paraId="66472F1F">
      <w:pPr>
        <w:spacing w:line="360" w:lineRule="exact"/>
        <w:ind w:firstLine="420" w:firstLineChars="200"/>
        <w:rPr>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2F719143">
      <w:pPr>
        <w:pStyle w:val="15"/>
        <w:spacing w:line="360" w:lineRule="exact"/>
        <w:ind w:firstLine="420"/>
        <w:rPr>
          <w:rFonts w:hint="eastAsia" w:hAnsi="宋体" w:cs="宋体"/>
          <w:color w:val="auto"/>
          <w:highlight w:val="none"/>
          <w:u w:val="single"/>
        </w:rPr>
      </w:pPr>
    </w:p>
    <w:p w14:paraId="1C0A86E7">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14:paraId="5E00BEC7">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p>
    <w:p w14:paraId="6C18C587">
      <w:pPr>
        <w:pStyle w:val="8"/>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14:paraId="1202B112">
      <w:pPr>
        <w:spacing w:line="360" w:lineRule="exact"/>
        <w:ind w:firstLine="420" w:firstLineChars="200"/>
        <w:rPr>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460D8751">
      <w:pPr>
        <w:pStyle w:val="16"/>
        <w:spacing w:line="360" w:lineRule="exact"/>
        <w:rPr>
          <w:color w:val="auto"/>
          <w:highlight w:val="none"/>
        </w:rPr>
      </w:pPr>
    </w:p>
    <w:p w14:paraId="49AD58B2">
      <w:pPr>
        <w:pStyle w:val="15"/>
        <w:spacing w:line="360" w:lineRule="exact"/>
        <w:ind w:firstLine="420" w:firstLineChars="200"/>
        <w:rPr>
          <w:rFonts w:hint="eastAsia" w:hAnsi="宋体" w:cs="宋体"/>
          <w:color w:val="auto"/>
          <w:highlight w:val="none"/>
        </w:rPr>
      </w:pPr>
      <w:r>
        <w:rPr>
          <w:rFonts w:hint="eastAsia" w:hAnsi="宋体" w:cs="宋体"/>
          <w:color w:val="auto"/>
          <w:highlight w:val="none"/>
        </w:rPr>
        <w:t>……</w:t>
      </w:r>
    </w:p>
    <w:p w14:paraId="4ED0A46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5B92BF8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w:t>
      </w:r>
      <w:r>
        <w:rPr>
          <w:rFonts w:hint="eastAsia" w:ascii="宋体" w:hAnsi="宋体" w:cs="宋体"/>
          <w:color w:val="auto"/>
          <w:kern w:val="0"/>
          <w:szCs w:val="21"/>
          <w:highlight w:val="none"/>
        </w:rPr>
        <w:t>签字</w:t>
      </w:r>
      <w:r>
        <w:rPr>
          <w:rFonts w:hint="eastAsia" w:ascii="宋体" w:hAnsi="宋体" w:cs="宋体"/>
          <w:color w:val="auto"/>
          <w:szCs w:val="21"/>
          <w:highlight w:val="none"/>
        </w:rPr>
        <w:t>，</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0CB6E4B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405DE2D1">
      <w:pPr>
        <w:snapToGrid w:val="0"/>
        <w:spacing w:before="50" w:after="120" w:afterLines="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C6CDF65">
      <w:pPr>
        <w:snapToGrid w:val="0"/>
        <w:spacing w:before="50" w:after="120" w:afterLines="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17B1EBA6">
      <w:pPr>
        <w:spacing w:line="360" w:lineRule="auto"/>
        <w:rPr>
          <w:rFonts w:hint="eastAsia" w:ascii="宋体" w:hAnsi="宋体" w:cs="宋体"/>
          <w:b/>
          <w:color w:val="auto"/>
          <w:sz w:val="24"/>
          <w:highlight w:val="none"/>
        </w:rPr>
      </w:pPr>
    </w:p>
    <w:p w14:paraId="03D75640">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w:t>
      </w:r>
    </w:p>
    <w:tbl>
      <w:tblPr>
        <w:tblStyle w:val="26"/>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470E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72A9D107">
            <w:pPr>
              <w:spacing w:line="360" w:lineRule="auto"/>
              <w:rPr>
                <w:rFonts w:hint="eastAsia" w:ascii="宋体" w:hAnsi="宋体" w:cs="宋体"/>
                <w:b/>
                <w:color w:val="auto"/>
                <w:sz w:val="24"/>
                <w:highlight w:val="none"/>
              </w:rPr>
            </w:pPr>
          </w:p>
          <w:p w14:paraId="061357A7">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t>委托代理人有效</w:t>
            </w:r>
            <w:r>
              <w:rPr>
                <w:rFonts w:hint="eastAsia" w:ascii="宋体" w:hAnsi="宋体" w:cs="宋体"/>
                <w:b/>
                <w:color w:val="auto"/>
                <w:sz w:val="24"/>
                <w:highlight w:val="none"/>
              </w:rPr>
              <w:t>身份证复印件粘贴处（正、反面）</w:t>
            </w:r>
          </w:p>
        </w:tc>
      </w:tr>
    </w:tbl>
    <w:p w14:paraId="213F8702">
      <w:pPr>
        <w:rPr>
          <w:rFonts w:hint="eastAsia" w:ascii="宋体" w:hAnsi="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6.商务条款偏离表的格式：</w:t>
      </w:r>
    </w:p>
    <w:p w14:paraId="7290D0F0">
      <w:pPr>
        <w:snapToGrid w:val="0"/>
        <w:spacing w:before="120" w:beforeLines="50" w:after="50"/>
        <w:rPr>
          <w:rFonts w:hint="eastAsia" w:ascii="宋体" w:hAnsi="宋体" w:cs="宋体"/>
          <w:color w:val="auto"/>
          <w:highlight w:val="none"/>
        </w:rPr>
      </w:pPr>
    </w:p>
    <w:p w14:paraId="3BC7622D">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14:paraId="3FBDEADE">
      <w:pPr>
        <w:jc w:val="center"/>
        <w:rPr>
          <w:rFonts w:hint="eastAsia" w:ascii="宋体" w:hAnsi="宋体" w:cs="宋体"/>
          <w:color w:val="auto"/>
          <w:sz w:val="30"/>
          <w:szCs w:val="20"/>
          <w:highlight w:val="none"/>
        </w:rPr>
      </w:pPr>
    </w:p>
    <w:p w14:paraId="28A51E07">
      <w:pPr>
        <w:spacing w:line="360" w:lineRule="auto"/>
        <w:contextualSpacing/>
        <w:rPr>
          <w:rFonts w:hint="eastAsia" w:ascii="宋体" w:hAnsi="宋体" w:cs="宋体"/>
          <w:color w:val="auto"/>
          <w:sz w:val="24"/>
          <w:highlight w:val="none"/>
        </w:rPr>
      </w:pPr>
    </w:p>
    <w:p w14:paraId="2263F87B">
      <w:pPr>
        <w:spacing w:line="48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AA2B9C0">
      <w:pPr>
        <w:spacing w:line="48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276C690B">
      <w:pPr>
        <w:pStyle w:val="15"/>
        <w:spacing w:line="480" w:lineRule="auto"/>
        <w:ind w:left="-422" w:leftChars="-201" w:firstLine="424"/>
        <w:rPr>
          <w:rFonts w:hint="eastAsia"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Cs w:val="21"/>
          <w:highlight w:val="none"/>
        </w:rPr>
        <w:t>（此处有分标时填写具体分标号，无分标时填写“无”）</w:t>
      </w:r>
      <w:r>
        <w:rPr>
          <w:rFonts w:hint="eastAsia" w:hAnsi="宋体" w:cs="宋体"/>
          <w:color w:val="auto"/>
          <w:sz w:val="24"/>
          <w:szCs w:val="24"/>
          <w:highlight w:val="none"/>
        </w:rPr>
        <w:t>：</w:t>
      </w:r>
      <w:r>
        <w:rPr>
          <w:rFonts w:hint="eastAsia" w:hAnsi="宋体" w:cs="宋体"/>
          <w:color w:val="auto"/>
          <w:sz w:val="24"/>
          <w:highlight w:val="none"/>
          <w:u w:val="single"/>
        </w:rPr>
        <w:t xml:space="preserve">           </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146"/>
      </w:tblGrid>
      <w:tr w14:paraId="66E1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cBorders>
            <w:vAlign w:val="center"/>
          </w:tcPr>
          <w:p w14:paraId="784353AE">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429" w:type="dxa"/>
            <w:tcBorders>
              <w:top w:val="single" w:color="auto" w:sz="4" w:space="0"/>
              <w:left w:val="single" w:color="auto" w:sz="4" w:space="0"/>
              <w:bottom w:val="single" w:color="auto" w:sz="4" w:space="0"/>
              <w:right w:val="single" w:color="auto" w:sz="4" w:space="0"/>
            </w:tcBorders>
            <w:vAlign w:val="center"/>
          </w:tcPr>
          <w:p w14:paraId="401F4388">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029D8FF5">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投标文件响应的商务条款</w:t>
            </w:r>
          </w:p>
        </w:tc>
        <w:tc>
          <w:tcPr>
            <w:tcW w:w="1146" w:type="dxa"/>
            <w:tcBorders>
              <w:top w:val="single" w:color="auto" w:sz="4" w:space="0"/>
              <w:left w:val="single" w:color="auto" w:sz="4" w:space="0"/>
              <w:bottom w:val="single" w:color="auto" w:sz="4" w:space="0"/>
              <w:right w:val="single" w:color="auto" w:sz="4" w:space="0"/>
            </w:tcBorders>
            <w:vAlign w:val="center"/>
          </w:tcPr>
          <w:p w14:paraId="168B078F">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3DCE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1B7CB95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429" w:type="dxa"/>
            <w:tcBorders>
              <w:top w:val="single" w:color="auto" w:sz="4" w:space="0"/>
              <w:left w:val="single" w:color="auto" w:sz="4" w:space="0"/>
              <w:bottom w:val="single" w:color="auto" w:sz="4" w:space="0"/>
              <w:right w:val="single" w:color="auto" w:sz="4" w:space="0"/>
            </w:tcBorders>
          </w:tcPr>
          <w:p w14:paraId="2E85795E">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31AD4E7C">
            <w:pPr>
              <w:spacing w:line="340" w:lineRule="exact"/>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tcPr>
          <w:p w14:paraId="0E57192C">
            <w:pPr>
              <w:spacing w:line="300" w:lineRule="exact"/>
              <w:rPr>
                <w:rFonts w:hint="eastAsia" w:ascii="宋体" w:hAnsi="宋体" w:cs="宋体"/>
                <w:color w:val="auto"/>
                <w:szCs w:val="21"/>
                <w:highlight w:val="none"/>
              </w:rPr>
            </w:pPr>
          </w:p>
        </w:tc>
      </w:tr>
      <w:tr w14:paraId="2218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7F423DE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429" w:type="dxa"/>
            <w:tcBorders>
              <w:top w:val="single" w:color="auto" w:sz="4" w:space="0"/>
              <w:left w:val="single" w:color="auto" w:sz="4" w:space="0"/>
              <w:bottom w:val="single" w:color="auto" w:sz="4" w:space="0"/>
              <w:right w:val="single" w:color="auto" w:sz="4" w:space="0"/>
            </w:tcBorders>
          </w:tcPr>
          <w:p w14:paraId="26922160">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22D196FA">
            <w:pPr>
              <w:spacing w:line="340" w:lineRule="exact"/>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tcPr>
          <w:p w14:paraId="43232E26">
            <w:pPr>
              <w:spacing w:line="300" w:lineRule="exact"/>
              <w:rPr>
                <w:rFonts w:hint="eastAsia" w:ascii="宋体" w:hAnsi="宋体" w:cs="宋体"/>
                <w:color w:val="auto"/>
                <w:szCs w:val="21"/>
                <w:highlight w:val="none"/>
              </w:rPr>
            </w:pPr>
          </w:p>
        </w:tc>
      </w:tr>
      <w:tr w14:paraId="1A4E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14:paraId="77EB6E42">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429" w:type="dxa"/>
            <w:tcBorders>
              <w:top w:val="single" w:color="auto" w:sz="4" w:space="0"/>
              <w:left w:val="single" w:color="auto" w:sz="4" w:space="0"/>
              <w:bottom w:val="single" w:color="auto" w:sz="4" w:space="0"/>
              <w:right w:val="single" w:color="auto" w:sz="4" w:space="0"/>
            </w:tcBorders>
          </w:tcPr>
          <w:p w14:paraId="3BA8EDF0">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4C5B9626">
            <w:pPr>
              <w:spacing w:line="340" w:lineRule="exact"/>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tcPr>
          <w:p w14:paraId="2FB988E8">
            <w:pPr>
              <w:spacing w:line="300" w:lineRule="exact"/>
              <w:rPr>
                <w:rFonts w:hint="eastAsia" w:ascii="宋体" w:hAnsi="宋体" w:cs="宋体"/>
                <w:color w:val="auto"/>
                <w:szCs w:val="21"/>
                <w:highlight w:val="none"/>
              </w:rPr>
            </w:pPr>
          </w:p>
        </w:tc>
      </w:tr>
    </w:tbl>
    <w:p w14:paraId="0B3D1D1F">
      <w:pPr>
        <w:pStyle w:val="15"/>
        <w:spacing w:line="360" w:lineRule="auto"/>
        <w:ind w:left="-708" w:leftChars="-337"/>
        <w:rPr>
          <w:rFonts w:hint="eastAsia" w:hAnsi="宋体" w:cs="宋体"/>
          <w:color w:val="auto"/>
          <w:highlight w:val="none"/>
        </w:rPr>
      </w:pPr>
    </w:p>
    <w:p w14:paraId="01C25B6C">
      <w:pPr>
        <w:pStyle w:val="15"/>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注：</w:t>
      </w:r>
    </w:p>
    <w:p w14:paraId="2780983C">
      <w:pPr>
        <w:pStyle w:val="15"/>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1.表格内容均需按要求填写并加盖投标人公章。</w:t>
      </w:r>
    </w:p>
    <w:p w14:paraId="2390C690">
      <w:pPr>
        <w:pStyle w:val="15"/>
        <w:spacing w:line="360" w:lineRule="auto"/>
        <w:ind w:left="-708" w:leftChars="-337" w:firstLine="420" w:firstLineChars="200"/>
        <w:rPr>
          <w:rFonts w:hint="eastAsia" w:hAnsi="宋体" w:cs="宋体"/>
          <w:color w:val="auto"/>
          <w:sz w:val="24"/>
          <w:szCs w:val="24"/>
          <w:highlight w:val="none"/>
        </w:rPr>
      </w:pPr>
      <w:r>
        <w:rPr>
          <w:rFonts w:hint="eastAsia" w:hAnsi="宋体" w:cs="宋体"/>
          <w:color w:val="auto"/>
          <w:highlight w:val="none"/>
        </w:rPr>
        <w:t xml:space="preserve">2.请逐条对应本项目招标文件“第二章  </w:t>
      </w:r>
      <w:r>
        <w:rPr>
          <w:rFonts w:hint="eastAsia" w:hAnsi="宋体" w:cs="宋体"/>
          <w:b/>
          <w:color w:val="auto"/>
          <w:szCs w:val="21"/>
          <w:highlight w:val="none"/>
        </w:rPr>
        <w:t>采购需求</w:t>
      </w:r>
      <w:r>
        <w:rPr>
          <w:rFonts w:hint="eastAsia" w:hAnsi="宋体" w:cs="宋体"/>
          <w:color w:val="auto"/>
          <w:highlight w:val="none"/>
        </w:rPr>
        <w:t>”中“商务条款”的要求，详细填写相应的具体内容。“偏离说明”一栏应当选择“正偏离”或“负偏离”或“无偏离”进行填写。</w:t>
      </w:r>
    </w:p>
    <w:p w14:paraId="4041DEA6">
      <w:pPr>
        <w:pStyle w:val="15"/>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3.当投标文件的商务内容低于招标文件要求时，投标人应当如实写明“负偏离”。</w:t>
      </w:r>
    </w:p>
    <w:p w14:paraId="2B104ED7">
      <w:pPr>
        <w:snapToGrid w:val="0"/>
        <w:spacing w:before="50" w:after="50"/>
        <w:rPr>
          <w:rFonts w:hint="eastAsia" w:ascii="宋体" w:hAnsi="宋体" w:cs="宋体"/>
          <w:color w:val="auto"/>
          <w:sz w:val="24"/>
          <w:highlight w:val="none"/>
        </w:rPr>
      </w:pPr>
    </w:p>
    <w:p w14:paraId="642F5010">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14:paraId="1646DB8C">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92D6C53">
      <w:pPr>
        <w:widowControl/>
        <w:jc w:val="left"/>
        <w:rPr>
          <w:rFonts w:hint="eastAsia" w:ascii="宋体" w:hAnsi="宋体" w:cs="宋体"/>
          <w:color w:val="auto"/>
          <w:szCs w:val="21"/>
          <w:highlight w:val="none"/>
        </w:rPr>
        <w:sectPr>
          <w:pgSz w:w="11906" w:h="16838"/>
          <w:pgMar w:top="1440" w:right="1134" w:bottom="1440" w:left="1797" w:header="851" w:footer="992" w:gutter="0"/>
          <w:cols w:space="720" w:num="1"/>
        </w:sectPr>
      </w:pPr>
    </w:p>
    <w:p w14:paraId="14CF90D1">
      <w:pPr>
        <w:pStyle w:val="19"/>
        <w:snapToGrid w:val="0"/>
        <w:ind w:left="602" w:hanging="602"/>
        <w:rPr>
          <w:rFonts w:hint="eastAsia" w:ascii="宋体" w:hAnsi="宋体" w:cs="宋体"/>
          <w:i/>
          <w:iCs/>
          <w:color w:val="auto"/>
          <w:szCs w:val="28"/>
          <w:highlight w:val="none"/>
        </w:rPr>
      </w:pPr>
      <w:r>
        <w:rPr>
          <w:rFonts w:hint="eastAsia" w:ascii="宋体" w:hAnsi="宋体" w:cs="宋体"/>
          <w:b/>
          <w:bCs/>
          <w:color w:val="auto"/>
          <w:sz w:val="30"/>
          <w:szCs w:val="30"/>
          <w:highlight w:val="none"/>
        </w:rPr>
        <w:t>7.投标人类似的业绩证明文件（如有要求）：</w:t>
      </w:r>
    </w:p>
    <w:p w14:paraId="42303220">
      <w:pPr>
        <w:spacing w:line="360" w:lineRule="auto"/>
        <w:ind w:firstLine="2880" w:firstLineChars="900"/>
        <w:contextualSpacing/>
        <w:rPr>
          <w:rFonts w:hint="eastAsia" w:ascii="宋体" w:hAnsi="宋体" w:cs="宋体"/>
          <w:color w:val="auto"/>
          <w:sz w:val="32"/>
          <w:szCs w:val="32"/>
          <w:highlight w:val="none"/>
        </w:rPr>
      </w:pPr>
      <w:r>
        <w:rPr>
          <w:rFonts w:hint="eastAsia" w:ascii="宋体" w:hAnsi="宋体" w:cs="宋体"/>
          <w:color w:val="auto"/>
          <w:sz w:val="32"/>
          <w:szCs w:val="32"/>
          <w:highlight w:val="none"/>
        </w:rPr>
        <w:t>类似项目的业绩一览表</w:t>
      </w:r>
    </w:p>
    <w:p w14:paraId="280B98E0">
      <w:pPr>
        <w:autoSpaceDE w:val="0"/>
        <w:autoSpaceDN w:val="0"/>
        <w:spacing w:line="360" w:lineRule="auto"/>
        <w:jc w:val="left"/>
        <w:rPr>
          <w:rFonts w:hint="eastAsia" w:ascii="宋体" w:hAnsi="宋体" w:cs="宋体"/>
          <w:color w:val="auto"/>
          <w:sz w:val="24"/>
          <w:highlight w:val="none"/>
        </w:rPr>
      </w:pPr>
    </w:p>
    <w:p w14:paraId="05F0FB73">
      <w:pPr>
        <w:autoSpaceDE w:val="0"/>
        <w:autoSpaceDN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所投分标（如有则填写，无分标时填写“无”或者留空）：</w:t>
      </w:r>
    </w:p>
    <w:tbl>
      <w:tblPr>
        <w:tblStyle w:val="26"/>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43986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051E6245">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w:t>
            </w:r>
          </w:p>
          <w:p w14:paraId="0CB80ABB">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018715DB">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14:paraId="7F9CA925">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063A90E2">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14:paraId="1F7C2E4B">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14:paraId="64B56D16">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1AAF4C84">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605E2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57477B18">
            <w:pPr>
              <w:widowControl/>
              <w:jc w:val="left"/>
              <w:rPr>
                <w:rFonts w:hint="eastAsia" w:ascii="宋体" w:hAnsi="宋体" w:cs="宋体"/>
                <w:color w:val="auto"/>
                <w:sz w:val="24"/>
                <w:highlight w:val="none"/>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432A4761">
            <w:pPr>
              <w:widowControl/>
              <w:jc w:val="left"/>
              <w:rPr>
                <w:rFonts w:hint="eastAsia" w:ascii="宋体" w:hAnsi="宋体" w:cs="宋体"/>
                <w:color w:val="auto"/>
                <w:sz w:val="24"/>
                <w:highlight w:val="none"/>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33019C6F">
            <w:pPr>
              <w:widowControl/>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14:paraId="49B9FCE7">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1016" w:type="dxa"/>
            <w:tcBorders>
              <w:top w:val="single" w:color="auto" w:sz="4" w:space="0"/>
              <w:left w:val="single" w:color="auto" w:sz="4" w:space="0"/>
              <w:bottom w:val="single" w:color="auto" w:sz="4" w:space="0"/>
              <w:right w:val="single" w:color="auto" w:sz="4" w:space="0"/>
            </w:tcBorders>
            <w:vAlign w:val="center"/>
          </w:tcPr>
          <w:p w14:paraId="16241026">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验收</w:t>
            </w:r>
          </w:p>
          <w:p w14:paraId="2947A262">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报告</w:t>
            </w:r>
          </w:p>
        </w:tc>
        <w:tc>
          <w:tcPr>
            <w:tcW w:w="1018" w:type="dxa"/>
            <w:tcBorders>
              <w:top w:val="single" w:color="auto" w:sz="4" w:space="0"/>
              <w:left w:val="single" w:color="auto" w:sz="4" w:space="0"/>
              <w:bottom w:val="single" w:color="auto" w:sz="4" w:space="0"/>
              <w:right w:val="single" w:color="auto" w:sz="4" w:space="0"/>
            </w:tcBorders>
            <w:vAlign w:val="center"/>
          </w:tcPr>
          <w:p w14:paraId="07C1E30D">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用户</w:t>
            </w:r>
          </w:p>
          <w:p w14:paraId="46B89E71">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095D952F">
            <w:pPr>
              <w:widowControl/>
              <w:jc w:val="left"/>
              <w:rPr>
                <w:rFonts w:hint="eastAsia" w:ascii="宋体" w:hAnsi="宋体" w:cs="宋体"/>
                <w:color w:val="auto"/>
                <w:sz w:val="24"/>
                <w:highlight w:val="none"/>
              </w:rPr>
            </w:pPr>
          </w:p>
        </w:tc>
      </w:tr>
      <w:tr w14:paraId="5F767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14:paraId="7E281807">
            <w:pPr>
              <w:snapToGrid w:val="0"/>
              <w:spacing w:line="24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588B1FCB">
            <w:pPr>
              <w:snapToGrid w:val="0"/>
              <w:spacing w:line="24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7E657B1F">
            <w:pPr>
              <w:snapToGrid w:val="0"/>
              <w:spacing w:line="24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70C781C2">
            <w:pPr>
              <w:snapToGrid w:val="0"/>
              <w:spacing w:line="24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17EF0BB0">
            <w:pPr>
              <w:snapToGrid w:val="0"/>
              <w:spacing w:line="24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2454BD6D">
            <w:pPr>
              <w:snapToGrid w:val="0"/>
              <w:spacing w:line="24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33DE0F2A">
            <w:pPr>
              <w:snapToGrid w:val="0"/>
              <w:spacing w:line="240" w:lineRule="exact"/>
              <w:jc w:val="left"/>
              <w:rPr>
                <w:rFonts w:hint="eastAsia" w:ascii="宋体" w:hAnsi="宋体" w:cs="宋体"/>
                <w:color w:val="auto"/>
                <w:sz w:val="24"/>
                <w:highlight w:val="none"/>
              </w:rPr>
            </w:pPr>
          </w:p>
        </w:tc>
      </w:tr>
      <w:tr w14:paraId="480D0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549181C3">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36CCF99">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3B2F9B35">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0A72480F">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71D39135">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178C6902">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41AD29EC">
            <w:pPr>
              <w:snapToGrid w:val="0"/>
              <w:spacing w:before="50" w:after="165" w:afterLines="50" w:line="400" w:lineRule="exact"/>
              <w:jc w:val="left"/>
              <w:rPr>
                <w:rFonts w:hint="eastAsia" w:ascii="宋体" w:hAnsi="宋体" w:cs="宋体"/>
                <w:color w:val="auto"/>
                <w:sz w:val="24"/>
                <w:highlight w:val="none"/>
              </w:rPr>
            </w:pPr>
          </w:p>
        </w:tc>
      </w:tr>
      <w:tr w14:paraId="66FA3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14:paraId="3B5F2989">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79CA5D4">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0C0A9AC7">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3552C25">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2F9BF3C2">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54DCC7CB">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375A4767">
            <w:pPr>
              <w:snapToGrid w:val="0"/>
              <w:spacing w:before="50" w:after="165" w:afterLines="50" w:line="400" w:lineRule="exact"/>
              <w:jc w:val="left"/>
              <w:rPr>
                <w:rFonts w:hint="eastAsia" w:ascii="宋体" w:hAnsi="宋体" w:cs="宋体"/>
                <w:color w:val="auto"/>
                <w:sz w:val="24"/>
                <w:highlight w:val="none"/>
              </w:rPr>
            </w:pPr>
          </w:p>
        </w:tc>
      </w:tr>
      <w:tr w14:paraId="537B9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445A18E9">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04E13A40">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309940AE">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714DED94">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32E28E43">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0875F748">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7728F954">
            <w:pPr>
              <w:snapToGrid w:val="0"/>
              <w:spacing w:before="50" w:after="165" w:afterLines="50" w:line="400" w:lineRule="exact"/>
              <w:jc w:val="left"/>
              <w:rPr>
                <w:rFonts w:hint="eastAsia" w:ascii="宋体" w:hAnsi="宋体" w:cs="宋体"/>
                <w:color w:val="auto"/>
                <w:sz w:val="24"/>
                <w:highlight w:val="none"/>
              </w:rPr>
            </w:pPr>
          </w:p>
        </w:tc>
      </w:tr>
      <w:tr w14:paraId="6D2AA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0A8098F6">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12EDF2C6">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78BC0D43">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77C31048">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513C6D2">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7D973DC4">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789AB286">
            <w:pPr>
              <w:snapToGrid w:val="0"/>
              <w:spacing w:before="50" w:after="165" w:afterLines="50" w:line="400" w:lineRule="exact"/>
              <w:jc w:val="left"/>
              <w:rPr>
                <w:rFonts w:hint="eastAsia" w:ascii="宋体" w:hAnsi="宋体" w:cs="宋体"/>
                <w:color w:val="auto"/>
                <w:sz w:val="24"/>
                <w:highlight w:val="none"/>
              </w:rPr>
            </w:pPr>
          </w:p>
        </w:tc>
      </w:tr>
    </w:tbl>
    <w:p w14:paraId="65EC136F">
      <w:pPr>
        <w:pStyle w:val="15"/>
        <w:spacing w:line="360" w:lineRule="auto"/>
        <w:ind w:left="72"/>
        <w:rPr>
          <w:rFonts w:hint="eastAsia" w:hAnsi="宋体" w:cs="宋体"/>
          <w:color w:val="auto"/>
          <w:highlight w:val="none"/>
        </w:rPr>
      </w:pPr>
      <w:r>
        <w:rPr>
          <w:rFonts w:hint="eastAsia" w:hAnsi="宋体" w:cs="宋体"/>
          <w:color w:val="auto"/>
          <w:highlight w:val="none"/>
        </w:rPr>
        <w:t>注：</w:t>
      </w:r>
      <w:r>
        <w:rPr>
          <w:rFonts w:hint="eastAsia" w:hAnsi="宋体" w:cs="宋体"/>
          <w:color w:val="auto"/>
          <w:szCs w:val="21"/>
          <w:highlight w:val="none"/>
        </w:rPr>
        <w:t>在填写时，如本表格不适合投标人的实际情况，可参照本表格式自行制表填写，并附上相关证明材料</w:t>
      </w:r>
      <w:r>
        <w:rPr>
          <w:rFonts w:hint="eastAsia" w:hAnsi="宋体" w:cs="宋体"/>
          <w:color w:val="auto"/>
          <w:highlight w:val="none"/>
        </w:rPr>
        <w:t>。</w:t>
      </w:r>
    </w:p>
    <w:p w14:paraId="0BCE38C5">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EBABD07">
      <w:pPr>
        <w:snapToGrid w:val="0"/>
        <w:spacing w:line="360" w:lineRule="auto"/>
        <w:ind w:firstLine="4935" w:firstLineChars="2350"/>
        <w:rPr>
          <w:rFonts w:hint="eastAsia" w:ascii="宋体" w:hAnsi="宋体" w:cs="宋体"/>
          <w:color w:val="auto"/>
          <w:szCs w:val="21"/>
          <w:highlight w:val="none"/>
        </w:rPr>
      </w:pPr>
    </w:p>
    <w:p w14:paraId="69FFE860">
      <w:pPr>
        <w:snapToGrid w:val="0"/>
        <w:spacing w:line="360" w:lineRule="auto"/>
        <w:ind w:left="5187" w:leftChars="2470" w:firstLine="4620" w:firstLineChars="22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14:paraId="562F3F59">
      <w:pPr>
        <w:snapToGrid w:val="0"/>
        <w:spacing w:line="360" w:lineRule="auto"/>
        <w:ind w:firstLine="5280" w:firstLineChars="2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F092463">
      <w:pPr>
        <w:widowControl/>
        <w:spacing w:line="360" w:lineRule="auto"/>
        <w:jc w:val="left"/>
        <w:rPr>
          <w:rFonts w:hint="eastAsia" w:ascii="宋体" w:hAns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440B56FB">
      <w:pPr>
        <w:pStyle w:val="15"/>
        <w:jc w:val="center"/>
        <w:outlineLvl w:val="1"/>
        <w:rPr>
          <w:rFonts w:hint="eastAsia" w:hAnsi="宋体" w:cs="宋体"/>
          <w:b/>
          <w:bCs/>
          <w:color w:val="auto"/>
          <w:sz w:val="28"/>
          <w:szCs w:val="28"/>
          <w:highlight w:val="none"/>
        </w:rPr>
      </w:pPr>
      <w:bookmarkStart w:id="278" w:name="_Toc11965"/>
      <w:bookmarkStart w:id="279" w:name="_Toc18262"/>
      <w:bookmarkStart w:id="280" w:name="_Toc352"/>
      <w:bookmarkStart w:id="281" w:name="_Toc19686839"/>
      <w:bookmarkStart w:id="282" w:name="_Toc8712"/>
      <w:bookmarkStart w:id="283" w:name="_Toc5911"/>
      <w:r>
        <w:rPr>
          <w:rFonts w:hint="eastAsia" w:hAnsi="宋体" w:cs="宋体"/>
          <w:b/>
          <w:bCs/>
          <w:color w:val="auto"/>
          <w:sz w:val="28"/>
          <w:szCs w:val="28"/>
          <w:highlight w:val="none"/>
        </w:rPr>
        <w:t>第三节 技术文件格式</w:t>
      </w:r>
      <w:bookmarkEnd w:id="278"/>
      <w:bookmarkEnd w:id="279"/>
      <w:bookmarkEnd w:id="280"/>
      <w:bookmarkEnd w:id="281"/>
      <w:bookmarkEnd w:id="282"/>
      <w:bookmarkEnd w:id="283"/>
    </w:p>
    <w:p w14:paraId="390A0270">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85F4BFC">
      <w:pPr>
        <w:snapToGrid w:val="0"/>
        <w:spacing w:before="165" w:beforeLines="50" w:after="50"/>
        <w:ind w:left="142"/>
        <w:jc w:val="left"/>
        <w:rPr>
          <w:rFonts w:hint="eastAsia" w:ascii="宋体" w:hAnsi="宋体" w:cs="宋体"/>
          <w:b/>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w:t>
      </w:r>
      <w:r>
        <w:rPr>
          <w:rFonts w:hint="eastAsia" w:ascii="宋体" w:hAnsi="宋体" w:cs="宋体"/>
          <w:b/>
          <w:color w:val="auto"/>
          <w:sz w:val="28"/>
          <w:szCs w:val="28"/>
          <w:highlight w:val="none"/>
        </w:rPr>
        <w:t xml:space="preserve">1. 技术文件封面的格式（参照此格式自拟）： </w:t>
      </w:r>
    </w:p>
    <w:p w14:paraId="20BBE797">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C6015B1">
      <w:pPr>
        <w:snapToGrid w:val="0"/>
        <w:spacing w:before="165" w:beforeLines="50" w:after="50"/>
        <w:ind w:firstLine="7200" w:firstLineChars="300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7A59B1A">
      <w:pPr>
        <w:snapToGrid w:val="0"/>
        <w:spacing w:before="165" w:beforeLines="50" w:after="50"/>
        <w:rPr>
          <w:rFonts w:hint="eastAsia" w:ascii="宋体" w:hAnsi="宋体" w:cs="宋体"/>
          <w:color w:val="auto"/>
          <w:sz w:val="24"/>
          <w:szCs w:val="20"/>
          <w:highlight w:val="none"/>
        </w:rPr>
      </w:pPr>
    </w:p>
    <w:p w14:paraId="505B0A21">
      <w:pPr>
        <w:snapToGrid w:val="0"/>
        <w:spacing w:before="165" w:beforeLines="50" w:after="50"/>
        <w:jc w:val="center"/>
        <w:rPr>
          <w:rFonts w:hint="eastAsia" w:ascii="宋体" w:hAnsi="宋体" w:cs="宋体"/>
          <w:b/>
          <w:bCs/>
          <w:color w:val="auto"/>
          <w:sz w:val="32"/>
          <w:szCs w:val="32"/>
          <w:highlight w:val="none"/>
        </w:rPr>
      </w:pPr>
    </w:p>
    <w:p w14:paraId="4AB8EF8E">
      <w:pPr>
        <w:snapToGrid w:val="0"/>
        <w:spacing w:before="165" w:beforeLines="50" w:after="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4BF7D0F5">
      <w:pPr>
        <w:snapToGrid w:val="0"/>
        <w:spacing w:before="165" w:beforeLines="50" w:after="50"/>
        <w:rPr>
          <w:rFonts w:hint="eastAsia" w:ascii="宋体" w:hAnsi="宋体" w:cs="宋体"/>
          <w:bCs/>
          <w:color w:val="auto"/>
          <w:sz w:val="24"/>
          <w:szCs w:val="20"/>
          <w:highlight w:val="none"/>
        </w:rPr>
      </w:pPr>
    </w:p>
    <w:p w14:paraId="287EC8E1">
      <w:pPr>
        <w:snapToGrid w:val="0"/>
        <w:spacing w:before="165" w:beforeLines="50" w:after="50" w:line="400" w:lineRule="exact"/>
        <w:ind w:firstLine="360" w:firstLineChars="150"/>
        <w:rPr>
          <w:rFonts w:hint="eastAsia" w:ascii="宋体" w:hAnsi="宋体" w:cs="宋体"/>
          <w:bCs/>
          <w:color w:val="auto"/>
          <w:sz w:val="24"/>
          <w:highlight w:val="none"/>
        </w:rPr>
      </w:pPr>
    </w:p>
    <w:p w14:paraId="0C2A693D">
      <w:pPr>
        <w:snapToGrid w:val="0"/>
        <w:spacing w:before="165" w:beforeLines="50" w:after="50" w:line="400" w:lineRule="exact"/>
        <w:ind w:firstLine="360" w:firstLineChars="150"/>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4DA89FD1">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6CBD842A">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7E5E9697">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5E45F51">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56F997D">
      <w:pPr>
        <w:snapToGrid w:val="0"/>
        <w:spacing w:before="165" w:beforeLines="50" w:after="50"/>
        <w:ind w:firstLine="645"/>
        <w:jc w:val="center"/>
        <w:rPr>
          <w:rFonts w:hint="eastAsia" w:ascii="宋体" w:hAnsi="宋体" w:cs="宋体"/>
          <w:color w:val="auto"/>
          <w:sz w:val="24"/>
          <w:highlight w:val="none"/>
        </w:rPr>
      </w:pPr>
    </w:p>
    <w:p w14:paraId="536470D7">
      <w:pPr>
        <w:snapToGrid w:val="0"/>
        <w:spacing w:before="165" w:beforeLines="50" w:after="50"/>
        <w:ind w:firstLine="645"/>
        <w:jc w:val="center"/>
        <w:rPr>
          <w:rFonts w:hint="eastAsia" w:ascii="宋体" w:hAnsi="宋体" w:cs="宋体"/>
          <w:color w:val="auto"/>
          <w:sz w:val="24"/>
          <w:highlight w:val="none"/>
        </w:rPr>
      </w:pPr>
    </w:p>
    <w:p w14:paraId="3ED47763">
      <w:pPr>
        <w:snapToGrid w:val="0"/>
        <w:spacing w:before="165" w:beforeLines="50" w:after="50"/>
        <w:ind w:firstLine="645"/>
        <w:jc w:val="center"/>
        <w:rPr>
          <w:rFonts w:hint="eastAsia" w:ascii="宋体" w:hAnsi="宋体" w:cs="宋体"/>
          <w:color w:val="auto"/>
          <w:sz w:val="24"/>
          <w:highlight w:val="none"/>
        </w:rPr>
      </w:pPr>
    </w:p>
    <w:p w14:paraId="130C593C">
      <w:pPr>
        <w:snapToGrid w:val="0"/>
        <w:spacing w:before="165" w:beforeLines="50" w:after="50"/>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E2E3860">
      <w:pPr>
        <w:snapToGrid w:val="0"/>
        <w:spacing w:before="165" w:beforeLines="50" w:after="50"/>
        <w:ind w:firstLine="645"/>
        <w:jc w:val="center"/>
        <w:rPr>
          <w:rFonts w:hint="eastAsia" w:ascii="宋体" w:hAnsi="宋体" w:cs="宋体"/>
          <w:color w:val="auto"/>
          <w:sz w:val="24"/>
          <w:szCs w:val="20"/>
          <w:highlight w:val="none"/>
        </w:rPr>
      </w:pPr>
    </w:p>
    <w:p w14:paraId="07E25779">
      <w:pPr>
        <w:snapToGrid w:val="0"/>
        <w:spacing w:before="165" w:beforeLines="50" w:after="50"/>
        <w:ind w:left="142"/>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8"/>
          <w:szCs w:val="28"/>
          <w:highlight w:val="none"/>
        </w:rPr>
        <w:t>2. 技术文件目录</w:t>
      </w:r>
    </w:p>
    <w:p w14:paraId="23D4FCF6">
      <w:pPr>
        <w:spacing w:line="360" w:lineRule="auto"/>
        <w:ind w:right="420"/>
        <w:rPr>
          <w:rFonts w:hint="eastAsia"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37DA1146">
      <w:pPr>
        <w:spacing w:line="360" w:lineRule="auto"/>
        <w:rPr>
          <w:rFonts w:hint="eastAsia" w:ascii="宋体" w:hAnsi="宋体" w:cs="宋体"/>
          <w:b/>
          <w:bCs/>
          <w:color w:val="auto"/>
          <w:sz w:val="24"/>
          <w:highlight w:val="none"/>
        </w:rPr>
      </w:pPr>
    </w:p>
    <w:p w14:paraId="6D307130">
      <w:pPr>
        <w:snapToGrid w:val="0"/>
        <w:spacing w:before="165" w:beforeLines="50" w:after="50"/>
        <w:ind w:left="143" w:leftChars="68" w:firstLine="472" w:firstLineChars="196"/>
        <w:jc w:val="left"/>
        <w:rPr>
          <w:rFonts w:hint="eastAsia" w:ascii="宋体" w:hAnsi="宋体" w:cs="宋体"/>
          <w:b/>
          <w:color w:val="auto"/>
          <w:sz w:val="24"/>
          <w:highlight w:val="none"/>
        </w:rPr>
      </w:pPr>
    </w:p>
    <w:p w14:paraId="5FD713D8">
      <w:pPr>
        <w:snapToGrid w:val="0"/>
        <w:spacing w:before="165" w:beforeLines="50" w:after="50"/>
        <w:ind w:left="143" w:leftChars="68" w:firstLine="472" w:firstLineChars="196"/>
        <w:jc w:val="left"/>
        <w:rPr>
          <w:rFonts w:hint="eastAsia" w:ascii="宋体" w:hAnsi="宋体" w:cs="宋体"/>
          <w:b/>
          <w:color w:val="auto"/>
          <w:sz w:val="24"/>
          <w:highlight w:val="none"/>
        </w:rPr>
      </w:pPr>
    </w:p>
    <w:p w14:paraId="216318A3">
      <w:pPr>
        <w:snapToGrid w:val="0"/>
        <w:spacing w:before="165" w:beforeLines="50" w:after="50"/>
        <w:ind w:left="143" w:leftChars="68" w:firstLine="472" w:firstLineChars="196"/>
        <w:jc w:val="left"/>
        <w:rPr>
          <w:rFonts w:hint="eastAsia" w:ascii="宋体" w:hAnsi="宋体" w:cs="宋体"/>
          <w:b/>
          <w:color w:val="auto"/>
          <w:sz w:val="24"/>
          <w:highlight w:val="none"/>
        </w:rPr>
      </w:pPr>
    </w:p>
    <w:p w14:paraId="7E14C4E1">
      <w:pPr>
        <w:snapToGrid w:val="0"/>
        <w:spacing w:before="165" w:beforeLines="50" w:after="50"/>
        <w:ind w:left="143" w:leftChars="68" w:firstLine="472" w:firstLineChars="196"/>
        <w:jc w:val="left"/>
        <w:rPr>
          <w:rFonts w:hint="eastAsia" w:ascii="宋体" w:hAnsi="宋体" w:cs="宋体"/>
          <w:b/>
          <w:color w:val="auto"/>
          <w:sz w:val="24"/>
          <w:highlight w:val="none"/>
        </w:rPr>
      </w:pPr>
    </w:p>
    <w:p w14:paraId="3D5FE675">
      <w:pPr>
        <w:snapToGrid w:val="0"/>
        <w:spacing w:before="165" w:beforeLines="50" w:after="50"/>
        <w:ind w:left="143" w:leftChars="68" w:firstLine="472" w:firstLineChars="196"/>
        <w:jc w:val="left"/>
        <w:rPr>
          <w:rFonts w:hint="eastAsia" w:ascii="宋体" w:hAnsi="宋体" w:cs="宋体"/>
          <w:b/>
          <w:color w:val="auto"/>
          <w:sz w:val="24"/>
          <w:highlight w:val="none"/>
        </w:rPr>
      </w:pPr>
    </w:p>
    <w:p w14:paraId="1C406BC1">
      <w:pPr>
        <w:snapToGrid w:val="0"/>
        <w:spacing w:before="165" w:beforeLines="50" w:after="50"/>
        <w:ind w:left="143" w:leftChars="68" w:firstLine="472" w:firstLineChars="196"/>
        <w:jc w:val="left"/>
        <w:rPr>
          <w:rFonts w:hint="eastAsia" w:ascii="宋体" w:hAnsi="宋体" w:cs="宋体"/>
          <w:b/>
          <w:color w:val="auto"/>
          <w:sz w:val="24"/>
          <w:highlight w:val="none"/>
        </w:rPr>
      </w:pPr>
    </w:p>
    <w:p w14:paraId="0AB81D5C">
      <w:pPr>
        <w:snapToGrid w:val="0"/>
        <w:spacing w:before="165" w:beforeLines="50" w:after="50"/>
        <w:ind w:left="143" w:leftChars="68" w:firstLine="472" w:firstLineChars="196"/>
        <w:jc w:val="left"/>
        <w:rPr>
          <w:rFonts w:hint="eastAsia" w:ascii="宋体" w:hAnsi="宋体" w:cs="宋体"/>
          <w:b/>
          <w:color w:val="auto"/>
          <w:sz w:val="24"/>
          <w:highlight w:val="none"/>
        </w:rPr>
      </w:pPr>
    </w:p>
    <w:p w14:paraId="6A3F20EC">
      <w:pPr>
        <w:snapToGrid w:val="0"/>
        <w:spacing w:before="165" w:beforeLines="50" w:after="50"/>
        <w:ind w:left="143" w:leftChars="68" w:firstLine="472" w:firstLineChars="196"/>
        <w:jc w:val="left"/>
        <w:rPr>
          <w:rFonts w:hint="eastAsia" w:ascii="宋体" w:hAnsi="宋体" w:cs="宋体"/>
          <w:b/>
          <w:color w:val="auto"/>
          <w:sz w:val="24"/>
          <w:highlight w:val="none"/>
        </w:rPr>
      </w:pPr>
    </w:p>
    <w:p w14:paraId="740F50F3">
      <w:pPr>
        <w:snapToGrid w:val="0"/>
        <w:spacing w:before="165" w:beforeLines="50" w:after="50"/>
        <w:ind w:left="143" w:leftChars="68" w:firstLine="472" w:firstLineChars="196"/>
        <w:jc w:val="left"/>
        <w:rPr>
          <w:rFonts w:hint="eastAsia" w:ascii="宋体" w:hAnsi="宋体" w:cs="宋体"/>
          <w:b/>
          <w:color w:val="auto"/>
          <w:sz w:val="24"/>
          <w:highlight w:val="none"/>
        </w:rPr>
      </w:pPr>
    </w:p>
    <w:p w14:paraId="41C06659">
      <w:pPr>
        <w:snapToGrid w:val="0"/>
        <w:spacing w:before="165" w:beforeLines="50" w:after="50"/>
        <w:ind w:left="143" w:leftChars="68" w:firstLine="472" w:firstLineChars="196"/>
        <w:jc w:val="left"/>
        <w:rPr>
          <w:rFonts w:hint="eastAsia" w:ascii="宋体" w:hAnsi="宋体" w:cs="宋体"/>
          <w:b/>
          <w:color w:val="auto"/>
          <w:sz w:val="24"/>
          <w:highlight w:val="none"/>
        </w:rPr>
      </w:pPr>
    </w:p>
    <w:p w14:paraId="45608C1E">
      <w:pPr>
        <w:snapToGrid w:val="0"/>
        <w:spacing w:before="165" w:beforeLines="50" w:after="50"/>
        <w:ind w:left="143" w:leftChars="68" w:firstLine="472" w:firstLineChars="196"/>
        <w:jc w:val="left"/>
        <w:rPr>
          <w:rFonts w:hint="eastAsia" w:ascii="宋体" w:hAnsi="宋体" w:cs="宋体"/>
          <w:b/>
          <w:color w:val="auto"/>
          <w:sz w:val="24"/>
          <w:highlight w:val="none"/>
        </w:rPr>
      </w:pPr>
    </w:p>
    <w:p w14:paraId="30BCE934">
      <w:pPr>
        <w:snapToGrid w:val="0"/>
        <w:spacing w:before="165" w:beforeLines="50" w:after="50"/>
        <w:ind w:left="143" w:leftChars="68" w:firstLine="472" w:firstLineChars="196"/>
        <w:jc w:val="left"/>
        <w:rPr>
          <w:rFonts w:hint="eastAsia" w:ascii="宋体" w:hAnsi="宋体" w:cs="宋体"/>
          <w:b/>
          <w:color w:val="auto"/>
          <w:sz w:val="24"/>
          <w:highlight w:val="none"/>
        </w:rPr>
      </w:pPr>
    </w:p>
    <w:p w14:paraId="14071306">
      <w:pPr>
        <w:snapToGrid w:val="0"/>
        <w:spacing w:before="165" w:beforeLines="50" w:after="50"/>
        <w:ind w:left="143" w:leftChars="68" w:firstLine="472" w:firstLineChars="196"/>
        <w:jc w:val="left"/>
        <w:rPr>
          <w:rFonts w:hint="eastAsia" w:ascii="宋体" w:hAnsi="宋体" w:cs="宋体"/>
          <w:b/>
          <w:color w:val="auto"/>
          <w:sz w:val="24"/>
          <w:highlight w:val="none"/>
        </w:rPr>
      </w:pPr>
    </w:p>
    <w:p w14:paraId="6ED7808A">
      <w:pPr>
        <w:snapToGrid w:val="0"/>
        <w:spacing w:before="165" w:beforeLines="50" w:after="50"/>
        <w:ind w:left="143" w:leftChars="68" w:firstLine="472" w:firstLineChars="196"/>
        <w:jc w:val="left"/>
        <w:rPr>
          <w:rFonts w:hint="eastAsia" w:ascii="宋体" w:hAnsi="宋体" w:cs="宋体"/>
          <w:b/>
          <w:color w:val="auto"/>
          <w:sz w:val="24"/>
          <w:highlight w:val="none"/>
        </w:rPr>
      </w:pPr>
    </w:p>
    <w:p w14:paraId="08F852BC">
      <w:pPr>
        <w:snapToGrid w:val="0"/>
        <w:spacing w:before="165" w:beforeLines="50" w:after="50"/>
        <w:ind w:left="143" w:leftChars="68" w:firstLine="472" w:firstLineChars="196"/>
        <w:jc w:val="left"/>
        <w:rPr>
          <w:rFonts w:hint="eastAsia" w:ascii="宋体" w:hAnsi="宋体" w:cs="宋体"/>
          <w:b/>
          <w:color w:val="auto"/>
          <w:sz w:val="24"/>
          <w:highlight w:val="none"/>
        </w:rPr>
      </w:pPr>
    </w:p>
    <w:p w14:paraId="62BE3421">
      <w:pPr>
        <w:snapToGrid w:val="0"/>
        <w:spacing w:before="165" w:beforeLines="50" w:after="50"/>
        <w:ind w:left="143" w:leftChars="68" w:firstLine="472" w:firstLineChars="196"/>
        <w:jc w:val="left"/>
        <w:rPr>
          <w:rFonts w:hint="eastAsia" w:ascii="宋体" w:hAnsi="宋体" w:cs="宋体"/>
          <w:b/>
          <w:color w:val="auto"/>
          <w:sz w:val="24"/>
          <w:highlight w:val="none"/>
        </w:rPr>
      </w:pPr>
    </w:p>
    <w:p w14:paraId="59CF4413">
      <w:pPr>
        <w:snapToGrid w:val="0"/>
        <w:spacing w:before="165" w:beforeLines="50" w:after="50"/>
        <w:ind w:left="143" w:leftChars="68" w:firstLine="472" w:firstLineChars="196"/>
        <w:jc w:val="left"/>
        <w:rPr>
          <w:rFonts w:hint="eastAsia" w:ascii="宋体" w:hAnsi="宋体" w:cs="宋体"/>
          <w:b/>
          <w:color w:val="auto"/>
          <w:sz w:val="24"/>
          <w:highlight w:val="none"/>
        </w:rPr>
      </w:pPr>
    </w:p>
    <w:p w14:paraId="19C832BD">
      <w:pPr>
        <w:snapToGrid w:val="0"/>
        <w:spacing w:before="165" w:beforeLines="50" w:after="50"/>
        <w:ind w:left="143" w:leftChars="68" w:firstLine="472" w:firstLineChars="196"/>
        <w:jc w:val="left"/>
        <w:rPr>
          <w:rFonts w:hint="eastAsia" w:ascii="宋体" w:hAnsi="宋体" w:cs="宋体"/>
          <w:b/>
          <w:color w:val="auto"/>
          <w:sz w:val="24"/>
          <w:highlight w:val="none"/>
        </w:rPr>
      </w:pPr>
    </w:p>
    <w:p w14:paraId="12093914">
      <w:pPr>
        <w:snapToGrid w:val="0"/>
        <w:spacing w:before="165" w:beforeLines="50" w:after="50"/>
        <w:ind w:left="143" w:leftChars="68" w:firstLine="472" w:firstLineChars="196"/>
        <w:jc w:val="left"/>
        <w:rPr>
          <w:rFonts w:hint="eastAsia" w:ascii="宋体" w:hAnsi="宋体" w:cs="宋体"/>
          <w:b/>
          <w:color w:val="auto"/>
          <w:sz w:val="24"/>
          <w:highlight w:val="none"/>
        </w:rPr>
      </w:pPr>
    </w:p>
    <w:p w14:paraId="2342B8C4">
      <w:pPr>
        <w:snapToGrid w:val="0"/>
        <w:spacing w:before="165" w:beforeLines="50" w:after="50"/>
        <w:ind w:left="143" w:leftChars="68"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15F6B226">
      <w:pPr>
        <w:pStyle w:val="15"/>
        <w:spacing w:line="500" w:lineRule="exact"/>
        <w:jc w:val="left"/>
        <w:rPr>
          <w:rFonts w:hint="eastAsia" w:hAnsi="宋体" w:cs="宋体"/>
          <w:b/>
          <w:bCs/>
          <w:color w:val="auto"/>
          <w:sz w:val="30"/>
          <w:szCs w:val="30"/>
          <w:highlight w:val="none"/>
        </w:rPr>
      </w:pPr>
      <w:r>
        <w:rPr>
          <w:rFonts w:hint="eastAsia" w:hAnsi="宋体" w:cs="宋体"/>
          <w:b/>
          <w:bCs/>
          <w:color w:val="auto"/>
          <w:sz w:val="30"/>
          <w:szCs w:val="30"/>
          <w:highlight w:val="none"/>
        </w:rPr>
        <w:br w:type="page"/>
      </w:r>
      <w:r>
        <w:rPr>
          <w:rFonts w:hint="eastAsia" w:hAnsi="宋体" w:cs="宋体"/>
          <w:b/>
          <w:color w:val="auto"/>
          <w:sz w:val="28"/>
          <w:szCs w:val="28"/>
          <w:highlight w:val="none"/>
        </w:rPr>
        <w:t>3. 技术需求偏离表的格式：</w:t>
      </w:r>
    </w:p>
    <w:p w14:paraId="7CC660BF">
      <w:pPr>
        <w:pStyle w:val="15"/>
        <w:spacing w:line="500" w:lineRule="exact"/>
        <w:jc w:val="center"/>
        <w:rPr>
          <w:rFonts w:hint="eastAsia" w:hAnsi="宋体" w:cs="宋体"/>
          <w:b/>
          <w:bCs/>
          <w:color w:val="auto"/>
          <w:sz w:val="30"/>
          <w:szCs w:val="30"/>
          <w:highlight w:val="none"/>
        </w:rPr>
      </w:pPr>
      <w:r>
        <w:rPr>
          <w:rFonts w:hint="eastAsia" w:hAnsi="宋体" w:cs="宋体"/>
          <w:b/>
          <w:bCs/>
          <w:color w:val="auto"/>
          <w:sz w:val="30"/>
          <w:szCs w:val="30"/>
          <w:highlight w:val="none"/>
        </w:rPr>
        <w:t>技术需求偏离表</w:t>
      </w:r>
    </w:p>
    <w:p w14:paraId="55AA0FD2">
      <w:pPr>
        <w:pStyle w:val="15"/>
        <w:spacing w:line="440" w:lineRule="exact"/>
        <w:ind w:firstLine="420" w:firstLineChars="200"/>
        <w:rPr>
          <w:rFonts w:hint="eastAsia" w:hAnsi="宋体" w:cs="宋体"/>
          <w:color w:val="auto"/>
          <w:highlight w:val="none"/>
        </w:rPr>
      </w:pPr>
    </w:p>
    <w:p w14:paraId="090AA63C">
      <w:pPr>
        <w:spacing w:line="48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CBEDDBE">
      <w:pPr>
        <w:pStyle w:val="15"/>
        <w:spacing w:line="480" w:lineRule="auto"/>
        <w:rPr>
          <w:color w:val="auto"/>
          <w:highlight w:val="none"/>
        </w:rPr>
      </w:pPr>
      <w:r>
        <w:rPr>
          <w:rFonts w:hint="eastAsia" w:hAnsi="宋体" w:cs="宋体"/>
          <w:color w:val="auto"/>
          <w:sz w:val="24"/>
          <w:highlight w:val="none"/>
        </w:rPr>
        <w:t>项目编号：</w:t>
      </w:r>
      <w:r>
        <w:rPr>
          <w:rFonts w:hint="eastAsia" w:hAnsi="宋体" w:cs="宋体"/>
          <w:color w:val="auto"/>
          <w:sz w:val="24"/>
          <w:highlight w:val="none"/>
          <w:u w:val="single"/>
        </w:rPr>
        <w:t xml:space="preserve">                 </w:t>
      </w:r>
    </w:p>
    <w:p w14:paraId="0E7C6616">
      <w:pPr>
        <w:pStyle w:val="15"/>
        <w:spacing w:line="480" w:lineRule="auto"/>
        <w:rPr>
          <w:color w:val="auto"/>
          <w:highlight w:val="none"/>
        </w:rPr>
      </w:pPr>
      <w:r>
        <w:rPr>
          <w:rFonts w:hint="eastAsia" w:hAnsi="宋体" w:cs="宋体"/>
          <w:color w:val="auto"/>
          <w:sz w:val="24"/>
          <w:highlight w:val="none"/>
        </w:rPr>
        <w:t>所投分标</w:t>
      </w:r>
      <w:r>
        <w:rPr>
          <w:rFonts w:hint="eastAsia" w:hAnsi="宋体" w:cs="宋体"/>
          <w:color w:val="auto"/>
          <w:szCs w:val="21"/>
          <w:highlight w:val="none"/>
        </w:rPr>
        <w:t>（此处有分标时填写具体分标号，无分标时填写“无”）</w:t>
      </w:r>
      <w:r>
        <w:rPr>
          <w:rFonts w:hint="eastAsia" w:hAnsi="宋体" w:cs="宋体"/>
          <w:color w:val="auto"/>
          <w:sz w:val="24"/>
          <w:szCs w:val="24"/>
          <w:highlight w:val="none"/>
        </w:rPr>
        <w:t>：</w:t>
      </w:r>
      <w:r>
        <w:rPr>
          <w:rFonts w:hint="eastAsia" w:hAnsi="宋体" w:cs="宋体"/>
          <w:color w:val="auto"/>
          <w:sz w:val="24"/>
          <w:highlight w:val="none"/>
          <w:u w:val="single"/>
        </w:rPr>
        <w:t xml:space="preserve">           </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3CC9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BCF0298">
            <w:pPr>
              <w:widowControl/>
              <w:jc w:val="left"/>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6D479407">
            <w:pPr>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6976AFE7">
            <w:pPr>
              <w:jc w:val="center"/>
              <w:rPr>
                <w:rFonts w:hint="eastAsia" w:ascii="宋体" w:hAnsi="宋体" w:cs="宋体"/>
                <w:color w:val="auto"/>
                <w:szCs w:val="21"/>
                <w:highlight w:val="none"/>
              </w:rPr>
            </w:pPr>
            <w:r>
              <w:rPr>
                <w:rFonts w:hint="eastAsia" w:ascii="宋体" w:hAnsi="宋体"/>
                <w:color w:val="auto"/>
                <w:szCs w:val="21"/>
                <w:highlight w:val="none"/>
              </w:rPr>
              <w:t>招标文件采购需求中的</w:t>
            </w:r>
            <w:r>
              <w:rPr>
                <w:rFonts w:hint="eastAsia" w:ascii="宋体" w:hAnsi="宋体" w:cs="宋体"/>
                <w:color w:val="auto"/>
                <w:szCs w:val="21"/>
                <w:highlight w:val="none"/>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467DF1D4">
            <w:pPr>
              <w:jc w:val="center"/>
              <w:rPr>
                <w:rFonts w:hint="eastAsia" w:ascii="宋体" w:hAnsi="宋体" w:cs="宋体"/>
                <w:color w:val="auto"/>
                <w:szCs w:val="21"/>
                <w:highlight w:val="none"/>
              </w:rPr>
            </w:pPr>
            <w:r>
              <w:rPr>
                <w:rFonts w:hint="eastAsia" w:ascii="宋体" w:hAnsi="宋体"/>
                <w:color w:val="auto"/>
                <w:szCs w:val="21"/>
                <w:highlight w:val="none"/>
              </w:rPr>
              <w:t>投标文件响应的</w:t>
            </w:r>
            <w:r>
              <w:rPr>
                <w:rFonts w:hint="eastAsia" w:ascii="宋体" w:hAnsi="宋体" w:cs="宋体"/>
                <w:color w:val="auto"/>
                <w:szCs w:val="21"/>
                <w:highlight w:val="none"/>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70C2AE42">
            <w:pPr>
              <w:widowControl/>
              <w:jc w:val="left"/>
              <w:rPr>
                <w:rFonts w:hint="eastAsia" w:ascii="宋体" w:hAnsi="宋体" w:cs="宋体"/>
                <w:color w:val="auto"/>
                <w:szCs w:val="21"/>
                <w:highlight w:val="none"/>
              </w:rPr>
            </w:pPr>
            <w:r>
              <w:rPr>
                <w:rFonts w:hint="eastAsia" w:ascii="宋体" w:hAnsi="宋体"/>
                <w:color w:val="auto"/>
                <w:szCs w:val="21"/>
                <w:highlight w:val="none"/>
              </w:rPr>
              <w:t>偏离说明</w:t>
            </w:r>
          </w:p>
        </w:tc>
      </w:tr>
      <w:tr w14:paraId="42AC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A4337D7">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14:paraId="4983C00D">
            <w:pPr>
              <w:rPr>
                <w:rFonts w:hint="eastAsia"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6934A164">
            <w:pPr>
              <w:rPr>
                <w:rFonts w:hint="eastAsia"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6CE06778">
            <w:pPr>
              <w:rPr>
                <w:rFonts w:hint="eastAsia"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1F0F72C2">
            <w:pPr>
              <w:rPr>
                <w:rFonts w:hint="eastAsia" w:ascii="宋体" w:hAnsi="宋体" w:cs="宋体"/>
                <w:color w:val="auto"/>
                <w:szCs w:val="21"/>
                <w:highlight w:val="none"/>
              </w:rPr>
            </w:pPr>
          </w:p>
        </w:tc>
      </w:tr>
      <w:tr w14:paraId="445A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B43FF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vAlign w:val="center"/>
          </w:tcPr>
          <w:p w14:paraId="056DC002">
            <w:pPr>
              <w:rPr>
                <w:rFonts w:hint="eastAsia"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9F02A5B">
            <w:pPr>
              <w:rPr>
                <w:rFonts w:hint="eastAsia"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08EE5D29">
            <w:pPr>
              <w:rPr>
                <w:rFonts w:hint="eastAsia"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6F40244">
            <w:pPr>
              <w:rPr>
                <w:rFonts w:hint="eastAsia" w:ascii="宋体" w:hAnsi="宋体" w:cs="宋体"/>
                <w:color w:val="auto"/>
                <w:szCs w:val="21"/>
                <w:highlight w:val="none"/>
              </w:rPr>
            </w:pPr>
          </w:p>
        </w:tc>
      </w:tr>
      <w:tr w14:paraId="4426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DB6536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vAlign w:val="center"/>
          </w:tcPr>
          <w:p w14:paraId="05F38347">
            <w:pPr>
              <w:rPr>
                <w:rFonts w:hint="eastAsia"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12B10F39">
            <w:pPr>
              <w:rPr>
                <w:rFonts w:hint="eastAsia"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4099AC07">
            <w:pPr>
              <w:rPr>
                <w:rFonts w:hint="eastAsia"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57A3139">
            <w:pPr>
              <w:rPr>
                <w:rFonts w:hint="eastAsia" w:ascii="宋体" w:hAnsi="宋体" w:cs="宋体"/>
                <w:color w:val="auto"/>
                <w:szCs w:val="21"/>
                <w:highlight w:val="none"/>
              </w:rPr>
            </w:pPr>
          </w:p>
        </w:tc>
      </w:tr>
      <w:tr w14:paraId="6244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60BE17D2">
            <w:pPr>
              <w:rPr>
                <w:rFonts w:hint="eastAsia" w:ascii="宋体" w:hAnsi="宋体" w:cs="宋体"/>
                <w:color w:val="auto"/>
                <w:szCs w:val="21"/>
                <w:highlight w:val="none"/>
              </w:rPr>
            </w:pPr>
            <w:r>
              <w:rPr>
                <w:rFonts w:hint="eastAsia" w:ascii="宋体" w:hAnsi="宋体" w:cs="宋体"/>
                <w:color w:val="auto"/>
                <w:szCs w:val="21"/>
                <w:highlight w:val="none"/>
              </w:rPr>
              <w:t>投标货物中，属于优先采购节能产品</w:t>
            </w:r>
            <w:r>
              <w:rPr>
                <w:rFonts w:hint="eastAsia" w:ascii="宋体" w:hAnsi="宋体" w:cs="宋体"/>
                <w:color w:val="auto"/>
                <w:highlight w:val="none"/>
              </w:rPr>
              <w:t>为</w:t>
            </w:r>
            <w:r>
              <w:rPr>
                <w:rFonts w:hint="eastAsia" w:ascii="宋体" w:hAnsi="宋体" w:cs="宋体"/>
                <w:color w:val="auto"/>
                <w:szCs w:val="21"/>
                <w:highlight w:val="none"/>
              </w:rPr>
              <w:t>本项目招标文件“第二章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cs="宋体"/>
                <w:color w:val="auto"/>
                <w:highlight w:val="none"/>
                <w:u w:val="single"/>
              </w:rPr>
              <w:t xml:space="preserve">        </w:t>
            </w:r>
            <w:r>
              <w:rPr>
                <w:rFonts w:hint="eastAsia" w:ascii="宋体" w:hAnsi="宋体" w:cs="宋体"/>
                <w:color w:val="auto"/>
                <w:highlight w:val="none"/>
              </w:rPr>
              <w:t>，合计</w:t>
            </w:r>
            <w:r>
              <w:rPr>
                <w:rFonts w:hint="eastAsia" w:ascii="宋体" w:hAnsi="宋体" w:cs="宋体"/>
                <w:color w:val="auto"/>
                <w:highlight w:val="none"/>
                <w:u w:val="single"/>
              </w:rPr>
              <w:t xml:space="preserve">     </w:t>
            </w:r>
            <w:r>
              <w:rPr>
                <w:rFonts w:hint="eastAsia" w:ascii="宋体" w:hAnsi="宋体" w:cs="宋体"/>
                <w:color w:val="auto"/>
                <w:highlight w:val="none"/>
              </w:rPr>
              <w:t>项</w:t>
            </w:r>
            <w:r>
              <w:rPr>
                <w:rFonts w:hint="eastAsia" w:ascii="宋体" w:hAnsi="宋体" w:cs="宋体"/>
                <w:color w:val="auto"/>
                <w:szCs w:val="21"/>
                <w:highlight w:val="none"/>
              </w:rPr>
              <w:t>；属于优先采购环境标志产品为本项目招标文件“第二章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cs="宋体"/>
                <w:color w:val="auto"/>
                <w:highlight w:val="none"/>
                <w:u w:val="single"/>
              </w:rPr>
              <w:t xml:space="preserve">        </w:t>
            </w:r>
            <w:r>
              <w:rPr>
                <w:rFonts w:hint="eastAsia" w:ascii="宋体" w:hAnsi="宋体" w:cs="宋体"/>
                <w:color w:val="auto"/>
                <w:highlight w:val="none"/>
              </w:rPr>
              <w:t>，合计</w:t>
            </w:r>
            <w:r>
              <w:rPr>
                <w:rFonts w:hint="eastAsia" w:ascii="宋体" w:hAnsi="宋体" w:cs="宋体"/>
                <w:color w:val="auto"/>
                <w:highlight w:val="none"/>
                <w:u w:val="single"/>
              </w:rPr>
              <w:t xml:space="preserve">     </w:t>
            </w:r>
            <w:r>
              <w:rPr>
                <w:rFonts w:hint="eastAsia" w:ascii="宋体" w:hAnsi="宋体" w:cs="宋体"/>
                <w:color w:val="auto"/>
                <w:highlight w:val="none"/>
              </w:rPr>
              <w:t>项</w:t>
            </w:r>
            <w:r>
              <w:rPr>
                <w:rFonts w:hint="eastAsia" w:ascii="宋体" w:hAnsi="宋体" w:cs="宋体"/>
                <w:color w:val="auto"/>
                <w:szCs w:val="21"/>
                <w:highlight w:val="none"/>
              </w:rPr>
              <w:t>。</w:t>
            </w:r>
            <w:r>
              <w:rPr>
                <w:rFonts w:hint="eastAsia" w:ascii="宋体" w:hAnsi="宋体" w:cs="宋体"/>
                <w:color w:val="auto"/>
                <w:highlight w:val="none"/>
              </w:rPr>
              <w:t xml:space="preserve"> </w:t>
            </w:r>
            <w:r>
              <w:rPr>
                <w:rFonts w:hint="eastAsia" w:ascii="宋体" w:hAnsi="宋体" w:cs="宋体"/>
                <w:b/>
                <w:bCs/>
                <w:color w:val="auto"/>
                <w:szCs w:val="21"/>
                <w:highlight w:val="none"/>
              </w:rPr>
              <w:t>（注：如有，请逐项列出，如无填写“无”或者留空。）</w:t>
            </w:r>
          </w:p>
        </w:tc>
      </w:tr>
    </w:tbl>
    <w:p w14:paraId="5124D85A">
      <w:pPr>
        <w:pStyle w:val="15"/>
        <w:spacing w:line="360" w:lineRule="auto"/>
        <w:rPr>
          <w:rFonts w:hint="eastAsia" w:hAnsi="宋体" w:cs="宋体"/>
          <w:color w:val="auto"/>
          <w:szCs w:val="21"/>
          <w:highlight w:val="none"/>
        </w:rPr>
      </w:pPr>
    </w:p>
    <w:p w14:paraId="6C6111E3">
      <w:pPr>
        <w:pStyle w:val="15"/>
        <w:spacing w:line="360" w:lineRule="auto"/>
        <w:rPr>
          <w:rFonts w:hint="eastAsia" w:hAnsi="宋体" w:cs="宋体"/>
          <w:color w:val="auto"/>
          <w:szCs w:val="21"/>
          <w:highlight w:val="none"/>
        </w:rPr>
      </w:pPr>
      <w:r>
        <w:rPr>
          <w:rFonts w:hint="eastAsia" w:hAnsi="宋体" w:cs="宋体"/>
          <w:color w:val="auto"/>
          <w:szCs w:val="21"/>
          <w:highlight w:val="none"/>
        </w:rPr>
        <w:t>注：</w:t>
      </w:r>
    </w:p>
    <w:p w14:paraId="650E43F6">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1.表格内容均需按要求填写并加盖投标人公章。</w:t>
      </w:r>
    </w:p>
    <w:p w14:paraId="7ED56F5E">
      <w:pPr>
        <w:pStyle w:val="15"/>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rPr>
        <w:t>2.</w:t>
      </w:r>
      <w:r>
        <w:rPr>
          <w:rFonts w:hint="eastAsia" w:hAnsi="宋体" w:cs="宋体"/>
          <w:color w:val="auto"/>
          <w:szCs w:val="21"/>
          <w:highlight w:val="none"/>
        </w:rPr>
        <w:t>请根据所投货物的实际技术参数，逐条对应本项目招标文件“第二章 采购需求”中“需求一览表”的技术参数及配置条款</w:t>
      </w:r>
      <w:r>
        <w:rPr>
          <w:rFonts w:hint="eastAsia" w:hAnsi="宋体" w:cs="宋体"/>
          <w:color w:val="auto"/>
          <w:kern w:val="0"/>
          <w:szCs w:val="21"/>
          <w:highlight w:val="none"/>
          <w:lang w:val="zh-CN"/>
        </w:rPr>
        <w:t>作出明确响应，并作出偏离说明</w:t>
      </w:r>
      <w:r>
        <w:rPr>
          <w:rFonts w:hint="eastAsia" w:hAnsi="宋体" w:cs="宋体"/>
          <w:color w:val="auto"/>
          <w:szCs w:val="21"/>
          <w:highlight w:val="none"/>
        </w:rPr>
        <w:t>。“偏离说明”一栏应当选择“正偏离”或“负偏离”或“无偏离”进行填写。</w:t>
      </w:r>
    </w:p>
    <w:p w14:paraId="0D53119C">
      <w:pPr>
        <w:pStyle w:val="15"/>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rPr>
        <w:t>3.当投标文件的</w:t>
      </w:r>
      <w:r>
        <w:rPr>
          <w:rFonts w:hint="eastAsia" w:hAnsi="宋体" w:cs="宋体"/>
          <w:color w:val="auto"/>
          <w:szCs w:val="21"/>
          <w:highlight w:val="none"/>
        </w:rPr>
        <w:t>技术参数及配置</w:t>
      </w:r>
      <w:r>
        <w:rPr>
          <w:rFonts w:hint="eastAsia" w:hAnsi="宋体" w:cs="宋体"/>
          <w:bCs/>
          <w:color w:val="auto"/>
          <w:szCs w:val="21"/>
          <w:highlight w:val="none"/>
        </w:rPr>
        <w:t>内容低于招标文件要求时，投标人应当如实写明“负偏离”。</w:t>
      </w:r>
    </w:p>
    <w:p w14:paraId="138D018A">
      <w:pPr>
        <w:snapToGrid w:val="0"/>
        <w:spacing w:line="360" w:lineRule="auto"/>
        <w:ind w:firstLine="5640" w:firstLineChars="2350"/>
        <w:rPr>
          <w:rFonts w:hint="eastAsia" w:ascii="宋体" w:hAnsi="宋体" w:cs="宋体"/>
          <w:color w:val="auto"/>
          <w:kern w:val="0"/>
          <w:sz w:val="24"/>
          <w:highlight w:val="none"/>
          <w:lang w:val="zh-CN"/>
        </w:rPr>
      </w:pPr>
    </w:p>
    <w:p w14:paraId="2FA39AA2">
      <w:pPr>
        <w:pStyle w:val="16"/>
        <w:rPr>
          <w:color w:val="auto"/>
          <w:highlight w:val="none"/>
          <w:lang w:val="zh-CN"/>
        </w:rPr>
      </w:pPr>
    </w:p>
    <w:p w14:paraId="03BA1238">
      <w:pPr>
        <w:snapToGrid w:val="0"/>
        <w:spacing w:line="360" w:lineRule="auto"/>
        <w:ind w:firstLine="5880" w:firstLineChars="24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22069F92">
      <w:pPr>
        <w:snapToGrid w:val="0"/>
        <w:spacing w:line="360" w:lineRule="auto"/>
        <w:ind w:firstLine="5880" w:firstLineChars="24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45EFD0">
      <w:pPr>
        <w:widowControl/>
        <w:jc w:val="left"/>
        <w:rPr>
          <w:rFonts w:hint="eastAsia" w:ascii="宋体" w:hAns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6F3BD6A6">
      <w:pPr>
        <w:pStyle w:val="19"/>
        <w:snapToGrid w:val="0"/>
        <w:ind w:left="562" w:hanging="562"/>
        <w:rPr>
          <w:rFonts w:hint="eastAsia" w:ascii="宋体" w:hAnsi="宋体" w:cs="宋体"/>
          <w:i/>
          <w:iCs/>
          <w:color w:val="auto"/>
          <w:sz w:val="24"/>
          <w:highlight w:val="none"/>
        </w:rPr>
      </w:pPr>
      <w:r>
        <w:rPr>
          <w:rFonts w:hint="eastAsia" w:ascii="宋体" w:hAnsi="宋体" w:cs="宋体"/>
          <w:b/>
          <w:color w:val="auto"/>
          <w:szCs w:val="28"/>
          <w:highlight w:val="none"/>
        </w:rPr>
        <w:t>4. 项目实施人员一览表、售后服务人员情况表的格式</w:t>
      </w:r>
      <w:r>
        <w:rPr>
          <w:rFonts w:hint="eastAsia" w:ascii="宋体" w:hAnsi="宋体" w:cs="宋体"/>
          <w:b/>
          <w:bCs/>
          <w:color w:val="auto"/>
          <w:sz w:val="30"/>
          <w:szCs w:val="30"/>
          <w:highlight w:val="none"/>
        </w:rPr>
        <w:t>：</w:t>
      </w:r>
    </w:p>
    <w:p w14:paraId="4090A710">
      <w:pPr>
        <w:autoSpaceDE w:val="0"/>
        <w:autoSpaceDN w:val="0"/>
        <w:spacing w:line="360" w:lineRule="auto"/>
        <w:jc w:val="left"/>
        <w:rPr>
          <w:rFonts w:hint="eastAsia" w:ascii="宋体" w:hAnsi="宋体" w:cs="宋体"/>
          <w:color w:val="auto"/>
          <w:szCs w:val="21"/>
          <w:highlight w:val="none"/>
        </w:rPr>
      </w:pPr>
    </w:p>
    <w:p w14:paraId="7532A73C">
      <w:pPr>
        <w:snapToGrid w:val="0"/>
        <w:spacing w:line="360" w:lineRule="auto"/>
        <w:rPr>
          <w:rFonts w:hint="eastAsia" w:ascii="宋体" w:hAnsi="宋体" w:cs="宋体"/>
          <w:b/>
          <w:color w:val="auto"/>
          <w:sz w:val="24"/>
          <w:highlight w:val="none"/>
        </w:rPr>
      </w:pPr>
    </w:p>
    <w:p w14:paraId="6808303F">
      <w:pPr>
        <w:pStyle w:val="16"/>
        <w:rPr>
          <w:color w:val="auto"/>
          <w:highlight w:val="none"/>
        </w:rPr>
      </w:pPr>
    </w:p>
    <w:p w14:paraId="2D677968">
      <w:pPr>
        <w:snapToGrid w:val="0"/>
        <w:spacing w:line="360" w:lineRule="auto"/>
        <w:ind w:firstLine="472" w:firstLineChars="196"/>
        <w:jc w:val="cente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项目实施人员一览表（如有要求）</w:t>
      </w:r>
    </w:p>
    <w:p w14:paraId="3A010D00">
      <w:pPr>
        <w:pStyle w:val="15"/>
        <w:rPr>
          <w:color w:val="auto"/>
          <w:sz w:val="24"/>
          <w:szCs w:val="24"/>
          <w:highlight w:val="none"/>
        </w:rPr>
      </w:pPr>
    </w:p>
    <w:p w14:paraId="30DC7CC4">
      <w:pPr>
        <w:pStyle w:val="15"/>
        <w:rPr>
          <w:color w:val="auto"/>
          <w:highlight w:val="none"/>
          <w:lang w:val="zh-CN"/>
        </w:rPr>
      </w:pPr>
      <w:r>
        <w:rPr>
          <w:rFonts w:hint="eastAsia"/>
          <w:color w:val="auto"/>
          <w:sz w:val="24"/>
          <w:szCs w:val="24"/>
          <w:highlight w:val="none"/>
        </w:rPr>
        <w:t>所投分标（此处有分标时填写具体分标号，无分标时填写“无”）：</w:t>
      </w:r>
      <w:r>
        <w:rPr>
          <w:rFonts w:hint="eastAsia"/>
          <w:color w:val="auto"/>
          <w:sz w:val="24"/>
          <w:szCs w:val="24"/>
          <w:highlight w:val="none"/>
          <w:u w:val="single"/>
        </w:rPr>
        <w:t xml:space="preserve">        </w:t>
      </w:r>
    </w:p>
    <w:p w14:paraId="1F4E4F7F">
      <w:pPr>
        <w:pStyle w:val="16"/>
        <w:rPr>
          <w:rFonts w:hint="eastAsia" w:ascii="宋体" w:hAnsi="宋体" w:cs="宋体"/>
          <w:b/>
          <w:color w:val="auto"/>
          <w:sz w:val="21"/>
          <w:szCs w:val="21"/>
          <w:highlight w:val="none"/>
        </w:rPr>
      </w:pPr>
    </w:p>
    <w:tbl>
      <w:tblPr>
        <w:tblStyle w:val="26"/>
        <w:tblW w:w="9408" w:type="dxa"/>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14:paraId="793A7FB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75FC35D">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BFC8373">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89" w:type="dxa"/>
            <w:tcBorders>
              <w:top w:val="single" w:color="auto" w:sz="6" w:space="0"/>
              <w:left w:val="single" w:color="auto" w:sz="6" w:space="0"/>
              <w:bottom w:val="single" w:color="auto" w:sz="6" w:space="0"/>
              <w:right w:val="single" w:color="auto" w:sz="6" w:space="0"/>
            </w:tcBorders>
            <w:vAlign w:val="center"/>
          </w:tcPr>
          <w:p w14:paraId="3036980E">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509" w:type="dxa"/>
            <w:tcBorders>
              <w:top w:val="single" w:color="auto" w:sz="6" w:space="0"/>
              <w:left w:val="single" w:color="auto" w:sz="6" w:space="0"/>
              <w:bottom w:val="single" w:color="auto" w:sz="6" w:space="0"/>
              <w:right w:val="single" w:color="auto" w:sz="6" w:space="0"/>
            </w:tcBorders>
            <w:vAlign w:val="center"/>
          </w:tcPr>
          <w:p w14:paraId="6CD8DA51">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C81F33A">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学历</w:t>
            </w:r>
          </w:p>
          <w:p w14:paraId="24EA4BEF">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3C182FC">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专业</w:t>
            </w:r>
          </w:p>
          <w:p w14:paraId="3227600F">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CA4284">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职称</w:t>
            </w:r>
          </w:p>
          <w:p w14:paraId="4C306801">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2001" w:type="dxa"/>
            <w:tcBorders>
              <w:top w:val="single" w:color="auto" w:sz="6" w:space="0"/>
              <w:left w:val="single" w:color="auto" w:sz="6" w:space="0"/>
              <w:bottom w:val="single" w:color="auto" w:sz="6" w:space="0"/>
              <w:right w:val="single" w:color="auto" w:sz="6" w:space="0"/>
            </w:tcBorders>
            <w:vAlign w:val="center"/>
          </w:tcPr>
          <w:p w14:paraId="4B2E1AA8">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本项目中的职责</w:t>
            </w:r>
          </w:p>
        </w:tc>
        <w:tc>
          <w:tcPr>
            <w:tcW w:w="2007" w:type="dxa"/>
            <w:tcBorders>
              <w:top w:val="single" w:color="auto" w:sz="6" w:space="0"/>
              <w:left w:val="single" w:color="auto" w:sz="6" w:space="0"/>
              <w:bottom w:val="single" w:color="auto" w:sz="6" w:space="0"/>
              <w:right w:val="single" w:color="auto" w:sz="6" w:space="0"/>
            </w:tcBorders>
            <w:vAlign w:val="center"/>
          </w:tcPr>
          <w:p w14:paraId="5E801C34">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类似项目经历</w:t>
            </w:r>
          </w:p>
        </w:tc>
      </w:tr>
      <w:tr w14:paraId="3A9D7B5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303DCCF">
            <w:pPr>
              <w:autoSpaceDE w:val="0"/>
              <w:autoSpaceDN w:val="0"/>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4A09D541">
            <w:pPr>
              <w:autoSpaceDE w:val="0"/>
              <w:autoSpaceDN w:val="0"/>
              <w:rPr>
                <w:rFonts w:hint="eastAsia" w:ascii="宋体" w:hAnsi="宋体" w:cs="宋体"/>
                <w:color w:val="auto"/>
                <w:szCs w:val="21"/>
                <w:highlight w:val="none"/>
              </w:rPr>
            </w:pPr>
          </w:p>
        </w:tc>
        <w:tc>
          <w:tcPr>
            <w:tcW w:w="489" w:type="dxa"/>
            <w:tcBorders>
              <w:top w:val="single" w:color="auto" w:sz="6" w:space="0"/>
              <w:left w:val="single" w:color="auto" w:sz="6" w:space="0"/>
              <w:bottom w:val="single" w:color="auto" w:sz="6" w:space="0"/>
              <w:right w:val="single" w:color="auto" w:sz="6" w:space="0"/>
            </w:tcBorders>
          </w:tcPr>
          <w:p w14:paraId="18E30FBC">
            <w:pPr>
              <w:autoSpaceDE w:val="0"/>
              <w:autoSpaceDN w:val="0"/>
              <w:rPr>
                <w:rFonts w:hint="eastAsia" w:ascii="宋体" w:hAnsi="宋体" w:cs="宋体"/>
                <w:color w:val="auto"/>
                <w:szCs w:val="21"/>
                <w:highlight w:val="none"/>
              </w:rPr>
            </w:pPr>
          </w:p>
        </w:tc>
        <w:tc>
          <w:tcPr>
            <w:tcW w:w="509" w:type="dxa"/>
            <w:tcBorders>
              <w:top w:val="single" w:color="auto" w:sz="6" w:space="0"/>
              <w:left w:val="single" w:color="auto" w:sz="6" w:space="0"/>
              <w:bottom w:val="single" w:color="auto" w:sz="6" w:space="0"/>
              <w:right w:val="single" w:color="auto" w:sz="6" w:space="0"/>
            </w:tcBorders>
          </w:tcPr>
          <w:p w14:paraId="579474C1">
            <w:pPr>
              <w:autoSpaceDE w:val="0"/>
              <w:autoSpaceDN w:val="0"/>
              <w:rPr>
                <w:rFonts w:hint="eastAsia" w:ascii="宋体" w:hAnsi="宋体" w:cs="宋体"/>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14:paraId="0B09C412">
            <w:pPr>
              <w:autoSpaceDE w:val="0"/>
              <w:autoSpaceDN w:val="0"/>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E21F5D5">
            <w:pPr>
              <w:autoSpaceDE w:val="0"/>
              <w:autoSpaceDN w:val="0"/>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3469F991">
            <w:pPr>
              <w:autoSpaceDE w:val="0"/>
              <w:autoSpaceDN w:val="0"/>
              <w:rPr>
                <w:rFonts w:hint="eastAsia" w:ascii="宋体" w:hAnsi="宋体" w:cs="宋体"/>
                <w:color w:val="auto"/>
                <w:szCs w:val="21"/>
                <w:highlight w:val="none"/>
              </w:rPr>
            </w:pPr>
          </w:p>
        </w:tc>
        <w:tc>
          <w:tcPr>
            <w:tcW w:w="2001" w:type="dxa"/>
            <w:tcBorders>
              <w:top w:val="single" w:color="auto" w:sz="6" w:space="0"/>
              <w:left w:val="single" w:color="auto" w:sz="6" w:space="0"/>
              <w:bottom w:val="single" w:color="auto" w:sz="6" w:space="0"/>
              <w:right w:val="single" w:color="auto" w:sz="6" w:space="0"/>
            </w:tcBorders>
          </w:tcPr>
          <w:p w14:paraId="1DF96ADC">
            <w:pPr>
              <w:autoSpaceDE w:val="0"/>
              <w:autoSpaceDN w:val="0"/>
              <w:rPr>
                <w:rFonts w:hint="eastAsia" w:ascii="宋体" w:hAnsi="宋体" w:cs="宋体"/>
                <w:color w:val="auto"/>
                <w:szCs w:val="21"/>
                <w:highlight w:val="none"/>
              </w:rPr>
            </w:pPr>
          </w:p>
        </w:tc>
        <w:tc>
          <w:tcPr>
            <w:tcW w:w="2007" w:type="dxa"/>
            <w:tcBorders>
              <w:top w:val="single" w:color="auto" w:sz="6" w:space="0"/>
              <w:left w:val="single" w:color="auto" w:sz="6" w:space="0"/>
              <w:bottom w:val="single" w:color="auto" w:sz="6" w:space="0"/>
              <w:right w:val="single" w:color="auto" w:sz="6" w:space="0"/>
            </w:tcBorders>
          </w:tcPr>
          <w:p w14:paraId="29FC8BC5">
            <w:pPr>
              <w:autoSpaceDE w:val="0"/>
              <w:autoSpaceDN w:val="0"/>
              <w:rPr>
                <w:rFonts w:hint="eastAsia" w:ascii="宋体" w:hAnsi="宋体" w:cs="宋体"/>
                <w:color w:val="auto"/>
                <w:szCs w:val="21"/>
                <w:highlight w:val="none"/>
              </w:rPr>
            </w:pPr>
          </w:p>
        </w:tc>
      </w:tr>
      <w:tr w14:paraId="5C33CD9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2FE768D">
            <w:pPr>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0E35717">
            <w:pPr>
              <w:autoSpaceDE w:val="0"/>
              <w:autoSpaceDN w:val="0"/>
              <w:spacing w:line="360" w:lineRule="auto"/>
              <w:rPr>
                <w:rFonts w:hint="eastAsia" w:ascii="宋体" w:hAnsi="宋体" w:cs="宋体"/>
                <w:color w:val="auto"/>
                <w:sz w:val="24"/>
                <w:highlight w:val="none"/>
              </w:rPr>
            </w:pPr>
          </w:p>
        </w:tc>
        <w:tc>
          <w:tcPr>
            <w:tcW w:w="489" w:type="dxa"/>
            <w:tcBorders>
              <w:top w:val="single" w:color="auto" w:sz="6" w:space="0"/>
              <w:left w:val="single" w:color="auto" w:sz="6" w:space="0"/>
              <w:bottom w:val="single" w:color="auto" w:sz="6" w:space="0"/>
              <w:right w:val="single" w:color="auto" w:sz="6" w:space="0"/>
            </w:tcBorders>
          </w:tcPr>
          <w:p w14:paraId="3B019DC7">
            <w:pPr>
              <w:autoSpaceDE w:val="0"/>
              <w:autoSpaceDN w:val="0"/>
              <w:spacing w:line="360" w:lineRule="auto"/>
              <w:rPr>
                <w:rFonts w:hint="eastAsia" w:ascii="宋体" w:hAnsi="宋体" w:cs="宋体"/>
                <w:color w:val="auto"/>
                <w:sz w:val="24"/>
                <w:highlight w:val="none"/>
              </w:rPr>
            </w:pPr>
          </w:p>
        </w:tc>
        <w:tc>
          <w:tcPr>
            <w:tcW w:w="509" w:type="dxa"/>
            <w:tcBorders>
              <w:top w:val="single" w:color="auto" w:sz="6" w:space="0"/>
              <w:left w:val="single" w:color="auto" w:sz="6" w:space="0"/>
              <w:bottom w:val="single" w:color="auto" w:sz="6" w:space="0"/>
              <w:right w:val="single" w:color="auto" w:sz="6" w:space="0"/>
            </w:tcBorders>
          </w:tcPr>
          <w:p w14:paraId="567EE19C">
            <w:pPr>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D1EE6AE">
            <w:pPr>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CD2BD29">
            <w:pPr>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EA0352">
            <w:pPr>
              <w:autoSpaceDE w:val="0"/>
              <w:autoSpaceDN w:val="0"/>
              <w:spacing w:line="360" w:lineRule="auto"/>
              <w:rPr>
                <w:rFonts w:hint="eastAsia" w:ascii="宋体" w:hAnsi="宋体" w:cs="宋体"/>
                <w:color w:val="auto"/>
                <w:sz w:val="24"/>
                <w:highlight w:val="none"/>
              </w:rPr>
            </w:pPr>
          </w:p>
        </w:tc>
        <w:tc>
          <w:tcPr>
            <w:tcW w:w="2001" w:type="dxa"/>
            <w:tcBorders>
              <w:top w:val="single" w:color="auto" w:sz="6" w:space="0"/>
              <w:left w:val="single" w:color="auto" w:sz="6" w:space="0"/>
              <w:bottom w:val="single" w:color="auto" w:sz="6" w:space="0"/>
              <w:right w:val="single" w:color="auto" w:sz="6" w:space="0"/>
            </w:tcBorders>
          </w:tcPr>
          <w:p w14:paraId="264E77AB">
            <w:pPr>
              <w:autoSpaceDE w:val="0"/>
              <w:autoSpaceDN w:val="0"/>
              <w:spacing w:line="360" w:lineRule="auto"/>
              <w:rPr>
                <w:rFonts w:hint="eastAsia" w:ascii="宋体" w:hAnsi="宋体" w:cs="宋体"/>
                <w:color w:val="auto"/>
                <w:sz w:val="24"/>
                <w:highlight w:val="none"/>
              </w:rPr>
            </w:pPr>
          </w:p>
        </w:tc>
        <w:tc>
          <w:tcPr>
            <w:tcW w:w="2007" w:type="dxa"/>
            <w:tcBorders>
              <w:top w:val="single" w:color="auto" w:sz="6" w:space="0"/>
              <w:left w:val="single" w:color="auto" w:sz="6" w:space="0"/>
              <w:bottom w:val="single" w:color="auto" w:sz="6" w:space="0"/>
              <w:right w:val="single" w:color="auto" w:sz="6" w:space="0"/>
            </w:tcBorders>
          </w:tcPr>
          <w:p w14:paraId="2FB24D19">
            <w:pPr>
              <w:autoSpaceDE w:val="0"/>
              <w:autoSpaceDN w:val="0"/>
              <w:spacing w:line="360" w:lineRule="auto"/>
              <w:rPr>
                <w:rFonts w:hint="eastAsia" w:ascii="宋体" w:hAnsi="宋体" w:cs="宋体"/>
                <w:color w:val="auto"/>
                <w:sz w:val="24"/>
                <w:highlight w:val="none"/>
              </w:rPr>
            </w:pPr>
          </w:p>
        </w:tc>
      </w:tr>
    </w:tbl>
    <w:p w14:paraId="3EE855B1">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注：投标人可参照上述的格式自行编制，并注明所在投标技术文件页码。</w:t>
      </w:r>
    </w:p>
    <w:p w14:paraId="1AF50ED4">
      <w:pPr>
        <w:snapToGrid w:val="0"/>
        <w:spacing w:line="360" w:lineRule="auto"/>
        <w:ind w:firstLine="472" w:firstLineChars="196"/>
        <w:rPr>
          <w:rFonts w:hint="eastAsia" w:ascii="宋体" w:hAnsi="宋体" w:cs="宋体"/>
          <w:b/>
          <w:bCs/>
          <w:color w:val="auto"/>
          <w:kern w:val="0"/>
          <w:sz w:val="24"/>
          <w:highlight w:val="none"/>
          <w:lang w:val="zh-CN"/>
        </w:rPr>
      </w:pPr>
    </w:p>
    <w:p w14:paraId="44E647BD">
      <w:pPr>
        <w:snapToGrid w:val="0"/>
        <w:spacing w:line="360" w:lineRule="auto"/>
        <w:ind w:firstLine="5280" w:firstLineChars="2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C2A00F2">
      <w:pPr>
        <w:snapToGrid w:val="0"/>
        <w:spacing w:line="360" w:lineRule="auto"/>
        <w:ind w:firstLine="5280" w:firstLineChars="2200"/>
        <w:jc w:val="left"/>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B92E820">
      <w:pPr>
        <w:snapToGrid w:val="0"/>
        <w:spacing w:line="360" w:lineRule="auto"/>
        <w:jc w:val="center"/>
        <w:rPr>
          <w:rFonts w:hint="eastAsia" w:ascii="宋体" w:hAnsi="宋体" w:cs="宋体"/>
          <w:b/>
          <w:bCs/>
          <w:color w:val="auto"/>
          <w:sz w:val="24"/>
          <w:highlight w:val="none"/>
        </w:rPr>
      </w:pPr>
    </w:p>
    <w:p w14:paraId="491301CF">
      <w:pPr>
        <w:snapToGrid w:val="0"/>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098CD43">
      <w:pPr>
        <w:autoSpaceDE w:val="0"/>
        <w:autoSpaceDN w:val="0"/>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 xml:space="preserve">                            </w:t>
      </w:r>
      <w:r>
        <w:rPr>
          <w:rFonts w:hint="eastAsia" w:ascii="宋体" w:hAnsi="宋体" w:cs="宋体"/>
          <w:b/>
          <w:color w:val="auto"/>
          <w:kern w:val="0"/>
          <w:sz w:val="24"/>
          <w:highlight w:val="none"/>
        </w:rPr>
        <w:t>售后服务人员情况表</w:t>
      </w:r>
      <w:r>
        <w:rPr>
          <w:rFonts w:hint="eastAsia" w:ascii="宋体" w:hAnsi="宋体" w:cs="宋体"/>
          <w:color w:val="auto"/>
          <w:sz w:val="24"/>
          <w:highlight w:val="none"/>
        </w:rPr>
        <w:t>（如有要求，参照此格式自制）</w:t>
      </w:r>
    </w:p>
    <w:p w14:paraId="705E8773">
      <w:pPr>
        <w:pStyle w:val="16"/>
        <w:rPr>
          <w:color w:val="auto"/>
          <w:highlight w:val="none"/>
        </w:rPr>
      </w:pPr>
    </w:p>
    <w:tbl>
      <w:tblPr>
        <w:tblStyle w:val="26"/>
        <w:tblW w:w="9854" w:type="dxa"/>
        <w:jc w:val="center"/>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14:paraId="2C0CB0EE">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vAlign w:val="center"/>
          </w:tcPr>
          <w:p w14:paraId="48B2F309">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71" w:type="dxa"/>
            <w:tcBorders>
              <w:top w:val="single" w:color="auto" w:sz="6" w:space="0"/>
              <w:left w:val="single" w:color="auto" w:sz="4" w:space="0"/>
              <w:bottom w:val="single" w:color="auto" w:sz="6" w:space="0"/>
              <w:right w:val="single" w:color="auto" w:sz="6" w:space="0"/>
            </w:tcBorders>
            <w:vAlign w:val="center"/>
          </w:tcPr>
          <w:p w14:paraId="59630F33">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类别</w:t>
            </w:r>
          </w:p>
        </w:tc>
        <w:tc>
          <w:tcPr>
            <w:tcW w:w="725" w:type="dxa"/>
            <w:tcBorders>
              <w:top w:val="single" w:color="auto" w:sz="6" w:space="0"/>
              <w:left w:val="single" w:color="auto" w:sz="6" w:space="0"/>
              <w:bottom w:val="single" w:color="auto" w:sz="6" w:space="0"/>
              <w:right w:val="single" w:color="auto" w:sz="6" w:space="0"/>
            </w:tcBorders>
            <w:vAlign w:val="center"/>
          </w:tcPr>
          <w:p w14:paraId="6428FE96">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06" w:type="dxa"/>
            <w:tcBorders>
              <w:top w:val="single" w:color="auto" w:sz="6" w:space="0"/>
              <w:left w:val="single" w:color="auto" w:sz="6" w:space="0"/>
              <w:bottom w:val="single" w:color="auto" w:sz="6" w:space="0"/>
              <w:right w:val="single" w:color="auto" w:sz="6" w:space="0"/>
            </w:tcBorders>
            <w:vAlign w:val="center"/>
          </w:tcPr>
          <w:p w14:paraId="091890D5">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886" w:type="dxa"/>
            <w:tcBorders>
              <w:top w:val="single" w:color="auto" w:sz="6" w:space="0"/>
              <w:left w:val="single" w:color="auto" w:sz="6" w:space="0"/>
              <w:bottom w:val="single" w:color="auto" w:sz="6" w:space="0"/>
              <w:right w:val="single" w:color="auto" w:sz="6" w:space="0"/>
            </w:tcBorders>
            <w:vAlign w:val="center"/>
          </w:tcPr>
          <w:p w14:paraId="338E49EE">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64" w:type="dxa"/>
            <w:tcBorders>
              <w:top w:val="single" w:color="auto" w:sz="6" w:space="0"/>
              <w:left w:val="single" w:color="auto" w:sz="6" w:space="0"/>
              <w:bottom w:val="single" w:color="auto" w:sz="6" w:space="0"/>
              <w:right w:val="single" w:color="auto" w:sz="6" w:space="0"/>
            </w:tcBorders>
            <w:vAlign w:val="center"/>
          </w:tcPr>
          <w:p w14:paraId="54B25CFC">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064" w:type="dxa"/>
            <w:tcBorders>
              <w:top w:val="single" w:color="auto" w:sz="6" w:space="0"/>
              <w:left w:val="single" w:color="auto" w:sz="6" w:space="0"/>
              <w:bottom w:val="single" w:color="auto" w:sz="6" w:space="0"/>
              <w:right w:val="single" w:color="auto" w:sz="6" w:space="0"/>
            </w:tcBorders>
            <w:vAlign w:val="center"/>
          </w:tcPr>
          <w:p w14:paraId="2205FCEB">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064" w:type="dxa"/>
            <w:tcBorders>
              <w:top w:val="single" w:color="auto" w:sz="6" w:space="0"/>
              <w:left w:val="single" w:color="auto" w:sz="6" w:space="0"/>
              <w:bottom w:val="single" w:color="auto" w:sz="6" w:space="0"/>
              <w:right w:val="single" w:color="auto" w:sz="6" w:space="0"/>
            </w:tcBorders>
            <w:vAlign w:val="center"/>
          </w:tcPr>
          <w:p w14:paraId="18CBEBC0">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42" w:type="dxa"/>
            <w:tcBorders>
              <w:top w:val="single" w:color="auto" w:sz="6" w:space="0"/>
              <w:left w:val="single" w:color="auto" w:sz="6" w:space="0"/>
              <w:bottom w:val="single" w:color="auto" w:sz="6" w:space="0"/>
              <w:right w:val="single" w:color="auto" w:sz="6" w:space="0"/>
            </w:tcBorders>
            <w:vAlign w:val="center"/>
          </w:tcPr>
          <w:p w14:paraId="47911DFC">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本项目中的职责</w:t>
            </w:r>
          </w:p>
        </w:tc>
        <w:tc>
          <w:tcPr>
            <w:tcW w:w="886" w:type="dxa"/>
            <w:tcBorders>
              <w:top w:val="single" w:color="auto" w:sz="6" w:space="0"/>
              <w:left w:val="single" w:color="auto" w:sz="6" w:space="0"/>
              <w:bottom w:val="single" w:color="auto" w:sz="6" w:space="0"/>
              <w:right w:val="single" w:color="auto" w:sz="6" w:space="0"/>
            </w:tcBorders>
            <w:vAlign w:val="center"/>
          </w:tcPr>
          <w:p w14:paraId="0B3112D1">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1095" w:type="dxa"/>
            <w:tcBorders>
              <w:top w:val="single" w:color="auto" w:sz="6" w:space="0"/>
              <w:left w:val="single" w:color="auto" w:sz="6" w:space="0"/>
              <w:bottom w:val="single" w:color="auto" w:sz="6" w:space="0"/>
              <w:right w:val="single" w:color="auto" w:sz="6" w:space="0"/>
            </w:tcBorders>
            <w:vAlign w:val="center"/>
          </w:tcPr>
          <w:p w14:paraId="68FADC88">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到达现场时间</w:t>
            </w:r>
          </w:p>
        </w:tc>
      </w:tr>
      <w:tr w14:paraId="04D303D8">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24E16627">
            <w:pPr>
              <w:autoSpaceDE w:val="0"/>
              <w:autoSpaceDN w:val="0"/>
              <w:jc w:val="center"/>
              <w:rPr>
                <w:rFonts w:hint="eastAsia" w:ascii="宋体" w:hAnsi="宋体" w:cs="宋体"/>
                <w:color w:val="auto"/>
                <w:szCs w:val="21"/>
                <w:highlight w:val="none"/>
              </w:rPr>
            </w:pPr>
          </w:p>
        </w:tc>
        <w:tc>
          <w:tcPr>
            <w:tcW w:w="971" w:type="dxa"/>
            <w:tcBorders>
              <w:top w:val="single" w:color="auto" w:sz="6" w:space="0"/>
              <w:left w:val="single" w:color="auto" w:sz="4" w:space="0"/>
              <w:bottom w:val="single" w:color="auto" w:sz="6" w:space="0"/>
              <w:right w:val="single" w:color="auto" w:sz="6" w:space="0"/>
            </w:tcBorders>
            <w:vAlign w:val="center"/>
          </w:tcPr>
          <w:p w14:paraId="5CD22721">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总协调人</w:t>
            </w:r>
          </w:p>
        </w:tc>
        <w:tc>
          <w:tcPr>
            <w:tcW w:w="725" w:type="dxa"/>
            <w:tcBorders>
              <w:top w:val="single" w:color="auto" w:sz="6" w:space="0"/>
              <w:left w:val="single" w:color="auto" w:sz="6" w:space="0"/>
              <w:bottom w:val="single" w:color="auto" w:sz="6" w:space="0"/>
              <w:right w:val="single" w:color="auto" w:sz="6" w:space="0"/>
            </w:tcBorders>
            <w:vAlign w:val="center"/>
          </w:tcPr>
          <w:p w14:paraId="6A562B35">
            <w:pPr>
              <w:autoSpaceDE w:val="0"/>
              <w:autoSpaceDN w:val="0"/>
              <w:jc w:val="center"/>
              <w:rPr>
                <w:rFonts w:hint="eastAsia" w:ascii="宋体" w:hAnsi="宋体" w:cs="宋体"/>
                <w:color w:val="auto"/>
                <w:szCs w:val="21"/>
                <w:highlight w:val="none"/>
              </w:rPr>
            </w:pPr>
          </w:p>
        </w:tc>
        <w:tc>
          <w:tcPr>
            <w:tcW w:w="406" w:type="dxa"/>
            <w:tcBorders>
              <w:top w:val="single" w:color="auto" w:sz="6" w:space="0"/>
              <w:left w:val="single" w:color="auto" w:sz="6" w:space="0"/>
              <w:bottom w:val="single" w:color="auto" w:sz="6" w:space="0"/>
              <w:right w:val="single" w:color="auto" w:sz="6" w:space="0"/>
            </w:tcBorders>
            <w:vAlign w:val="center"/>
          </w:tcPr>
          <w:p w14:paraId="63CDFFE4">
            <w:pPr>
              <w:autoSpaceDE w:val="0"/>
              <w:autoSpaceDN w:val="0"/>
              <w:jc w:val="center"/>
              <w:rPr>
                <w:rFonts w:hint="eastAsia" w:ascii="宋体" w:hAns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14:paraId="11F80E82">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06FBADDA">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6C1E3F23">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5F27ABA7">
            <w:pPr>
              <w:autoSpaceDE w:val="0"/>
              <w:autoSpaceDN w:val="0"/>
              <w:jc w:val="center"/>
              <w:rPr>
                <w:rFonts w:hint="eastAsia" w:ascii="宋体" w:hAnsi="宋体" w:cs="宋体"/>
                <w:color w:val="auto"/>
                <w:szCs w:val="21"/>
                <w:highlight w:val="none"/>
              </w:rPr>
            </w:pPr>
          </w:p>
        </w:tc>
        <w:tc>
          <w:tcPr>
            <w:tcW w:w="1242" w:type="dxa"/>
            <w:tcBorders>
              <w:top w:val="single" w:color="auto" w:sz="6" w:space="0"/>
              <w:left w:val="single" w:color="auto" w:sz="6" w:space="0"/>
              <w:bottom w:val="single" w:color="auto" w:sz="6" w:space="0"/>
              <w:right w:val="single" w:color="auto" w:sz="6" w:space="0"/>
            </w:tcBorders>
            <w:vAlign w:val="center"/>
          </w:tcPr>
          <w:p w14:paraId="2E477FC9">
            <w:pPr>
              <w:autoSpaceDE w:val="0"/>
              <w:autoSpaceDN w:val="0"/>
              <w:jc w:val="center"/>
              <w:rPr>
                <w:rFonts w:hint="eastAsia" w:ascii="宋体" w:hAns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14:paraId="248FB7D6">
            <w:pPr>
              <w:autoSpaceDE w:val="0"/>
              <w:autoSpaceDN w:val="0"/>
              <w:jc w:val="center"/>
              <w:rPr>
                <w:rFonts w:hint="eastAsia" w:ascii="宋体" w:hAnsi="宋体" w:cs="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6D8FF3B3">
            <w:pPr>
              <w:autoSpaceDE w:val="0"/>
              <w:autoSpaceDN w:val="0"/>
              <w:jc w:val="center"/>
              <w:rPr>
                <w:rFonts w:hint="eastAsia" w:ascii="宋体" w:hAnsi="宋体" w:cs="宋体"/>
                <w:color w:val="auto"/>
                <w:szCs w:val="21"/>
                <w:highlight w:val="none"/>
              </w:rPr>
            </w:pPr>
          </w:p>
        </w:tc>
      </w:tr>
      <w:tr w14:paraId="63530903">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5091A395">
            <w:pPr>
              <w:autoSpaceDE w:val="0"/>
              <w:autoSpaceDN w:val="0"/>
              <w:jc w:val="center"/>
              <w:rPr>
                <w:rFonts w:hint="eastAsia" w:ascii="宋体" w:hAnsi="宋体" w:cs="宋体"/>
                <w:color w:val="auto"/>
                <w:szCs w:val="21"/>
                <w:highlight w:val="none"/>
              </w:rPr>
            </w:pPr>
          </w:p>
        </w:tc>
        <w:tc>
          <w:tcPr>
            <w:tcW w:w="971" w:type="dxa"/>
            <w:tcBorders>
              <w:top w:val="single" w:color="auto" w:sz="6" w:space="0"/>
              <w:left w:val="single" w:color="auto" w:sz="4" w:space="0"/>
              <w:bottom w:val="single" w:color="auto" w:sz="6" w:space="0"/>
              <w:right w:val="single" w:color="auto" w:sz="6" w:space="0"/>
            </w:tcBorders>
            <w:vAlign w:val="center"/>
          </w:tcPr>
          <w:p w14:paraId="2F00164C">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售后人员</w:t>
            </w:r>
          </w:p>
        </w:tc>
        <w:tc>
          <w:tcPr>
            <w:tcW w:w="725" w:type="dxa"/>
            <w:tcBorders>
              <w:top w:val="single" w:color="auto" w:sz="6" w:space="0"/>
              <w:left w:val="single" w:color="auto" w:sz="6" w:space="0"/>
              <w:bottom w:val="single" w:color="auto" w:sz="6" w:space="0"/>
              <w:right w:val="single" w:color="auto" w:sz="6" w:space="0"/>
            </w:tcBorders>
            <w:vAlign w:val="center"/>
          </w:tcPr>
          <w:p w14:paraId="2EE92B38">
            <w:pPr>
              <w:autoSpaceDE w:val="0"/>
              <w:autoSpaceDN w:val="0"/>
              <w:jc w:val="center"/>
              <w:rPr>
                <w:rFonts w:hint="eastAsia" w:ascii="宋体" w:hAnsi="宋体" w:cs="宋体"/>
                <w:color w:val="auto"/>
                <w:szCs w:val="21"/>
                <w:highlight w:val="none"/>
              </w:rPr>
            </w:pPr>
          </w:p>
        </w:tc>
        <w:tc>
          <w:tcPr>
            <w:tcW w:w="406" w:type="dxa"/>
            <w:tcBorders>
              <w:top w:val="single" w:color="auto" w:sz="6" w:space="0"/>
              <w:left w:val="single" w:color="auto" w:sz="6" w:space="0"/>
              <w:bottom w:val="single" w:color="auto" w:sz="6" w:space="0"/>
              <w:right w:val="single" w:color="auto" w:sz="6" w:space="0"/>
            </w:tcBorders>
            <w:vAlign w:val="center"/>
          </w:tcPr>
          <w:p w14:paraId="59F84673">
            <w:pPr>
              <w:autoSpaceDE w:val="0"/>
              <w:autoSpaceDN w:val="0"/>
              <w:jc w:val="center"/>
              <w:rPr>
                <w:rFonts w:hint="eastAsia" w:ascii="宋体" w:hAns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14:paraId="69616190">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375A2C39">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5E4BF323">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49C63D72">
            <w:pPr>
              <w:autoSpaceDE w:val="0"/>
              <w:autoSpaceDN w:val="0"/>
              <w:jc w:val="center"/>
              <w:rPr>
                <w:rFonts w:hint="eastAsia" w:ascii="宋体" w:hAnsi="宋体" w:cs="宋体"/>
                <w:color w:val="auto"/>
                <w:szCs w:val="21"/>
                <w:highlight w:val="none"/>
              </w:rPr>
            </w:pPr>
          </w:p>
        </w:tc>
        <w:tc>
          <w:tcPr>
            <w:tcW w:w="1242" w:type="dxa"/>
            <w:tcBorders>
              <w:top w:val="single" w:color="auto" w:sz="6" w:space="0"/>
              <w:left w:val="single" w:color="auto" w:sz="6" w:space="0"/>
              <w:bottom w:val="single" w:color="auto" w:sz="6" w:space="0"/>
              <w:right w:val="single" w:color="auto" w:sz="6" w:space="0"/>
            </w:tcBorders>
            <w:vAlign w:val="center"/>
          </w:tcPr>
          <w:p w14:paraId="46E5FED1">
            <w:pPr>
              <w:autoSpaceDE w:val="0"/>
              <w:autoSpaceDN w:val="0"/>
              <w:jc w:val="center"/>
              <w:rPr>
                <w:rFonts w:hint="eastAsia" w:ascii="宋体" w:hAns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14:paraId="5BD36556">
            <w:pPr>
              <w:autoSpaceDE w:val="0"/>
              <w:autoSpaceDN w:val="0"/>
              <w:jc w:val="center"/>
              <w:rPr>
                <w:rFonts w:hint="eastAsia" w:ascii="宋体" w:hAnsi="宋体" w:cs="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588806C1">
            <w:pPr>
              <w:autoSpaceDE w:val="0"/>
              <w:autoSpaceDN w:val="0"/>
              <w:jc w:val="center"/>
              <w:rPr>
                <w:rFonts w:hint="eastAsia" w:ascii="宋体" w:hAnsi="宋体" w:cs="宋体"/>
                <w:color w:val="auto"/>
                <w:szCs w:val="21"/>
                <w:highlight w:val="none"/>
              </w:rPr>
            </w:pPr>
          </w:p>
        </w:tc>
      </w:tr>
      <w:tr w14:paraId="07ED1E9F">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13C0F9BE">
            <w:pPr>
              <w:autoSpaceDE w:val="0"/>
              <w:autoSpaceDN w:val="0"/>
              <w:jc w:val="center"/>
              <w:rPr>
                <w:rFonts w:hint="eastAsia" w:ascii="宋体" w:hAnsi="宋体" w:cs="宋体"/>
                <w:color w:val="auto"/>
                <w:szCs w:val="21"/>
                <w:highlight w:val="none"/>
              </w:rPr>
            </w:pPr>
          </w:p>
        </w:tc>
        <w:tc>
          <w:tcPr>
            <w:tcW w:w="971" w:type="dxa"/>
            <w:tcBorders>
              <w:top w:val="single" w:color="auto" w:sz="6" w:space="0"/>
              <w:left w:val="single" w:color="auto" w:sz="4" w:space="0"/>
              <w:bottom w:val="single" w:color="auto" w:sz="6" w:space="0"/>
              <w:right w:val="single" w:color="auto" w:sz="6" w:space="0"/>
            </w:tcBorders>
            <w:vAlign w:val="center"/>
          </w:tcPr>
          <w:p w14:paraId="47F3AB0A">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725" w:type="dxa"/>
            <w:tcBorders>
              <w:top w:val="single" w:color="auto" w:sz="6" w:space="0"/>
              <w:left w:val="single" w:color="auto" w:sz="6" w:space="0"/>
              <w:bottom w:val="single" w:color="auto" w:sz="6" w:space="0"/>
              <w:right w:val="single" w:color="auto" w:sz="6" w:space="0"/>
            </w:tcBorders>
            <w:vAlign w:val="center"/>
          </w:tcPr>
          <w:p w14:paraId="6FA40D01">
            <w:pPr>
              <w:autoSpaceDE w:val="0"/>
              <w:autoSpaceDN w:val="0"/>
              <w:jc w:val="center"/>
              <w:rPr>
                <w:rFonts w:hint="eastAsia" w:ascii="宋体" w:hAnsi="宋体" w:cs="宋体"/>
                <w:color w:val="auto"/>
                <w:szCs w:val="21"/>
                <w:highlight w:val="none"/>
              </w:rPr>
            </w:pPr>
          </w:p>
        </w:tc>
        <w:tc>
          <w:tcPr>
            <w:tcW w:w="406" w:type="dxa"/>
            <w:tcBorders>
              <w:top w:val="single" w:color="auto" w:sz="6" w:space="0"/>
              <w:left w:val="single" w:color="auto" w:sz="6" w:space="0"/>
              <w:bottom w:val="single" w:color="auto" w:sz="6" w:space="0"/>
              <w:right w:val="single" w:color="auto" w:sz="6" w:space="0"/>
            </w:tcBorders>
            <w:vAlign w:val="center"/>
          </w:tcPr>
          <w:p w14:paraId="3EE2C8DA">
            <w:pPr>
              <w:autoSpaceDE w:val="0"/>
              <w:autoSpaceDN w:val="0"/>
              <w:jc w:val="center"/>
              <w:rPr>
                <w:rFonts w:hint="eastAsia" w:ascii="宋体" w:hAns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14:paraId="3B65A752">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2813CAE9">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44634EF7">
            <w:pPr>
              <w:autoSpaceDE w:val="0"/>
              <w:autoSpaceDN w:val="0"/>
              <w:jc w:val="center"/>
              <w:rPr>
                <w:rFonts w:hint="eastAsia" w:ascii="宋体" w:hAns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14:paraId="3BB6A428">
            <w:pPr>
              <w:autoSpaceDE w:val="0"/>
              <w:autoSpaceDN w:val="0"/>
              <w:jc w:val="center"/>
              <w:rPr>
                <w:rFonts w:hint="eastAsia" w:ascii="宋体" w:hAnsi="宋体" w:cs="宋体"/>
                <w:color w:val="auto"/>
                <w:szCs w:val="21"/>
                <w:highlight w:val="none"/>
              </w:rPr>
            </w:pPr>
          </w:p>
        </w:tc>
        <w:tc>
          <w:tcPr>
            <w:tcW w:w="1242" w:type="dxa"/>
            <w:tcBorders>
              <w:top w:val="single" w:color="auto" w:sz="6" w:space="0"/>
              <w:left w:val="single" w:color="auto" w:sz="6" w:space="0"/>
              <w:bottom w:val="single" w:color="auto" w:sz="6" w:space="0"/>
              <w:right w:val="single" w:color="auto" w:sz="6" w:space="0"/>
            </w:tcBorders>
            <w:vAlign w:val="center"/>
          </w:tcPr>
          <w:p w14:paraId="29748682">
            <w:pPr>
              <w:autoSpaceDE w:val="0"/>
              <w:autoSpaceDN w:val="0"/>
              <w:jc w:val="center"/>
              <w:rPr>
                <w:rFonts w:hint="eastAsia" w:ascii="宋体" w:hAns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14:paraId="7C7E82F9">
            <w:pPr>
              <w:autoSpaceDE w:val="0"/>
              <w:autoSpaceDN w:val="0"/>
              <w:jc w:val="center"/>
              <w:rPr>
                <w:rFonts w:hint="eastAsia" w:ascii="宋体" w:hAnsi="宋体" w:cs="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5EF188A1">
            <w:pPr>
              <w:autoSpaceDE w:val="0"/>
              <w:autoSpaceDN w:val="0"/>
              <w:jc w:val="center"/>
              <w:rPr>
                <w:rFonts w:hint="eastAsia" w:ascii="宋体" w:hAnsi="宋体" w:cs="宋体"/>
                <w:color w:val="auto"/>
                <w:szCs w:val="21"/>
                <w:highlight w:val="none"/>
              </w:rPr>
            </w:pPr>
          </w:p>
        </w:tc>
      </w:tr>
    </w:tbl>
    <w:p w14:paraId="25F96514">
      <w:pPr>
        <w:pStyle w:val="16"/>
        <w:rPr>
          <w:rFonts w:hint="eastAsia" w:ascii="宋体" w:hAnsi="宋体" w:cs="宋体"/>
          <w:color w:val="auto"/>
          <w:sz w:val="21"/>
          <w:szCs w:val="21"/>
          <w:highlight w:val="none"/>
        </w:rPr>
      </w:pPr>
    </w:p>
    <w:p w14:paraId="6168164E">
      <w:pPr>
        <w:pStyle w:val="16"/>
        <w:rPr>
          <w:color w:val="auto"/>
          <w:highlight w:val="none"/>
        </w:rPr>
      </w:pPr>
    </w:p>
    <w:p w14:paraId="100418FE">
      <w:pPr>
        <w:snapToGrid w:val="0"/>
        <w:spacing w:line="360" w:lineRule="auto"/>
        <w:ind w:firstLine="5280" w:firstLineChars="2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EAAF940">
      <w:pPr>
        <w:snapToGrid w:val="0"/>
        <w:spacing w:line="360" w:lineRule="auto"/>
        <w:jc w:val="center"/>
        <w:rPr>
          <w:rFonts w:hint="eastAsia" w:ascii="宋体" w:hAnsi="宋体" w:cs="宋体"/>
          <w:b/>
          <w:bCs/>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40704BF">
      <w:pPr>
        <w:snapToGrid w:val="0"/>
        <w:spacing w:line="360" w:lineRule="auto"/>
        <w:jc w:val="center"/>
        <w:rPr>
          <w:rFonts w:hint="eastAsia" w:ascii="宋体" w:hAnsi="宋体" w:cs="宋体"/>
          <w:b/>
          <w:bCs/>
          <w:color w:val="auto"/>
          <w:sz w:val="24"/>
          <w:highlight w:val="none"/>
        </w:rPr>
      </w:pPr>
    </w:p>
    <w:p w14:paraId="7E7239E0">
      <w:pPr>
        <w:pStyle w:val="15"/>
        <w:jc w:val="center"/>
        <w:outlineLvl w:val="1"/>
        <w:rPr>
          <w:rFonts w:hint="eastAsia" w:hAnsi="宋体" w:cs="宋体"/>
          <w:b/>
          <w:bCs/>
          <w:color w:val="auto"/>
          <w:sz w:val="28"/>
          <w:szCs w:val="28"/>
          <w:highlight w:val="none"/>
        </w:rPr>
      </w:pPr>
      <w:r>
        <w:rPr>
          <w:rFonts w:hint="eastAsia" w:hAnsi="宋体" w:cs="宋体"/>
          <w:b/>
          <w:bCs/>
          <w:color w:val="auto"/>
          <w:sz w:val="24"/>
          <w:szCs w:val="24"/>
          <w:highlight w:val="none"/>
        </w:rPr>
        <w:br w:type="page"/>
      </w:r>
      <w:bookmarkStart w:id="284" w:name="_Toc10710"/>
      <w:bookmarkStart w:id="285" w:name="_Toc21638"/>
      <w:bookmarkStart w:id="286" w:name="_Toc27076"/>
      <w:bookmarkStart w:id="287" w:name="_Toc17482"/>
      <w:bookmarkStart w:id="288" w:name="_Toc31296"/>
      <w:r>
        <w:rPr>
          <w:rFonts w:hint="eastAsia" w:hAnsi="宋体" w:cs="宋体"/>
          <w:b/>
          <w:bCs/>
          <w:color w:val="auto"/>
          <w:sz w:val="28"/>
          <w:szCs w:val="28"/>
          <w:highlight w:val="none"/>
        </w:rPr>
        <w:t>第四节 报价文件格式</w:t>
      </w:r>
      <w:bookmarkEnd w:id="284"/>
      <w:bookmarkEnd w:id="285"/>
      <w:bookmarkEnd w:id="286"/>
      <w:bookmarkEnd w:id="287"/>
      <w:bookmarkEnd w:id="288"/>
    </w:p>
    <w:p w14:paraId="4D1FF63D">
      <w:pPr>
        <w:snapToGrid w:val="0"/>
        <w:spacing w:before="165" w:beforeLines="50" w:after="50" w:line="400" w:lineRule="exact"/>
        <w:jc w:val="left"/>
        <w:rPr>
          <w:rFonts w:hint="eastAsia" w:ascii="宋体" w:hAnsi="宋体" w:cs="宋体"/>
          <w:color w:val="auto"/>
          <w:sz w:val="24"/>
          <w:highlight w:val="none"/>
        </w:rPr>
      </w:pPr>
    </w:p>
    <w:p w14:paraId="42813345">
      <w:pPr>
        <w:snapToGrid w:val="0"/>
        <w:spacing w:before="165" w:beforeLines="50" w:after="50" w:line="400" w:lineRule="exact"/>
        <w:jc w:val="left"/>
        <w:rPr>
          <w:rFonts w:hint="eastAsia" w:ascii="宋体" w:hAnsi="宋体" w:cs="宋体"/>
          <w:b/>
          <w:bCs/>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b/>
          <w:bCs/>
          <w:color w:val="auto"/>
          <w:sz w:val="28"/>
          <w:szCs w:val="28"/>
          <w:highlight w:val="none"/>
        </w:rPr>
        <w:t>1.报价文件封面的格式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 xml:space="preserve">： </w:t>
      </w:r>
    </w:p>
    <w:p w14:paraId="01A04020">
      <w:pPr>
        <w:snapToGrid w:val="0"/>
        <w:spacing w:before="165" w:beforeLines="50" w:after="50" w:line="400" w:lineRule="exact"/>
        <w:jc w:val="left"/>
        <w:rPr>
          <w:rFonts w:hint="eastAsia" w:ascii="宋体" w:hAnsi="宋体" w:cs="宋体"/>
          <w:b/>
          <w:bCs/>
          <w:color w:val="auto"/>
          <w:sz w:val="28"/>
          <w:szCs w:val="28"/>
          <w:highlight w:val="none"/>
        </w:rPr>
      </w:pPr>
    </w:p>
    <w:p w14:paraId="3061E604">
      <w:pPr>
        <w:snapToGrid w:val="0"/>
        <w:spacing w:before="165" w:beforeLines="50" w:after="50" w:line="400" w:lineRule="exact"/>
        <w:jc w:val="left"/>
        <w:rPr>
          <w:rFonts w:hint="eastAsia" w:ascii="宋体" w:hAnsi="宋体" w:cs="宋体"/>
          <w:color w:val="auto"/>
          <w:sz w:val="24"/>
          <w:highlight w:val="none"/>
        </w:rPr>
      </w:pPr>
      <w:r>
        <w:rPr>
          <w:rFonts w:hint="eastAsia" w:ascii="宋体" w:hAnsi="宋体" w:cs="宋体"/>
          <w:b/>
          <w:bCs/>
          <w:color w:val="auto"/>
          <w:sz w:val="28"/>
          <w:szCs w:val="28"/>
          <w:highlight w:val="none"/>
        </w:rPr>
        <w:t xml:space="preserve">   </w:t>
      </w:r>
      <w:r>
        <w:rPr>
          <w:rFonts w:hint="eastAsia" w:ascii="宋体" w:hAnsi="宋体" w:cs="宋体"/>
          <w:color w:val="auto"/>
          <w:sz w:val="24"/>
          <w:highlight w:val="none"/>
        </w:rPr>
        <w:t xml:space="preserve">                                            </w:t>
      </w:r>
    </w:p>
    <w:p w14:paraId="68AF4087">
      <w:pPr>
        <w:snapToGrid w:val="0"/>
        <w:spacing w:before="165" w:beforeLines="50" w:after="50" w:line="400" w:lineRule="exact"/>
        <w:ind w:firstLine="5760" w:firstLineChars="240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EB45A80">
      <w:pPr>
        <w:snapToGrid w:val="0"/>
        <w:spacing w:before="165" w:beforeLines="50" w:after="50" w:line="400" w:lineRule="exact"/>
        <w:jc w:val="center"/>
        <w:rPr>
          <w:rFonts w:hint="eastAsia" w:ascii="宋体" w:hAnsi="宋体" w:cs="宋体"/>
          <w:bCs/>
          <w:color w:val="auto"/>
          <w:sz w:val="24"/>
          <w:szCs w:val="20"/>
          <w:highlight w:val="none"/>
        </w:rPr>
      </w:pPr>
    </w:p>
    <w:p w14:paraId="4043F315">
      <w:pPr>
        <w:snapToGrid w:val="0"/>
        <w:spacing w:before="165" w:beforeLines="50" w:after="50" w:line="400" w:lineRule="exact"/>
        <w:jc w:val="center"/>
        <w:rPr>
          <w:rFonts w:hint="eastAsia" w:ascii="宋体" w:hAnsi="宋体" w:cs="宋体"/>
          <w:b/>
          <w:bCs/>
          <w:color w:val="auto"/>
          <w:sz w:val="32"/>
          <w:szCs w:val="32"/>
          <w:highlight w:val="none"/>
        </w:rPr>
      </w:pPr>
    </w:p>
    <w:p w14:paraId="2098FB7F">
      <w:pPr>
        <w:snapToGrid w:val="0"/>
        <w:spacing w:before="165"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4EA6462">
      <w:pPr>
        <w:snapToGrid w:val="0"/>
        <w:spacing w:before="165" w:beforeLines="50" w:after="50" w:line="400" w:lineRule="exact"/>
        <w:rPr>
          <w:rFonts w:hint="eastAsia" w:ascii="宋体" w:hAnsi="宋体" w:cs="宋体"/>
          <w:bCs/>
          <w:color w:val="auto"/>
          <w:sz w:val="24"/>
          <w:szCs w:val="20"/>
          <w:highlight w:val="none"/>
        </w:rPr>
      </w:pPr>
    </w:p>
    <w:p w14:paraId="1C6395EE">
      <w:pPr>
        <w:snapToGrid w:val="0"/>
        <w:spacing w:before="165" w:beforeLines="50" w:after="50" w:line="400" w:lineRule="exact"/>
        <w:rPr>
          <w:rFonts w:hint="eastAsia" w:ascii="宋体" w:hAnsi="宋体" w:cs="宋体"/>
          <w:bCs/>
          <w:color w:val="auto"/>
          <w:sz w:val="24"/>
          <w:szCs w:val="20"/>
          <w:highlight w:val="none"/>
        </w:rPr>
      </w:pPr>
    </w:p>
    <w:p w14:paraId="41454ABD">
      <w:pPr>
        <w:snapToGrid w:val="0"/>
        <w:spacing w:before="165" w:beforeLines="50" w:after="50" w:line="400" w:lineRule="exact"/>
        <w:rPr>
          <w:rFonts w:hint="eastAsia" w:ascii="宋体" w:hAnsi="宋体" w:cs="宋体"/>
          <w:bCs/>
          <w:color w:val="auto"/>
          <w:sz w:val="24"/>
          <w:szCs w:val="20"/>
          <w:highlight w:val="none"/>
        </w:rPr>
      </w:pPr>
    </w:p>
    <w:p w14:paraId="0E3D53FB">
      <w:pPr>
        <w:snapToGrid w:val="0"/>
        <w:spacing w:before="165" w:beforeLines="50" w:after="50" w:line="400" w:lineRule="exact"/>
        <w:rPr>
          <w:rFonts w:hint="eastAsia" w:ascii="宋体" w:hAnsi="宋体" w:cs="宋体"/>
          <w:bCs/>
          <w:color w:val="auto"/>
          <w:sz w:val="24"/>
          <w:szCs w:val="20"/>
          <w:highlight w:val="none"/>
        </w:rPr>
      </w:pPr>
    </w:p>
    <w:p w14:paraId="44033192">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78A103BB">
      <w:pPr>
        <w:snapToGrid w:val="0"/>
        <w:spacing w:before="165" w:beforeLines="50" w:after="50" w:line="400" w:lineRule="exact"/>
        <w:ind w:firstLine="360" w:firstLineChars="150"/>
        <w:rPr>
          <w:rFonts w:hint="eastAsia" w:ascii="宋体" w:hAnsi="宋体" w:cs="宋体"/>
          <w:bCs/>
          <w:color w:val="auto"/>
          <w:sz w:val="24"/>
          <w:highlight w:val="none"/>
        </w:rPr>
      </w:pPr>
    </w:p>
    <w:p w14:paraId="26D4EE88">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36E0B6C6">
      <w:pPr>
        <w:snapToGrid w:val="0"/>
        <w:spacing w:before="165" w:beforeLines="50" w:after="50" w:line="400" w:lineRule="exact"/>
        <w:ind w:firstLine="360" w:firstLineChars="150"/>
        <w:rPr>
          <w:rFonts w:hint="eastAsia" w:ascii="宋体" w:hAnsi="宋体" w:cs="宋体"/>
          <w:bCs/>
          <w:color w:val="auto"/>
          <w:sz w:val="24"/>
          <w:highlight w:val="none"/>
        </w:rPr>
      </w:pPr>
    </w:p>
    <w:p w14:paraId="74F26FD8">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7F3AD0A9">
      <w:pPr>
        <w:snapToGrid w:val="0"/>
        <w:spacing w:before="165" w:beforeLines="50" w:after="50" w:line="400" w:lineRule="exact"/>
        <w:ind w:firstLine="360" w:firstLineChars="150"/>
        <w:rPr>
          <w:rFonts w:hint="eastAsia" w:ascii="宋体" w:hAnsi="宋体" w:cs="宋体"/>
          <w:bCs/>
          <w:color w:val="auto"/>
          <w:sz w:val="24"/>
          <w:highlight w:val="none"/>
        </w:rPr>
      </w:pPr>
    </w:p>
    <w:p w14:paraId="0B3DB452">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95477BA">
      <w:pPr>
        <w:snapToGrid w:val="0"/>
        <w:spacing w:before="165" w:beforeLines="50" w:after="50" w:line="400" w:lineRule="exact"/>
        <w:ind w:firstLine="360" w:firstLineChars="150"/>
        <w:rPr>
          <w:rFonts w:hint="eastAsia" w:ascii="宋体" w:hAnsi="宋体" w:cs="宋体"/>
          <w:bCs/>
          <w:color w:val="auto"/>
          <w:sz w:val="24"/>
          <w:highlight w:val="none"/>
        </w:rPr>
      </w:pPr>
    </w:p>
    <w:p w14:paraId="7203B53B">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3FFEC57E">
      <w:pPr>
        <w:snapToGrid w:val="0"/>
        <w:spacing w:before="165" w:beforeLines="50" w:after="50"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A4616EF">
      <w:pPr>
        <w:widowControl/>
        <w:jc w:val="left"/>
        <w:rPr>
          <w:rFonts w:hint="eastAsia"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p>
    <w:p w14:paraId="604F5C3A">
      <w:pPr>
        <w:snapToGrid w:val="0"/>
        <w:spacing w:before="165" w:beforeLines="50" w:after="50" w:line="360" w:lineRule="auto"/>
        <w:jc w:val="left"/>
        <w:rPr>
          <w:rFonts w:hint="eastAsia" w:ascii="宋体" w:hAnsi="宋体" w:cs="宋体"/>
          <w:color w:val="auto"/>
          <w:sz w:val="28"/>
          <w:szCs w:val="28"/>
          <w:highlight w:val="none"/>
        </w:rPr>
      </w:pP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37DB24FB">
      <w:pPr>
        <w:snapToGrid w:val="0"/>
        <w:spacing w:before="50" w:after="165" w:afterLines="50" w:line="360" w:lineRule="auto"/>
        <w:jc w:val="left"/>
        <w:rPr>
          <w:rFonts w:hint="eastAsia"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55C4EEF4">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3.投标函的格式：</w:t>
      </w:r>
    </w:p>
    <w:p w14:paraId="614015F0">
      <w:pPr>
        <w:pStyle w:val="15"/>
        <w:spacing w:line="500" w:lineRule="exact"/>
        <w:jc w:val="center"/>
        <w:rPr>
          <w:rFonts w:hint="eastAsia" w:hAnsi="宋体" w:cs="宋体"/>
          <w:b/>
          <w:bCs/>
          <w:color w:val="auto"/>
          <w:sz w:val="30"/>
          <w:szCs w:val="30"/>
          <w:highlight w:val="none"/>
        </w:rPr>
      </w:pPr>
      <w:r>
        <w:rPr>
          <w:rFonts w:hint="eastAsia" w:hAnsi="宋体" w:cs="宋体"/>
          <w:b/>
          <w:bCs/>
          <w:color w:val="auto"/>
          <w:sz w:val="30"/>
          <w:szCs w:val="30"/>
          <w:highlight w:val="none"/>
        </w:rPr>
        <w:t>投标函</w:t>
      </w:r>
    </w:p>
    <w:p w14:paraId="00BDAF0A">
      <w:pPr>
        <w:pStyle w:val="15"/>
        <w:spacing w:line="440" w:lineRule="exact"/>
        <w:ind w:firstLine="420" w:firstLineChars="200"/>
        <w:rPr>
          <w:rFonts w:hint="eastAsia" w:hAnsi="宋体" w:cs="宋体"/>
          <w:color w:val="auto"/>
          <w:highlight w:val="none"/>
        </w:rPr>
      </w:pPr>
    </w:p>
    <w:p w14:paraId="16CF7386">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广西德元工程项目管理有限责任公司</w:t>
      </w:r>
    </w:p>
    <w:p w14:paraId="2DB4FFC9">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i/>
          <w:iCs/>
          <w:color w:val="auto"/>
          <w:highlight w:val="none"/>
          <w:u w:val="single"/>
        </w:rPr>
        <w:t>（项目名称）</w:t>
      </w:r>
      <w:r>
        <w:rPr>
          <w:rFonts w:hint="eastAsia" w:hAnsi="宋体" w:cs="宋体"/>
          <w:color w:val="auto"/>
          <w:highlight w:val="none"/>
          <w:u w:val="single"/>
        </w:rPr>
        <w:t xml:space="preserve">  </w:t>
      </w:r>
      <w:r>
        <w:rPr>
          <w:rFonts w:hint="eastAsia" w:hAnsi="宋体" w:cs="宋体"/>
          <w:color w:val="auto"/>
          <w:highlight w:val="none"/>
        </w:rPr>
        <w:t>项目（项目编号：        ）的招标文件的全部内容，授权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74237568">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一、报价文件电子版（包含按投标人须知前附表要求提交的全部文件）；</w:t>
      </w:r>
    </w:p>
    <w:p w14:paraId="36185592">
      <w:pPr>
        <w:pStyle w:val="15"/>
        <w:spacing w:line="440" w:lineRule="exact"/>
        <w:ind w:firstLine="482"/>
        <w:rPr>
          <w:rFonts w:hint="eastAsia" w:hAnsi="宋体" w:cs="宋体"/>
          <w:color w:val="auto"/>
          <w:highlight w:val="none"/>
        </w:rPr>
      </w:pPr>
      <w:r>
        <w:rPr>
          <w:rFonts w:hint="eastAsia" w:hAnsi="宋体" w:cs="宋体"/>
          <w:color w:val="auto"/>
          <w:highlight w:val="none"/>
        </w:rPr>
        <w:t>二、资格文件电子版（包含按投标人须知前附表要求提交的全部文件）；</w:t>
      </w:r>
    </w:p>
    <w:p w14:paraId="712EB5E1">
      <w:pPr>
        <w:pStyle w:val="15"/>
        <w:spacing w:line="440" w:lineRule="exact"/>
        <w:ind w:firstLine="482"/>
        <w:rPr>
          <w:rFonts w:hint="eastAsia" w:hAnsi="宋体" w:cs="宋体"/>
          <w:color w:val="auto"/>
          <w:highlight w:val="none"/>
        </w:rPr>
      </w:pPr>
      <w:r>
        <w:rPr>
          <w:rFonts w:hint="eastAsia" w:hAnsi="宋体" w:cs="宋体"/>
          <w:color w:val="auto"/>
          <w:highlight w:val="none"/>
        </w:rPr>
        <w:t>三、技术文件电子版（包含按投标人须知前附表要求提交的全部文件）；</w:t>
      </w:r>
    </w:p>
    <w:p w14:paraId="78003537">
      <w:pPr>
        <w:pStyle w:val="15"/>
        <w:spacing w:line="440" w:lineRule="exact"/>
        <w:ind w:firstLine="482"/>
        <w:rPr>
          <w:rFonts w:hint="eastAsia" w:hAnsi="宋体" w:cs="宋体"/>
          <w:color w:val="auto"/>
          <w:highlight w:val="none"/>
        </w:rPr>
      </w:pPr>
      <w:r>
        <w:rPr>
          <w:rFonts w:hint="eastAsia" w:hAnsi="宋体" w:cs="宋体"/>
          <w:color w:val="auto"/>
          <w:highlight w:val="none"/>
        </w:rPr>
        <w:t>四、商务文件电子版（包含按投标人须知前附表要求提交的全部文件）；</w:t>
      </w:r>
    </w:p>
    <w:p w14:paraId="69273134">
      <w:pPr>
        <w:pStyle w:val="15"/>
        <w:spacing w:line="440" w:lineRule="exact"/>
        <w:ind w:firstLine="482"/>
        <w:rPr>
          <w:rFonts w:hint="eastAsia" w:hAnsi="宋体" w:cs="宋体"/>
          <w:color w:val="auto"/>
          <w:highlight w:val="none"/>
        </w:rPr>
      </w:pPr>
      <w:r>
        <w:rPr>
          <w:rFonts w:hint="eastAsia" w:hAnsi="宋体" w:cs="宋体"/>
          <w:color w:val="auto"/>
          <w:highlight w:val="none"/>
        </w:rPr>
        <w:t>据此函，我方兹宣布：</w:t>
      </w:r>
    </w:p>
    <w:p w14:paraId="6C6F43E9">
      <w:pPr>
        <w:pStyle w:val="15"/>
        <w:spacing w:line="360" w:lineRule="exact"/>
        <w:ind w:firstLine="420" w:firstLineChars="200"/>
        <w:rPr>
          <w:rFonts w:hint="eastAsia" w:hAnsi="宋体" w:cs="宋体"/>
          <w:color w:val="auto"/>
          <w:highlight w:val="none"/>
          <w:u w:val="single"/>
        </w:rPr>
      </w:pPr>
      <w:r>
        <w:rPr>
          <w:rFonts w:hint="eastAsia" w:hAnsi="宋体" w:cs="宋体"/>
          <w:color w:val="auto"/>
          <w:highlight w:val="none"/>
        </w:rPr>
        <w:t>1、我方愿意以投标时提供的开标一览表中的投标总</w:t>
      </w:r>
      <w:r>
        <w:rPr>
          <w:rFonts w:hint="eastAsia" w:hAnsi="宋体" w:cs="宋体"/>
          <w:color w:val="auto"/>
          <w:szCs w:val="22"/>
          <w:highlight w:val="none"/>
        </w:rPr>
        <w:t>报价，在承诺的交货时间内</w:t>
      </w:r>
      <w:r>
        <w:rPr>
          <w:rFonts w:hint="eastAsia" w:hAnsi="宋体" w:cs="宋体"/>
          <w:color w:val="auto"/>
          <w:highlight w:val="none"/>
        </w:rPr>
        <w:t>提供本项目招标文件“第二章  采购需求”的“</w:t>
      </w:r>
      <w:r>
        <w:rPr>
          <w:rFonts w:hint="eastAsia" w:hAnsi="宋体" w:cs="宋体"/>
          <w:color w:val="auto"/>
          <w:szCs w:val="21"/>
          <w:highlight w:val="none"/>
        </w:rPr>
        <w:t>需求一览表</w:t>
      </w:r>
      <w:r>
        <w:rPr>
          <w:rFonts w:hint="eastAsia" w:hAnsi="宋体" w:cs="宋体"/>
          <w:color w:val="auto"/>
          <w:highlight w:val="none"/>
        </w:rPr>
        <w:t>”中的相应的采购内容，具体详见开标一览表。</w:t>
      </w:r>
    </w:p>
    <w:p w14:paraId="00126E25">
      <w:pPr>
        <w:pStyle w:val="15"/>
        <w:spacing w:line="360" w:lineRule="exact"/>
        <w:ind w:firstLine="420" w:firstLineChars="200"/>
        <w:rPr>
          <w:rFonts w:hint="eastAsia"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3E5266D8">
      <w:pPr>
        <w:pStyle w:val="15"/>
        <w:spacing w:line="360" w:lineRule="exact"/>
        <w:ind w:firstLine="420" w:firstLineChars="200"/>
        <w:rPr>
          <w:rFonts w:hint="eastAsia"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1CC3B07B">
      <w:pPr>
        <w:pStyle w:val="15"/>
        <w:spacing w:line="440" w:lineRule="exact"/>
        <w:ind w:firstLine="482"/>
        <w:rPr>
          <w:rFonts w:hint="eastAsia"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6733840F">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6C3B00BA">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67D700D2">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362D5996">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8、我方完全理解贵方不一定接受投标报价最低的投标人为中标人的行为。</w:t>
      </w:r>
    </w:p>
    <w:p w14:paraId="4B9E3535">
      <w:pPr>
        <w:pStyle w:val="15"/>
        <w:spacing w:line="440" w:lineRule="exact"/>
        <w:ind w:firstLine="420" w:firstLineChars="200"/>
        <w:rPr>
          <w:rFonts w:hint="eastAsia"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8A56883">
      <w:pPr>
        <w:pStyle w:val="15"/>
        <w:numPr>
          <w:ilvl w:val="0"/>
          <w:numId w:val="7"/>
        </w:numPr>
        <w:spacing w:line="440" w:lineRule="exact"/>
        <w:rPr>
          <w:rFonts w:hint="eastAsia" w:hAnsi="宋体" w:cs="宋体"/>
          <w:color w:val="auto"/>
          <w:highlight w:val="none"/>
        </w:rPr>
      </w:pPr>
      <w:r>
        <w:rPr>
          <w:rFonts w:hint="eastAsia" w:hAnsi="宋体" w:cs="宋体"/>
          <w:color w:val="auto"/>
          <w:highlight w:val="none"/>
        </w:rPr>
        <w:t>提供虚假材料谋取中标、成交的；</w:t>
      </w:r>
    </w:p>
    <w:p w14:paraId="397B334D">
      <w:pPr>
        <w:pStyle w:val="15"/>
        <w:numPr>
          <w:ilvl w:val="0"/>
          <w:numId w:val="7"/>
        </w:numPr>
        <w:spacing w:line="440" w:lineRule="exact"/>
        <w:rPr>
          <w:rFonts w:hint="eastAsia" w:hAnsi="宋体" w:cs="宋体"/>
          <w:color w:val="auto"/>
          <w:highlight w:val="none"/>
        </w:rPr>
      </w:pPr>
      <w:r>
        <w:rPr>
          <w:rFonts w:hint="eastAsia" w:hAnsi="宋体" w:cs="宋体"/>
          <w:color w:val="auto"/>
          <w:highlight w:val="none"/>
        </w:rPr>
        <w:t>采取不正当手段诋毁、排挤其他供应商的；</w:t>
      </w:r>
    </w:p>
    <w:p w14:paraId="154C940C">
      <w:pPr>
        <w:pStyle w:val="15"/>
        <w:numPr>
          <w:ilvl w:val="0"/>
          <w:numId w:val="7"/>
        </w:numPr>
        <w:spacing w:line="440" w:lineRule="exact"/>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0DB9AA6C">
      <w:pPr>
        <w:pStyle w:val="15"/>
        <w:numPr>
          <w:ilvl w:val="0"/>
          <w:numId w:val="7"/>
        </w:numPr>
        <w:spacing w:line="440" w:lineRule="exact"/>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35701DCC">
      <w:pPr>
        <w:pStyle w:val="15"/>
        <w:numPr>
          <w:ilvl w:val="0"/>
          <w:numId w:val="7"/>
        </w:numPr>
        <w:spacing w:line="440" w:lineRule="exact"/>
        <w:rPr>
          <w:rFonts w:hint="eastAsia" w:hAnsi="宋体" w:cs="宋体"/>
          <w:color w:val="auto"/>
          <w:highlight w:val="none"/>
        </w:rPr>
      </w:pPr>
      <w:r>
        <w:rPr>
          <w:rFonts w:hint="eastAsia" w:hAnsi="宋体" w:cs="宋体"/>
          <w:color w:val="auto"/>
          <w:highlight w:val="none"/>
        </w:rPr>
        <w:t>在招标采购过程中与采购人进行协商谈判的；</w:t>
      </w:r>
    </w:p>
    <w:p w14:paraId="2A3A182A">
      <w:pPr>
        <w:pStyle w:val="15"/>
        <w:numPr>
          <w:ilvl w:val="0"/>
          <w:numId w:val="7"/>
        </w:numPr>
        <w:spacing w:line="440" w:lineRule="exact"/>
        <w:rPr>
          <w:rFonts w:hint="eastAsia" w:hAnsi="宋体" w:cs="宋体"/>
          <w:color w:val="auto"/>
          <w:highlight w:val="none"/>
        </w:rPr>
      </w:pPr>
      <w:r>
        <w:rPr>
          <w:rFonts w:hint="eastAsia" w:hAnsi="宋体" w:cs="宋体"/>
          <w:color w:val="auto"/>
          <w:highlight w:val="none"/>
        </w:rPr>
        <w:t>拒绝有关部门监督检查或提供虚假情况的。</w:t>
      </w:r>
    </w:p>
    <w:p w14:paraId="28E3A7AF">
      <w:pPr>
        <w:pStyle w:val="15"/>
        <w:spacing w:line="360" w:lineRule="auto"/>
        <w:ind w:firstLine="420"/>
        <w:rPr>
          <w:rFonts w:hint="eastAsia" w:hAnsi="宋体" w:cs="宋体"/>
          <w:color w:val="auto"/>
          <w:highlight w:val="none"/>
        </w:rPr>
      </w:pPr>
      <w:r>
        <w:rPr>
          <w:rFonts w:hint="eastAsia" w:hAnsi="宋体" w:cs="宋体"/>
          <w:color w:val="auto"/>
          <w:highlight w:val="none"/>
        </w:rPr>
        <w:t>10、以上事项如有虚假或者隐瞒，我方愿意承担一切后果，并不再寻求任何旨在减轻或者免除法律责任的辩解。</w:t>
      </w:r>
    </w:p>
    <w:p w14:paraId="21E1CB3A">
      <w:pPr>
        <w:pStyle w:val="15"/>
        <w:spacing w:line="360" w:lineRule="auto"/>
        <w:ind w:firstLine="420"/>
        <w:rPr>
          <w:rFonts w:hint="eastAsia" w:hAnsi="宋体" w:cs="宋体"/>
          <w:color w:val="auto"/>
          <w:highlight w:val="none"/>
        </w:rPr>
      </w:pPr>
      <w:r>
        <w:rPr>
          <w:rFonts w:hint="eastAsia" w:hAnsi="宋体" w:cs="宋体"/>
          <w:color w:val="auto"/>
          <w:highlight w:val="none"/>
        </w:rPr>
        <w:t>11、与本投标有关的一切正式往来信函请寄：</w:t>
      </w:r>
    </w:p>
    <w:p w14:paraId="1807D940">
      <w:pPr>
        <w:pStyle w:val="15"/>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50ADD7A3">
      <w:pPr>
        <w:pStyle w:val="15"/>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3AF3688">
      <w:pPr>
        <w:pStyle w:val="15"/>
        <w:spacing w:line="360" w:lineRule="auto"/>
        <w:ind w:firstLine="420"/>
        <w:rPr>
          <w:rFonts w:hint="eastAsia"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w:t>
      </w:r>
    </w:p>
    <w:p w14:paraId="0ABF7AFA">
      <w:pPr>
        <w:spacing w:line="360" w:lineRule="auto"/>
        <w:ind w:firstLine="420"/>
        <w:rPr>
          <w:rFonts w:hint="eastAsia" w:ascii="宋体" w:hAnsi="宋体" w:cs="宋体"/>
          <w:color w:val="auto"/>
          <w:highlight w:val="none"/>
          <w:u w:val="single"/>
        </w:rPr>
      </w:pPr>
      <w:r>
        <w:rPr>
          <w:rFonts w:hint="eastAsia" w:ascii="宋体" w:hAnsi="宋体" w:cs="宋体"/>
          <w:color w:val="auto"/>
          <w:kern w:val="0"/>
          <w:sz w:val="20"/>
          <w:szCs w:val="21"/>
          <w:highlight w:val="none"/>
        </w:rPr>
        <w:t>电子邮箱：</w:t>
      </w:r>
      <w:r>
        <w:rPr>
          <w:rFonts w:hint="eastAsia" w:ascii="宋体" w:hAnsi="宋体" w:cs="宋体"/>
          <w:color w:val="auto"/>
          <w:kern w:val="0"/>
          <w:sz w:val="20"/>
          <w:szCs w:val="21"/>
          <w:highlight w:val="none"/>
          <w:u w:val="single"/>
        </w:rPr>
        <w:t>　　　　　　　　　　　　　　　　　　　　　　　　　　　　</w:t>
      </w:r>
    </w:p>
    <w:p w14:paraId="13E54890">
      <w:pPr>
        <w:pStyle w:val="15"/>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0536E230">
      <w:pPr>
        <w:pStyle w:val="15"/>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1248BD8A">
      <w:pPr>
        <w:pStyle w:val="15"/>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5E56E5CD">
      <w:pPr>
        <w:pStyle w:val="15"/>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375D78AD">
      <w:pPr>
        <w:snapToGrid w:val="0"/>
        <w:spacing w:line="360" w:lineRule="auto"/>
        <w:ind w:firstLine="5040" w:firstLineChars="2100"/>
        <w:rPr>
          <w:rFonts w:hint="eastAsia" w:ascii="宋体" w:hAnsi="宋体" w:cs="宋体"/>
          <w:color w:val="auto"/>
          <w:kern w:val="0"/>
          <w:sz w:val="24"/>
          <w:highlight w:val="none"/>
          <w:lang w:val="zh-CN"/>
        </w:rPr>
      </w:pPr>
    </w:p>
    <w:p w14:paraId="03FB252C">
      <w:pPr>
        <w:snapToGrid w:val="0"/>
        <w:spacing w:line="360" w:lineRule="auto"/>
        <w:ind w:firstLine="5040" w:firstLineChars="2100"/>
        <w:rPr>
          <w:rFonts w:hint="eastAsia" w:ascii="宋体" w:hAnsi="宋体" w:cs="宋体"/>
          <w:color w:val="auto"/>
          <w:kern w:val="0"/>
          <w:sz w:val="24"/>
          <w:highlight w:val="none"/>
          <w:lang w:val="zh-CN"/>
        </w:rPr>
      </w:pPr>
    </w:p>
    <w:p w14:paraId="21D2D666">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032A0509">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AA68CB3">
      <w:pPr>
        <w:widowControl/>
        <w:spacing w:line="360" w:lineRule="auto"/>
        <w:jc w:val="left"/>
        <w:rPr>
          <w:rFonts w:hint="eastAsia" w:ascii="宋体" w:hAns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539CFA6C">
      <w:pPr>
        <w:pStyle w:val="15"/>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4. 开标一览表的格式：</w:t>
      </w:r>
    </w:p>
    <w:p w14:paraId="02F8754E">
      <w:pPr>
        <w:pStyle w:val="15"/>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3CC0AD78">
      <w:pPr>
        <w:snapToGrid w:val="0"/>
        <w:spacing w:before="50" w:after="50" w:line="48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9C5C7C">
      <w:pPr>
        <w:snapToGrid w:val="0"/>
        <w:spacing w:before="50" w:after="50" w:line="48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bookmarkStart w:id="289" w:name="PO_3000001867_PM001_7"/>
      <w:r>
        <w:rPr>
          <w:rFonts w:hint="eastAsia" w:ascii="宋体" w:hAnsi="宋体" w:cs="宋体"/>
          <w:color w:val="auto"/>
          <w:sz w:val="24"/>
          <w:highlight w:val="none"/>
          <w:u w:val="single"/>
        </w:rPr>
        <w:t xml:space="preserve">                      </w:t>
      </w:r>
      <w:bookmarkEnd w:id="289"/>
    </w:p>
    <w:p w14:paraId="0FE9B126">
      <w:pPr>
        <w:pStyle w:val="16"/>
        <w:rPr>
          <w:color w:val="auto"/>
          <w:highlight w:val="non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hAnsi="宋体" w:cs="宋体"/>
          <w:color w:val="auto"/>
          <w:sz w:val="24"/>
          <w:highlight w:val="none"/>
        </w:rPr>
        <w:t xml:space="preserve">  </w:t>
      </w:r>
    </w:p>
    <w:tbl>
      <w:tblPr>
        <w:tblStyle w:val="26"/>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876"/>
        <w:gridCol w:w="1492"/>
        <w:gridCol w:w="1313"/>
        <w:gridCol w:w="2012"/>
        <w:gridCol w:w="958"/>
      </w:tblGrid>
      <w:tr w14:paraId="4236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27BA2F1">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3D8B9F9">
            <w:pPr>
              <w:rPr>
                <w:rFonts w:hint="eastAsia" w:ascii="宋体" w:hAnsi="宋体" w:cs="宋体"/>
                <w:color w:val="auto"/>
                <w:szCs w:val="22"/>
                <w:highlight w:val="none"/>
              </w:rPr>
            </w:pPr>
            <w:r>
              <w:rPr>
                <w:rFonts w:hint="eastAsia" w:ascii="宋体" w:hAnsi="宋体" w:cs="宋体"/>
                <w:color w:val="auto"/>
                <w:szCs w:val="22"/>
                <w:highlight w:val="none"/>
              </w:rPr>
              <w:t>标的名称</w:t>
            </w:r>
          </w:p>
        </w:tc>
        <w:tc>
          <w:tcPr>
            <w:tcW w:w="1183" w:type="dxa"/>
            <w:tcBorders>
              <w:top w:val="single" w:color="auto" w:sz="4" w:space="0"/>
              <w:left w:val="single" w:color="auto" w:sz="4" w:space="0"/>
              <w:bottom w:val="single" w:color="auto" w:sz="4" w:space="0"/>
              <w:right w:val="single" w:color="auto" w:sz="4" w:space="0"/>
            </w:tcBorders>
            <w:vAlign w:val="center"/>
          </w:tcPr>
          <w:p w14:paraId="17C18C9C">
            <w:pPr>
              <w:jc w:val="center"/>
              <w:rPr>
                <w:rFonts w:hint="eastAsia" w:ascii="宋体" w:hAnsi="宋体" w:cs="宋体"/>
                <w:color w:val="auto"/>
                <w:szCs w:val="22"/>
                <w:highlight w:val="none"/>
              </w:rPr>
            </w:pPr>
            <w:r>
              <w:rPr>
                <w:rFonts w:hint="eastAsia" w:ascii="宋体" w:hAnsi="宋体" w:cs="宋体"/>
                <w:color w:val="auto"/>
                <w:szCs w:val="22"/>
                <w:highlight w:val="none"/>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514FF4DB">
            <w:pPr>
              <w:jc w:val="center"/>
              <w:rPr>
                <w:rFonts w:hint="eastAsia" w:ascii="宋体" w:hAnsi="宋体" w:cs="宋体"/>
                <w:color w:val="auto"/>
                <w:szCs w:val="22"/>
                <w:highlight w:val="none"/>
              </w:rPr>
            </w:pPr>
            <w:r>
              <w:rPr>
                <w:rFonts w:hint="eastAsia" w:ascii="宋体" w:hAnsi="宋体" w:cs="宋体"/>
                <w:color w:val="auto"/>
                <w:szCs w:val="22"/>
                <w:highlight w:val="none"/>
              </w:rPr>
              <w:t>品牌</w:t>
            </w:r>
          </w:p>
          <w:p w14:paraId="198D4753">
            <w:pPr>
              <w:jc w:val="center"/>
              <w:rPr>
                <w:rFonts w:hint="eastAsia" w:ascii="宋体" w:hAnsi="宋体" w:cs="宋体"/>
                <w:color w:val="auto"/>
                <w:szCs w:val="22"/>
                <w:highlight w:val="none"/>
              </w:rPr>
            </w:pPr>
            <w:r>
              <w:rPr>
                <w:rFonts w:hint="eastAsia" w:ascii="宋体" w:hAnsi="宋体" w:cs="宋体"/>
                <w:color w:val="auto"/>
                <w:szCs w:val="22"/>
                <w:highlight w:val="none"/>
              </w:rPr>
              <w:t>及制造商</w:t>
            </w:r>
          </w:p>
        </w:tc>
        <w:tc>
          <w:tcPr>
            <w:tcW w:w="1492" w:type="dxa"/>
            <w:tcBorders>
              <w:top w:val="single" w:color="auto" w:sz="4" w:space="0"/>
              <w:left w:val="single" w:color="auto" w:sz="4" w:space="0"/>
              <w:bottom w:val="single" w:color="auto" w:sz="4" w:space="0"/>
              <w:right w:val="single" w:color="auto" w:sz="4" w:space="0"/>
            </w:tcBorders>
            <w:vAlign w:val="center"/>
          </w:tcPr>
          <w:p w14:paraId="32133821">
            <w:pPr>
              <w:jc w:val="center"/>
              <w:rPr>
                <w:rFonts w:hint="eastAsia" w:ascii="宋体" w:hAnsi="宋体" w:cs="宋体"/>
                <w:color w:val="auto"/>
                <w:szCs w:val="22"/>
                <w:highlight w:val="none"/>
              </w:rPr>
            </w:pPr>
            <w:r>
              <w:rPr>
                <w:rFonts w:hint="eastAsia" w:ascii="宋体" w:hAnsi="宋体" w:cs="宋体"/>
                <w:color w:val="auto"/>
                <w:szCs w:val="22"/>
                <w:highlight w:val="none"/>
              </w:rPr>
              <w:t>数量及单位</w:t>
            </w:r>
          </w:p>
          <w:p w14:paraId="478F45D5">
            <w:pPr>
              <w:jc w:val="center"/>
              <w:rPr>
                <w:rFonts w:hint="eastAsia" w:ascii="宋体" w:hAnsi="宋体" w:cs="宋体"/>
                <w:color w:val="auto"/>
                <w:szCs w:val="22"/>
                <w:highlight w:val="none"/>
              </w:rPr>
            </w:pPr>
            <w:r>
              <w:rPr>
                <w:rFonts w:hint="eastAsia" w:ascii="宋体" w:hAnsi="宋体" w:cs="宋体"/>
                <w:color w:val="auto"/>
                <w:szCs w:val="22"/>
                <w:highlight w:val="none"/>
              </w:rPr>
              <w:t>①</w:t>
            </w:r>
          </w:p>
        </w:tc>
        <w:tc>
          <w:tcPr>
            <w:tcW w:w="1313" w:type="dxa"/>
            <w:tcBorders>
              <w:top w:val="single" w:color="auto" w:sz="4" w:space="0"/>
              <w:left w:val="single" w:color="auto" w:sz="4" w:space="0"/>
              <w:bottom w:val="single" w:color="auto" w:sz="4" w:space="0"/>
              <w:right w:val="single" w:color="auto" w:sz="4" w:space="0"/>
            </w:tcBorders>
            <w:vAlign w:val="center"/>
          </w:tcPr>
          <w:p w14:paraId="6BDB003E">
            <w:pPr>
              <w:jc w:val="center"/>
              <w:rPr>
                <w:rFonts w:hint="eastAsia" w:ascii="宋体" w:hAnsi="宋体" w:cs="宋体"/>
                <w:color w:val="auto"/>
                <w:szCs w:val="22"/>
                <w:highlight w:val="none"/>
              </w:rPr>
            </w:pPr>
            <w:r>
              <w:rPr>
                <w:rFonts w:hint="eastAsia" w:ascii="宋体" w:hAnsi="宋体" w:cs="宋体"/>
                <w:color w:val="auto"/>
                <w:szCs w:val="22"/>
                <w:highlight w:val="none"/>
              </w:rPr>
              <w:t>单价(元)</w:t>
            </w:r>
          </w:p>
          <w:p w14:paraId="51C5050F">
            <w:pPr>
              <w:jc w:val="center"/>
              <w:rPr>
                <w:rFonts w:hint="eastAsia" w:ascii="宋体" w:hAnsi="宋体" w:cs="宋体"/>
                <w:color w:val="auto"/>
                <w:szCs w:val="22"/>
                <w:highlight w:val="none"/>
              </w:rPr>
            </w:pPr>
            <w:r>
              <w:rPr>
                <w:rFonts w:hint="eastAsia" w:ascii="宋体" w:hAnsi="宋体" w:cs="宋体"/>
                <w:color w:val="auto"/>
                <w:szCs w:val="22"/>
                <w:highlight w:val="none"/>
              </w:rPr>
              <w:t>②</w:t>
            </w:r>
          </w:p>
        </w:tc>
        <w:tc>
          <w:tcPr>
            <w:tcW w:w="2012" w:type="dxa"/>
            <w:tcBorders>
              <w:top w:val="single" w:color="auto" w:sz="4" w:space="0"/>
              <w:left w:val="single" w:color="auto" w:sz="4" w:space="0"/>
              <w:bottom w:val="single" w:color="auto" w:sz="4" w:space="0"/>
              <w:right w:val="single" w:color="auto" w:sz="4" w:space="0"/>
            </w:tcBorders>
            <w:vAlign w:val="center"/>
          </w:tcPr>
          <w:p w14:paraId="2F6780CA">
            <w:pPr>
              <w:jc w:val="center"/>
              <w:rPr>
                <w:rFonts w:hint="eastAsia" w:ascii="宋体" w:hAnsi="宋体" w:cs="宋体"/>
                <w:color w:val="auto"/>
                <w:szCs w:val="22"/>
                <w:highlight w:val="none"/>
              </w:rPr>
            </w:pPr>
            <w:r>
              <w:rPr>
                <w:rFonts w:hint="eastAsia" w:ascii="宋体" w:hAnsi="宋体" w:cs="宋体"/>
                <w:color w:val="auto"/>
                <w:szCs w:val="22"/>
                <w:highlight w:val="none"/>
              </w:rPr>
              <w:t>单项合计（元）</w:t>
            </w:r>
          </w:p>
          <w:p w14:paraId="4200A982">
            <w:pPr>
              <w:jc w:val="center"/>
              <w:rPr>
                <w:rFonts w:hint="eastAsia" w:ascii="宋体" w:hAnsi="宋体" w:cs="宋体"/>
                <w:color w:val="auto"/>
                <w:szCs w:val="22"/>
                <w:highlight w:val="none"/>
              </w:rPr>
            </w:pPr>
            <w:r>
              <w:rPr>
                <w:rFonts w:hint="eastAsia" w:ascii="宋体" w:hAnsi="宋体" w:cs="宋体"/>
                <w:color w:val="auto"/>
                <w:szCs w:val="22"/>
                <w:highlight w:val="none"/>
              </w:rPr>
              <w:t>③＝①×②</w:t>
            </w:r>
          </w:p>
        </w:tc>
        <w:tc>
          <w:tcPr>
            <w:tcW w:w="958" w:type="dxa"/>
            <w:tcBorders>
              <w:top w:val="single" w:color="auto" w:sz="4" w:space="0"/>
              <w:left w:val="single" w:color="auto" w:sz="4" w:space="0"/>
              <w:bottom w:val="single" w:color="auto" w:sz="4" w:space="0"/>
              <w:right w:val="single" w:color="auto" w:sz="4" w:space="0"/>
            </w:tcBorders>
          </w:tcPr>
          <w:p w14:paraId="1660E912">
            <w:pPr>
              <w:pStyle w:val="17"/>
              <w:rPr>
                <w:rFonts w:hint="eastAsia" w:ascii="宋体" w:hAnsi="宋体" w:cs="宋体"/>
                <w:color w:val="auto"/>
                <w:highlight w:val="none"/>
              </w:rPr>
            </w:pPr>
          </w:p>
          <w:p w14:paraId="2FE235DE">
            <w:pPr>
              <w:pStyle w:val="17"/>
              <w:rPr>
                <w:rFonts w:hint="eastAsia" w:ascii="宋体" w:hAnsi="宋体" w:cs="宋体"/>
                <w:color w:val="auto"/>
                <w:highlight w:val="none"/>
              </w:rPr>
            </w:pPr>
          </w:p>
          <w:p w14:paraId="574BA5F0">
            <w:pPr>
              <w:pStyle w:val="17"/>
              <w:rPr>
                <w:rFonts w:hint="eastAsia" w:ascii="宋体" w:hAnsi="宋体" w:cs="宋体"/>
                <w:color w:val="auto"/>
                <w:highlight w:val="none"/>
              </w:rPr>
            </w:pPr>
            <w:r>
              <w:rPr>
                <w:rFonts w:hint="eastAsia" w:ascii="宋体" w:hAnsi="宋体" w:cs="宋体"/>
                <w:color w:val="auto"/>
                <w:sz w:val="21"/>
                <w:szCs w:val="21"/>
                <w:highlight w:val="none"/>
              </w:rPr>
              <w:t>备注</w:t>
            </w:r>
          </w:p>
        </w:tc>
      </w:tr>
      <w:tr w14:paraId="6FE0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2BB00DDB">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87304C5">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7B84E29C">
            <w:pPr>
              <w:rPr>
                <w:rFonts w:hint="eastAsia" w:ascii="宋体" w:hAnsi="宋体" w:cs="宋体"/>
                <w:color w:val="auto"/>
                <w:szCs w:val="22"/>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14:paraId="3EEFAC00">
            <w:pPr>
              <w:rPr>
                <w:rFonts w:hint="eastAsia" w:ascii="宋体" w:hAnsi="宋体" w:cs="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0B60BC28">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0CBC959C">
            <w:pPr>
              <w:rPr>
                <w:rFonts w:hint="eastAsia"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5A4695AD">
            <w:pPr>
              <w:rPr>
                <w:rFonts w:hint="eastAsia"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3DBC9021">
            <w:pPr>
              <w:rPr>
                <w:rFonts w:hint="eastAsia" w:ascii="宋体" w:hAnsi="宋体" w:cs="宋体"/>
                <w:color w:val="auto"/>
                <w:szCs w:val="22"/>
                <w:highlight w:val="none"/>
              </w:rPr>
            </w:pPr>
          </w:p>
        </w:tc>
      </w:tr>
      <w:tr w14:paraId="3F2C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45D8B01E">
            <w:pPr>
              <w:jc w:val="center"/>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355F414">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2CAEDAF5">
            <w:pPr>
              <w:rPr>
                <w:rFonts w:hint="eastAsia" w:ascii="宋体" w:hAnsi="宋体" w:cs="宋体"/>
                <w:color w:val="auto"/>
                <w:szCs w:val="22"/>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14:paraId="5E5E0568">
            <w:pPr>
              <w:rPr>
                <w:rFonts w:hint="eastAsia" w:ascii="宋体" w:hAnsi="宋体" w:cs="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172CBF60">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49CB8D3D">
            <w:pPr>
              <w:rPr>
                <w:rFonts w:hint="eastAsia"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19CE3360">
            <w:pPr>
              <w:rPr>
                <w:rFonts w:hint="eastAsia"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1CB14FAC">
            <w:pPr>
              <w:rPr>
                <w:rFonts w:hint="eastAsia" w:ascii="宋体" w:hAnsi="宋体" w:cs="宋体"/>
                <w:color w:val="auto"/>
                <w:szCs w:val="22"/>
                <w:highlight w:val="none"/>
              </w:rPr>
            </w:pPr>
          </w:p>
        </w:tc>
      </w:tr>
      <w:tr w14:paraId="7BD9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14:paraId="447C5FBF">
            <w:pPr>
              <w:jc w:val="cente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509BE0E">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6ACDF669">
            <w:pPr>
              <w:rPr>
                <w:rFonts w:hint="eastAsia" w:ascii="宋体" w:hAnsi="宋体" w:cs="宋体"/>
                <w:color w:val="auto"/>
                <w:szCs w:val="22"/>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14:paraId="047F76ED">
            <w:pPr>
              <w:rPr>
                <w:rFonts w:hint="eastAsia" w:ascii="宋体" w:hAnsi="宋体" w:cs="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2AC512A1">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761460EE">
            <w:pPr>
              <w:rPr>
                <w:rFonts w:hint="eastAsia"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4E451C81">
            <w:pPr>
              <w:rPr>
                <w:rFonts w:hint="eastAsia"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5AECE08D">
            <w:pPr>
              <w:rPr>
                <w:rFonts w:hint="eastAsia" w:ascii="宋体" w:hAnsi="宋体" w:cs="宋体"/>
                <w:color w:val="auto"/>
                <w:szCs w:val="22"/>
                <w:highlight w:val="none"/>
              </w:rPr>
            </w:pPr>
          </w:p>
        </w:tc>
      </w:tr>
      <w:tr w14:paraId="05DE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2FAB5BF">
            <w:pPr>
              <w:rPr>
                <w:rFonts w:hint="eastAsia" w:ascii="宋体" w:hAnsi="宋体" w:cs="宋体"/>
                <w:color w:val="auto"/>
                <w:szCs w:val="22"/>
                <w:highlight w:val="none"/>
              </w:rPr>
            </w:pPr>
            <w:r>
              <w:rPr>
                <w:rFonts w:hint="eastAsia" w:hAnsi="宋体" w:cs="宋体"/>
                <w:color w:val="auto"/>
                <w:highlight w:val="none"/>
              </w:rPr>
              <w:t>投标总</w:t>
            </w:r>
            <w:r>
              <w:rPr>
                <w:rFonts w:hint="eastAsia" w:ascii="宋体" w:hAnsi="宋体" w:cs="宋体"/>
                <w:color w:val="auto"/>
                <w:szCs w:val="22"/>
                <w:highlight w:val="none"/>
              </w:rPr>
              <w:t xml:space="preserve">报价（包含税费等所有费用）：（大写）人民币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 xml:space="preserve">（小写）¥ </w:t>
            </w:r>
            <w:r>
              <w:rPr>
                <w:rFonts w:hint="eastAsia" w:ascii="宋体" w:hAnsi="宋体" w:cs="宋体"/>
                <w:color w:val="auto"/>
                <w:szCs w:val="22"/>
                <w:highlight w:val="none"/>
                <w:u w:val="single"/>
              </w:rPr>
              <w:t xml:space="preserve">       </w:t>
            </w:r>
          </w:p>
        </w:tc>
      </w:tr>
      <w:tr w14:paraId="735E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7E0E01EC">
            <w:pPr>
              <w:rPr>
                <w:rFonts w:hint="eastAsia" w:ascii="宋体" w:hAnsi="宋体" w:cs="宋体"/>
                <w:color w:val="auto"/>
                <w:szCs w:val="22"/>
                <w:highlight w:val="none"/>
              </w:rPr>
            </w:pPr>
            <w:r>
              <w:rPr>
                <w:rFonts w:hint="eastAsia" w:ascii="宋体" w:hAnsi="宋体" w:cs="宋体"/>
                <w:color w:val="auto"/>
                <w:szCs w:val="22"/>
                <w:highlight w:val="none"/>
              </w:rPr>
              <w:t>交货时间：</w:t>
            </w:r>
          </w:p>
        </w:tc>
      </w:tr>
    </w:tbl>
    <w:p w14:paraId="6B8EC592">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02F183C9">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投标人需按本表格式填写，不得自行更改，也不得留空（备注除外），如有多分标，按分标分别提供开标一览表，必须加盖投标人有效公章，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396C6ADB">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33BB7A9F">
      <w:pPr>
        <w:snapToGrid w:val="0"/>
        <w:spacing w:before="50" w:after="50"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0AF35BE9">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4、以上表格要求细分项目及报价，在“标的名称”一栏中，填写具体货物，在“规格型号”一栏中，填写具体货物规格和型号，</w:t>
      </w:r>
      <w:r>
        <w:rPr>
          <w:rFonts w:hint="eastAsia" w:ascii="宋体" w:hAnsi="宋体" w:cs="宋体"/>
          <w:b/>
          <w:color w:val="auto"/>
          <w:kern w:val="0"/>
          <w:szCs w:val="21"/>
          <w:highlight w:val="none"/>
          <w:lang w:val="zh-CN"/>
        </w:rPr>
        <w:t>否则其投标作无效标处理。</w:t>
      </w:r>
    </w:p>
    <w:p w14:paraId="417A26AC">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5、特别提示：采购代理机构将对项目名称和项目编号，中标人名称、地址和中标金额，主要中标标的的名称、规格型号、数量、单价等予以公示。</w:t>
      </w:r>
    </w:p>
    <w:p w14:paraId="0C8EEF9E">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0210FE3">
      <w:pPr>
        <w:snapToGrid w:val="0"/>
        <w:spacing w:line="360" w:lineRule="auto"/>
        <w:ind w:firstLine="5760" w:firstLineChars="24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412176EE">
      <w:pPr>
        <w:snapToGrid w:val="0"/>
        <w:spacing w:line="360" w:lineRule="auto"/>
        <w:ind w:firstLine="5880" w:firstLineChars="24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DCFBD76">
      <w:pPr>
        <w:widowControl/>
        <w:jc w:val="left"/>
        <w:rPr>
          <w:rFonts w:hint="eastAsia" w:ascii="宋体" w:hAns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38B07728">
      <w:pPr>
        <w:snapToGrid w:val="0"/>
        <w:spacing w:before="165" w:beforeLines="50" w:after="50"/>
        <w:jc w:val="center"/>
        <w:outlineLvl w:val="1"/>
        <w:rPr>
          <w:rFonts w:hint="eastAsia" w:ascii="宋体" w:hAnsi="宋体" w:cs="宋体"/>
          <w:b/>
          <w:bCs/>
          <w:color w:val="auto"/>
          <w:sz w:val="28"/>
          <w:szCs w:val="28"/>
          <w:highlight w:val="none"/>
        </w:rPr>
      </w:pPr>
      <w:bookmarkStart w:id="290" w:name="_Toc8131"/>
      <w:bookmarkStart w:id="291" w:name="_Toc24690"/>
      <w:bookmarkStart w:id="292" w:name="_Toc19686840"/>
      <w:bookmarkStart w:id="293" w:name="_Toc12749"/>
      <w:bookmarkStart w:id="294" w:name="_Toc26722"/>
      <w:bookmarkStart w:id="295" w:name="_Toc19036"/>
      <w:r>
        <w:rPr>
          <w:rFonts w:hint="eastAsia" w:ascii="宋体" w:hAnsi="宋体" w:cs="宋体"/>
          <w:b/>
          <w:bCs/>
          <w:color w:val="auto"/>
          <w:sz w:val="28"/>
          <w:szCs w:val="28"/>
          <w:highlight w:val="none"/>
        </w:rPr>
        <w:t>第五节 其他文书、文件格式</w:t>
      </w:r>
      <w:bookmarkEnd w:id="290"/>
      <w:bookmarkEnd w:id="291"/>
      <w:bookmarkEnd w:id="292"/>
      <w:bookmarkEnd w:id="293"/>
      <w:bookmarkEnd w:id="294"/>
      <w:bookmarkEnd w:id="295"/>
    </w:p>
    <w:p w14:paraId="055511CE">
      <w:pPr>
        <w:pStyle w:val="15"/>
        <w:jc w:val="left"/>
        <w:rPr>
          <w:rFonts w:hint="eastAsia" w:hAnsi="宋体" w:cs="宋体"/>
          <w:b/>
          <w:color w:val="auto"/>
          <w:sz w:val="28"/>
          <w:szCs w:val="28"/>
          <w:highlight w:val="none"/>
        </w:rPr>
      </w:pPr>
      <w:r>
        <w:rPr>
          <w:rFonts w:hint="eastAsia" w:hAnsi="宋体" w:cs="宋体"/>
          <w:b/>
          <w:color w:val="auto"/>
          <w:sz w:val="28"/>
          <w:szCs w:val="28"/>
          <w:highlight w:val="none"/>
        </w:rPr>
        <w:t>1.中小企业声明函的格式：</w:t>
      </w:r>
    </w:p>
    <w:p w14:paraId="2F222CA5">
      <w:pPr>
        <w:pStyle w:val="15"/>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0DE1B54E">
      <w:pPr>
        <w:pStyle w:val="12"/>
        <w:spacing w:line="360" w:lineRule="exact"/>
        <w:ind w:firstLine="404" w:firstLineChars="200"/>
        <w:rPr>
          <w:rFonts w:hint="eastAsia" w:hAnsi="宋体" w:cs="宋体"/>
          <w:color w:val="auto"/>
          <w:sz w:val="21"/>
          <w:szCs w:val="21"/>
          <w:highlight w:val="none"/>
        </w:rPr>
      </w:pPr>
    </w:p>
    <w:p w14:paraId="1287F0AA">
      <w:pPr>
        <w:pStyle w:val="11"/>
        <w:spacing w:line="360" w:lineRule="exact"/>
        <w:ind w:left="-426" w:leftChars="-203" w:right="142" w:firstLine="480" w:firstLineChars="200"/>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本公司（联合体）郑重声明，根据《政府采购促进中小企业发展管理办法》（财库﹝2020﹞46号）的规定，本公司（联合体）参加</w:t>
      </w:r>
      <w:r>
        <w:rPr>
          <w:rFonts w:hint="eastAsia" w:ascii="宋体" w:hAnsi="宋体" w:cs="宋体"/>
          <w:i/>
          <w:iCs/>
          <w:color w:val="auto"/>
          <w:kern w:val="24"/>
          <w:sz w:val="24"/>
          <w:highlight w:val="none"/>
          <w:u w:val="single"/>
        </w:rPr>
        <w:t>（单位名称）</w:t>
      </w:r>
      <w:r>
        <w:rPr>
          <w:rFonts w:hint="eastAsia" w:ascii="宋体" w:hAnsi="宋体" w:cs="宋体"/>
          <w:color w:val="auto"/>
          <w:kern w:val="24"/>
          <w:sz w:val="24"/>
          <w:highlight w:val="none"/>
        </w:rPr>
        <w:t>的</w:t>
      </w:r>
      <w:r>
        <w:rPr>
          <w:rFonts w:hint="eastAsia" w:ascii="宋体" w:hAnsi="宋体" w:cs="宋体"/>
          <w:i/>
          <w:iCs/>
          <w:color w:val="auto"/>
          <w:kern w:val="24"/>
          <w:sz w:val="24"/>
          <w:highlight w:val="none"/>
          <w:u w:val="single"/>
        </w:rPr>
        <w:t>（项目名称）</w:t>
      </w:r>
      <w:r>
        <w:rPr>
          <w:rFonts w:hint="eastAsia" w:ascii="宋体" w:hAnsi="宋体" w:cs="宋体"/>
          <w:color w:val="auto"/>
          <w:kern w:val="24"/>
          <w:sz w:val="24"/>
          <w:highlight w:val="none"/>
        </w:rPr>
        <w:t>采购活动，提供的货物全部由符合政策要求的中小企业制造。相关企业（含联合体中的中小企业、签订分包意向协议的中小企业）的具体情况如下：</w:t>
      </w:r>
    </w:p>
    <w:p w14:paraId="6B202C8C">
      <w:pPr>
        <w:tabs>
          <w:tab w:val="left" w:pos="1384"/>
          <w:tab w:val="left" w:pos="4562"/>
          <w:tab w:val="left" w:pos="6803"/>
        </w:tabs>
        <w:spacing w:line="360" w:lineRule="exact"/>
        <w:ind w:left="-426" w:right="-58" w:firstLine="655"/>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69FDD869">
      <w:pPr>
        <w:tabs>
          <w:tab w:val="left" w:pos="1065"/>
          <w:tab w:val="left" w:pos="6477"/>
        </w:tabs>
        <w:spacing w:line="360" w:lineRule="exact"/>
        <w:ind w:left="-426" w:right="-58" w:firstLine="655"/>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322CEF34">
      <w:pPr>
        <w:pStyle w:val="11"/>
        <w:spacing w:line="360" w:lineRule="exact"/>
        <w:ind w:left="142" w:right="142"/>
        <w:contextualSpacing/>
        <w:rPr>
          <w:rFonts w:hint="eastAsia" w:ascii="宋体" w:hAnsi="宋体" w:cs="宋体"/>
          <w:color w:val="auto"/>
          <w:kern w:val="24"/>
          <w:highlight w:val="none"/>
        </w:rPr>
      </w:pPr>
      <w:r>
        <w:rPr>
          <w:rFonts w:hint="eastAsia" w:ascii="宋体" w:hAnsi="宋体" w:cs="宋体"/>
          <w:color w:val="auto"/>
          <w:kern w:val="24"/>
          <w:highlight w:val="none"/>
        </w:rPr>
        <w:t xml:space="preserve">…… </w:t>
      </w:r>
    </w:p>
    <w:p w14:paraId="3BAB7B43">
      <w:pPr>
        <w:pStyle w:val="11"/>
        <w:spacing w:line="360" w:lineRule="exact"/>
        <w:ind w:left="-405" w:leftChars="-193" w:right="142" w:firstLine="453" w:firstLineChars="189"/>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以上企业，不属于大企业的分支机构，不存在控股股东为大企业的情形，也不存在与大企业的负责人为同一人的情形。</w:t>
      </w:r>
    </w:p>
    <w:p w14:paraId="0F302177">
      <w:pPr>
        <w:pStyle w:val="11"/>
        <w:spacing w:line="360" w:lineRule="exact"/>
        <w:ind w:left="-426" w:right="142" w:firstLine="420"/>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本企业对上述声明内容的真实性负责。如有虚假，将依法承担相应责任。</w:t>
      </w:r>
    </w:p>
    <w:p w14:paraId="3E258C4F">
      <w:pPr>
        <w:pStyle w:val="15"/>
        <w:spacing w:line="360" w:lineRule="auto"/>
        <w:ind w:firstLine="480" w:firstLineChars="200"/>
        <w:rPr>
          <w:rFonts w:hint="eastAsia" w:hAnsi="宋体" w:cs="宋体"/>
          <w:color w:val="auto"/>
          <w:sz w:val="24"/>
          <w:szCs w:val="24"/>
          <w:highlight w:val="none"/>
        </w:rPr>
      </w:pPr>
    </w:p>
    <w:p w14:paraId="15185B3E">
      <w:pPr>
        <w:pStyle w:val="15"/>
        <w:spacing w:line="360" w:lineRule="auto"/>
        <w:ind w:firstLine="480" w:firstLineChars="200"/>
        <w:rPr>
          <w:rFonts w:hint="eastAsia" w:hAnsi="宋体" w:cs="宋体"/>
          <w:color w:val="auto"/>
          <w:sz w:val="24"/>
          <w:szCs w:val="24"/>
          <w:highlight w:val="none"/>
        </w:rPr>
      </w:pPr>
    </w:p>
    <w:p w14:paraId="34C53BAB">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1B5745C9">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EEC8773">
      <w:pPr>
        <w:pStyle w:val="15"/>
        <w:spacing w:line="360" w:lineRule="auto"/>
        <w:ind w:firstLine="420" w:firstLineChars="200"/>
        <w:rPr>
          <w:rFonts w:hint="eastAsia" w:hAnsi="宋体" w:cs="宋体"/>
          <w:color w:val="auto"/>
          <w:szCs w:val="21"/>
          <w:highlight w:val="none"/>
        </w:rPr>
      </w:pPr>
    </w:p>
    <w:p w14:paraId="3CAC777B">
      <w:pPr>
        <w:pStyle w:val="12"/>
        <w:spacing w:before="50" w:after="165" w:afterLines="50"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rPr>
        <w:t>注：</w:t>
      </w:r>
    </w:p>
    <w:p w14:paraId="120E0434">
      <w:pPr>
        <w:pStyle w:val="12"/>
        <w:spacing w:before="50" w:after="165" w:afterLines="50"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1、从业人员、营业收入、资产总额填报上一年度数据，无上一年度数据的新成立企业可不填报。</w:t>
      </w:r>
    </w:p>
    <w:p w14:paraId="0CAB6152">
      <w:pPr>
        <w:pStyle w:val="12"/>
        <w:spacing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2、请根据自己的真实情况出具《中小企业声明函》。依法享受中小企业扶持政策的，采购人或者采购代理机构在公告中标结果时，同时公告其《中小企业声明函》，接受社会监督。</w:t>
      </w:r>
    </w:p>
    <w:p w14:paraId="527EE7CC">
      <w:pPr>
        <w:pStyle w:val="12"/>
        <w:spacing w:line="360" w:lineRule="auto"/>
        <w:ind w:firstLine="406" w:firstLineChars="200"/>
        <w:rPr>
          <w:rFonts w:hint="eastAsia" w:hAnsi="宋体" w:cs="宋体"/>
          <w:b/>
          <w:bCs/>
          <w:color w:val="auto"/>
          <w:sz w:val="21"/>
          <w:szCs w:val="21"/>
          <w:highlight w:val="none"/>
        </w:rPr>
      </w:pPr>
      <w:r>
        <w:rPr>
          <w:rFonts w:hint="eastAsia" w:hAnsi="宋体" w:cs="宋体"/>
          <w:b/>
          <w:bCs/>
          <w:color w:val="auto"/>
          <w:sz w:val="21"/>
          <w:szCs w:val="21"/>
          <w:highlight w:val="none"/>
        </w:rPr>
        <w:t>3、本声明函主要供参加政府采购活动的中小企业填写，非中小企业无需填写。</w:t>
      </w:r>
    </w:p>
    <w:p w14:paraId="5F2C1B10">
      <w:pPr>
        <w:pStyle w:val="12"/>
        <w:spacing w:line="360" w:lineRule="auto"/>
        <w:ind w:firstLine="406" w:firstLineChars="200"/>
        <w:rPr>
          <w:rFonts w:hint="eastAsia" w:hAnsi="宋体" w:cs="宋体"/>
          <w:b/>
          <w:bCs/>
          <w:color w:val="auto"/>
          <w:sz w:val="21"/>
          <w:szCs w:val="21"/>
          <w:highlight w:val="none"/>
        </w:rPr>
      </w:pPr>
      <w:r>
        <w:rPr>
          <w:rFonts w:hint="eastAsia" w:hAnsi="宋体" w:cs="宋体"/>
          <w:b/>
          <w:bCs/>
          <w:color w:val="auto"/>
          <w:sz w:val="21"/>
          <w:szCs w:val="21"/>
          <w:highlight w:val="none"/>
        </w:rPr>
        <w:t>4、小型、微型企业提供中型企业提供的货物的，视同为中型企业。</w:t>
      </w:r>
    </w:p>
    <w:p w14:paraId="4AC881C3">
      <w:pPr>
        <w:pStyle w:val="12"/>
        <w:spacing w:line="360" w:lineRule="auto"/>
        <w:ind w:firstLine="404" w:firstLineChars="200"/>
        <w:rPr>
          <w:rFonts w:hint="eastAsia" w:hAnsi="宋体" w:cs="宋体"/>
          <w:color w:val="auto"/>
          <w:sz w:val="21"/>
          <w:szCs w:val="21"/>
          <w:highlight w:val="none"/>
        </w:rPr>
        <w:sectPr>
          <w:pgSz w:w="11906" w:h="16838"/>
          <w:pgMar w:top="1134" w:right="1134" w:bottom="1134" w:left="1134" w:header="720" w:footer="720" w:gutter="0"/>
          <w:cols w:space="720" w:num="1"/>
          <w:docGrid w:type="lines" w:linePitch="331" w:charSpace="0"/>
        </w:sectPr>
      </w:pPr>
    </w:p>
    <w:p w14:paraId="0FF89660">
      <w:pPr>
        <w:pStyle w:val="15"/>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2.残疾人福利性单位声明函的格式：</w:t>
      </w:r>
    </w:p>
    <w:p w14:paraId="06E2DA6F">
      <w:pPr>
        <w:pStyle w:val="15"/>
        <w:spacing w:line="360" w:lineRule="auto"/>
        <w:jc w:val="center"/>
        <w:rPr>
          <w:rFonts w:hint="eastAsia" w:hAnsi="宋体" w:cs="宋体"/>
          <w:b/>
          <w:color w:val="auto"/>
          <w:sz w:val="30"/>
          <w:szCs w:val="30"/>
          <w:highlight w:val="none"/>
        </w:rPr>
      </w:pPr>
    </w:p>
    <w:p w14:paraId="4EBB8DBE">
      <w:pPr>
        <w:pStyle w:val="15"/>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残疾人福利性单位声明函</w:t>
      </w:r>
    </w:p>
    <w:p w14:paraId="05D18337">
      <w:pPr>
        <w:pStyle w:val="15"/>
        <w:spacing w:line="360" w:lineRule="auto"/>
        <w:jc w:val="center"/>
        <w:rPr>
          <w:rFonts w:hint="eastAsia" w:hAnsi="宋体" w:cs="宋体"/>
          <w:b/>
          <w:color w:val="auto"/>
          <w:sz w:val="30"/>
          <w:szCs w:val="30"/>
          <w:highlight w:val="none"/>
        </w:rPr>
      </w:pPr>
    </w:p>
    <w:p w14:paraId="5AD556E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847916E">
      <w:pPr>
        <w:pStyle w:val="15"/>
        <w:spacing w:line="360" w:lineRule="auto"/>
        <w:ind w:firstLine="480" w:firstLineChars="200"/>
        <w:jc w:val="left"/>
        <w:rPr>
          <w:rFonts w:hint="eastAsia" w:hAnsi="宋体" w:cs="宋体"/>
          <w:color w:val="auto"/>
          <w:sz w:val="30"/>
          <w:szCs w:val="30"/>
          <w:highlight w:val="none"/>
        </w:rPr>
      </w:pPr>
      <w:r>
        <w:rPr>
          <w:rFonts w:hint="eastAsia" w:hAnsi="宋体" w:cs="宋体"/>
          <w:color w:val="auto"/>
          <w:sz w:val="24"/>
          <w:szCs w:val="24"/>
          <w:highlight w:val="none"/>
        </w:rPr>
        <w:t>本单位对上述声明的真实性负责。如有虚假，将依法承担相应责任。</w:t>
      </w:r>
    </w:p>
    <w:p w14:paraId="7A5EAA7C">
      <w:pPr>
        <w:pStyle w:val="15"/>
        <w:spacing w:line="360" w:lineRule="auto"/>
        <w:jc w:val="left"/>
        <w:rPr>
          <w:rFonts w:hint="eastAsia" w:hAnsi="宋体" w:cs="宋体"/>
          <w:b/>
          <w:color w:val="auto"/>
          <w:szCs w:val="21"/>
          <w:highlight w:val="none"/>
        </w:rPr>
      </w:pPr>
    </w:p>
    <w:p w14:paraId="6FB58737">
      <w:pPr>
        <w:pStyle w:val="15"/>
        <w:spacing w:line="360" w:lineRule="auto"/>
        <w:jc w:val="left"/>
        <w:rPr>
          <w:rFonts w:hint="eastAsia" w:hAnsi="宋体" w:cs="宋体"/>
          <w:b/>
          <w:color w:val="auto"/>
          <w:szCs w:val="21"/>
          <w:highlight w:val="none"/>
        </w:rPr>
      </w:pPr>
    </w:p>
    <w:p w14:paraId="389558D2">
      <w:pPr>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投标人名称(盖公章)：</w:t>
      </w:r>
    </w:p>
    <w:p w14:paraId="74761ACB">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082A02F">
      <w:pPr>
        <w:pStyle w:val="15"/>
        <w:spacing w:line="360" w:lineRule="auto"/>
        <w:ind w:left="5132" w:leftChars="1979" w:hanging="976" w:hangingChars="488"/>
        <w:rPr>
          <w:rFonts w:hint="eastAsia" w:hAnsi="宋体" w:cs="宋体"/>
          <w:color w:val="auto"/>
          <w:sz w:val="20"/>
          <w:highlight w:val="none"/>
        </w:rPr>
      </w:pPr>
    </w:p>
    <w:p w14:paraId="6A055F70">
      <w:pPr>
        <w:spacing w:line="360" w:lineRule="auto"/>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E41604D">
      <w:pPr>
        <w:shd w:val="clear" w:color="auto" w:fill="FFFFFF"/>
        <w:spacing w:line="480" w:lineRule="atLeast"/>
        <w:jc w:val="left"/>
        <w:rPr>
          <w:color w:val="auto"/>
          <w:highlight w:val="none"/>
        </w:rPr>
      </w:pPr>
      <w:r>
        <w:rPr>
          <w:rFonts w:hint="eastAsia" w:ascii="宋体" w:hAnsi="宋体" w:cs="宋体"/>
          <w:color w:val="auto"/>
          <w:szCs w:val="21"/>
          <w:highlight w:val="none"/>
        </w:rPr>
        <w:br w:type="page"/>
      </w:r>
      <w:r>
        <w:rPr>
          <w:rFonts w:hint="eastAsia" w:ascii="宋体" w:hAnsi="宋体" w:cs="宋体"/>
          <w:color w:val="auto"/>
          <w:sz w:val="28"/>
          <w:szCs w:val="28"/>
          <w:highlight w:val="none"/>
        </w:rPr>
        <w:t>3.</w:t>
      </w:r>
      <w:r>
        <w:rPr>
          <w:rFonts w:hint="eastAsia" w:ascii="宋体" w:hAnsi="宋体" w:cs="宋体"/>
          <w:color w:val="auto"/>
          <w:kern w:val="0"/>
          <w:sz w:val="28"/>
          <w:szCs w:val="28"/>
          <w:highlight w:val="none"/>
        </w:rPr>
        <w:t>广西壮族自治区政府采购项目合同验收书的格式：</w:t>
      </w:r>
    </w:p>
    <w:p w14:paraId="242E0D15">
      <w:pPr>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79719C0E">
      <w:pPr>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6"/>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9873BAE">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15BE12C">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7DDE9A3A">
            <w:pPr>
              <w:snapToGrid w:val="0"/>
              <w:spacing w:before="100" w:beforeAutospacing="1" w:after="100" w:afterAutospacing="1" w:line="320" w:lineRule="atLeas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625ADF46">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139DC4F8">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4B6BE8F6">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030C5B26">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D59BDB1">
            <w:pPr>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7771A116">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26E8440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D7BAE28">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402CB2D3">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006E78B">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78A37DC">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6CDB7CE4">
            <w:pPr>
              <w:spacing w:before="100" w:beforeAutospacing="1" w:after="100" w:afterAutospacing="1" w:line="240" w:lineRule="atLeast"/>
              <w:jc w:val="center"/>
              <w:rPr>
                <w:rFonts w:hint="eastAsia" w:ascii="宋体" w:hAnsi="宋体" w:cs="宋体"/>
                <w:color w:val="auto"/>
                <w:kern w:val="0"/>
                <w:szCs w:val="21"/>
                <w:highlight w:val="none"/>
              </w:rPr>
            </w:pPr>
          </w:p>
        </w:tc>
      </w:tr>
      <w:tr w14:paraId="1AA120F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684735F">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64273D71">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79A7627">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634FEA5">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51C5897">
            <w:pPr>
              <w:spacing w:before="100" w:beforeAutospacing="1" w:after="100" w:afterAutospacing="1" w:line="240" w:lineRule="atLeast"/>
              <w:jc w:val="center"/>
              <w:rPr>
                <w:rFonts w:hint="eastAsia" w:ascii="宋体" w:hAnsi="宋体" w:cs="宋体"/>
                <w:color w:val="auto"/>
                <w:kern w:val="0"/>
                <w:szCs w:val="21"/>
                <w:highlight w:val="none"/>
              </w:rPr>
            </w:pPr>
          </w:p>
        </w:tc>
      </w:tr>
      <w:tr w14:paraId="13CA7FE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0F41103">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021B9825">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C7425B7">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BEFD8A1">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91898F7">
            <w:pPr>
              <w:spacing w:before="100" w:beforeAutospacing="1" w:after="100" w:afterAutospacing="1" w:line="240" w:lineRule="atLeast"/>
              <w:jc w:val="center"/>
              <w:rPr>
                <w:rFonts w:hint="eastAsia" w:ascii="宋体" w:hAnsi="宋体" w:cs="宋体"/>
                <w:color w:val="auto"/>
                <w:kern w:val="0"/>
                <w:szCs w:val="21"/>
                <w:highlight w:val="none"/>
              </w:rPr>
            </w:pPr>
          </w:p>
        </w:tc>
      </w:tr>
      <w:tr w14:paraId="17DC511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799CBCA">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102264CC">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D08B4D8">
            <w:pPr>
              <w:spacing w:before="100" w:beforeAutospacing="1" w:after="100" w:afterAutospacing="1" w:line="240" w:lineRule="atLeast"/>
              <w:jc w:val="center"/>
              <w:rPr>
                <w:rFonts w:hint="eastAsia" w:ascii="宋体" w:hAnsi="宋体" w:cs="宋体"/>
                <w:color w:val="auto"/>
                <w:kern w:val="0"/>
                <w:szCs w:val="21"/>
                <w:highlight w:val="none"/>
              </w:rPr>
            </w:pPr>
          </w:p>
        </w:tc>
      </w:tr>
      <w:tr w14:paraId="72E3EF3D">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2530B503">
            <w:pP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575CA1A7">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3EB6BA86">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749AC45">
            <w:pPr>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EE32EE6">
            <w:pPr>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7504DF2E">
            <w:pPr>
              <w:spacing w:before="100" w:beforeAutospacing="1" w:after="100" w:afterAutospacing="1" w:line="240" w:lineRule="atLeast"/>
              <w:jc w:val="center"/>
              <w:rPr>
                <w:rFonts w:hint="eastAsia" w:ascii="宋体" w:hAnsi="宋体" w:cs="宋体"/>
                <w:color w:val="auto"/>
                <w:kern w:val="0"/>
                <w:szCs w:val="21"/>
                <w:highlight w:val="none"/>
              </w:rPr>
            </w:pPr>
          </w:p>
        </w:tc>
      </w:tr>
      <w:tr w14:paraId="24B21A7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5D7CD27F">
            <w:pPr>
              <w:spacing w:before="100" w:beforeAutospacing="1" w:after="100" w:afterAutospacing="1" w:line="240" w:lineRule="atLeast"/>
              <w:jc w:val="center"/>
              <w:rPr>
                <w:rFonts w:hint="eastAsia"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3BB45631">
            <w:pPr>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B4B7F3A">
            <w:pPr>
              <w:spacing w:before="100" w:beforeAutospacing="1" w:after="100" w:afterAutospacing="1" w:line="240" w:lineRule="atLeast"/>
              <w:jc w:val="center"/>
              <w:rPr>
                <w:rFonts w:hint="eastAsia"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71779BB4">
            <w:pPr>
              <w:spacing w:before="100" w:beforeAutospacing="1" w:after="100" w:afterAutospacing="1" w:line="240" w:lineRule="atLeast"/>
              <w:jc w:val="center"/>
              <w:rPr>
                <w:rFonts w:hint="eastAsia" w:ascii="宋体" w:hAnsi="宋体" w:cs="宋体"/>
                <w:color w:val="auto"/>
                <w:kern w:val="0"/>
                <w:szCs w:val="21"/>
                <w:highlight w:val="none"/>
              </w:rPr>
            </w:pPr>
          </w:p>
        </w:tc>
      </w:tr>
      <w:tr w14:paraId="6AB5D0FB">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C22388">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EA44663">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D83059A">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C5DD7E">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5E89A385">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3FB1F2C5">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F4F9ABA">
            <w:pPr>
              <w:jc w:val="left"/>
              <w:rPr>
                <w:rFonts w:hint="eastAsia"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3A07EDDE">
            <w:pPr>
              <w:spacing w:before="100" w:beforeAutospacing="1" w:after="100" w:afterAutospacing="1" w:line="320" w:lineRule="atLeas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4B626C7">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42AA7ADB">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12C844">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A771173">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ACA81E">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506EF231">
            <w:pPr>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3E867C6F">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64F8B75E">
            <w:pPr>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14A71C92">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6DB8DA44">
            <w:pPr>
              <w:spacing w:before="100" w:beforeAutospacing="1" w:after="100" w:afterAutospacing="1" w:line="320" w:lineRule="atLeast"/>
              <w:ind w:firstLine="2940" w:firstLineChars="14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vAlign w:val="center"/>
          </w:tcPr>
          <w:p w14:paraId="4E5B65C0">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00E6178D">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40402479">
            <w:pPr>
              <w:spacing w:before="100" w:beforeAutospacing="1" w:after="100" w:afterAutospacing="1" w:line="320" w:lineRule="atLeast"/>
              <w:ind w:firstLine="3780" w:firstLineChars="18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tc>
      </w:tr>
    </w:tbl>
    <w:p w14:paraId="4A114555">
      <w:pPr>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8"/>
          <w:szCs w:val="28"/>
          <w:highlight w:val="none"/>
        </w:rPr>
        <w:t>4.政府采购项目履约保证金退付意见书的格式：</w:t>
      </w:r>
    </w:p>
    <w:p w14:paraId="75B7ED55">
      <w:pPr>
        <w:jc w:val="center"/>
        <w:rPr>
          <w:rFonts w:hint="eastAsia" w:ascii="宋体" w:hAnsi="宋体" w:cs="宋体"/>
          <w:color w:val="auto"/>
          <w:sz w:val="32"/>
          <w:szCs w:val="32"/>
          <w:highlight w:val="none"/>
        </w:rPr>
      </w:pPr>
    </w:p>
    <w:p w14:paraId="1C330DAB">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700F2AD0">
      <w:pPr>
        <w:jc w:val="center"/>
        <w:rPr>
          <w:rFonts w:hint="eastAsia" w:ascii="宋体" w:hAnsi="宋体" w:cs="宋体"/>
          <w:color w:val="auto"/>
          <w:sz w:val="36"/>
          <w:szCs w:val="36"/>
          <w:highlight w:val="none"/>
        </w:rPr>
      </w:pPr>
    </w:p>
    <w:tbl>
      <w:tblPr>
        <w:tblStyle w:val="26"/>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1F31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9DE5D36">
            <w:pPr>
              <w:jc w:val="center"/>
              <w:rPr>
                <w:rFonts w:hint="eastAsia" w:ascii="宋体" w:hAnsi="宋体" w:cs="宋体"/>
                <w:color w:val="auto"/>
                <w:sz w:val="24"/>
                <w:highlight w:val="none"/>
              </w:rPr>
            </w:pPr>
            <w:r>
              <w:rPr>
                <w:rFonts w:hint="eastAsia" w:ascii="宋体" w:hAnsi="宋体" w:cs="宋体"/>
                <w:color w:val="auto"/>
                <w:sz w:val="24"/>
                <w:highlight w:val="none"/>
              </w:rPr>
              <w:t>供</w:t>
            </w:r>
          </w:p>
          <w:p w14:paraId="42829B09">
            <w:pPr>
              <w:jc w:val="center"/>
              <w:rPr>
                <w:rFonts w:hint="eastAsia" w:ascii="宋体" w:hAnsi="宋体" w:cs="宋体"/>
                <w:color w:val="auto"/>
                <w:sz w:val="24"/>
                <w:highlight w:val="none"/>
              </w:rPr>
            </w:pPr>
            <w:r>
              <w:rPr>
                <w:rFonts w:hint="eastAsia" w:ascii="宋体" w:hAnsi="宋体" w:cs="宋体"/>
                <w:color w:val="auto"/>
                <w:sz w:val="24"/>
                <w:highlight w:val="none"/>
              </w:rPr>
              <w:t>应</w:t>
            </w:r>
          </w:p>
          <w:p w14:paraId="365D6C7F">
            <w:pPr>
              <w:jc w:val="center"/>
              <w:rPr>
                <w:rFonts w:hint="eastAsia" w:ascii="宋体" w:hAnsi="宋体" w:cs="宋体"/>
                <w:color w:val="auto"/>
                <w:sz w:val="24"/>
                <w:highlight w:val="none"/>
              </w:rPr>
            </w:pPr>
            <w:r>
              <w:rPr>
                <w:rFonts w:hint="eastAsia" w:ascii="宋体" w:hAnsi="宋体" w:cs="宋体"/>
                <w:color w:val="auto"/>
                <w:sz w:val="24"/>
                <w:highlight w:val="none"/>
              </w:rPr>
              <w:t>商</w:t>
            </w:r>
          </w:p>
          <w:p w14:paraId="01E065EA">
            <w:pPr>
              <w:jc w:val="center"/>
              <w:rPr>
                <w:rFonts w:hint="eastAsia" w:ascii="宋体" w:hAnsi="宋体" w:cs="宋体"/>
                <w:color w:val="auto"/>
                <w:sz w:val="24"/>
                <w:highlight w:val="none"/>
              </w:rPr>
            </w:pPr>
            <w:r>
              <w:rPr>
                <w:rFonts w:hint="eastAsia" w:ascii="宋体" w:hAnsi="宋体" w:cs="宋体"/>
                <w:color w:val="auto"/>
                <w:sz w:val="24"/>
                <w:highlight w:val="none"/>
              </w:rPr>
              <w:t>申</w:t>
            </w:r>
          </w:p>
          <w:p w14:paraId="6C980230">
            <w:pPr>
              <w:jc w:val="center"/>
              <w:rPr>
                <w:rFonts w:hint="eastAsia" w:ascii="宋体" w:hAnsi="宋体" w:cs="宋体"/>
                <w:color w:val="auto"/>
                <w:sz w:val="24"/>
                <w:highlight w:val="none"/>
              </w:rPr>
            </w:pPr>
            <w:r>
              <w:rPr>
                <w:rFonts w:hint="eastAsia" w:ascii="宋体" w:hAnsi="宋体" w:cs="宋体"/>
                <w:color w:val="auto"/>
                <w:sz w:val="24"/>
                <w:highlight w:val="none"/>
              </w:rPr>
              <w:t>请</w:t>
            </w:r>
          </w:p>
        </w:tc>
        <w:tc>
          <w:tcPr>
            <w:tcW w:w="8456" w:type="dxa"/>
            <w:vAlign w:val="center"/>
          </w:tcPr>
          <w:p w14:paraId="529BCEC9">
            <w:pPr>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4D54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B528BE6">
            <w:pPr>
              <w:rPr>
                <w:rFonts w:hint="eastAsia" w:ascii="宋体" w:hAnsi="宋体" w:cs="宋体"/>
                <w:color w:val="auto"/>
                <w:sz w:val="24"/>
                <w:highlight w:val="none"/>
              </w:rPr>
            </w:pPr>
          </w:p>
        </w:tc>
        <w:tc>
          <w:tcPr>
            <w:tcW w:w="8456" w:type="dxa"/>
            <w:vAlign w:val="center"/>
          </w:tcPr>
          <w:p w14:paraId="2620971C">
            <w:pPr>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734E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4A2DD782">
            <w:pPr>
              <w:rPr>
                <w:rFonts w:hint="eastAsia" w:ascii="宋体" w:hAnsi="宋体" w:cs="宋体"/>
                <w:color w:val="auto"/>
                <w:sz w:val="24"/>
                <w:highlight w:val="none"/>
              </w:rPr>
            </w:pPr>
          </w:p>
        </w:tc>
        <w:tc>
          <w:tcPr>
            <w:tcW w:w="8456" w:type="dxa"/>
          </w:tcPr>
          <w:p w14:paraId="1AEBE9B1">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CAE6E38">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日已满，请将履约保证金（大写）人民币                              （小写）¥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退付到达以下账户。</w:t>
            </w:r>
          </w:p>
          <w:p w14:paraId="53FC1B31">
            <w:pPr>
              <w:spacing w:line="400" w:lineRule="exact"/>
              <w:rPr>
                <w:rFonts w:hint="eastAsia" w:ascii="宋体" w:hAnsi="宋体" w:cs="宋体"/>
                <w:color w:val="auto"/>
                <w:sz w:val="24"/>
                <w:highlight w:val="none"/>
              </w:rPr>
            </w:pPr>
          </w:p>
          <w:p w14:paraId="5C6AAAD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单位名称：</w:t>
            </w:r>
          </w:p>
          <w:p w14:paraId="3CB2B89A">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p>
          <w:p w14:paraId="1F8D1F41">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p>
          <w:p w14:paraId="7D2AA068">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345B2F15">
            <w:pPr>
              <w:spacing w:line="400" w:lineRule="exact"/>
              <w:rPr>
                <w:rFonts w:hint="eastAsia" w:ascii="宋体" w:hAnsi="宋体" w:cs="宋体"/>
                <w:color w:val="auto"/>
                <w:sz w:val="24"/>
                <w:highlight w:val="none"/>
              </w:rPr>
            </w:pPr>
          </w:p>
          <w:p w14:paraId="06EA5AFA">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3F3C63A1">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1AA4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20A26138">
            <w:pPr>
              <w:jc w:val="center"/>
              <w:rPr>
                <w:rFonts w:hint="eastAsia" w:ascii="宋体" w:hAnsi="宋体" w:cs="宋体"/>
                <w:color w:val="auto"/>
                <w:sz w:val="24"/>
                <w:highlight w:val="none"/>
              </w:rPr>
            </w:pPr>
            <w:r>
              <w:rPr>
                <w:rFonts w:hint="eastAsia" w:ascii="宋体" w:hAnsi="宋体" w:cs="宋体"/>
                <w:color w:val="auto"/>
                <w:sz w:val="24"/>
                <w:highlight w:val="none"/>
              </w:rPr>
              <w:t>采</w:t>
            </w:r>
          </w:p>
          <w:p w14:paraId="45EF7F10">
            <w:pPr>
              <w:jc w:val="center"/>
              <w:rPr>
                <w:rFonts w:hint="eastAsia" w:ascii="宋体" w:hAnsi="宋体" w:cs="宋体"/>
                <w:color w:val="auto"/>
                <w:sz w:val="24"/>
                <w:highlight w:val="none"/>
              </w:rPr>
            </w:pPr>
            <w:r>
              <w:rPr>
                <w:rFonts w:hint="eastAsia" w:ascii="宋体" w:hAnsi="宋体" w:cs="宋体"/>
                <w:color w:val="auto"/>
                <w:sz w:val="24"/>
                <w:highlight w:val="none"/>
              </w:rPr>
              <w:t>购</w:t>
            </w:r>
          </w:p>
          <w:p w14:paraId="24DD01EB">
            <w:pPr>
              <w:jc w:val="center"/>
              <w:rPr>
                <w:rFonts w:hint="eastAsia" w:ascii="宋体" w:hAnsi="宋体" w:cs="宋体"/>
                <w:color w:val="auto"/>
                <w:sz w:val="24"/>
                <w:highlight w:val="none"/>
              </w:rPr>
            </w:pPr>
            <w:r>
              <w:rPr>
                <w:rFonts w:hint="eastAsia" w:ascii="宋体" w:hAnsi="宋体" w:cs="宋体"/>
                <w:color w:val="auto"/>
                <w:sz w:val="24"/>
                <w:highlight w:val="none"/>
              </w:rPr>
              <w:t>人</w:t>
            </w:r>
          </w:p>
          <w:p w14:paraId="7FD488B3">
            <w:pPr>
              <w:jc w:val="center"/>
              <w:rPr>
                <w:rFonts w:hint="eastAsia" w:ascii="宋体" w:hAnsi="宋体" w:cs="宋体"/>
                <w:color w:val="auto"/>
                <w:sz w:val="24"/>
                <w:highlight w:val="none"/>
              </w:rPr>
            </w:pPr>
            <w:r>
              <w:rPr>
                <w:rFonts w:hint="eastAsia" w:ascii="宋体" w:hAnsi="宋体" w:cs="宋体"/>
                <w:color w:val="auto"/>
                <w:sz w:val="24"/>
                <w:highlight w:val="none"/>
              </w:rPr>
              <w:t>意</w:t>
            </w:r>
          </w:p>
          <w:p w14:paraId="650E4981">
            <w:pPr>
              <w:jc w:val="center"/>
              <w:rPr>
                <w:rFonts w:hint="eastAsia" w:ascii="宋体" w:hAnsi="宋体" w:cs="宋体"/>
                <w:color w:val="auto"/>
                <w:sz w:val="24"/>
                <w:highlight w:val="none"/>
              </w:rPr>
            </w:pPr>
            <w:r>
              <w:rPr>
                <w:rFonts w:hint="eastAsia" w:ascii="宋体" w:hAnsi="宋体" w:cs="宋体"/>
                <w:color w:val="auto"/>
                <w:sz w:val="24"/>
                <w:highlight w:val="none"/>
              </w:rPr>
              <w:t>见</w:t>
            </w:r>
          </w:p>
        </w:tc>
        <w:tc>
          <w:tcPr>
            <w:tcW w:w="8456" w:type="dxa"/>
          </w:tcPr>
          <w:p w14:paraId="18EB78B5">
            <w:pPr>
              <w:rPr>
                <w:rFonts w:hint="eastAsia" w:ascii="宋体" w:hAnsi="宋体" w:cs="宋体"/>
                <w:color w:val="auto"/>
                <w:sz w:val="24"/>
                <w:highlight w:val="none"/>
              </w:rPr>
            </w:pPr>
          </w:p>
          <w:p w14:paraId="5FBE0D2F">
            <w:pPr>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CB2E914">
            <w:pPr>
              <w:rPr>
                <w:rFonts w:hint="eastAsia" w:ascii="宋体" w:hAnsi="宋体" w:cs="宋体"/>
                <w:color w:val="auto"/>
                <w:sz w:val="24"/>
                <w:highlight w:val="none"/>
              </w:rPr>
            </w:pPr>
          </w:p>
          <w:p w14:paraId="1C5E4DC7">
            <w:pPr>
              <w:rPr>
                <w:rFonts w:hint="eastAsia" w:ascii="宋体" w:hAnsi="宋体" w:cs="宋体"/>
                <w:color w:val="auto"/>
                <w:sz w:val="24"/>
                <w:highlight w:val="none"/>
              </w:rPr>
            </w:pPr>
          </w:p>
          <w:p w14:paraId="20D27DC4">
            <w:pPr>
              <w:rPr>
                <w:rFonts w:hint="eastAsia" w:ascii="宋体" w:hAnsi="宋体" w:cs="宋体"/>
                <w:color w:val="auto"/>
                <w:sz w:val="24"/>
                <w:highlight w:val="none"/>
              </w:rPr>
            </w:pPr>
          </w:p>
          <w:p w14:paraId="1C1782CA">
            <w:pPr>
              <w:rPr>
                <w:rFonts w:hint="eastAsia" w:ascii="宋体" w:hAnsi="宋体" w:cs="宋体"/>
                <w:color w:val="auto"/>
                <w:sz w:val="24"/>
                <w:highlight w:val="none"/>
              </w:rPr>
            </w:pPr>
          </w:p>
          <w:p w14:paraId="5BA7DFE2">
            <w:pPr>
              <w:spacing w:line="520" w:lineRule="exact"/>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0995B0DF">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B65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4DBD9F38">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8456" w:type="dxa"/>
          </w:tcPr>
          <w:p w14:paraId="2506D3E8">
            <w:pPr>
              <w:rPr>
                <w:rFonts w:hint="eastAsia" w:ascii="宋体" w:hAnsi="宋体" w:cs="宋体"/>
                <w:color w:val="auto"/>
                <w:sz w:val="24"/>
                <w:highlight w:val="none"/>
              </w:rPr>
            </w:pPr>
          </w:p>
        </w:tc>
      </w:tr>
    </w:tbl>
    <w:p w14:paraId="368266D8">
      <w:pPr>
        <w:pStyle w:val="11"/>
        <w:ind w:left="420" w:leftChars="114" w:hanging="181" w:hangingChars="100"/>
        <w:rPr>
          <w:rFonts w:hint="eastAsia"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注：投标人凭经采购人审批的退付意见书到履约保证金收取单位办理履约保证金退付事宜。</w:t>
      </w:r>
    </w:p>
    <w:p w14:paraId="605F4F7B">
      <w:pPr>
        <w:widowControl/>
        <w:spacing w:line="360" w:lineRule="auto"/>
        <w:jc w:val="left"/>
        <w:rPr>
          <w:rFonts w:hint="eastAsia" w:ascii="宋体" w:hAnsi="宋体" w:cs="宋体"/>
          <w:color w:val="auto"/>
          <w:szCs w:val="21"/>
          <w:highlight w:val="none"/>
        </w:rPr>
        <w:sectPr>
          <w:pgSz w:w="11906" w:h="16838"/>
          <w:pgMar w:top="1134" w:right="1134" w:bottom="1134" w:left="1134" w:header="720" w:footer="720" w:gutter="0"/>
          <w:cols w:space="720" w:num="1"/>
          <w:docGrid w:type="lines" w:linePitch="331" w:charSpace="0"/>
        </w:sectPr>
      </w:pPr>
    </w:p>
    <w:p w14:paraId="5CEC13F7">
      <w:pPr>
        <w:snapToGrid w:val="0"/>
        <w:spacing w:before="50" w:after="165" w:afterLines="50" w:line="360" w:lineRule="auto"/>
        <w:jc w:val="left"/>
        <w:rPr>
          <w:rFonts w:hint="eastAsia" w:ascii="宋体" w:hAnsi="宋体" w:cs="宋体"/>
          <w:color w:val="auto"/>
          <w:sz w:val="20"/>
          <w:highlight w:val="none"/>
        </w:rPr>
      </w:pPr>
    </w:p>
    <w:p w14:paraId="56A1EC60">
      <w:pPr>
        <w:pStyle w:val="15"/>
        <w:tabs>
          <w:tab w:val="left" w:pos="2472"/>
        </w:tabs>
        <w:spacing w:line="460" w:lineRule="exact"/>
        <w:jc w:val="center"/>
        <w:rPr>
          <w:rFonts w:hint="eastAsia" w:hAnsi="宋体" w:cs="宋体"/>
          <w:b/>
          <w:color w:val="auto"/>
          <w:sz w:val="36"/>
          <w:highlight w:val="none"/>
        </w:rPr>
      </w:pPr>
    </w:p>
    <w:p w14:paraId="27C14F37">
      <w:pPr>
        <w:pStyle w:val="15"/>
        <w:tabs>
          <w:tab w:val="left" w:pos="2472"/>
        </w:tabs>
        <w:spacing w:line="460" w:lineRule="exact"/>
        <w:jc w:val="center"/>
        <w:rPr>
          <w:rFonts w:hint="eastAsia" w:hAnsi="宋体" w:cs="宋体"/>
          <w:b/>
          <w:color w:val="auto"/>
          <w:sz w:val="36"/>
          <w:highlight w:val="none"/>
        </w:rPr>
      </w:pPr>
    </w:p>
    <w:p w14:paraId="21670A10">
      <w:pPr>
        <w:pStyle w:val="15"/>
        <w:tabs>
          <w:tab w:val="left" w:pos="2472"/>
        </w:tabs>
        <w:spacing w:line="460" w:lineRule="exact"/>
        <w:jc w:val="center"/>
        <w:rPr>
          <w:rFonts w:hint="eastAsia" w:hAnsi="宋体" w:cs="宋体"/>
          <w:b/>
          <w:color w:val="auto"/>
          <w:sz w:val="36"/>
          <w:highlight w:val="none"/>
        </w:rPr>
      </w:pPr>
    </w:p>
    <w:p w14:paraId="56A30150">
      <w:pPr>
        <w:pStyle w:val="15"/>
        <w:tabs>
          <w:tab w:val="left" w:pos="2472"/>
        </w:tabs>
        <w:spacing w:line="460" w:lineRule="exact"/>
        <w:jc w:val="center"/>
        <w:rPr>
          <w:rFonts w:hint="eastAsia" w:hAnsi="宋体" w:cs="宋体"/>
          <w:b/>
          <w:color w:val="auto"/>
          <w:sz w:val="36"/>
          <w:highlight w:val="none"/>
        </w:rPr>
      </w:pPr>
    </w:p>
    <w:p w14:paraId="5538EABE">
      <w:pPr>
        <w:pStyle w:val="15"/>
        <w:tabs>
          <w:tab w:val="left" w:pos="2472"/>
        </w:tabs>
        <w:spacing w:line="460" w:lineRule="exact"/>
        <w:jc w:val="center"/>
        <w:rPr>
          <w:rFonts w:hint="eastAsia" w:hAnsi="宋体" w:cs="宋体"/>
          <w:b/>
          <w:color w:val="auto"/>
          <w:sz w:val="36"/>
          <w:highlight w:val="none"/>
        </w:rPr>
      </w:pPr>
    </w:p>
    <w:p w14:paraId="66322672">
      <w:pPr>
        <w:pStyle w:val="15"/>
        <w:tabs>
          <w:tab w:val="left" w:pos="2472"/>
        </w:tabs>
        <w:spacing w:line="460" w:lineRule="exact"/>
        <w:jc w:val="center"/>
        <w:rPr>
          <w:rFonts w:hint="eastAsia" w:hAnsi="宋体" w:cs="宋体"/>
          <w:b/>
          <w:color w:val="auto"/>
          <w:sz w:val="36"/>
          <w:highlight w:val="none"/>
        </w:rPr>
      </w:pPr>
    </w:p>
    <w:p w14:paraId="6FAC80DF">
      <w:pPr>
        <w:pStyle w:val="15"/>
        <w:tabs>
          <w:tab w:val="left" w:pos="2472"/>
        </w:tabs>
        <w:spacing w:line="460" w:lineRule="exact"/>
        <w:jc w:val="center"/>
        <w:rPr>
          <w:rFonts w:hint="eastAsia" w:hAnsi="宋体" w:cs="宋体"/>
          <w:b/>
          <w:color w:val="auto"/>
          <w:sz w:val="36"/>
          <w:highlight w:val="none"/>
        </w:rPr>
      </w:pPr>
    </w:p>
    <w:p w14:paraId="7EB25C2E">
      <w:pPr>
        <w:pStyle w:val="15"/>
        <w:tabs>
          <w:tab w:val="left" w:pos="2472"/>
        </w:tabs>
        <w:spacing w:line="460" w:lineRule="exact"/>
        <w:jc w:val="center"/>
        <w:rPr>
          <w:rFonts w:hint="eastAsia" w:hAnsi="宋体" w:cs="宋体"/>
          <w:b/>
          <w:color w:val="auto"/>
          <w:sz w:val="36"/>
          <w:highlight w:val="none"/>
        </w:rPr>
      </w:pPr>
    </w:p>
    <w:p w14:paraId="3BD3685F">
      <w:pPr>
        <w:pStyle w:val="15"/>
        <w:tabs>
          <w:tab w:val="left" w:pos="2472"/>
        </w:tabs>
        <w:spacing w:line="460" w:lineRule="exact"/>
        <w:jc w:val="center"/>
        <w:rPr>
          <w:rFonts w:hint="eastAsia" w:hAnsi="宋体" w:cs="宋体"/>
          <w:b/>
          <w:color w:val="auto"/>
          <w:sz w:val="36"/>
          <w:highlight w:val="none"/>
        </w:rPr>
      </w:pPr>
    </w:p>
    <w:p w14:paraId="6C5E1CA0">
      <w:pPr>
        <w:pStyle w:val="15"/>
        <w:tabs>
          <w:tab w:val="left" w:pos="2472"/>
        </w:tabs>
        <w:spacing w:line="460" w:lineRule="exact"/>
        <w:jc w:val="center"/>
        <w:rPr>
          <w:rFonts w:hint="eastAsia" w:hAnsi="宋体" w:cs="宋体"/>
          <w:b/>
          <w:color w:val="auto"/>
          <w:sz w:val="36"/>
          <w:highlight w:val="none"/>
        </w:rPr>
      </w:pPr>
    </w:p>
    <w:p w14:paraId="09C1BB79">
      <w:pPr>
        <w:pStyle w:val="15"/>
        <w:tabs>
          <w:tab w:val="left" w:pos="2472"/>
        </w:tabs>
        <w:spacing w:line="460" w:lineRule="exact"/>
        <w:jc w:val="center"/>
        <w:rPr>
          <w:rFonts w:hint="eastAsia" w:hAnsi="宋体" w:cs="宋体"/>
          <w:b/>
          <w:color w:val="auto"/>
          <w:sz w:val="36"/>
          <w:highlight w:val="none"/>
        </w:rPr>
      </w:pPr>
    </w:p>
    <w:p w14:paraId="7C3BA5E0">
      <w:pPr>
        <w:pStyle w:val="15"/>
        <w:tabs>
          <w:tab w:val="left" w:pos="2472"/>
        </w:tabs>
        <w:spacing w:line="460" w:lineRule="exact"/>
        <w:jc w:val="center"/>
        <w:outlineLvl w:val="0"/>
        <w:rPr>
          <w:rFonts w:hint="eastAsia" w:hAnsi="宋体" w:cs="宋体"/>
          <w:color w:val="auto"/>
          <w:sz w:val="20"/>
          <w:highlight w:val="none"/>
        </w:rPr>
        <w:sectPr>
          <w:pgSz w:w="11906" w:h="16838"/>
          <w:pgMar w:top="1134" w:right="1134" w:bottom="1134" w:left="1134" w:header="720" w:footer="720" w:gutter="0"/>
          <w:cols w:space="720" w:num="1"/>
          <w:docGrid w:type="lines" w:linePitch="331" w:charSpace="0"/>
        </w:sectPr>
      </w:pPr>
      <w:bookmarkStart w:id="296" w:name="_Toc30176"/>
      <w:bookmarkStart w:id="297" w:name="_Toc8663"/>
      <w:bookmarkStart w:id="298" w:name="_Toc19823"/>
      <w:bookmarkStart w:id="299" w:name="_Toc29827"/>
      <w:bookmarkStart w:id="300" w:name="_Toc1424"/>
      <w:bookmarkStart w:id="301" w:name="_Toc18201"/>
      <w:bookmarkStart w:id="302" w:name="_Toc10282"/>
      <w:bookmarkStart w:id="303" w:name="_Toc15281"/>
      <w:bookmarkStart w:id="304" w:name="_Toc8319"/>
      <w:bookmarkStart w:id="305" w:name="_Toc4526"/>
      <w:bookmarkStart w:id="306" w:name="_Toc3772"/>
      <w:r>
        <w:rPr>
          <w:rFonts w:hint="eastAsia" w:hAnsi="宋体" w:cs="宋体"/>
          <w:b/>
          <w:color w:val="auto"/>
          <w:sz w:val="36"/>
          <w:highlight w:val="none"/>
        </w:rPr>
        <w:t>第七章 质疑、投诉材料格</w:t>
      </w:r>
      <w:bookmarkEnd w:id="296"/>
      <w:bookmarkEnd w:id="297"/>
      <w:bookmarkEnd w:id="298"/>
      <w:r>
        <w:rPr>
          <w:rFonts w:hint="eastAsia" w:hAnsi="宋体" w:cs="宋体"/>
          <w:b/>
          <w:color w:val="auto"/>
          <w:sz w:val="36"/>
          <w:highlight w:val="none"/>
        </w:rPr>
        <w:t>式</w:t>
      </w:r>
      <w:bookmarkEnd w:id="299"/>
      <w:bookmarkEnd w:id="300"/>
      <w:bookmarkEnd w:id="301"/>
      <w:bookmarkEnd w:id="302"/>
      <w:bookmarkEnd w:id="303"/>
      <w:bookmarkEnd w:id="304"/>
      <w:bookmarkEnd w:id="305"/>
      <w:bookmarkEnd w:id="306"/>
    </w:p>
    <w:p w14:paraId="0328FAD4">
      <w:pPr>
        <w:pStyle w:val="3"/>
        <w:jc w:val="center"/>
        <w:rPr>
          <w:rFonts w:hint="eastAsia" w:ascii="宋体" w:hAnsi="宋体" w:eastAsia="宋体" w:cs="宋体"/>
          <w:b w:val="0"/>
          <w:bCs w:val="0"/>
          <w:color w:val="auto"/>
          <w:highlight w:val="none"/>
        </w:rPr>
      </w:pPr>
      <w:bookmarkStart w:id="307" w:name="_Toc12534"/>
      <w:bookmarkStart w:id="308" w:name="_Toc19413"/>
      <w:bookmarkStart w:id="309" w:name="_Toc25079"/>
      <w:bookmarkStart w:id="310" w:name="_Toc5790"/>
      <w:bookmarkStart w:id="311" w:name="_Toc18910"/>
      <w:r>
        <w:rPr>
          <w:rFonts w:hint="eastAsia" w:ascii="宋体" w:hAnsi="宋体" w:eastAsia="宋体" w:cs="宋体"/>
          <w:b w:val="0"/>
          <w:bCs w:val="0"/>
          <w:color w:val="auto"/>
          <w:highlight w:val="none"/>
        </w:rPr>
        <w:t>第一节 质疑函（格式）</w:t>
      </w:r>
      <w:bookmarkEnd w:id="307"/>
      <w:bookmarkEnd w:id="308"/>
      <w:bookmarkEnd w:id="309"/>
      <w:bookmarkEnd w:id="310"/>
      <w:bookmarkEnd w:id="311"/>
    </w:p>
    <w:p w14:paraId="2E988EB3">
      <w:pPr>
        <w:jc w:val="center"/>
        <w:rPr>
          <w:rFonts w:hint="eastAsia" w:ascii="宋体" w:hAnsi="宋体" w:cs="宋体"/>
          <w:b/>
          <w:bCs/>
          <w:color w:val="auto"/>
          <w:sz w:val="44"/>
          <w:szCs w:val="44"/>
          <w:highlight w:val="none"/>
        </w:rPr>
      </w:pPr>
      <w:r>
        <w:rPr>
          <w:rFonts w:hint="eastAsia" w:ascii="宋体" w:hAnsi="宋体" w:cs="宋体"/>
          <w:b/>
          <w:bCs/>
          <w:color w:val="auto"/>
          <w:sz w:val="30"/>
          <w:szCs w:val="30"/>
          <w:highlight w:val="none"/>
        </w:rPr>
        <w:t>质疑函</w:t>
      </w:r>
    </w:p>
    <w:p w14:paraId="31FF3951">
      <w:pPr>
        <w:adjustRightInd w:val="0"/>
        <w:snapToGrid w:val="0"/>
        <w:spacing w:before="331"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429E0FF8">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9A5DFB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05F13C5">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4937C62">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F88CCB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58907D9">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6E27780">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4F43C78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82C434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EFCC8B0">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312" w:name="PO_3000001867_PM026_5"/>
      <w:r>
        <w:rPr>
          <w:rFonts w:hint="eastAsia" w:ascii="宋体" w:hAnsi="宋体" w:cs="宋体"/>
          <w:color w:val="auto"/>
          <w:sz w:val="24"/>
          <w:highlight w:val="none"/>
          <w:u w:val="dotted"/>
        </w:rPr>
        <w:t xml:space="preserve">                        </w:t>
      </w:r>
      <w:bookmarkEnd w:id="312"/>
      <w:r>
        <w:rPr>
          <w:rFonts w:hint="eastAsia" w:ascii="宋体" w:hAnsi="宋体" w:cs="宋体"/>
          <w:color w:val="auto"/>
          <w:sz w:val="24"/>
          <w:highlight w:val="none"/>
          <w:u w:val="dotted"/>
        </w:rPr>
        <w:t xml:space="preserve">  </w:t>
      </w:r>
    </w:p>
    <w:p w14:paraId="7009AE9A">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质疑事项：</w:t>
      </w:r>
    </w:p>
    <w:p w14:paraId="5A34B7D3">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r>
        <w:rPr>
          <w:rFonts w:hint="eastAsia" w:ascii="宋体" w:hAnsi="宋体" w:cs="宋体"/>
          <w:color w:val="auto"/>
          <w:sz w:val="24"/>
          <w:highlight w:val="none"/>
          <w:u w:val="dotted"/>
        </w:rPr>
        <w:t xml:space="preserve">                         </w:t>
      </w:r>
      <w:r>
        <w:rPr>
          <w:rFonts w:hint="eastAsia" w:ascii="宋体" w:hAnsi="宋体" w:cs="宋体"/>
          <w:color w:val="auto"/>
          <w:sz w:val="24"/>
          <w:highlight w:val="none"/>
          <w:lang w:val="zh-CN"/>
        </w:rPr>
        <w:t xml:space="preserve">  </w:t>
      </w:r>
    </w:p>
    <w:p w14:paraId="67D23391">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153193A0">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016CB875">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402E7733">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D893B2C">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16A50E7">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14:paraId="05FD98D9">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1FFED46">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C45A76C">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6AF0BFC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43F14255">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D31153A">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A5F2A54">
      <w:pPr>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7BE0553D">
      <w:pPr>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33964889">
      <w:pPr>
        <w:rPr>
          <w:rFonts w:hint="eastAsia" w:ascii="宋体" w:hAnsi="宋体" w:cs="宋体"/>
          <w:b/>
          <w:color w:val="auto"/>
          <w:sz w:val="24"/>
          <w:highlight w:val="none"/>
        </w:rPr>
      </w:pPr>
    </w:p>
    <w:p w14:paraId="3FCEED6F">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082EB6C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1930C72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450509F0">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3500E93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584079A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01D0F1DB">
      <w:pPr>
        <w:widowControl/>
        <w:spacing w:line="360" w:lineRule="auto"/>
        <w:ind w:firstLine="420" w:firstLineChars="200"/>
        <w:jc w:val="left"/>
        <w:rPr>
          <w:rFonts w:hint="eastAsia" w:ascii="宋体" w:hAnsi="宋体" w:cs="宋体"/>
          <w:color w:val="auto"/>
          <w:sz w:val="28"/>
          <w:szCs w:val="28"/>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37E6E86A">
      <w:pPr>
        <w:pStyle w:val="3"/>
        <w:jc w:val="center"/>
        <w:rPr>
          <w:rFonts w:hint="eastAsia" w:ascii="宋体" w:hAnsi="宋体" w:eastAsia="宋体" w:cs="宋体"/>
          <w:b w:val="0"/>
          <w:bCs w:val="0"/>
          <w:color w:val="auto"/>
          <w:highlight w:val="none"/>
        </w:rPr>
      </w:pPr>
      <w:bookmarkStart w:id="313" w:name="_Toc11085"/>
      <w:bookmarkStart w:id="314" w:name="_Toc31115"/>
    </w:p>
    <w:p w14:paraId="2AAF98BE">
      <w:pPr>
        <w:pStyle w:val="3"/>
        <w:jc w:val="center"/>
        <w:rPr>
          <w:rFonts w:hint="eastAsia" w:ascii="宋体" w:hAnsi="宋体" w:eastAsia="宋体" w:cs="宋体"/>
          <w:b w:val="0"/>
          <w:bCs w:val="0"/>
          <w:color w:val="auto"/>
          <w:highlight w:val="none"/>
        </w:rPr>
      </w:pPr>
    </w:p>
    <w:p w14:paraId="7A9A7775">
      <w:pPr>
        <w:pStyle w:val="3"/>
        <w:jc w:val="center"/>
        <w:rPr>
          <w:rFonts w:hint="eastAsia" w:ascii="宋体" w:hAnsi="宋体" w:eastAsia="宋体" w:cs="宋体"/>
          <w:b w:val="0"/>
          <w:bCs w:val="0"/>
          <w:color w:val="auto"/>
          <w:highlight w:val="none"/>
        </w:rPr>
      </w:pPr>
    </w:p>
    <w:p w14:paraId="0376995D">
      <w:pPr>
        <w:pStyle w:val="3"/>
        <w:jc w:val="center"/>
        <w:rPr>
          <w:rFonts w:hint="eastAsia" w:ascii="宋体" w:hAnsi="宋体" w:eastAsia="宋体" w:cs="宋体"/>
          <w:b w:val="0"/>
          <w:bCs w:val="0"/>
          <w:color w:val="auto"/>
          <w:highlight w:val="none"/>
        </w:rPr>
      </w:pPr>
    </w:p>
    <w:p w14:paraId="2449427C">
      <w:pPr>
        <w:rPr>
          <w:rFonts w:hint="eastAsia" w:ascii="宋体" w:hAnsi="宋体" w:cs="宋体"/>
          <w:color w:val="auto"/>
          <w:highlight w:val="none"/>
        </w:rPr>
      </w:pPr>
    </w:p>
    <w:p w14:paraId="3021E5AC">
      <w:pPr>
        <w:pStyle w:val="16"/>
        <w:rPr>
          <w:rFonts w:hint="eastAsia" w:ascii="宋体" w:hAnsi="宋体" w:cs="宋体"/>
          <w:color w:val="auto"/>
          <w:highlight w:val="none"/>
        </w:rPr>
      </w:pPr>
    </w:p>
    <w:p w14:paraId="00D83B5F">
      <w:pPr>
        <w:pStyle w:val="16"/>
        <w:rPr>
          <w:rFonts w:hint="eastAsia" w:ascii="宋体" w:hAnsi="宋体" w:cs="宋体"/>
          <w:color w:val="auto"/>
          <w:highlight w:val="none"/>
        </w:rPr>
      </w:pPr>
    </w:p>
    <w:p w14:paraId="6E708F89">
      <w:pPr>
        <w:pStyle w:val="16"/>
        <w:rPr>
          <w:rFonts w:hint="eastAsia" w:ascii="宋体" w:hAnsi="宋体" w:cs="宋体"/>
          <w:color w:val="auto"/>
          <w:highlight w:val="none"/>
        </w:rPr>
      </w:pPr>
    </w:p>
    <w:p w14:paraId="0E0B469C">
      <w:pPr>
        <w:pStyle w:val="16"/>
        <w:rPr>
          <w:rFonts w:hint="eastAsia" w:ascii="宋体" w:hAnsi="宋体" w:cs="宋体"/>
          <w:color w:val="auto"/>
          <w:highlight w:val="none"/>
        </w:rPr>
      </w:pPr>
    </w:p>
    <w:p w14:paraId="63B44003">
      <w:pPr>
        <w:pStyle w:val="16"/>
        <w:rPr>
          <w:rFonts w:hint="eastAsia" w:ascii="宋体" w:hAnsi="宋体" w:cs="宋体"/>
          <w:color w:val="auto"/>
          <w:highlight w:val="none"/>
        </w:rPr>
      </w:pPr>
    </w:p>
    <w:p w14:paraId="591A6CF2">
      <w:pPr>
        <w:pStyle w:val="16"/>
        <w:rPr>
          <w:rFonts w:hint="eastAsia" w:ascii="宋体" w:hAnsi="宋体" w:cs="宋体"/>
          <w:color w:val="auto"/>
          <w:highlight w:val="none"/>
        </w:rPr>
      </w:pPr>
    </w:p>
    <w:p w14:paraId="524B85AA">
      <w:pPr>
        <w:pStyle w:val="16"/>
        <w:rPr>
          <w:rFonts w:hint="eastAsia" w:ascii="宋体" w:hAnsi="宋体" w:cs="宋体"/>
          <w:color w:val="auto"/>
          <w:highlight w:val="none"/>
        </w:rPr>
      </w:pPr>
    </w:p>
    <w:p w14:paraId="09D2B55C">
      <w:pPr>
        <w:pStyle w:val="16"/>
        <w:rPr>
          <w:rFonts w:hint="eastAsia" w:ascii="宋体" w:hAnsi="宋体" w:cs="宋体"/>
          <w:color w:val="auto"/>
          <w:highlight w:val="none"/>
        </w:rPr>
      </w:pPr>
    </w:p>
    <w:p w14:paraId="6BCC2D00">
      <w:pPr>
        <w:pStyle w:val="16"/>
        <w:rPr>
          <w:rFonts w:hint="eastAsia" w:ascii="宋体" w:hAnsi="宋体" w:cs="宋体"/>
          <w:color w:val="auto"/>
          <w:highlight w:val="none"/>
        </w:rPr>
      </w:pPr>
    </w:p>
    <w:p w14:paraId="2AD6D84D">
      <w:pPr>
        <w:pStyle w:val="16"/>
        <w:rPr>
          <w:rFonts w:hint="eastAsia" w:ascii="宋体" w:hAnsi="宋体" w:cs="宋体"/>
          <w:color w:val="auto"/>
          <w:highlight w:val="none"/>
        </w:rPr>
      </w:pPr>
    </w:p>
    <w:p w14:paraId="11ECEBE6">
      <w:pPr>
        <w:pStyle w:val="16"/>
        <w:rPr>
          <w:rFonts w:hint="eastAsia" w:ascii="宋体" w:hAnsi="宋体" w:cs="宋体"/>
          <w:color w:val="auto"/>
          <w:highlight w:val="none"/>
        </w:rPr>
      </w:pPr>
    </w:p>
    <w:p w14:paraId="7DEE2C8D">
      <w:pPr>
        <w:pStyle w:val="16"/>
        <w:rPr>
          <w:rFonts w:hint="eastAsia" w:ascii="宋体" w:hAnsi="宋体" w:cs="宋体"/>
          <w:color w:val="auto"/>
          <w:highlight w:val="none"/>
        </w:rPr>
      </w:pPr>
    </w:p>
    <w:p w14:paraId="2600C431">
      <w:pPr>
        <w:pStyle w:val="16"/>
        <w:rPr>
          <w:rFonts w:hint="eastAsia" w:ascii="宋体" w:hAnsi="宋体" w:cs="宋体"/>
          <w:color w:val="auto"/>
          <w:highlight w:val="none"/>
        </w:rPr>
      </w:pPr>
    </w:p>
    <w:p w14:paraId="2C3B0788">
      <w:pPr>
        <w:pStyle w:val="16"/>
        <w:rPr>
          <w:rFonts w:hint="eastAsia" w:ascii="宋体" w:hAnsi="宋体" w:cs="宋体"/>
          <w:color w:val="auto"/>
          <w:highlight w:val="none"/>
        </w:rPr>
      </w:pPr>
    </w:p>
    <w:p w14:paraId="525607E7">
      <w:pPr>
        <w:pStyle w:val="16"/>
        <w:rPr>
          <w:rFonts w:hint="eastAsia" w:ascii="宋体" w:hAnsi="宋体" w:cs="宋体"/>
          <w:color w:val="auto"/>
          <w:highlight w:val="none"/>
        </w:rPr>
      </w:pPr>
    </w:p>
    <w:p w14:paraId="78A68B26">
      <w:pPr>
        <w:pStyle w:val="3"/>
        <w:jc w:val="center"/>
        <w:rPr>
          <w:rFonts w:hint="eastAsia" w:ascii="宋体" w:hAnsi="宋体" w:eastAsia="宋体" w:cs="宋体"/>
          <w:b w:val="0"/>
          <w:bCs w:val="0"/>
          <w:color w:val="auto"/>
          <w:highlight w:val="none"/>
        </w:rPr>
      </w:pPr>
      <w:bookmarkStart w:id="315" w:name="_Toc22163"/>
      <w:bookmarkStart w:id="316" w:name="_Toc11120"/>
      <w:bookmarkStart w:id="317" w:name="_Toc6950"/>
      <w:r>
        <w:rPr>
          <w:rFonts w:hint="eastAsia" w:ascii="宋体" w:hAnsi="宋体" w:eastAsia="宋体" w:cs="宋体"/>
          <w:b w:val="0"/>
          <w:bCs w:val="0"/>
          <w:color w:val="auto"/>
          <w:highlight w:val="none"/>
        </w:rPr>
        <w:t>第二节 投诉书（格式）</w:t>
      </w:r>
      <w:bookmarkEnd w:id="313"/>
      <w:bookmarkEnd w:id="314"/>
      <w:bookmarkEnd w:id="315"/>
      <w:bookmarkEnd w:id="316"/>
      <w:bookmarkEnd w:id="317"/>
    </w:p>
    <w:p w14:paraId="62BA3229">
      <w:pPr>
        <w:jc w:val="center"/>
        <w:rPr>
          <w:rFonts w:hint="eastAsia" w:ascii="宋体" w:hAnsi="宋体" w:cs="宋体"/>
          <w:b/>
          <w:color w:val="auto"/>
          <w:sz w:val="44"/>
          <w:szCs w:val="44"/>
          <w:highlight w:val="none"/>
        </w:rPr>
      </w:pPr>
      <w:r>
        <w:rPr>
          <w:rFonts w:hint="eastAsia" w:ascii="宋体" w:hAnsi="宋体" w:cs="宋体"/>
          <w:b/>
          <w:color w:val="auto"/>
          <w:sz w:val="30"/>
          <w:szCs w:val="30"/>
          <w:highlight w:val="none"/>
        </w:rPr>
        <w:t>投诉书</w:t>
      </w:r>
    </w:p>
    <w:p w14:paraId="59B7E562">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7BE4CCB3">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3F03B4F">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E29B179">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C7F7553">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217D145">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5DFFDF9">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167A0E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14:paraId="4553329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B0091A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07AD3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1E85D23A">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3B61EA7F">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14:paraId="1AB390A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B3AFE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4D70F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3EFBDDC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bookmarkStart w:id="318" w:name="PO_3000001867_PM002_12"/>
      <w:r>
        <w:rPr>
          <w:rFonts w:hint="eastAsia" w:ascii="宋体" w:hAnsi="宋体" w:cs="宋体"/>
          <w:color w:val="auto"/>
          <w:sz w:val="24"/>
          <w:highlight w:val="none"/>
          <w:u w:val="dotted"/>
        </w:rPr>
        <w:t xml:space="preserve">                    </w:t>
      </w:r>
      <w:bookmarkEnd w:id="318"/>
      <w:r>
        <w:rPr>
          <w:rFonts w:hint="eastAsia" w:ascii="宋体" w:hAnsi="宋体" w:cs="宋体"/>
          <w:color w:val="auto"/>
          <w:sz w:val="24"/>
          <w:highlight w:val="none"/>
          <w:u w:val="dotted"/>
        </w:rPr>
        <w:t xml:space="preserve">  </w:t>
      </w:r>
    </w:p>
    <w:p w14:paraId="1756DCC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bookmarkStart w:id="319" w:name="PO_3000001867_PM001_9"/>
      <w:r>
        <w:rPr>
          <w:rFonts w:hint="eastAsia" w:ascii="宋体" w:hAnsi="宋体" w:cs="宋体"/>
          <w:color w:val="auto"/>
          <w:sz w:val="24"/>
          <w:highlight w:val="none"/>
          <w:u w:val="dotted"/>
        </w:rPr>
        <w:t xml:space="preserve">                    </w:t>
      </w:r>
      <w:bookmarkEnd w:id="319"/>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3C46E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320" w:name="PO_3000001867_PM026_6"/>
      <w:r>
        <w:rPr>
          <w:rFonts w:hint="eastAsia" w:ascii="宋体" w:hAnsi="宋体" w:cs="宋体"/>
          <w:color w:val="auto"/>
          <w:sz w:val="24"/>
          <w:highlight w:val="none"/>
          <w:u w:val="dotted"/>
        </w:rPr>
        <w:t xml:space="preserve">                    </w:t>
      </w:r>
      <w:bookmarkEnd w:id="320"/>
      <w:r>
        <w:rPr>
          <w:rFonts w:hint="eastAsia" w:ascii="宋体" w:hAnsi="宋体" w:cs="宋体"/>
          <w:color w:val="auto"/>
          <w:sz w:val="24"/>
          <w:highlight w:val="none"/>
          <w:u w:val="dotted"/>
        </w:rPr>
        <w:t xml:space="preserve">  </w:t>
      </w:r>
    </w:p>
    <w:p w14:paraId="7224B0F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D47AC2D">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209347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AF5B830">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768123AA">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25409847">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564574D">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4E635BA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37557CB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E402B84">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20323D6">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4FFE1F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B79BB8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C90708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2FFE3248">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5B0A78D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27C9BF5C">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036086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216469A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53689270">
      <w:pPr>
        <w:spacing w:line="360" w:lineRule="auto"/>
        <w:ind w:firstLine="6960" w:firstLineChars="2900"/>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0BCD717A">
      <w:pPr>
        <w:spacing w:line="360" w:lineRule="auto"/>
        <w:rPr>
          <w:rFonts w:hint="eastAsia" w:ascii="宋体" w:hAnsi="宋体" w:cs="宋体"/>
          <w:b/>
          <w:color w:val="auto"/>
          <w:sz w:val="24"/>
          <w:highlight w:val="none"/>
        </w:rPr>
      </w:pPr>
    </w:p>
    <w:p w14:paraId="0A5D69D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14:paraId="7B90F5AE">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75FC4D6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22C6D28D">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6D9E6C9F">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07F5452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64F8BB2D">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2756C89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7E4F9234">
      <w:pPr>
        <w:snapToGrid w:val="0"/>
        <w:spacing w:before="50" w:after="165" w:afterLines="50" w:line="360" w:lineRule="auto"/>
        <w:ind w:firstLine="420" w:firstLineChars="200"/>
        <w:jc w:val="left"/>
        <w:rPr>
          <w:rFonts w:hint="eastAsia" w:ascii="宋体" w:hAnsi="宋体" w:cs="宋体"/>
          <w:color w:val="auto"/>
          <w:szCs w:val="21"/>
          <w:highlight w:val="none"/>
        </w:rPr>
      </w:pPr>
    </w:p>
    <w:p w14:paraId="7D1AFC8C">
      <w:pPr>
        <w:rPr>
          <w:rFonts w:hint="eastAsia" w:ascii="宋体" w:hAnsi="宋体" w:cs="宋体"/>
          <w:color w:val="auto"/>
          <w:highlight w:val="none"/>
        </w:rPr>
      </w:pPr>
    </w:p>
    <w:sectPr>
      <w:footerReference r:id="rId10" w:type="first"/>
      <w:headerReference r:id="rId7" w:type="default"/>
      <w:footerReference r:id="rId8" w:type="default"/>
      <w:footerReference r:id="rId9"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E55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DE7A">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3D4063C">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89hkr4QEAALsDAAAOAAAA&#10;AAAAAAEAIAAAAB4BAABkcnMvZTJvRG9jLnhtbFBLBQYAAAAABgAGAFkBAABxBQAAAAA=&#10;">
              <v:fill on="f" focussize="0,0"/>
              <v:stroke on="f"/>
              <v:imagedata o:title=""/>
              <o:lock v:ext="edit" aspectratio="f"/>
              <v:textbox inset="0mm,0mm,0mm,0mm" style="mso-fit-shape-to-text:t;">
                <w:txbxContent>
                  <w:p w14:paraId="43D4063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E777">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CBE3BF">
                          <w:pPr>
                            <w:pStyle w:val="16"/>
                          </w:pPr>
                          <w:r>
                            <w:fldChar w:fldCharType="begin"/>
                          </w:r>
                          <w:r>
                            <w:instrText xml:space="preserve"> PAGE  \* MERGEFORMAT </w:instrText>
                          </w:r>
                          <w:r>
                            <w:fldChar w:fldCharType="separate"/>
                          </w:r>
                          <w:r>
                            <w:t>83</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Juvc84QEAALsDAAAOAAAA&#10;AAAAAAEAIAAAAB4BAABkcnMvZTJvRG9jLnhtbFBLBQYAAAAABgAGAFkBAABxBQAAAAA=&#10;">
              <v:fill on="f" focussize="0,0"/>
              <v:stroke on="f"/>
              <v:imagedata o:title=""/>
              <o:lock v:ext="edit" aspectratio="f"/>
              <v:textbox inset="0mm,0mm,0mm,0mm" style="mso-fit-shape-to-text:t;">
                <w:txbxContent>
                  <w:p w14:paraId="34CBE3BF">
                    <w:pPr>
                      <w:pStyle w:val="16"/>
                    </w:pPr>
                    <w:r>
                      <w:fldChar w:fldCharType="begin"/>
                    </w:r>
                    <w:r>
                      <w:instrText xml:space="preserve"> PAGE  \* MERGEFORMAT </w:instrText>
                    </w:r>
                    <w:r>
                      <w:fldChar w:fldCharType="separate"/>
                    </w:r>
                    <w:r>
                      <w:t>83</w:t>
                    </w:r>
                    <w:r>
                      <w:fldChar w:fldCharType="end"/>
                    </w:r>
                  </w:p>
                </w:txbxContent>
              </v:textbox>
            </v:shape>
          </w:pict>
        </mc:Fallback>
      </mc:AlternateContent>
    </w:r>
  </w:p>
  <w:p w14:paraId="580ADC7D">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E58A">
    <w:pPr>
      <w:pStyle w:val="16"/>
      <w:framePr w:wrap="around" w:vAnchor="text" w:hAnchor="margin" w:xAlign="center" w:y="1"/>
      <w:rPr>
        <w:rStyle w:val="30"/>
      </w:rPr>
    </w:pPr>
    <w:r>
      <w:fldChar w:fldCharType="begin"/>
    </w:r>
    <w:r>
      <w:rPr>
        <w:rStyle w:val="30"/>
      </w:rPr>
      <w:instrText xml:space="preserve">PAGE  </w:instrText>
    </w:r>
    <w:r>
      <w:fldChar w:fldCharType="end"/>
    </w:r>
  </w:p>
  <w:p w14:paraId="1B24B687">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1EA8">
    <w:pPr>
      <w:pStyle w:val="16"/>
      <w:framePr w:wrap="around" w:vAnchor="text" w:hAnchor="margin" w:xAlign="right" w:y="1"/>
      <w:rPr>
        <w:rStyle w:val="30"/>
      </w:rPr>
    </w:pPr>
    <w:r>
      <w:fldChar w:fldCharType="begin"/>
    </w:r>
    <w:r>
      <w:rPr>
        <w:rStyle w:val="30"/>
      </w:rPr>
      <w:instrText xml:space="preserve">PAGE  </w:instrText>
    </w:r>
    <w:r>
      <w:fldChar w:fldCharType="separate"/>
    </w:r>
    <w:r>
      <w:rPr>
        <w:rStyle w:val="30"/>
      </w:rPr>
      <w:t>122</w:t>
    </w:r>
    <w:r>
      <w:fldChar w:fldCharType="end"/>
    </w:r>
  </w:p>
  <w:p w14:paraId="6ABC984C">
    <w:pPr>
      <w:pStyle w:val="16"/>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4BD9">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CEE7">
    <w:pPr>
      <w:pStyle w:val="17"/>
      <w:pBdr>
        <w:bottom w:val="none" w:color="auto" w:sz="0" w:space="1"/>
      </w:pBdr>
      <w:jc w:val="left"/>
    </w:pPr>
    <w:r>
      <w:rPr>
        <w:rFonts w:hint="eastAsia"/>
      </w:rPr>
      <w:t>广西德元工程项目管理有限责任公司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7DA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3EDCB"/>
    <w:multiLevelType w:val="singleLevel"/>
    <w:tmpl w:val="F193EDCB"/>
    <w:lvl w:ilvl="0" w:tentative="0">
      <w:start w:val="1"/>
      <w:numFmt w:val="decimal"/>
      <w:suff w:val="nothing"/>
      <w:lvlText w:val="%1、"/>
      <w:lvlJc w:val="left"/>
      <w:pPr>
        <w:ind w:left="0" w:firstLine="403"/>
      </w:pPr>
      <w:rPr>
        <w:rFonts w:hint="default"/>
      </w:rPr>
    </w:lvl>
  </w:abstractNum>
  <w:abstractNum w:abstractNumId="1">
    <w:nsid w:val="FD6784A3"/>
    <w:multiLevelType w:val="singleLevel"/>
    <w:tmpl w:val="FD6784A3"/>
    <w:lvl w:ilvl="0" w:tentative="0">
      <w:start w:val="1"/>
      <w:numFmt w:val="decimal"/>
      <w:suff w:val="nothing"/>
      <w:lvlText w:val="（%1）"/>
      <w:lvlJc w:val="left"/>
    </w:lvl>
  </w:abstractNum>
  <w:abstractNum w:abstractNumId="2">
    <w:nsid w:val="1B22E8E9"/>
    <w:multiLevelType w:val="singleLevel"/>
    <w:tmpl w:val="1B22E8E9"/>
    <w:lvl w:ilvl="0" w:tentative="0">
      <w:start w:val="1"/>
      <w:numFmt w:val="decimal"/>
      <w:lvlText w:val="%1."/>
      <w:lvlJc w:val="left"/>
      <w:pPr>
        <w:tabs>
          <w:tab w:val="left" w:pos="312"/>
        </w:tabs>
      </w:pPr>
    </w:lvl>
  </w:abstractNum>
  <w:abstractNum w:abstractNumId="3">
    <w:nsid w:val="6806E7D5"/>
    <w:multiLevelType w:val="multilevel"/>
    <w:tmpl w:val="6806E7D5"/>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4">
    <w:nsid w:val="6806E7EB"/>
    <w:multiLevelType w:val="multilevel"/>
    <w:tmpl w:val="6806E7E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DAB0067"/>
    <w:multiLevelType w:val="singleLevel"/>
    <w:tmpl w:val="6DAB0067"/>
    <w:lvl w:ilvl="0" w:tentative="0">
      <w:start w:val="1"/>
      <w:numFmt w:val="decimal"/>
      <w:lvlText w:val="%1."/>
      <w:lvlJc w:val="left"/>
      <w:pPr>
        <w:tabs>
          <w:tab w:val="left" w:pos="312"/>
        </w:tabs>
      </w:pPr>
    </w:lvl>
  </w:abstractNum>
  <w:abstractNum w:abstractNumId="6">
    <w:nsid w:val="6FA56529"/>
    <w:multiLevelType w:val="singleLevel"/>
    <w:tmpl w:val="6FA56529"/>
    <w:lvl w:ilvl="0" w:tentative="0">
      <w:start w:val="1"/>
      <w:numFmt w:val="decimal"/>
      <w:pStyle w:val="9"/>
      <w:lvlText w:val="%1."/>
      <w:lvlJc w:val="left"/>
      <w:pPr>
        <w:tabs>
          <w:tab w:val="left" w:pos="360"/>
        </w:tabs>
        <w:ind w:left="360" w:hanging="360"/>
      </w:pPr>
    </w:lvl>
  </w:abstractNum>
  <w:num w:numId="1">
    <w:abstractNumId w:val="6"/>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ZDg0NWJlYWU3YjBhYzQyZjUzY2YwMWU3MDE3NTYifQ=="/>
  </w:docVars>
  <w:rsids>
    <w:rsidRoot w:val="00E52679"/>
    <w:rsid w:val="000D3118"/>
    <w:rsid w:val="00244188"/>
    <w:rsid w:val="00264C11"/>
    <w:rsid w:val="002819B1"/>
    <w:rsid w:val="003A3FFA"/>
    <w:rsid w:val="006A5E84"/>
    <w:rsid w:val="006C6ADC"/>
    <w:rsid w:val="00801329"/>
    <w:rsid w:val="00866343"/>
    <w:rsid w:val="008E350B"/>
    <w:rsid w:val="00932733"/>
    <w:rsid w:val="009E1C70"/>
    <w:rsid w:val="00AF3119"/>
    <w:rsid w:val="00B61029"/>
    <w:rsid w:val="00BB07B1"/>
    <w:rsid w:val="00CB373F"/>
    <w:rsid w:val="00CF408A"/>
    <w:rsid w:val="00D80180"/>
    <w:rsid w:val="00D95C1F"/>
    <w:rsid w:val="00E52679"/>
    <w:rsid w:val="00E75BB6"/>
    <w:rsid w:val="00F54246"/>
    <w:rsid w:val="00F74DD6"/>
    <w:rsid w:val="00F83EB1"/>
    <w:rsid w:val="00F86644"/>
    <w:rsid w:val="00FA7372"/>
    <w:rsid w:val="00FB78BA"/>
    <w:rsid w:val="019525C0"/>
    <w:rsid w:val="02CB25B4"/>
    <w:rsid w:val="02EA7E22"/>
    <w:rsid w:val="03BD0B3A"/>
    <w:rsid w:val="04581692"/>
    <w:rsid w:val="048C5B5E"/>
    <w:rsid w:val="05561282"/>
    <w:rsid w:val="05D04C27"/>
    <w:rsid w:val="05E84085"/>
    <w:rsid w:val="068C6366"/>
    <w:rsid w:val="07892932"/>
    <w:rsid w:val="07B332B2"/>
    <w:rsid w:val="0880479A"/>
    <w:rsid w:val="09353A12"/>
    <w:rsid w:val="09D6700C"/>
    <w:rsid w:val="0BDD3B16"/>
    <w:rsid w:val="0C9F01A5"/>
    <w:rsid w:val="0D4A4034"/>
    <w:rsid w:val="0E444561"/>
    <w:rsid w:val="0E9C4DDF"/>
    <w:rsid w:val="0EBE682F"/>
    <w:rsid w:val="0EFD148A"/>
    <w:rsid w:val="0F156B0A"/>
    <w:rsid w:val="10107982"/>
    <w:rsid w:val="12401178"/>
    <w:rsid w:val="1283261D"/>
    <w:rsid w:val="1361717D"/>
    <w:rsid w:val="13737D2E"/>
    <w:rsid w:val="142C122E"/>
    <w:rsid w:val="14CF105C"/>
    <w:rsid w:val="15F320C5"/>
    <w:rsid w:val="1607696D"/>
    <w:rsid w:val="17083BEC"/>
    <w:rsid w:val="17677C2F"/>
    <w:rsid w:val="17A553DC"/>
    <w:rsid w:val="1853105D"/>
    <w:rsid w:val="19136282"/>
    <w:rsid w:val="1A1E4225"/>
    <w:rsid w:val="1A4D76FC"/>
    <w:rsid w:val="1AF1564F"/>
    <w:rsid w:val="1B892DAD"/>
    <w:rsid w:val="1CB44893"/>
    <w:rsid w:val="1FDB5818"/>
    <w:rsid w:val="20464C6E"/>
    <w:rsid w:val="225F50B3"/>
    <w:rsid w:val="22691B20"/>
    <w:rsid w:val="22BF5DDD"/>
    <w:rsid w:val="23197600"/>
    <w:rsid w:val="23B616EC"/>
    <w:rsid w:val="24C1367C"/>
    <w:rsid w:val="24D63C90"/>
    <w:rsid w:val="257622C6"/>
    <w:rsid w:val="257842E7"/>
    <w:rsid w:val="25F85755"/>
    <w:rsid w:val="27BC6362"/>
    <w:rsid w:val="27DB7C16"/>
    <w:rsid w:val="27EC2BDA"/>
    <w:rsid w:val="2BE85216"/>
    <w:rsid w:val="2CE97417"/>
    <w:rsid w:val="2E650E2E"/>
    <w:rsid w:val="2F520D5B"/>
    <w:rsid w:val="2F5F65B7"/>
    <w:rsid w:val="30333F2F"/>
    <w:rsid w:val="336A48E0"/>
    <w:rsid w:val="343F600A"/>
    <w:rsid w:val="34CB28BB"/>
    <w:rsid w:val="37201A1A"/>
    <w:rsid w:val="37B05525"/>
    <w:rsid w:val="37E00E87"/>
    <w:rsid w:val="39DE6E9E"/>
    <w:rsid w:val="3A5A39CC"/>
    <w:rsid w:val="3AC577F8"/>
    <w:rsid w:val="3B4E2F25"/>
    <w:rsid w:val="3C3C3F7E"/>
    <w:rsid w:val="3CFB617C"/>
    <w:rsid w:val="3D2D21BB"/>
    <w:rsid w:val="3D931F15"/>
    <w:rsid w:val="3DBE069F"/>
    <w:rsid w:val="3DCA187B"/>
    <w:rsid w:val="3E3B11A8"/>
    <w:rsid w:val="3E9207B3"/>
    <w:rsid w:val="3ECA1839"/>
    <w:rsid w:val="3FA51AEF"/>
    <w:rsid w:val="3FA6019B"/>
    <w:rsid w:val="41C96614"/>
    <w:rsid w:val="422A0425"/>
    <w:rsid w:val="433A6D62"/>
    <w:rsid w:val="43503807"/>
    <w:rsid w:val="43881083"/>
    <w:rsid w:val="45464C32"/>
    <w:rsid w:val="4681706E"/>
    <w:rsid w:val="469B06E9"/>
    <w:rsid w:val="46DE7A9C"/>
    <w:rsid w:val="477879AE"/>
    <w:rsid w:val="47CF53B3"/>
    <w:rsid w:val="482650DA"/>
    <w:rsid w:val="484F2AE2"/>
    <w:rsid w:val="48C41D12"/>
    <w:rsid w:val="495010D7"/>
    <w:rsid w:val="4AE7656F"/>
    <w:rsid w:val="4B9E091B"/>
    <w:rsid w:val="4C394FBC"/>
    <w:rsid w:val="4D2A124B"/>
    <w:rsid w:val="4D6932B6"/>
    <w:rsid w:val="4E293507"/>
    <w:rsid w:val="4E2A6345"/>
    <w:rsid w:val="4E705ED4"/>
    <w:rsid w:val="4EA933AA"/>
    <w:rsid w:val="4F405AE9"/>
    <w:rsid w:val="503A66B0"/>
    <w:rsid w:val="50705608"/>
    <w:rsid w:val="50C747EC"/>
    <w:rsid w:val="50E56BC4"/>
    <w:rsid w:val="51365628"/>
    <w:rsid w:val="515F7F73"/>
    <w:rsid w:val="52335F20"/>
    <w:rsid w:val="52C31E84"/>
    <w:rsid w:val="5382152B"/>
    <w:rsid w:val="53BF68CF"/>
    <w:rsid w:val="544234DF"/>
    <w:rsid w:val="553571FB"/>
    <w:rsid w:val="55E169D6"/>
    <w:rsid w:val="56CE5AA3"/>
    <w:rsid w:val="575656AD"/>
    <w:rsid w:val="57A10276"/>
    <w:rsid w:val="58357953"/>
    <w:rsid w:val="58412957"/>
    <w:rsid w:val="58BF51A6"/>
    <w:rsid w:val="58D45B55"/>
    <w:rsid w:val="590236E4"/>
    <w:rsid w:val="59BB7964"/>
    <w:rsid w:val="5A0A64D7"/>
    <w:rsid w:val="5A2B67B1"/>
    <w:rsid w:val="5A941CF3"/>
    <w:rsid w:val="5AC2739F"/>
    <w:rsid w:val="5B184523"/>
    <w:rsid w:val="5BD9796A"/>
    <w:rsid w:val="5CFE57B9"/>
    <w:rsid w:val="5E223541"/>
    <w:rsid w:val="5E2E3182"/>
    <w:rsid w:val="5F742FFF"/>
    <w:rsid w:val="5FA1084D"/>
    <w:rsid w:val="5FDF1AE2"/>
    <w:rsid w:val="600375A9"/>
    <w:rsid w:val="600B1ADB"/>
    <w:rsid w:val="60130CCE"/>
    <w:rsid w:val="62FD4B17"/>
    <w:rsid w:val="6429687F"/>
    <w:rsid w:val="649D37D4"/>
    <w:rsid w:val="64B2095A"/>
    <w:rsid w:val="655F6EBA"/>
    <w:rsid w:val="667752EC"/>
    <w:rsid w:val="68646FFA"/>
    <w:rsid w:val="6B1B0C26"/>
    <w:rsid w:val="6D34259B"/>
    <w:rsid w:val="6DF77514"/>
    <w:rsid w:val="6F895057"/>
    <w:rsid w:val="70756248"/>
    <w:rsid w:val="70C5124A"/>
    <w:rsid w:val="710B5606"/>
    <w:rsid w:val="71597717"/>
    <w:rsid w:val="718F5ABC"/>
    <w:rsid w:val="71C805F9"/>
    <w:rsid w:val="71FE04BF"/>
    <w:rsid w:val="72096972"/>
    <w:rsid w:val="728A0953"/>
    <w:rsid w:val="73087745"/>
    <w:rsid w:val="73316CA6"/>
    <w:rsid w:val="73652370"/>
    <w:rsid w:val="73950D2D"/>
    <w:rsid w:val="74033CD8"/>
    <w:rsid w:val="76120E59"/>
    <w:rsid w:val="77696328"/>
    <w:rsid w:val="77F959B0"/>
    <w:rsid w:val="77FB1A5C"/>
    <w:rsid w:val="7D093D88"/>
    <w:rsid w:val="7D61347E"/>
    <w:rsid w:val="7DA10953"/>
    <w:rsid w:val="7DBB598A"/>
    <w:rsid w:val="7E670DEA"/>
    <w:rsid w:val="7E713E95"/>
    <w:rsid w:val="7E8013CA"/>
    <w:rsid w:val="7E842D06"/>
    <w:rsid w:val="7F471DBA"/>
    <w:rsid w:val="7F4B1194"/>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unhideWhenUsed/>
    <w:qFormat/>
    <w:uiPriority w:val="9"/>
    <w:pPr>
      <w:keepNext/>
      <w:keepLines/>
      <w:spacing w:line="600" w:lineRule="exact"/>
      <w:ind w:firstLine="643" w:firstLineChars="200"/>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7"/>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Cs w:val="20"/>
    </w:rPr>
  </w:style>
  <w:style w:type="paragraph" w:styleId="8">
    <w:name w:val="index 8"/>
    <w:basedOn w:val="1"/>
    <w:next w:val="1"/>
    <w:autoRedefine/>
    <w:qFormat/>
    <w:uiPriority w:val="0"/>
    <w:pPr>
      <w:ind w:left="2940"/>
    </w:pPr>
  </w:style>
  <w:style w:type="paragraph" w:styleId="9">
    <w:name w:val="List Number"/>
    <w:basedOn w:val="1"/>
    <w:autoRedefine/>
    <w:qFormat/>
    <w:uiPriority w:val="0"/>
    <w:pPr>
      <w:numPr>
        <w:ilvl w:val="0"/>
        <w:numId w:val="1"/>
      </w:numPr>
    </w:pPr>
  </w:style>
  <w:style w:type="paragraph" w:styleId="10">
    <w:name w:val="annotation text"/>
    <w:basedOn w:val="1"/>
    <w:link w:val="59"/>
    <w:autoRedefine/>
    <w:unhideWhenUsed/>
    <w:qFormat/>
    <w:uiPriority w:val="99"/>
    <w:pPr>
      <w:jc w:val="left"/>
    </w:pPr>
  </w:style>
  <w:style w:type="paragraph" w:styleId="11">
    <w:name w:val="Body Text"/>
    <w:basedOn w:val="1"/>
    <w:next w:val="1"/>
    <w:autoRedefine/>
    <w:unhideWhenUsed/>
    <w:qFormat/>
    <w:uiPriority w:val="0"/>
    <w:pPr>
      <w:spacing w:after="120"/>
    </w:pPr>
  </w:style>
  <w:style w:type="paragraph" w:styleId="12">
    <w:name w:val="Body Text Indent"/>
    <w:basedOn w:val="1"/>
    <w:next w:val="13"/>
    <w:unhideWhenUsed/>
    <w:qFormat/>
    <w:uiPriority w:val="99"/>
    <w:pPr>
      <w:spacing w:line="200" w:lineRule="exact"/>
      <w:ind w:firstLine="301"/>
    </w:pPr>
    <w:rPr>
      <w:rFonts w:ascii="宋体" w:hAnsi="Courier New"/>
      <w:spacing w:val="-4"/>
      <w:sz w:val="18"/>
      <w:szCs w:val="20"/>
    </w:rPr>
  </w:style>
  <w:style w:type="paragraph" w:customStyle="1" w:styleId="13">
    <w:name w:val="Default"/>
    <w:next w:val="1"/>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toc 3"/>
    <w:basedOn w:val="1"/>
    <w:next w:val="1"/>
    <w:autoRedefine/>
    <w:unhideWhenUsed/>
    <w:qFormat/>
    <w:uiPriority w:val="39"/>
    <w:pPr>
      <w:jc w:val="left"/>
    </w:pPr>
    <w:rPr>
      <w:rFonts w:ascii="Calibri" w:hAnsi="Calibri"/>
      <w:smallCaps/>
      <w:sz w:val="22"/>
      <w:szCs w:val="22"/>
    </w:rPr>
  </w:style>
  <w:style w:type="paragraph" w:styleId="15">
    <w:name w:val="Plain Text"/>
    <w:basedOn w:val="1"/>
    <w:next w:val="5"/>
    <w:autoRedefine/>
    <w:unhideWhenUsed/>
    <w:qFormat/>
    <w:uiPriority w:val="0"/>
    <w:rPr>
      <w:rFonts w:ascii="宋体" w:hAnsi="Courier New"/>
      <w:szCs w:val="20"/>
    </w:rPr>
  </w:style>
  <w:style w:type="paragraph" w:styleId="16">
    <w:name w:val="footer"/>
    <w:basedOn w:val="1"/>
    <w:next w:val="1"/>
    <w:unhideWhenUsed/>
    <w:qFormat/>
    <w:uiPriority w:val="0"/>
    <w:pPr>
      <w:tabs>
        <w:tab w:val="center" w:pos="4153"/>
        <w:tab w:val="right" w:pos="8306"/>
      </w:tabs>
      <w:snapToGrid w:val="0"/>
      <w:jc w:val="left"/>
    </w:pPr>
    <w:rPr>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spacing w:before="360" w:after="360"/>
      <w:jc w:val="left"/>
    </w:pPr>
    <w:rPr>
      <w:rFonts w:ascii="Calibri" w:hAnsi="Calibri"/>
      <w:b/>
      <w:bCs/>
      <w:caps/>
      <w:sz w:val="22"/>
      <w:szCs w:val="22"/>
      <w:u w:val="single"/>
    </w:rPr>
  </w:style>
  <w:style w:type="paragraph" w:styleId="19">
    <w:name w:val="List"/>
    <w:basedOn w:val="1"/>
    <w:unhideWhenUsed/>
    <w:qFormat/>
    <w:uiPriority w:val="99"/>
    <w:pPr>
      <w:ind w:left="200" w:hanging="200" w:hangingChars="200"/>
    </w:pPr>
    <w:rPr>
      <w:sz w:val="28"/>
    </w:rPr>
  </w:style>
  <w:style w:type="paragraph" w:styleId="20">
    <w:name w:val="Body Text Indent 3"/>
    <w:basedOn w:val="1"/>
    <w:autoRedefine/>
    <w:qFormat/>
    <w:uiPriority w:val="0"/>
    <w:pPr>
      <w:spacing w:after="120"/>
      <w:ind w:left="420" w:leftChars="200"/>
    </w:pPr>
    <w:rPr>
      <w:kern w:val="0"/>
      <w:sz w:val="16"/>
      <w:szCs w:val="16"/>
    </w:rPr>
  </w:style>
  <w:style w:type="paragraph" w:styleId="21">
    <w:name w:val="toc 2"/>
    <w:basedOn w:val="1"/>
    <w:next w:val="1"/>
    <w:autoRedefine/>
    <w:unhideWhenUsed/>
    <w:qFormat/>
    <w:uiPriority w:val="39"/>
    <w:pPr>
      <w:jc w:val="left"/>
    </w:pPr>
    <w:rPr>
      <w:rFonts w:ascii="Calibri" w:hAnsi="Calibri"/>
      <w:b/>
      <w:bCs/>
      <w:smallCaps/>
      <w:sz w:val="22"/>
      <w:szCs w:val="22"/>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60"/>
    <w:qFormat/>
    <w:uiPriority w:val="0"/>
    <w:rPr>
      <w:b/>
      <w:bCs/>
    </w:rPr>
  </w:style>
  <w:style w:type="paragraph" w:styleId="25">
    <w:name w:val="Body Text First Indent 2"/>
    <w:basedOn w:val="12"/>
    <w:next w:val="1"/>
    <w:autoRedefine/>
    <w:unhideWhenUsed/>
    <w:qFormat/>
    <w:uiPriority w:val="99"/>
    <w:pPr>
      <w:spacing w:after="120"/>
      <w:ind w:left="420" w:leftChars="200" w:firstLine="420" w:firstLineChars="200"/>
    </w:pPr>
    <w:rPr>
      <w:rFonts w:ascii="Times New Roman"/>
      <w:sz w:val="21"/>
      <w:szCs w:val="24"/>
    </w:r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basedOn w:val="28"/>
    <w:autoRedefine/>
    <w:unhideWhenUsed/>
    <w:qFormat/>
    <w:uiPriority w:val="0"/>
  </w:style>
  <w:style w:type="character" w:styleId="31">
    <w:name w:val="FollowedHyperlink"/>
    <w:basedOn w:val="28"/>
    <w:autoRedefine/>
    <w:qFormat/>
    <w:uiPriority w:val="0"/>
    <w:rPr>
      <w:rFonts w:hint="eastAsia" w:ascii="微软雅黑" w:hAnsi="微软雅黑" w:eastAsia="微软雅黑" w:cs="微软雅黑"/>
      <w:color w:val="02396F"/>
      <w:u w:val="single"/>
    </w:rPr>
  </w:style>
  <w:style w:type="character" w:styleId="32">
    <w:name w:val="Hyperlink"/>
    <w:basedOn w:val="28"/>
    <w:autoRedefine/>
    <w:unhideWhenUsed/>
    <w:qFormat/>
    <w:uiPriority w:val="99"/>
    <w:rPr>
      <w:rFonts w:hint="eastAsia" w:ascii="微软雅黑" w:hAnsi="微软雅黑" w:eastAsia="微软雅黑" w:cs="微软雅黑"/>
      <w:color w:val="02396F"/>
      <w:u w:val="single"/>
    </w:rPr>
  </w:style>
  <w:style w:type="character" w:styleId="33">
    <w:name w:val="annotation reference"/>
    <w:basedOn w:val="28"/>
    <w:qFormat/>
    <w:uiPriority w:val="0"/>
    <w:rPr>
      <w:sz w:val="21"/>
      <w:szCs w:val="21"/>
    </w:rPr>
  </w:style>
  <w:style w:type="character" w:styleId="34">
    <w:name w:val="HTML Sample"/>
    <w:basedOn w:val="28"/>
    <w:autoRedefine/>
    <w:qFormat/>
    <w:uiPriority w:val="0"/>
    <w:rPr>
      <w:rFonts w:ascii="Courier New" w:hAnsi="Courier New"/>
    </w:rPr>
  </w:style>
  <w:style w:type="character" w:customStyle="1" w:styleId="35">
    <w:name w:val="next1"/>
    <w:basedOn w:val="28"/>
    <w:autoRedefine/>
    <w:qFormat/>
    <w:uiPriority w:val="0"/>
    <w:rPr>
      <w:color w:val="888888"/>
    </w:rPr>
  </w:style>
  <w:style w:type="character" w:customStyle="1" w:styleId="36">
    <w:name w:val="prev"/>
    <w:basedOn w:val="28"/>
    <w:autoRedefine/>
    <w:qFormat/>
    <w:uiPriority w:val="0"/>
    <w:rPr>
      <w:rFonts w:hint="eastAsia" w:ascii="微软雅黑" w:hAnsi="微软雅黑" w:eastAsia="微软雅黑" w:cs="微软雅黑"/>
      <w:sz w:val="21"/>
      <w:szCs w:val="21"/>
    </w:rPr>
  </w:style>
  <w:style w:type="character" w:customStyle="1" w:styleId="37">
    <w:name w:val="next"/>
    <w:basedOn w:val="28"/>
    <w:autoRedefine/>
    <w:qFormat/>
    <w:uiPriority w:val="0"/>
    <w:rPr>
      <w:rFonts w:ascii="微软雅黑" w:hAnsi="微软雅黑" w:eastAsia="微软雅黑" w:cs="微软雅黑"/>
      <w:sz w:val="21"/>
      <w:szCs w:val="21"/>
    </w:rPr>
  </w:style>
  <w:style w:type="character" w:customStyle="1" w:styleId="38">
    <w:name w:val="redfilenumber"/>
    <w:basedOn w:val="28"/>
    <w:autoRedefine/>
    <w:qFormat/>
    <w:uiPriority w:val="0"/>
    <w:rPr>
      <w:color w:val="BA2636"/>
      <w:sz w:val="18"/>
      <w:szCs w:val="18"/>
    </w:rPr>
  </w:style>
  <w:style w:type="character" w:customStyle="1" w:styleId="39">
    <w:name w:val="qxdate"/>
    <w:basedOn w:val="28"/>
    <w:autoRedefine/>
    <w:qFormat/>
    <w:uiPriority w:val="0"/>
    <w:rPr>
      <w:color w:val="333333"/>
      <w:sz w:val="18"/>
      <w:szCs w:val="18"/>
    </w:rPr>
  </w:style>
  <w:style w:type="character" w:customStyle="1" w:styleId="40">
    <w:name w:val="gjfg"/>
    <w:basedOn w:val="28"/>
    <w:autoRedefine/>
    <w:qFormat/>
    <w:uiPriority w:val="0"/>
  </w:style>
  <w:style w:type="character" w:customStyle="1" w:styleId="41">
    <w:name w:val="redfilefwwh"/>
    <w:basedOn w:val="28"/>
    <w:autoRedefine/>
    <w:qFormat/>
    <w:uiPriority w:val="0"/>
    <w:rPr>
      <w:color w:val="BA2636"/>
      <w:sz w:val="18"/>
      <w:szCs w:val="18"/>
    </w:rPr>
  </w:style>
  <w:style w:type="character" w:customStyle="1" w:styleId="42">
    <w:name w:val="cfdate"/>
    <w:basedOn w:val="28"/>
    <w:autoRedefine/>
    <w:qFormat/>
    <w:uiPriority w:val="0"/>
    <w:rPr>
      <w:color w:val="333333"/>
      <w:sz w:val="18"/>
      <w:szCs w:val="18"/>
    </w:rPr>
  </w:style>
  <w:style w:type="character" w:customStyle="1" w:styleId="4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4">
    <w:name w:val="displayarti"/>
    <w:basedOn w:val="28"/>
    <w:autoRedefine/>
    <w:qFormat/>
    <w:uiPriority w:val="0"/>
    <w:rPr>
      <w:color w:val="FFFFFF"/>
      <w:shd w:val="clear" w:color="auto" w:fill="A00000"/>
    </w:rPr>
  </w:style>
  <w:style w:type="character" w:customStyle="1" w:styleId="45">
    <w:name w:val="prev1"/>
    <w:basedOn w:val="28"/>
    <w:autoRedefine/>
    <w:qFormat/>
    <w:uiPriority w:val="0"/>
    <w:rPr>
      <w:color w:val="888888"/>
    </w:rPr>
  </w:style>
  <w:style w:type="paragraph" w:customStyle="1" w:styleId="46">
    <w:name w:val="正文2"/>
    <w:basedOn w:val="1"/>
    <w:autoRedefine/>
    <w:qFormat/>
    <w:uiPriority w:val="0"/>
    <w:pPr>
      <w:adjustRightInd w:val="0"/>
      <w:spacing w:before="156" w:line="360" w:lineRule="auto"/>
      <w:ind w:firstLine="510" w:firstLineChars="200"/>
    </w:pPr>
    <w:rPr>
      <w:sz w:val="24"/>
      <w:szCs w:val="20"/>
    </w:rPr>
  </w:style>
  <w:style w:type="paragraph" w:customStyle="1" w:styleId="47">
    <w:name w:val="样式 标题 2 + 宋体"/>
    <w:basedOn w:val="3"/>
    <w:autoRedefine/>
    <w:qFormat/>
    <w:uiPriority w:val="99"/>
    <w:rPr>
      <w:rFonts w:ascii="宋体" w:hAnsi="宋体"/>
      <w:sz w:val="30"/>
    </w:rPr>
  </w:style>
  <w:style w:type="paragraph" w:customStyle="1" w:styleId="48">
    <w:name w:val="列表段落1"/>
    <w:basedOn w:val="1"/>
    <w:autoRedefine/>
    <w:qFormat/>
    <w:uiPriority w:val="34"/>
    <w:pPr>
      <w:ind w:firstLine="420" w:firstLineChars="200"/>
    </w:pPr>
  </w:style>
  <w:style w:type="paragraph" w:customStyle="1" w:styleId="4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50">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1">
    <w:name w:val="Table Text"/>
    <w:basedOn w:val="1"/>
    <w:autoRedefine/>
    <w:semiHidden/>
    <w:qFormat/>
    <w:uiPriority w:val="0"/>
    <w:rPr>
      <w:rFonts w:ascii="宋体" w:hAnsi="宋体" w:cs="宋体"/>
      <w:szCs w:val="21"/>
      <w:lang w:eastAsia="en-US"/>
    </w:rPr>
  </w:style>
  <w:style w:type="character" w:customStyle="1" w:styleId="52">
    <w:name w:val="font61"/>
    <w:basedOn w:val="28"/>
    <w:autoRedefine/>
    <w:qFormat/>
    <w:uiPriority w:val="0"/>
    <w:rPr>
      <w:rFonts w:hint="eastAsia" w:ascii="宋体" w:hAnsi="宋体" w:eastAsia="宋体" w:cs="宋体"/>
      <w:color w:val="000000"/>
      <w:sz w:val="21"/>
      <w:szCs w:val="21"/>
      <w:u w:val="none"/>
    </w:rPr>
  </w:style>
  <w:style w:type="character" w:customStyle="1" w:styleId="53">
    <w:name w:val="font51"/>
    <w:basedOn w:val="28"/>
    <w:autoRedefine/>
    <w:qFormat/>
    <w:uiPriority w:val="0"/>
    <w:rPr>
      <w:rFonts w:hint="eastAsia" w:ascii="宋体" w:hAnsi="宋体" w:eastAsia="宋体" w:cs="宋体"/>
      <w:b/>
      <w:bCs/>
      <w:color w:val="000000"/>
      <w:sz w:val="21"/>
      <w:szCs w:val="21"/>
      <w:u w:val="none"/>
    </w:rPr>
  </w:style>
  <w:style w:type="character" w:customStyle="1" w:styleId="54">
    <w:name w:val="font41"/>
    <w:basedOn w:val="28"/>
    <w:autoRedefine/>
    <w:qFormat/>
    <w:uiPriority w:val="0"/>
    <w:rPr>
      <w:rFonts w:hint="eastAsia" w:ascii="宋体" w:hAnsi="宋体" w:eastAsia="宋体" w:cs="宋体"/>
      <w:color w:val="000000"/>
      <w:sz w:val="21"/>
      <w:szCs w:val="21"/>
      <w:u w:val="none"/>
    </w:rPr>
  </w:style>
  <w:style w:type="paragraph" w:customStyle="1" w:styleId="55">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56">
    <w:name w:val="Normal (Web)_file_123"/>
    <w:basedOn w:val="57"/>
    <w:autoRedefine/>
    <w:semiHidden/>
    <w:unhideWhenUsed/>
    <w:qFormat/>
    <w:uiPriority w:val="99"/>
    <w:pPr>
      <w:spacing w:before="100" w:beforeAutospacing="1" w:after="100" w:afterAutospacing="1"/>
    </w:pPr>
  </w:style>
  <w:style w:type="paragraph" w:customStyle="1" w:styleId="57">
    <w:name w:val="Normal_file_123"/>
    <w:autoRedefine/>
    <w:qFormat/>
    <w:uiPriority w:val="0"/>
    <w:rPr>
      <w:rFonts w:ascii="宋体" w:hAnsi="宋体" w:eastAsia="宋体" w:cs="宋体"/>
      <w:sz w:val="24"/>
      <w:szCs w:val="24"/>
      <w:lang w:val="en-US" w:eastAsia="zh-CN" w:bidi="ar-SA"/>
    </w:rPr>
  </w:style>
  <w:style w:type="paragraph" w:customStyle="1" w:styleId="5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批注文字 字符"/>
    <w:basedOn w:val="28"/>
    <w:link w:val="10"/>
    <w:qFormat/>
    <w:uiPriority w:val="99"/>
    <w:rPr>
      <w:kern w:val="2"/>
      <w:sz w:val="21"/>
      <w:szCs w:val="24"/>
    </w:rPr>
  </w:style>
  <w:style w:type="character" w:customStyle="1" w:styleId="60">
    <w:name w:val="批注主题 字符"/>
    <w:basedOn w:val="59"/>
    <w:link w:val="24"/>
    <w:qFormat/>
    <w:uiPriority w:val="0"/>
    <w:rPr>
      <w:b/>
      <w:bCs/>
      <w:kern w:val="2"/>
      <w:sz w:val="21"/>
      <w:szCs w:val="24"/>
    </w:rPr>
  </w:style>
  <w:style w:type="paragraph" w:customStyle="1" w:styleId="6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7247</Words>
  <Characters>8483</Characters>
  <Lines>1750</Lines>
  <Paragraphs>1749</Paragraphs>
  <TotalTime>28</TotalTime>
  <ScaleCrop>false</ScaleCrop>
  <LinksUpToDate>false</LinksUpToDate>
  <CharactersWithSpaces>8694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2025-10-27T09:58:00Z</dcterms:created>
  <dc:creator>Administrator</dc:creator>
  <cp:lastModifiedBy>Min</cp:lastModifiedBy>
  <dcterms:modified xsi:type="dcterms:W3CDTF">2025-11-07T13:04:31Z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8D9C05837C2B4C7695A7B4A89E28091E_13</vt:lpwstr>
  </property>
  <property fmtid="{D5CDD505-2E9C-101B-9397-08002B2CF9AE}" pid="4" name="KSOTemplateDocerSaveRecord">
    <vt:lpwstr>eyJoZGlkIjoiMjkwZWMzN2YxZmVhZDFiYjYwOWIxZjgzNzg3NmE1YjgiLCJ1c2VySWQiOiIyNjY0Njg2OTMifQ==</vt:lpwstr>
  </property>
</Properties>
</file>