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DCF2B">
      <w:pPr>
        <w:rPr>
          <w:b/>
          <w:bCs/>
          <w:color w:val="auto"/>
          <w:sz w:val="28"/>
          <w:szCs w:val="22"/>
          <w:highlight w:val="none"/>
        </w:rPr>
      </w:pPr>
      <w:r>
        <w:rPr>
          <w:rFonts w:hint="eastAsia"/>
          <w:b/>
          <w:bCs/>
          <w:color w:val="auto"/>
          <w:sz w:val="28"/>
          <w:szCs w:val="22"/>
          <w:highlight w:val="none"/>
        </w:rPr>
        <w:t>附件：调整后的评标办法及评分标准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559"/>
        <w:gridCol w:w="1701"/>
        <w:gridCol w:w="6254"/>
      </w:tblGrid>
      <w:tr w14:paraId="086F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gridSpan w:val="2"/>
            <w:noWrap w:val="0"/>
            <w:vAlign w:val="center"/>
          </w:tcPr>
          <w:p w14:paraId="5A885DCD">
            <w:pPr>
              <w:adjustRightInd w:val="0"/>
              <w:spacing w:line="400" w:lineRule="exact"/>
              <w:jc w:val="center"/>
              <w:textAlignment w:val="baseline"/>
              <w:rPr>
                <w:rFonts w:hAnsi="宋体"/>
                <w:color w:val="auto"/>
                <w:sz w:val="21"/>
                <w:highlight w:val="none"/>
              </w:rPr>
            </w:pPr>
            <w:r>
              <w:rPr>
                <w:rFonts w:hint="eastAsia" w:hAnsi="宋体"/>
                <w:b/>
                <w:color w:val="auto"/>
                <w:sz w:val="21"/>
                <w:highlight w:val="none"/>
              </w:rPr>
              <w:t>序号</w:t>
            </w:r>
          </w:p>
        </w:tc>
        <w:tc>
          <w:tcPr>
            <w:tcW w:w="1701" w:type="dxa"/>
            <w:noWrap w:val="0"/>
            <w:vAlign w:val="center"/>
          </w:tcPr>
          <w:p w14:paraId="57F81028">
            <w:pPr>
              <w:adjustRightInd w:val="0"/>
              <w:spacing w:line="400" w:lineRule="exact"/>
              <w:jc w:val="center"/>
              <w:textAlignment w:val="baseline"/>
              <w:rPr>
                <w:rFonts w:hAnsi="宋体"/>
                <w:color w:val="auto"/>
                <w:sz w:val="21"/>
                <w:highlight w:val="none"/>
              </w:rPr>
            </w:pPr>
            <w:r>
              <w:rPr>
                <w:rFonts w:hint="eastAsia" w:hAnsi="宋体"/>
                <w:b/>
                <w:color w:val="auto"/>
                <w:sz w:val="21"/>
                <w:highlight w:val="none"/>
              </w:rPr>
              <w:t>评分因素</w:t>
            </w:r>
          </w:p>
        </w:tc>
        <w:tc>
          <w:tcPr>
            <w:tcW w:w="6254" w:type="dxa"/>
            <w:noWrap w:val="0"/>
            <w:vAlign w:val="center"/>
          </w:tcPr>
          <w:p w14:paraId="08375EED">
            <w:pPr>
              <w:adjustRightInd w:val="0"/>
              <w:spacing w:line="400" w:lineRule="exact"/>
              <w:jc w:val="center"/>
              <w:textAlignment w:val="baseline"/>
              <w:rPr>
                <w:rFonts w:hAnsi="宋体"/>
                <w:color w:val="auto"/>
                <w:sz w:val="21"/>
                <w:highlight w:val="none"/>
              </w:rPr>
            </w:pPr>
            <w:r>
              <w:rPr>
                <w:rFonts w:hint="eastAsia" w:hAnsi="宋体"/>
                <w:b/>
                <w:color w:val="auto"/>
                <w:sz w:val="21"/>
                <w:highlight w:val="none"/>
              </w:rPr>
              <w:t>评分标准</w:t>
            </w:r>
          </w:p>
        </w:tc>
      </w:tr>
      <w:tr w14:paraId="5518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375" w:type="dxa"/>
            <w:noWrap w:val="0"/>
            <w:vAlign w:val="center"/>
          </w:tcPr>
          <w:p w14:paraId="18C30CBF">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1</w:t>
            </w:r>
          </w:p>
        </w:tc>
        <w:tc>
          <w:tcPr>
            <w:tcW w:w="1559" w:type="dxa"/>
            <w:noWrap w:val="0"/>
            <w:vAlign w:val="center"/>
          </w:tcPr>
          <w:p w14:paraId="4BE4FA3A">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价格分</w:t>
            </w:r>
          </w:p>
          <w:p w14:paraId="36874B5D">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（满分</w:t>
            </w:r>
            <w:r>
              <w:rPr>
                <w:rFonts w:hAnsi="宋体"/>
                <w:color w:val="auto"/>
                <w:sz w:val="21"/>
                <w:highlight w:val="none"/>
              </w:rPr>
              <w:t>30</w:t>
            </w:r>
            <w:r>
              <w:rPr>
                <w:rFonts w:hint="eastAsia" w:hAnsi="宋体"/>
                <w:color w:val="auto"/>
                <w:sz w:val="21"/>
                <w:highlight w:val="none"/>
              </w:rPr>
              <w:t>分）</w:t>
            </w:r>
          </w:p>
        </w:tc>
        <w:tc>
          <w:tcPr>
            <w:tcW w:w="1701" w:type="dxa"/>
            <w:noWrap w:val="0"/>
            <w:vAlign w:val="center"/>
          </w:tcPr>
          <w:p w14:paraId="0EFEABE4">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投标报价</w:t>
            </w:r>
          </w:p>
        </w:tc>
        <w:tc>
          <w:tcPr>
            <w:tcW w:w="6254" w:type="dxa"/>
            <w:noWrap w:val="0"/>
            <w:vAlign w:val="center"/>
          </w:tcPr>
          <w:p w14:paraId="4334CB28">
            <w:pPr>
              <w:snapToGrid w:val="0"/>
              <w:spacing w:line="400" w:lineRule="exact"/>
              <w:ind w:firstLine="466" w:firstLineChars="222"/>
              <w:jc w:val="both"/>
              <w:rPr>
                <w:rFonts w:hAnsi="宋体"/>
                <w:bCs/>
                <w:color w:val="auto"/>
                <w:sz w:val="21"/>
                <w:highlight w:val="none"/>
              </w:rPr>
            </w:pPr>
            <w:r>
              <w:rPr>
                <w:rFonts w:hint="eastAsia" w:hAnsi="宋体"/>
                <w:bCs/>
                <w:color w:val="auto"/>
                <w:sz w:val="21"/>
                <w:highlight w:val="none"/>
              </w:rPr>
              <w:t>（1）评标价为投标人的投标报价进行政策性扣除后的价格，评标价只是作为评标时使用。最终中标供应商的中标金额＝投标报价。</w:t>
            </w:r>
            <w:bookmarkStart w:id="0" w:name="_GoBack"/>
            <w:bookmarkEnd w:id="0"/>
          </w:p>
          <w:p w14:paraId="237E859F">
            <w:pPr>
              <w:snapToGrid w:val="0"/>
              <w:spacing w:line="400" w:lineRule="exact"/>
              <w:ind w:firstLine="466" w:firstLineChars="222"/>
              <w:jc w:val="both"/>
              <w:rPr>
                <w:rFonts w:hAnsi="宋体"/>
                <w:color w:val="auto"/>
                <w:sz w:val="21"/>
                <w:highlight w:val="none"/>
              </w:rPr>
            </w:pPr>
            <w:r>
              <w:rPr>
                <w:rFonts w:hint="eastAsia" w:hAnsi="宋体"/>
                <w:bCs/>
                <w:color w:val="auto"/>
                <w:sz w:val="21"/>
                <w:highlight w:val="none"/>
              </w:rPr>
              <w:t>（2）</w:t>
            </w:r>
            <w:r>
              <w:rPr>
                <w:rFonts w:hint="eastAsia" w:hAnsi="宋体"/>
                <w:color w:val="auto"/>
                <w:sz w:val="21"/>
                <w:highlight w:val="none"/>
              </w:rPr>
              <w:t>按照《政府采购促进中小企业发展管理办法》（财库〔2020〕46号）、《关于进一步加大政府采购支持中小企业力度的通知》（财库〔202</w:t>
            </w:r>
            <w:r>
              <w:rPr>
                <w:rFonts w:hAnsi="宋体"/>
                <w:color w:val="auto"/>
                <w:sz w:val="21"/>
                <w:highlight w:val="none"/>
              </w:rPr>
              <w:t>2</w:t>
            </w:r>
            <w:r>
              <w:rPr>
                <w:rFonts w:hint="eastAsia" w:hAnsi="宋体"/>
                <w:color w:val="auto"/>
                <w:sz w:val="21"/>
                <w:highlight w:val="none"/>
              </w:rPr>
              <w:t>〕</w:t>
            </w:r>
            <w:r>
              <w:rPr>
                <w:rFonts w:hAnsi="宋体"/>
                <w:color w:val="auto"/>
                <w:sz w:val="21"/>
                <w:highlight w:val="none"/>
              </w:rPr>
              <w:t>19</w:t>
            </w:r>
            <w:r>
              <w:rPr>
                <w:rFonts w:hint="eastAsia" w:hAnsi="宋体"/>
                <w:color w:val="auto"/>
                <w:sz w:val="21"/>
                <w:highlight w:val="none"/>
              </w:rPr>
              <w:t>号）及《关于对政府采购领域扶持中小企业的政策进行调整的通知》（柳财采〔2022〕18号）之规定，投标人所投产品全部为小型或者微型企业产品的，对其投标价格给予</w:t>
            </w:r>
            <w:r>
              <w:rPr>
                <w:rFonts w:hAnsi="宋体"/>
                <w:color w:val="auto"/>
                <w:sz w:val="21"/>
                <w:highlight w:val="none"/>
              </w:rPr>
              <w:t>20</w:t>
            </w:r>
            <w:r>
              <w:rPr>
                <w:rFonts w:hint="eastAsia" w:hAnsi="宋体"/>
                <w:color w:val="auto"/>
                <w:sz w:val="21"/>
                <w:highlight w:val="none"/>
              </w:rPr>
              <w:t>%的扣除。</w:t>
            </w:r>
            <w:r>
              <w:rPr>
                <w:rFonts w:hint="eastAsia" w:hAnsi="宋体"/>
                <w:b/>
                <w:color w:val="auto"/>
                <w:sz w:val="21"/>
                <w:highlight w:val="none"/>
              </w:rPr>
              <w:t>[投标人须在投标文件中提供《中小企业声明函》（按第六章要求格式填写），否则不予价格扣除；</w:t>
            </w:r>
            <w:r>
              <w:rPr>
                <w:rFonts w:hint="eastAsia" w:hAnsi="宋体"/>
                <w:b/>
                <w:bCs/>
                <w:color w:val="auto"/>
                <w:sz w:val="21"/>
                <w:highlight w:val="none"/>
              </w:rPr>
              <w:t>并随中标结果同时公告其《</w:t>
            </w:r>
            <w:r>
              <w:rPr>
                <w:rFonts w:hint="eastAsia" w:hAnsi="宋体"/>
                <w:b/>
                <w:color w:val="auto"/>
                <w:sz w:val="21"/>
                <w:highlight w:val="none"/>
              </w:rPr>
              <w:t>中小企业声明函</w:t>
            </w:r>
            <w:r>
              <w:rPr>
                <w:rFonts w:hint="eastAsia" w:hAnsi="宋体"/>
                <w:b/>
                <w:bCs/>
                <w:color w:val="auto"/>
                <w:sz w:val="21"/>
                <w:highlight w:val="none"/>
              </w:rPr>
              <w:t>》，接受社会监督。</w:t>
            </w:r>
            <w:r>
              <w:rPr>
                <w:rFonts w:hint="eastAsia" w:hAnsi="宋体"/>
                <w:b/>
                <w:color w:val="auto"/>
                <w:sz w:val="21"/>
                <w:highlight w:val="none"/>
              </w:rPr>
              <w:t>投标人提供的《中小企业声明函》与事实不符的，依照《中华人民共和国政府采购法》第七十七条第一款的规定追究法律责任]。</w:t>
            </w:r>
          </w:p>
          <w:p w14:paraId="22960165">
            <w:pPr>
              <w:snapToGrid w:val="0"/>
              <w:spacing w:line="400" w:lineRule="exact"/>
              <w:ind w:firstLine="466" w:firstLineChars="222"/>
              <w:jc w:val="both"/>
              <w:rPr>
                <w:rFonts w:hAnsi="宋体"/>
                <w:bCs/>
                <w:color w:val="auto"/>
                <w:sz w:val="21"/>
                <w:highlight w:val="none"/>
              </w:rPr>
            </w:pPr>
            <w:r>
              <w:rPr>
                <w:rFonts w:hint="eastAsia" w:hAnsi="宋体"/>
                <w:bCs/>
                <w:color w:val="auto"/>
                <w:sz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hAnsi="宋体"/>
                <w:b/>
                <w:bCs/>
                <w:color w:val="auto"/>
                <w:sz w:val="21"/>
                <w:highlight w:val="none"/>
              </w:rPr>
              <w:t>监狱企业参加政府采购活动时，应当提供由省级以上监狱管理局、戒毒管理局（含新疆生产建设兵团）出具的属于监狱企业的证明文件复印件</w:t>
            </w:r>
            <w:r>
              <w:rPr>
                <w:rFonts w:hint="eastAsia" w:hAnsi="宋体"/>
                <w:bCs/>
                <w:color w:val="auto"/>
                <w:sz w:val="21"/>
                <w:highlight w:val="none"/>
              </w:rPr>
              <w:t>。监狱企业属于小型、微型企业的，不重复享受政策。</w:t>
            </w:r>
          </w:p>
          <w:p w14:paraId="5ADA1853">
            <w:pPr>
              <w:snapToGrid w:val="0"/>
              <w:spacing w:line="400" w:lineRule="exact"/>
              <w:ind w:firstLine="466" w:firstLineChars="222"/>
              <w:jc w:val="both"/>
              <w:rPr>
                <w:rFonts w:hAnsi="宋体"/>
                <w:bCs/>
                <w:color w:val="auto"/>
                <w:sz w:val="21"/>
                <w:highlight w:val="none"/>
              </w:rPr>
            </w:pPr>
            <w:r>
              <w:rPr>
                <w:rFonts w:hint="eastAsia" w:hAnsi="宋体"/>
                <w:color w:val="auto"/>
                <w:sz w:val="21"/>
                <w:highlight w:val="none"/>
              </w:rPr>
              <w:t>（4）按照</w:t>
            </w:r>
            <w:r>
              <w:rPr>
                <w:rFonts w:hint="eastAsia" w:hAnsi="宋体"/>
                <w:bCs/>
                <w:color w:val="auto"/>
                <w:sz w:val="21"/>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r>
              <w:rPr>
                <w:rFonts w:hint="eastAsia" w:hAnsi="宋体"/>
                <w:b/>
                <w:bCs/>
                <w:color w:val="auto"/>
                <w:sz w:val="21"/>
                <w:highlight w:val="none"/>
              </w:rPr>
              <w:t>投标人须在投标文件中提供《残疾人福利性单位声明函》（按第六章要求格式填写），否则不予价格扣除；并随中标结果同时公告其《残疾人福利性单位声明函》，接受社会监督。投标人提供的《残疾人福利性单位声明函》与事实不符的，依照《政府采购法》第七十七条第一款的规定追究法律责任</w:t>
            </w:r>
            <w:r>
              <w:rPr>
                <w:rFonts w:hint="eastAsia" w:hAnsi="宋体"/>
                <w:bCs/>
                <w:color w:val="auto"/>
                <w:sz w:val="21"/>
                <w:highlight w:val="none"/>
              </w:rPr>
              <w:t>]</w:t>
            </w:r>
          </w:p>
          <w:p w14:paraId="768128CF">
            <w:pPr>
              <w:snapToGrid w:val="0"/>
              <w:spacing w:line="400" w:lineRule="exact"/>
              <w:ind w:firstLine="466" w:firstLineChars="222"/>
              <w:jc w:val="both"/>
              <w:rPr>
                <w:rFonts w:hAnsi="宋体"/>
                <w:bCs/>
                <w:color w:val="auto"/>
                <w:sz w:val="21"/>
                <w:highlight w:val="none"/>
              </w:rPr>
            </w:pPr>
            <w:r>
              <w:rPr>
                <w:rFonts w:hint="eastAsia" w:hAnsi="宋体"/>
                <w:bCs/>
                <w:color w:val="auto"/>
                <w:sz w:val="21"/>
                <w:highlight w:val="none"/>
              </w:rPr>
              <w:t>（5）政策性扣除计算方法。</w:t>
            </w:r>
          </w:p>
          <w:p w14:paraId="4ECBD9AD">
            <w:pPr>
              <w:snapToGrid w:val="0"/>
              <w:spacing w:line="400" w:lineRule="exact"/>
              <w:ind w:firstLine="466" w:firstLineChars="222"/>
              <w:jc w:val="both"/>
              <w:rPr>
                <w:rFonts w:hAnsi="宋体"/>
                <w:bCs/>
                <w:color w:val="auto"/>
                <w:sz w:val="21"/>
                <w:highlight w:val="none"/>
              </w:rPr>
            </w:pPr>
            <w:r>
              <w:rPr>
                <w:rFonts w:hint="eastAsia" w:hAnsi="宋体"/>
                <w:bCs/>
                <w:color w:val="auto"/>
                <w:sz w:val="21"/>
                <w:highlight w:val="none"/>
              </w:rPr>
              <w:t>投标人所投全部货物由小型或者微型企业制造，则其投标报价给予</w:t>
            </w:r>
            <w:r>
              <w:rPr>
                <w:rFonts w:hAnsi="宋体"/>
                <w:bCs/>
                <w:color w:val="auto"/>
                <w:sz w:val="21"/>
                <w:highlight w:val="none"/>
              </w:rPr>
              <w:t>20</w:t>
            </w:r>
            <w:r>
              <w:rPr>
                <w:rFonts w:hint="eastAsia" w:hAnsi="宋体"/>
                <w:bCs/>
                <w:color w:val="auto"/>
                <w:sz w:val="21"/>
                <w:highlight w:val="none"/>
              </w:rPr>
              <w:t>%的扣除，扣除后的价格为评标报价，即评标报价=投标报价×（1-</w:t>
            </w:r>
            <w:r>
              <w:rPr>
                <w:rFonts w:hAnsi="宋体"/>
                <w:bCs/>
                <w:color w:val="auto"/>
                <w:sz w:val="21"/>
                <w:highlight w:val="none"/>
              </w:rPr>
              <w:t>20</w:t>
            </w:r>
            <w:r>
              <w:rPr>
                <w:rFonts w:hint="eastAsia" w:hAnsi="宋体"/>
                <w:bCs/>
                <w:color w:val="auto"/>
                <w:sz w:val="21"/>
                <w:highlight w:val="none"/>
              </w:rPr>
              <w:t>%）。除上述情况外，评标报价=投标报价。</w:t>
            </w:r>
          </w:p>
          <w:p w14:paraId="5C68FD34">
            <w:pPr>
              <w:snapToGrid w:val="0"/>
              <w:spacing w:line="400" w:lineRule="exact"/>
              <w:ind w:firstLine="466" w:firstLineChars="222"/>
              <w:rPr>
                <w:rFonts w:hAnsi="宋体"/>
                <w:bCs/>
                <w:color w:val="auto"/>
                <w:sz w:val="21"/>
                <w:highlight w:val="none"/>
              </w:rPr>
            </w:pPr>
            <w:r>
              <w:rPr>
                <w:rFonts w:hint="eastAsia" w:hAnsi="宋体"/>
                <w:bCs/>
                <w:color w:val="auto"/>
                <w:sz w:val="21"/>
                <w:highlight w:val="none"/>
              </w:rPr>
              <w:t>（6）以进入综合评分环节的最低的评标报价为基准价，基准价报价得分为</w:t>
            </w:r>
            <w:r>
              <w:rPr>
                <w:rFonts w:hAnsi="宋体"/>
                <w:bCs/>
                <w:color w:val="auto"/>
                <w:sz w:val="21"/>
                <w:highlight w:val="none"/>
              </w:rPr>
              <w:t>30</w:t>
            </w:r>
            <w:r>
              <w:rPr>
                <w:rFonts w:hint="eastAsia" w:hAnsi="宋体"/>
                <w:bCs/>
                <w:color w:val="auto"/>
                <w:sz w:val="21"/>
                <w:highlight w:val="none"/>
              </w:rPr>
              <w:t>分。</w:t>
            </w:r>
          </w:p>
          <w:p w14:paraId="376E9500">
            <w:pPr>
              <w:snapToGrid w:val="0"/>
              <w:spacing w:line="400" w:lineRule="exact"/>
              <w:ind w:firstLine="466" w:firstLineChars="222"/>
              <w:rPr>
                <w:rFonts w:hAnsi="宋体"/>
                <w:bCs/>
                <w:color w:val="auto"/>
                <w:sz w:val="21"/>
                <w:highlight w:val="none"/>
              </w:rPr>
            </w:pPr>
            <w:r>
              <w:rPr>
                <w:rFonts w:hint="eastAsia" w:hAnsi="宋体"/>
                <w:bCs/>
                <w:color w:val="auto"/>
                <w:sz w:val="21"/>
                <w:highlight w:val="none"/>
              </w:rPr>
              <w:t xml:space="preserve">（7）价格分计算公式： </w:t>
            </w:r>
          </w:p>
          <w:p w14:paraId="30CAF382">
            <w:pPr>
              <w:spacing w:line="400" w:lineRule="exact"/>
              <w:ind w:firstLine="420" w:firstLineChars="200"/>
              <w:outlineLvl w:val="0"/>
              <w:rPr>
                <w:rFonts w:hint="eastAsia" w:hAnsi="宋体"/>
                <w:bCs/>
                <w:color w:val="auto"/>
                <w:sz w:val="21"/>
                <w:highlight w:val="none"/>
              </w:rPr>
            </w:pPr>
            <w:r>
              <w:rPr>
                <w:rFonts w:hint="eastAsia" w:hAnsi="宋体"/>
                <w:bCs/>
                <w:color w:val="auto"/>
                <w:sz w:val="21"/>
                <w:highlight w:val="none"/>
              </w:rPr>
              <w:t>某投标人价格分=基准价/某投标人评标报价金额×</w:t>
            </w:r>
            <w:r>
              <w:rPr>
                <w:rFonts w:hAnsi="宋体"/>
                <w:bCs/>
                <w:color w:val="auto"/>
                <w:sz w:val="21"/>
                <w:highlight w:val="none"/>
              </w:rPr>
              <w:t>30</w:t>
            </w:r>
            <w:r>
              <w:rPr>
                <w:rFonts w:hint="eastAsia" w:hAnsi="宋体"/>
                <w:bCs/>
                <w:color w:val="auto"/>
                <w:sz w:val="21"/>
                <w:highlight w:val="none"/>
              </w:rPr>
              <w:t>分。</w:t>
            </w:r>
          </w:p>
        </w:tc>
      </w:tr>
      <w:tr w14:paraId="5A93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375" w:type="dxa"/>
            <w:vMerge w:val="restart"/>
            <w:noWrap w:val="0"/>
            <w:vAlign w:val="center"/>
          </w:tcPr>
          <w:p w14:paraId="74E23951">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2</w:t>
            </w:r>
          </w:p>
        </w:tc>
        <w:tc>
          <w:tcPr>
            <w:tcW w:w="1559" w:type="dxa"/>
            <w:vMerge w:val="restart"/>
            <w:noWrap w:val="0"/>
            <w:vAlign w:val="center"/>
          </w:tcPr>
          <w:p w14:paraId="65C73749">
            <w:pPr>
              <w:adjustRightInd w:val="0"/>
              <w:spacing w:line="400" w:lineRule="exact"/>
              <w:ind w:left="-120" w:leftChars="-50" w:right="-120" w:rightChars="-50"/>
              <w:jc w:val="center"/>
              <w:textAlignment w:val="baseline"/>
              <w:rPr>
                <w:rFonts w:hint="eastAsia" w:hAnsi="宋体"/>
                <w:bCs/>
                <w:color w:val="auto"/>
                <w:sz w:val="21"/>
                <w:highlight w:val="none"/>
              </w:rPr>
            </w:pPr>
            <w:r>
              <w:rPr>
                <w:rFonts w:hint="eastAsia" w:hAnsi="宋体"/>
                <w:bCs/>
                <w:color w:val="auto"/>
                <w:sz w:val="21"/>
                <w:highlight w:val="none"/>
              </w:rPr>
              <w:t>技术分</w:t>
            </w:r>
          </w:p>
          <w:p w14:paraId="3E1219CA">
            <w:pPr>
              <w:adjustRightInd w:val="0"/>
              <w:spacing w:line="400" w:lineRule="exact"/>
              <w:ind w:left="-120" w:leftChars="-50" w:right="-120" w:rightChars="-50"/>
              <w:jc w:val="center"/>
              <w:textAlignment w:val="baseline"/>
              <w:rPr>
                <w:rFonts w:hint="eastAsia" w:hAnsi="宋体"/>
                <w:color w:val="auto"/>
                <w:sz w:val="21"/>
                <w:highlight w:val="none"/>
              </w:rPr>
            </w:pPr>
            <w:r>
              <w:rPr>
                <w:rFonts w:hint="eastAsia" w:hAnsi="宋体"/>
                <w:bCs/>
                <w:color w:val="auto"/>
                <w:sz w:val="21"/>
                <w:highlight w:val="none"/>
              </w:rPr>
              <w:t>（</w:t>
            </w:r>
            <w:r>
              <w:rPr>
                <w:rFonts w:hint="eastAsia" w:hAnsi="宋体"/>
                <w:color w:val="auto"/>
                <w:sz w:val="21"/>
                <w:highlight w:val="none"/>
              </w:rPr>
              <w:t>满分</w:t>
            </w:r>
            <w:r>
              <w:rPr>
                <w:rFonts w:hint="eastAsia" w:hAnsi="宋体"/>
                <w:color w:val="auto"/>
                <w:sz w:val="21"/>
                <w:highlight w:val="none"/>
                <w:lang w:val="en-US" w:eastAsia="zh-CN"/>
              </w:rPr>
              <w:t>36</w:t>
            </w:r>
            <w:r>
              <w:rPr>
                <w:rFonts w:hint="eastAsia" w:hAnsi="宋体"/>
                <w:bCs/>
                <w:color w:val="auto"/>
                <w:sz w:val="21"/>
                <w:highlight w:val="none"/>
              </w:rPr>
              <w:t>分）</w:t>
            </w:r>
          </w:p>
        </w:tc>
        <w:tc>
          <w:tcPr>
            <w:tcW w:w="1701" w:type="dxa"/>
            <w:noWrap w:val="0"/>
            <w:tcMar>
              <w:left w:w="57" w:type="dxa"/>
              <w:right w:w="57" w:type="dxa"/>
            </w:tcMar>
            <w:vAlign w:val="center"/>
          </w:tcPr>
          <w:p w14:paraId="05273723">
            <w:pPr>
              <w:snapToGrid w:val="0"/>
              <w:spacing w:line="400" w:lineRule="exact"/>
              <w:jc w:val="center"/>
              <w:rPr>
                <w:rFonts w:hint="eastAsia" w:hAnsi="宋体"/>
                <w:bCs/>
                <w:color w:val="auto"/>
                <w:sz w:val="21"/>
                <w:highlight w:val="none"/>
              </w:rPr>
            </w:pPr>
            <w:r>
              <w:rPr>
                <w:rFonts w:hint="eastAsia" w:hAnsi="宋体"/>
                <w:bCs/>
                <w:color w:val="auto"/>
                <w:sz w:val="21"/>
                <w:highlight w:val="none"/>
              </w:rPr>
              <w:t>产品性能</w:t>
            </w:r>
          </w:p>
          <w:p w14:paraId="5B6119DE">
            <w:pPr>
              <w:snapToGrid w:val="0"/>
              <w:spacing w:line="400" w:lineRule="exact"/>
              <w:jc w:val="center"/>
              <w:rPr>
                <w:rFonts w:hint="eastAsia" w:hAnsi="宋体"/>
                <w:bCs/>
                <w:color w:val="auto"/>
                <w:sz w:val="21"/>
                <w:highlight w:val="none"/>
              </w:rPr>
            </w:pPr>
            <w:r>
              <w:rPr>
                <w:rFonts w:hint="eastAsia" w:hAnsi="宋体"/>
                <w:bCs/>
                <w:color w:val="auto"/>
                <w:sz w:val="21"/>
                <w:highlight w:val="none"/>
              </w:rPr>
              <w:t>（满分</w:t>
            </w:r>
            <w:r>
              <w:rPr>
                <w:rFonts w:hint="eastAsia" w:hAnsi="宋体"/>
                <w:bCs/>
                <w:color w:val="auto"/>
                <w:sz w:val="21"/>
                <w:highlight w:val="none"/>
                <w:lang w:val="en-US" w:eastAsia="zh-CN"/>
              </w:rPr>
              <w:t>20</w:t>
            </w:r>
            <w:r>
              <w:rPr>
                <w:rFonts w:hint="eastAsia" w:hAnsi="宋体"/>
                <w:bCs/>
                <w:color w:val="auto"/>
                <w:sz w:val="21"/>
                <w:highlight w:val="none"/>
              </w:rPr>
              <w:t>分）</w:t>
            </w:r>
          </w:p>
        </w:tc>
        <w:tc>
          <w:tcPr>
            <w:tcW w:w="6254" w:type="dxa"/>
            <w:noWrap w:val="0"/>
            <w:vAlign w:val="center"/>
          </w:tcPr>
          <w:p w14:paraId="4B255387">
            <w:pPr>
              <w:snapToGrid w:val="0"/>
              <w:spacing w:line="400" w:lineRule="exact"/>
              <w:ind w:firstLine="466" w:firstLineChars="222"/>
              <w:jc w:val="both"/>
              <w:rPr>
                <w:rFonts w:hint="eastAsia" w:hAnsi="宋体"/>
                <w:b w:val="0"/>
                <w:bCs w:val="0"/>
                <w:color w:val="auto"/>
                <w:sz w:val="21"/>
                <w:highlight w:val="none"/>
              </w:rPr>
            </w:pPr>
            <w:r>
              <w:rPr>
                <w:rFonts w:hint="eastAsia" w:hAnsi="宋体"/>
                <w:b w:val="0"/>
                <w:bCs w:val="0"/>
                <w:color w:val="auto"/>
                <w:sz w:val="21"/>
                <w:highlight w:val="none"/>
              </w:rPr>
              <w:t>一档（0分）：经评审认定的技术指标有5项负偏离项；</w:t>
            </w:r>
          </w:p>
          <w:p w14:paraId="1D5BEB91">
            <w:pPr>
              <w:snapToGrid w:val="0"/>
              <w:spacing w:line="400" w:lineRule="exact"/>
              <w:ind w:firstLine="466" w:firstLineChars="222"/>
              <w:jc w:val="both"/>
              <w:rPr>
                <w:rFonts w:hint="eastAsia" w:hAnsi="宋体"/>
                <w:b w:val="0"/>
                <w:bCs w:val="0"/>
                <w:color w:val="auto"/>
                <w:sz w:val="21"/>
                <w:highlight w:val="none"/>
              </w:rPr>
            </w:pPr>
            <w:r>
              <w:rPr>
                <w:rFonts w:hint="eastAsia" w:hAnsi="宋体"/>
                <w:b w:val="0"/>
                <w:bCs w:val="0"/>
                <w:color w:val="auto"/>
                <w:sz w:val="21"/>
                <w:highlight w:val="none"/>
              </w:rPr>
              <w:t>二档（4分）：经评审认定的技术指标有4项负偏离项；</w:t>
            </w:r>
          </w:p>
          <w:p w14:paraId="6FDD4F6B">
            <w:pPr>
              <w:snapToGrid w:val="0"/>
              <w:spacing w:line="400" w:lineRule="exact"/>
              <w:ind w:firstLine="466" w:firstLineChars="222"/>
              <w:jc w:val="both"/>
              <w:rPr>
                <w:rFonts w:hint="eastAsia" w:hAnsi="宋体"/>
                <w:b w:val="0"/>
                <w:bCs w:val="0"/>
                <w:color w:val="auto"/>
                <w:sz w:val="21"/>
                <w:highlight w:val="none"/>
              </w:rPr>
            </w:pPr>
            <w:r>
              <w:rPr>
                <w:rFonts w:hint="eastAsia" w:hAnsi="宋体"/>
                <w:b w:val="0"/>
                <w:bCs w:val="0"/>
                <w:color w:val="auto"/>
                <w:sz w:val="21"/>
                <w:highlight w:val="none"/>
              </w:rPr>
              <w:t>三档（8分）：经评审认定的技术指标有3项负偏离项；</w:t>
            </w:r>
          </w:p>
          <w:p w14:paraId="633DD2C8">
            <w:pPr>
              <w:snapToGrid w:val="0"/>
              <w:spacing w:line="400" w:lineRule="exact"/>
              <w:ind w:firstLine="466" w:firstLineChars="222"/>
              <w:jc w:val="both"/>
              <w:rPr>
                <w:rFonts w:hint="eastAsia" w:hAnsi="宋体"/>
                <w:b w:val="0"/>
                <w:bCs w:val="0"/>
                <w:color w:val="auto"/>
                <w:sz w:val="21"/>
                <w:highlight w:val="none"/>
              </w:rPr>
            </w:pPr>
            <w:r>
              <w:rPr>
                <w:rFonts w:hint="eastAsia" w:hAnsi="宋体"/>
                <w:b w:val="0"/>
                <w:bCs w:val="0"/>
                <w:color w:val="auto"/>
                <w:sz w:val="21"/>
                <w:highlight w:val="none"/>
              </w:rPr>
              <w:t>四档（12分）：经评审认定的技术指标有2项负偏离项；</w:t>
            </w:r>
          </w:p>
          <w:p w14:paraId="113C3133">
            <w:pPr>
              <w:snapToGrid w:val="0"/>
              <w:spacing w:line="400" w:lineRule="exact"/>
              <w:ind w:firstLine="466" w:firstLineChars="222"/>
              <w:jc w:val="both"/>
              <w:rPr>
                <w:rFonts w:hint="eastAsia" w:hAnsi="宋体"/>
                <w:b w:val="0"/>
                <w:bCs w:val="0"/>
                <w:color w:val="auto"/>
                <w:sz w:val="21"/>
                <w:highlight w:val="none"/>
              </w:rPr>
            </w:pPr>
            <w:r>
              <w:rPr>
                <w:rFonts w:hint="eastAsia" w:hAnsi="宋体"/>
                <w:b w:val="0"/>
                <w:bCs w:val="0"/>
                <w:color w:val="auto"/>
                <w:sz w:val="21"/>
                <w:highlight w:val="none"/>
              </w:rPr>
              <w:t>五档（16分）：经评审认定的技术指标有1项负偏离项；</w:t>
            </w:r>
          </w:p>
          <w:p w14:paraId="7C69CA30">
            <w:pPr>
              <w:snapToGrid w:val="0"/>
              <w:spacing w:line="400" w:lineRule="exact"/>
              <w:ind w:firstLine="466" w:firstLineChars="222"/>
              <w:jc w:val="both"/>
              <w:rPr>
                <w:rFonts w:hint="eastAsia" w:hAnsi="宋体"/>
                <w:b w:val="0"/>
                <w:bCs w:val="0"/>
                <w:color w:val="auto"/>
                <w:sz w:val="21"/>
                <w:highlight w:val="none"/>
              </w:rPr>
            </w:pPr>
            <w:r>
              <w:rPr>
                <w:rFonts w:hint="eastAsia" w:hAnsi="宋体"/>
                <w:b w:val="0"/>
                <w:bCs w:val="0"/>
                <w:color w:val="auto"/>
                <w:sz w:val="21"/>
                <w:highlight w:val="none"/>
              </w:rPr>
              <w:t>六档（20分）：经评审认定的全部技术指标无负偏离。</w:t>
            </w:r>
          </w:p>
          <w:p w14:paraId="2A738632">
            <w:pPr>
              <w:snapToGrid w:val="0"/>
              <w:spacing w:line="400" w:lineRule="exact"/>
              <w:ind w:firstLine="468" w:firstLineChars="222"/>
              <w:jc w:val="both"/>
              <w:rPr>
                <w:rFonts w:hint="eastAsia" w:hAnsi="宋体"/>
                <w:bCs/>
                <w:color w:val="auto"/>
                <w:sz w:val="21"/>
                <w:highlight w:val="none"/>
              </w:rPr>
            </w:pPr>
            <w:r>
              <w:rPr>
                <w:rFonts w:hint="eastAsia" w:hAnsi="宋体"/>
                <w:b/>
                <w:bCs/>
                <w:color w:val="auto"/>
                <w:sz w:val="21"/>
                <w:highlight w:val="none"/>
              </w:rPr>
              <w:t>注：</w:t>
            </w:r>
            <w:r>
              <w:rPr>
                <w:rFonts w:hint="eastAsia" w:hAnsi="宋体"/>
                <w:b/>
                <w:color w:val="auto"/>
                <w:sz w:val="21"/>
                <w:highlight w:val="none"/>
              </w:rPr>
              <w:t>偏离认定说明详见附件。</w:t>
            </w:r>
          </w:p>
        </w:tc>
      </w:tr>
      <w:tr w14:paraId="0254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75" w:type="dxa"/>
            <w:vMerge w:val="continue"/>
            <w:noWrap w:val="0"/>
            <w:vAlign w:val="center"/>
          </w:tcPr>
          <w:p w14:paraId="52018C74">
            <w:pPr>
              <w:adjustRightInd w:val="0"/>
              <w:spacing w:line="400" w:lineRule="exact"/>
              <w:jc w:val="center"/>
              <w:textAlignment w:val="baseline"/>
              <w:rPr>
                <w:rFonts w:hint="eastAsia" w:hAnsi="宋体"/>
                <w:color w:val="auto"/>
                <w:sz w:val="21"/>
                <w:highlight w:val="none"/>
              </w:rPr>
            </w:pPr>
          </w:p>
        </w:tc>
        <w:tc>
          <w:tcPr>
            <w:tcW w:w="1559" w:type="dxa"/>
            <w:vMerge w:val="continue"/>
            <w:noWrap w:val="0"/>
            <w:vAlign w:val="center"/>
          </w:tcPr>
          <w:p w14:paraId="1D139113">
            <w:pPr>
              <w:adjustRightInd w:val="0"/>
              <w:spacing w:line="400" w:lineRule="exact"/>
              <w:ind w:left="-120" w:leftChars="-50" w:right="-120" w:rightChars="-50"/>
              <w:jc w:val="center"/>
              <w:textAlignment w:val="baseline"/>
              <w:rPr>
                <w:rFonts w:hint="eastAsia" w:hAnsi="宋体"/>
                <w:bCs/>
                <w:color w:val="auto"/>
                <w:sz w:val="21"/>
                <w:highlight w:val="none"/>
              </w:rPr>
            </w:pPr>
          </w:p>
        </w:tc>
        <w:tc>
          <w:tcPr>
            <w:tcW w:w="1701" w:type="dxa"/>
            <w:noWrap w:val="0"/>
            <w:tcMar>
              <w:left w:w="57" w:type="dxa"/>
              <w:right w:w="57" w:type="dxa"/>
            </w:tcMar>
            <w:vAlign w:val="center"/>
          </w:tcPr>
          <w:p w14:paraId="2B8D5F63">
            <w:pPr>
              <w:adjustRightInd w:val="0"/>
              <w:spacing w:line="360" w:lineRule="auto"/>
              <w:jc w:val="center"/>
              <w:textAlignment w:val="baseline"/>
              <w:rPr>
                <w:rFonts w:hAnsi="宋体" w:cs="宋体"/>
                <w:color w:val="auto"/>
                <w:sz w:val="21"/>
                <w:highlight w:val="none"/>
              </w:rPr>
            </w:pPr>
            <w:r>
              <w:rPr>
                <w:rFonts w:hint="eastAsia" w:hAnsi="宋体" w:cs="宋体"/>
                <w:color w:val="auto"/>
                <w:sz w:val="21"/>
                <w:highlight w:val="none"/>
              </w:rPr>
              <w:t>项目实施方案</w:t>
            </w:r>
          </w:p>
          <w:p w14:paraId="0335CD7D">
            <w:pPr>
              <w:pStyle w:val="12"/>
              <w:spacing w:line="360" w:lineRule="auto"/>
              <w:jc w:val="center"/>
              <w:rPr>
                <w:rFonts w:hint="eastAsia" w:hAnsi="宋体"/>
                <w:color w:val="auto"/>
                <w:sz w:val="21"/>
                <w:szCs w:val="21"/>
                <w:highlight w:val="none"/>
              </w:rPr>
            </w:pPr>
            <w:r>
              <w:rPr>
                <w:rFonts w:hint="eastAsia" w:hAnsi="宋体"/>
                <w:color w:val="auto"/>
                <w:sz w:val="21"/>
                <w:szCs w:val="21"/>
                <w:highlight w:val="none"/>
              </w:rPr>
              <w:t>（满分</w:t>
            </w:r>
            <w:r>
              <w:rPr>
                <w:rFonts w:hint="eastAsia" w:hAnsi="宋体"/>
                <w:color w:val="auto"/>
                <w:sz w:val="21"/>
                <w:szCs w:val="21"/>
                <w:highlight w:val="none"/>
                <w:lang w:val="en-US" w:eastAsia="zh-CN"/>
              </w:rPr>
              <w:t>16</w:t>
            </w:r>
            <w:r>
              <w:rPr>
                <w:rFonts w:hint="eastAsia" w:hAnsi="宋体"/>
                <w:color w:val="auto"/>
                <w:sz w:val="21"/>
                <w:szCs w:val="21"/>
                <w:highlight w:val="none"/>
              </w:rPr>
              <w:t>分）</w:t>
            </w:r>
          </w:p>
        </w:tc>
        <w:tc>
          <w:tcPr>
            <w:tcW w:w="6254" w:type="dxa"/>
            <w:noWrap w:val="0"/>
            <w:vAlign w:val="center"/>
          </w:tcPr>
          <w:p w14:paraId="1DFDCD7E">
            <w:pPr>
              <w:snapToGrid w:val="0"/>
              <w:spacing w:line="400" w:lineRule="exact"/>
              <w:ind w:firstLine="466" w:firstLineChars="222"/>
              <w:jc w:val="both"/>
              <w:rPr>
                <w:rFonts w:hint="eastAsia" w:hAnsi="宋体"/>
                <w:color w:val="auto"/>
                <w:sz w:val="21"/>
                <w:highlight w:val="none"/>
              </w:rPr>
            </w:pPr>
            <w:r>
              <w:rPr>
                <w:rFonts w:hint="eastAsia" w:hAnsi="宋体"/>
                <w:color w:val="auto"/>
                <w:sz w:val="21"/>
                <w:highlight w:val="none"/>
              </w:rPr>
              <w:t>一档（0分）：提供的项目实施方案与项目实际实施情况不符，无法保障项目实施。</w:t>
            </w:r>
          </w:p>
          <w:p w14:paraId="2CF9BBA7">
            <w:pPr>
              <w:snapToGrid w:val="0"/>
              <w:spacing w:line="400" w:lineRule="exact"/>
              <w:ind w:firstLine="466" w:firstLineChars="222"/>
              <w:jc w:val="both"/>
              <w:rPr>
                <w:rFonts w:hint="eastAsia" w:hAnsi="宋体"/>
                <w:color w:val="auto"/>
                <w:sz w:val="21"/>
                <w:highlight w:val="none"/>
              </w:rPr>
            </w:pPr>
            <w:r>
              <w:rPr>
                <w:rFonts w:hint="eastAsia" w:hAnsi="宋体"/>
                <w:color w:val="auto"/>
                <w:sz w:val="21"/>
                <w:highlight w:val="none"/>
              </w:rPr>
              <w:t>二档（4分）：项目实施方案中提供了项目实施对接方案，有实施工作进度计划，为项目实施需要提供拟投入实施人员方案，基本能保障项目实施。</w:t>
            </w:r>
          </w:p>
          <w:p w14:paraId="68769868">
            <w:pPr>
              <w:snapToGrid w:val="0"/>
              <w:spacing w:line="400" w:lineRule="exact"/>
              <w:ind w:firstLine="466" w:firstLineChars="222"/>
              <w:jc w:val="both"/>
              <w:rPr>
                <w:rFonts w:hint="eastAsia" w:hAnsi="宋体"/>
                <w:color w:val="auto"/>
                <w:sz w:val="21"/>
                <w:highlight w:val="none"/>
              </w:rPr>
            </w:pPr>
            <w:r>
              <w:rPr>
                <w:rFonts w:hint="eastAsia" w:hAnsi="宋体"/>
                <w:color w:val="auto"/>
                <w:sz w:val="21"/>
                <w:highlight w:val="none"/>
              </w:rPr>
              <w:t>三档（8分）：项目实施方案中提供了项目实施对接方案，有交货、安装、调试、验收的工作进度计划方案，为项目实施需要提供拟投入实施人员方案（其中拟投入安装调试技术人员不少于2 人），有保证按期交付的组织措施，能保障项目实施。</w:t>
            </w:r>
          </w:p>
          <w:p w14:paraId="5E52FFB8">
            <w:pPr>
              <w:snapToGrid w:val="0"/>
              <w:spacing w:line="400" w:lineRule="exact"/>
              <w:ind w:firstLine="466" w:firstLineChars="222"/>
              <w:jc w:val="both"/>
              <w:rPr>
                <w:rFonts w:hint="eastAsia" w:hAnsi="宋体"/>
                <w:color w:val="auto"/>
                <w:sz w:val="21"/>
                <w:highlight w:val="none"/>
              </w:rPr>
            </w:pPr>
            <w:r>
              <w:rPr>
                <w:rFonts w:hint="eastAsia" w:hAnsi="宋体"/>
                <w:color w:val="auto"/>
                <w:sz w:val="21"/>
                <w:highlight w:val="none"/>
              </w:rPr>
              <w:t>四档（12分）：项目实施方案中提供了具体的切合本项目实际的项目实施对接方案，有签订合同、交货、安装、调试、验收的工作进度计划方案，拟投入实施人员充足（其中拟投入安装调试技术人员不少于3人）、分工合理明确，有保证按期交付的组织措施，有保证实施交付质量的具体有效措施，能有效保障项目实施。</w:t>
            </w:r>
          </w:p>
          <w:p w14:paraId="7CE94079">
            <w:pPr>
              <w:snapToGrid w:val="0"/>
              <w:spacing w:line="400" w:lineRule="exact"/>
              <w:ind w:firstLine="466" w:firstLineChars="222"/>
              <w:jc w:val="both"/>
              <w:rPr>
                <w:rFonts w:hint="eastAsia" w:hAnsi="宋体"/>
                <w:color w:val="auto"/>
                <w:sz w:val="21"/>
                <w:highlight w:val="none"/>
              </w:rPr>
            </w:pPr>
            <w:r>
              <w:rPr>
                <w:rFonts w:hint="eastAsia" w:hAnsi="宋体"/>
                <w:color w:val="auto"/>
                <w:sz w:val="21"/>
                <w:highlight w:val="none"/>
              </w:rPr>
              <w:t>五档（16分）：在满足四档的基础上，提供有科学合理的项目实施整体流程，提供有应急措施和切合本项目实际技术服务方案，整体实施方案能够体现出投标人对本项目有专业清晰的理解和对同类项目有实施经验，很好保障项目实施。</w:t>
            </w:r>
          </w:p>
        </w:tc>
      </w:tr>
      <w:tr w14:paraId="4115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3" w:hRule="atLeast"/>
          <w:jc w:val="center"/>
        </w:trPr>
        <w:tc>
          <w:tcPr>
            <w:tcW w:w="375" w:type="dxa"/>
            <w:vMerge w:val="restart"/>
            <w:noWrap w:val="0"/>
            <w:vAlign w:val="center"/>
          </w:tcPr>
          <w:p w14:paraId="42D754B6">
            <w:pPr>
              <w:spacing w:line="400" w:lineRule="exact"/>
              <w:jc w:val="center"/>
              <w:rPr>
                <w:rFonts w:hint="eastAsia" w:hAnsi="宋体"/>
                <w:color w:val="auto"/>
                <w:sz w:val="21"/>
                <w:highlight w:val="none"/>
              </w:rPr>
            </w:pPr>
            <w:r>
              <w:rPr>
                <w:rFonts w:hint="eastAsia" w:hAnsi="宋体"/>
                <w:color w:val="auto"/>
                <w:sz w:val="21"/>
                <w:highlight w:val="none"/>
              </w:rPr>
              <w:t>3</w:t>
            </w:r>
          </w:p>
        </w:tc>
        <w:tc>
          <w:tcPr>
            <w:tcW w:w="1559" w:type="dxa"/>
            <w:vMerge w:val="restart"/>
            <w:noWrap w:val="0"/>
            <w:vAlign w:val="center"/>
          </w:tcPr>
          <w:p w14:paraId="466F1C8F">
            <w:pPr>
              <w:pStyle w:val="4"/>
              <w:spacing w:line="400" w:lineRule="exact"/>
              <w:ind w:firstLine="33"/>
              <w:jc w:val="center"/>
              <w:rPr>
                <w:rFonts w:hint="eastAsia" w:hAnsi="宋体"/>
                <w:color w:val="auto"/>
                <w:sz w:val="21"/>
                <w:highlight w:val="none"/>
              </w:rPr>
            </w:pPr>
            <w:r>
              <w:rPr>
                <w:rFonts w:hint="eastAsia" w:hAnsi="宋体"/>
                <w:color w:val="auto"/>
                <w:sz w:val="21"/>
                <w:highlight w:val="none"/>
              </w:rPr>
              <w:t>商务分</w:t>
            </w:r>
          </w:p>
          <w:p w14:paraId="70EE283D">
            <w:pPr>
              <w:spacing w:line="400" w:lineRule="exact"/>
              <w:jc w:val="center"/>
              <w:rPr>
                <w:rFonts w:hint="eastAsia" w:hAnsi="宋体"/>
                <w:bCs/>
                <w:color w:val="auto"/>
                <w:sz w:val="21"/>
                <w:highlight w:val="none"/>
              </w:rPr>
            </w:pPr>
            <w:r>
              <w:rPr>
                <w:rFonts w:hint="eastAsia" w:hAnsi="宋体"/>
                <w:color w:val="auto"/>
                <w:sz w:val="21"/>
                <w:highlight w:val="none"/>
              </w:rPr>
              <w:t>（满分</w:t>
            </w:r>
            <w:r>
              <w:rPr>
                <w:rFonts w:hint="eastAsia" w:hAnsi="宋体"/>
                <w:color w:val="auto"/>
                <w:sz w:val="21"/>
                <w:highlight w:val="none"/>
                <w:lang w:val="en-US" w:eastAsia="zh-CN"/>
              </w:rPr>
              <w:t>34</w:t>
            </w:r>
            <w:r>
              <w:rPr>
                <w:rFonts w:hint="eastAsia" w:hAnsi="宋体"/>
                <w:color w:val="auto"/>
                <w:sz w:val="21"/>
                <w:highlight w:val="none"/>
              </w:rPr>
              <w:t>分）</w:t>
            </w:r>
          </w:p>
        </w:tc>
        <w:tc>
          <w:tcPr>
            <w:tcW w:w="1701" w:type="dxa"/>
            <w:noWrap w:val="0"/>
            <w:tcMar>
              <w:left w:w="57" w:type="dxa"/>
              <w:right w:w="57" w:type="dxa"/>
            </w:tcMar>
            <w:vAlign w:val="center"/>
          </w:tcPr>
          <w:p w14:paraId="1C456950">
            <w:pPr>
              <w:pStyle w:val="4"/>
              <w:spacing w:line="400" w:lineRule="exact"/>
              <w:ind w:firstLine="33"/>
              <w:jc w:val="center"/>
              <w:rPr>
                <w:rFonts w:hint="eastAsia" w:hAnsi="宋体"/>
                <w:color w:val="auto"/>
                <w:sz w:val="21"/>
                <w:highlight w:val="none"/>
              </w:rPr>
            </w:pPr>
            <w:r>
              <w:rPr>
                <w:rFonts w:hint="eastAsia" w:hAnsi="宋体"/>
                <w:color w:val="auto"/>
                <w:sz w:val="21"/>
                <w:highlight w:val="none"/>
              </w:rPr>
              <w:t>售后服务方案及承诺</w:t>
            </w:r>
          </w:p>
          <w:p w14:paraId="022989D6">
            <w:pPr>
              <w:pStyle w:val="4"/>
              <w:spacing w:line="400" w:lineRule="exact"/>
              <w:ind w:firstLine="33"/>
              <w:jc w:val="center"/>
              <w:rPr>
                <w:rFonts w:hint="eastAsia" w:hAnsi="宋体"/>
                <w:color w:val="auto"/>
                <w:sz w:val="21"/>
                <w:highlight w:val="none"/>
              </w:rPr>
            </w:pPr>
            <w:r>
              <w:rPr>
                <w:rFonts w:hint="eastAsia" w:hAnsi="宋体"/>
                <w:color w:val="auto"/>
                <w:sz w:val="21"/>
                <w:highlight w:val="none"/>
              </w:rPr>
              <w:t>（满分</w:t>
            </w:r>
            <w:r>
              <w:rPr>
                <w:rFonts w:hint="eastAsia" w:hAnsi="宋体"/>
                <w:color w:val="auto"/>
                <w:sz w:val="21"/>
                <w:highlight w:val="none"/>
                <w:lang w:val="en-US" w:eastAsia="zh-CN"/>
              </w:rPr>
              <w:t>20</w:t>
            </w:r>
            <w:r>
              <w:rPr>
                <w:rFonts w:hint="eastAsia" w:hAnsi="宋体"/>
                <w:color w:val="auto"/>
                <w:sz w:val="21"/>
                <w:highlight w:val="none"/>
              </w:rPr>
              <w:t>分）</w:t>
            </w:r>
          </w:p>
        </w:tc>
        <w:tc>
          <w:tcPr>
            <w:tcW w:w="6254" w:type="dxa"/>
            <w:noWrap w:val="0"/>
            <w:vAlign w:val="center"/>
          </w:tcPr>
          <w:p w14:paraId="5C427750">
            <w:pPr>
              <w:snapToGrid w:val="0"/>
              <w:spacing w:line="400" w:lineRule="exact"/>
              <w:ind w:firstLine="466" w:firstLineChars="222"/>
              <w:rPr>
                <w:rFonts w:hint="eastAsia" w:hAnsi="宋体"/>
                <w:bCs/>
                <w:color w:val="auto"/>
                <w:sz w:val="21"/>
                <w:highlight w:val="none"/>
              </w:rPr>
            </w:pPr>
            <w:r>
              <w:rPr>
                <w:rFonts w:hint="eastAsia" w:hAnsi="宋体"/>
                <w:bCs/>
                <w:color w:val="auto"/>
                <w:sz w:val="21"/>
                <w:highlight w:val="none"/>
              </w:rPr>
              <w:t>一档（0分）：提供的售后服务方案及承诺与项目实际服务情况不符，无法保障售后服务。</w:t>
            </w:r>
          </w:p>
          <w:p w14:paraId="1595EDD2">
            <w:pPr>
              <w:snapToGrid w:val="0"/>
              <w:spacing w:line="400" w:lineRule="exact"/>
              <w:ind w:firstLine="466" w:firstLineChars="222"/>
              <w:rPr>
                <w:rFonts w:hint="eastAsia" w:hAnsi="宋体"/>
                <w:bCs/>
                <w:color w:val="auto"/>
                <w:sz w:val="21"/>
                <w:highlight w:val="none"/>
              </w:rPr>
            </w:pPr>
            <w:r>
              <w:rPr>
                <w:rFonts w:hint="eastAsia" w:hAnsi="宋体"/>
                <w:bCs/>
                <w:color w:val="auto"/>
                <w:sz w:val="21"/>
                <w:highlight w:val="none"/>
              </w:rPr>
              <w:t>二档（5分）：售后服务方案及承诺满足招标文件售后服务基本要求，缺乏具体的故障解决方案。</w:t>
            </w:r>
          </w:p>
          <w:p w14:paraId="674C363C">
            <w:pPr>
              <w:snapToGrid w:val="0"/>
              <w:spacing w:line="400" w:lineRule="exact"/>
              <w:ind w:firstLine="466" w:firstLineChars="222"/>
              <w:rPr>
                <w:rFonts w:hint="eastAsia" w:hAnsi="宋体"/>
                <w:bCs/>
                <w:color w:val="auto"/>
                <w:sz w:val="21"/>
                <w:highlight w:val="none"/>
              </w:rPr>
            </w:pPr>
            <w:r>
              <w:rPr>
                <w:rFonts w:hint="eastAsia" w:hAnsi="宋体"/>
                <w:bCs/>
                <w:color w:val="auto"/>
                <w:sz w:val="21"/>
                <w:highlight w:val="none"/>
              </w:rPr>
              <w:t>三档（10分）：提供结合本项目实际的售后服务方案及承诺，有具体的故障出现解决方案，有设备日常维保及使用操作培训方案，为项目售后服务需要提供拟投入售后服务人员不少于2人。</w:t>
            </w:r>
          </w:p>
          <w:p w14:paraId="0A8FA451">
            <w:pPr>
              <w:snapToGrid w:val="0"/>
              <w:spacing w:line="400" w:lineRule="exact"/>
              <w:ind w:firstLine="466" w:firstLineChars="222"/>
              <w:rPr>
                <w:rFonts w:hint="eastAsia" w:hAnsi="宋体"/>
                <w:bCs/>
                <w:color w:val="auto"/>
                <w:sz w:val="21"/>
                <w:highlight w:val="none"/>
              </w:rPr>
            </w:pPr>
            <w:r>
              <w:rPr>
                <w:rFonts w:hint="eastAsia" w:hAnsi="宋体"/>
                <w:bCs/>
                <w:color w:val="auto"/>
                <w:sz w:val="21"/>
                <w:highlight w:val="none"/>
              </w:rPr>
              <w:t>四档（15分）：提供结合本项目实际的售后服务方案及承诺，有具体的故障出现解决方案及解决流程，有设备日常维保及使用操作培训方案，有服务质量保证，有切合本项目实际的售后服务流程（包含质保期内及质保期外），为项目售后服务需要提供拟投入售后服务人员不少于3人，承诺的到达故障现场时间</w:t>
            </w:r>
            <w:r>
              <w:rPr>
                <w:rFonts w:hint="eastAsia" w:hAnsi="宋体"/>
                <w:b/>
                <w:bCs w:val="0"/>
                <w:color w:val="auto"/>
                <w:sz w:val="21"/>
                <w:highlight w:val="none"/>
              </w:rPr>
              <w:t>优于</w:t>
            </w:r>
            <w:r>
              <w:rPr>
                <w:rFonts w:hint="eastAsia" w:hAnsi="宋体"/>
                <w:bCs/>
                <w:color w:val="auto"/>
                <w:sz w:val="21"/>
                <w:highlight w:val="none"/>
              </w:rPr>
              <w:t>招标文件的要求（≤20小时）。</w:t>
            </w:r>
          </w:p>
          <w:p w14:paraId="4A1629AE">
            <w:pPr>
              <w:snapToGrid w:val="0"/>
              <w:spacing w:line="400" w:lineRule="exact"/>
              <w:ind w:firstLine="466" w:firstLineChars="222"/>
              <w:rPr>
                <w:rFonts w:hint="eastAsia" w:hAnsi="宋体"/>
                <w:bCs/>
                <w:color w:val="auto"/>
                <w:sz w:val="21"/>
                <w:highlight w:val="none"/>
              </w:rPr>
            </w:pPr>
            <w:r>
              <w:rPr>
                <w:rFonts w:hint="eastAsia" w:hAnsi="宋体"/>
                <w:bCs/>
                <w:color w:val="auto"/>
                <w:sz w:val="21"/>
                <w:highlight w:val="none"/>
              </w:rPr>
              <w:t>五档（20分）：在满足四档的基础上，设备日常维保及使用操作培训方案详实完善[有培训计划（包含培训安排、培训内容、培训时间、培训方式、培训后的支持等）、培训方法（包含理论知识、示范演示、实际操作、反馈与评估等），培训人员有培训经验，承诺能结合项目实际定期更新知识与改进培训内容，保持与行业前沿的接轨]，提供有维护保养计划，提供有应急售后服务预案，并能提供备品备件储备清单、储备仓库的地址及现场照片，有质保期外对采购人有利且</w:t>
            </w:r>
            <w:r>
              <w:rPr>
                <w:rFonts w:hint="eastAsia" w:hAnsi="宋体"/>
                <w:b/>
                <w:bCs w:val="0"/>
                <w:color w:val="auto"/>
                <w:sz w:val="21"/>
                <w:highlight w:val="none"/>
              </w:rPr>
              <w:t>优于</w:t>
            </w:r>
            <w:r>
              <w:rPr>
                <w:rFonts w:hint="eastAsia" w:hAnsi="宋体"/>
                <w:bCs/>
                <w:color w:val="auto"/>
                <w:sz w:val="21"/>
                <w:highlight w:val="none"/>
              </w:rPr>
              <w:t>招标文件的优惠措施，承诺的到达故障现场时间</w:t>
            </w:r>
            <w:r>
              <w:rPr>
                <w:rFonts w:hint="eastAsia" w:hAnsi="宋体"/>
                <w:b/>
                <w:bCs w:val="0"/>
                <w:color w:val="auto"/>
                <w:sz w:val="21"/>
                <w:highlight w:val="none"/>
              </w:rPr>
              <w:t>优于</w:t>
            </w:r>
            <w:r>
              <w:rPr>
                <w:rFonts w:hint="eastAsia" w:hAnsi="宋体"/>
                <w:bCs/>
                <w:color w:val="auto"/>
                <w:sz w:val="21"/>
                <w:highlight w:val="none"/>
              </w:rPr>
              <w:t>招标文件的要求（≤16小时）。</w:t>
            </w:r>
          </w:p>
        </w:tc>
      </w:tr>
      <w:tr w14:paraId="3112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5" w:type="dxa"/>
            <w:vMerge w:val="continue"/>
            <w:noWrap w:val="0"/>
            <w:vAlign w:val="center"/>
          </w:tcPr>
          <w:p w14:paraId="6414F060">
            <w:pPr>
              <w:spacing w:line="400" w:lineRule="exact"/>
              <w:jc w:val="center"/>
              <w:rPr>
                <w:rFonts w:hint="eastAsia" w:hAnsi="宋体"/>
                <w:color w:val="auto"/>
                <w:sz w:val="21"/>
                <w:highlight w:val="none"/>
              </w:rPr>
            </w:pPr>
          </w:p>
        </w:tc>
        <w:tc>
          <w:tcPr>
            <w:tcW w:w="1559" w:type="dxa"/>
            <w:vMerge w:val="continue"/>
            <w:noWrap w:val="0"/>
            <w:vAlign w:val="center"/>
          </w:tcPr>
          <w:p w14:paraId="3D868BDE">
            <w:pPr>
              <w:spacing w:line="400" w:lineRule="exact"/>
              <w:jc w:val="center"/>
              <w:rPr>
                <w:rFonts w:hint="eastAsia" w:hAnsi="宋体"/>
                <w:bCs/>
                <w:color w:val="auto"/>
                <w:sz w:val="21"/>
                <w:highlight w:val="none"/>
              </w:rPr>
            </w:pPr>
          </w:p>
        </w:tc>
        <w:tc>
          <w:tcPr>
            <w:tcW w:w="1701" w:type="dxa"/>
            <w:noWrap w:val="0"/>
            <w:tcMar>
              <w:left w:w="57" w:type="dxa"/>
              <w:right w:w="57" w:type="dxa"/>
            </w:tcMar>
            <w:vAlign w:val="center"/>
          </w:tcPr>
          <w:p w14:paraId="4AB7BBC6">
            <w:pPr>
              <w:spacing w:line="400" w:lineRule="exact"/>
              <w:jc w:val="center"/>
              <w:rPr>
                <w:rFonts w:hint="eastAsia" w:hAnsi="宋体"/>
                <w:color w:val="auto"/>
                <w:sz w:val="21"/>
                <w:highlight w:val="none"/>
              </w:rPr>
            </w:pPr>
            <w:r>
              <w:rPr>
                <w:rFonts w:hint="eastAsia" w:hAnsi="宋体"/>
                <w:color w:val="auto"/>
                <w:sz w:val="21"/>
                <w:highlight w:val="none"/>
              </w:rPr>
              <w:t>信誉</w:t>
            </w:r>
          </w:p>
          <w:p w14:paraId="4F26802C">
            <w:pPr>
              <w:spacing w:line="400" w:lineRule="exact"/>
              <w:jc w:val="center"/>
              <w:rPr>
                <w:rFonts w:hint="eastAsia" w:hAnsi="宋体"/>
                <w:color w:val="auto"/>
                <w:sz w:val="21"/>
                <w:highlight w:val="none"/>
              </w:rPr>
            </w:pPr>
            <w:r>
              <w:rPr>
                <w:rFonts w:hint="eastAsia" w:hAnsi="宋体"/>
                <w:color w:val="auto"/>
                <w:sz w:val="21"/>
                <w:highlight w:val="none"/>
              </w:rPr>
              <w:t>（满分</w:t>
            </w:r>
            <w:r>
              <w:rPr>
                <w:rFonts w:hAnsi="宋体"/>
                <w:color w:val="auto"/>
                <w:sz w:val="21"/>
                <w:highlight w:val="none"/>
              </w:rPr>
              <w:t>4</w:t>
            </w:r>
            <w:r>
              <w:rPr>
                <w:rFonts w:hint="eastAsia" w:hAnsi="宋体"/>
                <w:color w:val="auto"/>
                <w:sz w:val="21"/>
                <w:highlight w:val="none"/>
              </w:rPr>
              <w:t>分）</w:t>
            </w:r>
          </w:p>
        </w:tc>
        <w:tc>
          <w:tcPr>
            <w:tcW w:w="6254" w:type="dxa"/>
            <w:noWrap w:val="0"/>
            <w:vAlign w:val="center"/>
          </w:tcPr>
          <w:p w14:paraId="6053DB73">
            <w:pPr>
              <w:pStyle w:val="12"/>
              <w:wordWrap w:val="0"/>
              <w:spacing w:line="400" w:lineRule="exact"/>
              <w:ind w:firstLine="420" w:firstLineChars="200"/>
              <w:jc w:val="both"/>
              <w:rPr>
                <w:rFonts w:hAnsi="宋体"/>
                <w:color w:val="auto"/>
                <w:sz w:val="21"/>
                <w:szCs w:val="21"/>
                <w:highlight w:val="none"/>
              </w:rPr>
            </w:pPr>
            <w:r>
              <w:rPr>
                <w:rFonts w:hint="eastAsia" w:hAnsi="宋体"/>
                <w:color w:val="auto"/>
                <w:sz w:val="21"/>
                <w:szCs w:val="21"/>
                <w:highlight w:val="none"/>
              </w:rPr>
              <w:t>（1）投标人或产品</w:t>
            </w:r>
            <w:r>
              <w:rPr>
                <w:rFonts w:hint="eastAsia" w:hAnsi="宋体" w:cs="Times New Roman"/>
                <w:color w:val="auto"/>
                <w:sz w:val="21"/>
                <w:szCs w:val="21"/>
                <w:highlight w:val="none"/>
              </w:rPr>
              <w:t>生产厂家</w:t>
            </w:r>
            <w:r>
              <w:rPr>
                <w:rFonts w:hint="eastAsia" w:hAnsi="宋体"/>
                <w:color w:val="auto"/>
                <w:sz w:val="21"/>
                <w:szCs w:val="21"/>
                <w:highlight w:val="none"/>
              </w:rPr>
              <w:t>通过</w:t>
            </w:r>
            <w:r>
              <w:rPr>
                <w:rFonts w:hAnsi="宋体"/>
                <w:color w:val="auto"/>
                <w:sz w:val="21"/>
                <w:szCs w:val="21"/>
                <w:highlight w:val="none"/>
              </w:rPr>
              <w:t>ISO13485</w:t>
            </w:r>
            <w:r>
              <w:rPr>
                <w:rFonts w:hint="eastAsia" w:hAnsi="宋体" w:cs="Times New Roman"/>
                <w:bCs/>
                <w:color w:val="auto"/>
                <w:kern w:val="2"/>
                <w:sz w:val="21"/>
                <w:szCs w:val="21"/>
                <w:highlight w:val="none"/>
              </w:rPr>
              <w:t>医疗器械质量管理体系认证</w:t>
            </w:r>
            <w:r>
              <w:rPr>
                <w:rFonts w:hint="eastAsia" w:hAnsi="宋体"/>
                <w:color w:val="auto"/>
                <w:sz w:val="21"/>
                <w:szCs w:val="21"/>
                <w:highlight w:val="none"/>
              </w:rPr>
              <w:t>得</w:t>
            </w:r>
            <w:r>
              <w:rPr>
                <w:rFonts w:hAnsi="宋体"/>
                <w:color w:val="auto"/>
                <w:sz w:val="21"/>
                <w:szCs w:val="21"/>
                <w:highlight w:val="none"/>
              </w:rPr>
              <w:t>2</w:t>
            </w:r>
            <w:r>
              <w:rPr>
                <w:rFonts w:hint="eastAsia" w:hAnsi="宋体"/>
                <w:color w:val="auto"/>
                <w:sz w:val="21"/>
                <w:szCs w:val="21"/>
                <w:highlight w:val="none"/>
              </w:rPr>
              <w:t>分，满分</w:t>
            </w:r>
            <w:r>
              <w:rPr>
                <w:rFonts w:hAnsi="宋体"/>
                <w:color w:val="auto"/>
                <w:sz w:val="21"/>
                <w:szCs w:val="21"/>
                <w:highlight w:val="none"/>
              </w:rPr>
              <w:t>2</w:t>
            </w:r>
            <w:r>
              <w:rPr>
                <w:rFonts w:hint="eastAsia" w:hAnsi="宋体"/>
                <w:color w:val="auto"/>
                <w:sz w:val="21"/>
                <w:szCs w:val="21"/>
                <w:highlight w:val="none"/>
              </w:rPr>
              <w:t>分。</w:t>
            </w:r>
            <w:r>
              <w:rPr>
                <w:rFonts w:hint="eastAsia" w:hAnsi="宋体"/>
                <w:b/>
                <w:color w:val="auto"/>
                <w:sz w:val="21"/>
                <w:szCs w:val="21"/>
                <w:highlight w:val="none"/>
              </w:rPr>
              <w:t>（投标文件中提供有效的证书原件扫描件并加盖投标人电子公章，否则不予计分）</w:t>
            </w:r>
          </w:p>
          <w:p w14:paraId="36A7CB07">
            <w:pPr>
              <w:pStyle w:val="12"/>
              <w:wordWrap w:val="0"/>
              <w:spacing w:line="400" w:lineRule="exact"/>
              <w:ind w:firstLine="420" w:firstLineChars="200"/>
              <w:jc w:val="both"/>
              <w:rPr>
                <w:rFonts w:hint="eastAsia" w:hAnsi="宋体"/>
                <w:b/>
                <w:color w:val="auto"/>
                <w:sz w:val="21"/>
                <w:szCs w:val="21"/>
                <w:highlight w:val="none"/>
              </w:rPr>
            </w:pPr>
            <w:r>
              <w:rPr>
                <w:rFonts w:hint="eastAsia" w:hAnsi="宋体"/>
                <w:color w:val="auto"/>
                <w:sz w:val="21"/>
                <w:szCs w:val="21"/>
                <w:highlight w:val="none"/>
              </w:rPr>
              <w:t>（2）投标人或产品</w:t>
            </w:r>
            <w:r>
              <w:rPr>
                <w:rFonts w:hint="eastAsia" w:hAnsi="宋体" w:cs="Times New Roman"/>
                <w:color w:val="auto"/>
                <w:sz w:val="21"/>
                <w:szCs w:val="21"/>
                <w:highlight w:val="none"/>
              </w:rPr>
              <w:t>生产厂家</w:t>
            </w:r>
            <w:r>
              <w:rPr>
                <w:rFonts w:hint="eastAsia" w:hAnsi="宋体"/>
                <w:color w:val="auto"/>
                <w:sz w:val="21"/>
                <w:szCs w:val="21"/>
                <w:highlight w:val="none"/>
              </w:rPr>
              <w:t>通过</w:t>
            </w:r>
            <w:r>
              <w:rPr>
                <w:rFonts w:hAnsi="宋体"/>
                <w:color w:val="auto"/>
                <w:sz w:val="21"/>
                <w:highlight w:val="none"/>
              </w:rPr>
              <w:t>ISO</w:t>
            </w:r>
            <w:r>
              <w:rPr>
                <w:rFonts w:hint="eastAsia" w:hAnsi="宋体"/>
                <w:color w:val="auto"/>
                <w:sz w:val="21"/>
                <w:highlight w:val="none"/>
              </w:rPr>
              <w:t>9001</w:t>
            </w:r>
            <w:r>
              <w:rPr>
                <w:rFonts w:hint="eastAsia" w:hAnsi="宋体"/>
                <w:color w:val="auto"/>
                <w:sz w:val="21"/>
                <w:szCs w:val="21"/>
                <w:highlight w:val="none"/>
              </w:rPr>
              <w:t>质量管理体系认证得</w:t>
            </w:r>
            <w:r>
              <w:rPr>
                <w:rFonts w:hAnsi="宋体"/>
                <w:color w:val="auto"/>
                <w:sz w:val="21"/>
                <w:szCs w:val="21"/>
                <w:highlight w:val="none"/>
              </w:rPr>
              <w:t>2</w:t>
            </w:r>
            <w:r>
              <w:rPr>
                <w:rFonts w:hint="eastAsia" w:hAnsi="宋体"/>
                <w:color w:val="auto"/>
                <w:sz w:val="21"/>
                <w:szCs w:val="21"/>
                <w:highlight w:val="none"/>
              </w:rPr>
              <w:t>分，满分</w:t>
            </w:r>
            <w:r>
              <w:rPr>
                <w:rFonts w:hAnsi="宋体"/>
                <w:color w:val="auto"/>
                <w:sz w:val="21"/>
                <w:szCs w:val="21"/>
                <w:highlight w:val="none"/>
              </w:rPr>
              <w:t>2</w:t>
            </w:r>
            <w:r>
              <w:rPr>
                <w:rFonts w:hint="eastAsia" w:hAnsi="宋体"/>
                <w:color w:val="auto"/>
                <w:sz w:val="21"/>
                <w:szCs w:val="21"/>
                <w:highlight w:val="none"/>
              </w:rPr>
              <w:t>分。</w:t>
            </w:r>
            <w:r>
              <w:rPr>
                <w:rFonts w:hint="eastAsia" w:hAnsi="宋体"/>
                <w:b/>
                <w:color w:val="auto"/>
                <w:sz w:val="21"/>
                <w:szCs w:val="21"/>
                <w:highlight w:val="none"/>
              </w:rPr>
              <w:t>（投标文件中提供有效的证书原件扫描件并加盖投标人电子公章，否则不予计分）</w:t>
            </w:r>
          </w:p>
        </w:tc>
      </w:tr>
      <w:tr w14:paraId="6DA5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5" w:type="dxa"/>
            <w:vMerge w:val="continue"/>
            <w:noWrap w:val="0"/>
            <w:vAlign w:val="center"/>
          </w:tcPr>
          <w:p w14:paraId="088E0CFB">
            <w:pPr>
              <w:spacing w:line="400" w:lineRule="exact"/>
              <w:jc w:val="center"/>
              <w:rPr>
                <w:rFonts w:hint="eastAsia" w:hAnsi="宋体"/>
                <w:color w:val="auto"/>
                <w:sz w:val="21"/>
                <w:highlight w:val="none"/>
              </w:rPr>
            </w:pPr>
          </w:p>
        </w:tc>
        <w:tc>
          <w:tcPr>
            <w:tcW w:w="1559" w:type="dxa"/>
            <w:vMerge w:val="continue"/>
            <w:noWrap w:val="0"/>
            <w:vAlign w:val="center"/>
          </w:tcPr>
          <w:p w14:paraId="0C786E15">
            <w:pPr>
              <w:spacing w:line="400" w:lineRule="exact"/>
              <w:jc w:val="center"/>
              <w:rPr>
                <w:rFonts w:hint="eastAsia" w:hAnsi="宋体"/>
                <w:bCs/>
                <w:color w:val="auto"/>
                <w:sz w:val="21"/>
                <w:highlight w:val="none"/>
              </w:rPr>
            </w:pPr>
          </w:p>
        </w:tc>
        <w:tc>
          <w:tcPr>
            <w:tcW w:w="1701" w:type="dxa"/>
            <w:noWrap w:val="0"/>
            <w:tcMar>
              <w:left w:w="57" w:type="dxa"/>
              <w:right w:w="57" w:type="dxa"/>
            </w:tcMar>
            <w:vAlign w:val="center"/>
          </w:tcPr>
          <w:p w14:paraId="5BBD4879">
            <w:pPr>
              <w:spacing w:line="400" w:lineRule="exact"/>
              <w:ind w:firstLine="105" w:firstLineChars="50"/>
              <w:jc w:val="center"/>
              <w:rPr>
                <w:rFonts w:hAnsi="宋体"/>
                <w:bCs/>
                <w:color w:val="auto"/>
                <w:sz w:val="21"/>
                <w:highlight w:val="none"/>
              </w:rPr>
            </w:pPr>
            <w:r>
              <w:rPr>
                <w:rFonts w:hint="eastAsia" w:hAnsi="宋体"/>
                <w:bCs/>
                <w:color w:val="auto"/>
                <w:sz w:val="21"/>
                <w:highlight w:val="none"/>
              </w:rPr>
              <w:t>业绩</w:t>
            </w:r>
          </w:p>
          <w:p w14:paraId="25287CC3">
            <w:pPr>
              <w:spacing w:line="400" w:lineRule="exact"/>
              <w:jc w:val="center"/>
              <w:rPr>
                <w:rFonts w:hAnsi="宋体"/>
                <w:bCs/>
                <w:color w:val="auto"/>
                <w:sz w:val="21"/>
                <w:highlight w:val="none"/>
              </w:rPr>
            </w:pPr>
            <w:r>
              <w:rPr>
                <w:rFonts w:hint="eastAsia" w:hAnsi="宋体"/>
                <w:bCs/>
                <w:color w:val="auto"/>
                <w:sz w:val="21"/>
                <w:highlight w:val="none"/>
              </w:rPr>
              <w:t>（满分</w:t>
            </w:r>
            <w:r>
              <w:rPr>
                <w:rFonts w:hAnsi="宋体"/>
                <w:bCs/>
                <w:color w:val="auto"/>
                <w:sz w:val="21"/>
                <w:highlight w:val="none"/>
              </w:rPr>
              <w:t>8</w:t>
            </w:r>
            <w:r>
              <w:rPr>
                <w:rFonts w:hint="eastAsia" w:hAnsi="宋体"/>
                <w:bCs/>
                <w:color w:val="auto"/>
                <w:sz w:val="21"/>
                <w:highlight w:val="none"/>
              </w:rPr>
              <w:t>分）</w:t>
            </w:r>
          </w:p>
        </w:tc>
        <w:tc>
          <w:tcPr>
            <w:tcW w:w="6254" w:type="dxa"/>
            <w:noWrap w:val="0"/>
            <w:vAlign w:val="center"/>
          </w:tcPr>
          <w:p w14:paraId="521EA4C8">
            <w:pPr>
              <w:autoSpaceDE w:val="0"/>
              <w:autoSpaceDN w:val="0"/>
              <w:adjustRightInd w:val="0"/>
              <w:spacing w:line="400" w:lineRule="exact"/>
              <w:ind w:firstLine="420" w:firstLineChars="200"/>
              <w:jc w:val="both"/>
              <w:rPr>
                <w:rFonts w:hint="eastAsia" w:hAnsi="宋体"/>
                <w:color w:val="auto"/>
                <w:sz w:val="21"/>
                <w:highlight w:val="none"/>
              </w:rPr>
            </w:pPr>
            <w:r>
              <w:rPr>
                <w:rFonts w:hint="eastAsia" w:hAnsi="宋体"/>
                <w:color w:val="auto"/>
                <w:sz w:val="21"/>
                <w:highlight w:val="none"/>
              </w:rPr>
              <w:t>投标人所投产品</w:t>
            </w:r>
            <w:r>
              <w:rPr>
                <w:rFonts w:hint="eastAsia" w:hAnsi="宋体"/>
                <w:bCs/>
                <w:color w:val="auto"/>
                <w:sz w:val="21"/>
                <w:highlight w:val="none"/>
              </w:rPr>
              <w:t>自202</w:t>
            </w:r>
            <w:r>
              <w:rPr>
                <w:rFonts w:hAnsi="宋体"/>
                <w:bCs/>
                <w:color w:val="auto"/>
                <w:sz w:val="21"/>
                <w:highlight w:val="none"/>
              </w:rPr>
              <w:t>2</w:t>
            </w:r>
            <w:r>
              <w:rPr>
                <w:rFonts w:hint="eastAsia" w:hAnsi="宋体"/>
                <w:bCs/>
                <w:color w:val="auto"/>
                <w:sz w:val="21"/>
                <w:highlight w:val="none"/>
              </w:rPr>
              <w:t>年1月1日以来有销售记录的，每提供一份销售合同得</w:t>
            </w:r>
            <w:r>
              <w:rPr>
                <w:rFonts w:hAnsi="宋体"/>
                <w:bCs/>
                <w:color w:val="auto"/>
                <w:sz w:val="21"/>
                <w:highlight w:val="none"/>
              </w:rPr>
              <w:t>2</w:t>
            </w:r>
            <w:r>
              <w:rPr>
                <w:rFonts w:hint="eastAsia" w:hAnsi="宋体"/>
                <w:bCs/>
                <w:color w:val="auto"/>
                <w:sz w:val="21"/>
                <w:highlight w:val="none"/>
              </w:rPr>
              <w:t>分，满分</w:t>
            </w:r>
            <w:r>
              <w:rPr>
                <w:rFonts w:hAnsi="宋体"/>
                <w:bCs/>
                <w:color w:val="auto"/>
                <w:sz w:val="21"/>
                <w:highlight w:val="none"/>
              </w:rPr>
              <w:t>8</w:t>
            </w:r>
            <w:r>
              <w:rPr>
                <w:rFonts w:hint="eastAsia" w:hAnsi="宋体"/>
                <w:bCs/>
                <w:color w:val="auto"/>
                <w:sz w:val="21"/>
                <w:highlight w:val="none"/>
              </w:rPr>
              <w:t>分。</w:t>
            </w:r>
            <w:r>
              <w:rPr>
                <w:rFonts w:hint="eastAsia" w:hAnsi="宋体"/>
                <w:b/>
                <w:bCs/>
                <w:color w:val="auto"/>
                <w:sz w:val="21"/>
                <w:highlight w:val="none"/>
              </w:rPr>
              <w:t>（投标文件中提供有效的合同书原件扫描件并加盖投标人电子公章且合同能清晰反映产品名称、品牌及规格型号等内容，否则不予计分）</w:t>
            </w:r>
          </w:p>
        </w:tc>
      </w:tr>
      <w:tr w14:paraId="6870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75" w:type="dxa"/>
            <w:vMerge w:val="continue"/>
            <w:noWrap w:val="0"/>
            <w:vAlign w:val="center"/>
          </w:tcPr>
          <w:p w14:paraId="05FD2247">
            <w:pPr>
              <w:spacing w:line="360" w:lineRule="auto"/>
              <w:jc w:val="center"/>
              <w:rPr>
                <w:rFonts w:hAnsi="宋体"/>
                <w:color w:val="auto"/>
                <w:sz w:val="21"/>
                <w:highlight w:val="none"/>
              </w:rPr>
            </w:pPr>
          </w:p>
        </w:tc>
        <w:tc>
          <w:tcPr>
            <w:tcW w:w="1559" w:type="dxa"/>
            <w:vMerge w:val="continue"/>
            <w:noWrap w:val="0"/>
            <w:vAlign w:val="center"/>
          </w:tcPr>
          <w:p w14:paraId="6EFAF55A">
            <w:pPr>
              <w:spacing w:line="360" w:lineRule="auto"/>
              <w:jc w:val="center"/>
              <w:rPr>
                <w:rFonts w:hAnsi="宋体"/>
                <w:color w:val="auto"/>
                <w:sz w:val="21"/>
                <w:highlight w:val="none"/>
              </w:rPr>
            </w:pPr>
          </w:p>
        </w:tc>
        <w:tc>
          <w:tcPr>
            <w:tcW w:w="1701" w:type="dxa"/>
            <w:noWrap w:val="0"/>
            <w:tcMar>
              <w:left w:w="57" w:type="dxa"/>
              <w:right w:w="57" w:type="dxa"/>
            </w:tcMar>
            <w:vAlign w:val="center"/>
          </w:tcPr>
          <w:p w14:paraId="08BE9082">
            <w:pPr>
              <w:spacing w:line="360" w:lineRule="auto"/>
              <w:jc w:val="center"/>
              <w:rPr>
                <w:rFonts w:hint="eastAsia" w:hAnsi="宋体"/>
                <w:color w:val="auto"/>
                <w:sz w:val="21"/>
                <w:highlight w:val="none"/>
              </w:rPr>
            </w:pPr>
            <w:r>
              <w:rPr>
                <w:rFonts w:hint="eastAsia" w:hAnsi="宋体"/>
                <w:color w:val="auto"/>
                <w:sz w:val="21"/>
                <w:highlight w:val="none"/>
              </w:rPr>
              <w:t>政策功能</w:t>
            </w:r>
          </w:p>
          <w:p w14:paraId="0A6EA4A1">
            <w:pPr>
              <w:spacing w:line="360" w:lineRule="auto"/>
              <w:jc w:val="center"/>
              <w:rPr>
                <w:rFonts w:hAnsi="宋体"/>
                <w:color w:val="auto"/>
                <w:sz w:val="21"/>
                <w:highlight w:val="none"/>
              </w:rPr>
            </w:pPr>
            <w:r>
              <w:rPr>
                <w:rFonts w:hint="eastAsia" w:hAnsi="宋体"/>
                <w:color w:val="auto"/>
                <w:sz w:val="21"/>
                <w:highlight w:val="none"/>
              </w:rPr>
              <w:t>（满分</w:t>
            </w:r>
            <w:r>
              <w:rPr>
                <w:rFonts w:hint="eastAsia" w:hAnsi="宋体"/>
                <w:color w:val="auto"/>
                <w:sz w:val="21"/>
                <w:highlight w:val="none"/>
                <w:lang w:val="en-US" w:eastAsia="zh-CN"/>
              </w:rPr>
              <w:t>2</w:t>
            </w:r>
            <w:r>
              <w:rPr>
                <w:rFonts w:hint="eastAsia" w:hAnsi="宋体"/>
                <w:color w:val="auto"/>
                <w:sz w:val="21"/>
                <w:highlight w:val="none"/>
              </w:rPr>
              <w:t>分）</w:t>
            </w:r>
          </w:p>
        </w:tc>
        <w:tc>
          <w:tcPr>
            <w:tcW w:w="6254" w:type="dxa"/>
            <w:noWrap w:val="0"/>
            <w:vAlign w:val="top"/>
          </w:tcPr>
          <w:p w14:paraId="59DF7AFF">
            <w:pPr>
              <w:pStyle w:val="12"/>
              <w:spacing w:line="400" w:lineRule="exact"/>
              <w:ind w:firstLine="420" w:firstLineChars="200"/>
              <w:jc w:val="both"/>
              <w:rPr>
                <w:rFonts w:hAnsi="宋体"/>
                <w:bCs/>
                <w:color w:val="auto"/>
                <w:sz w:val="21"/>
                <w:szCs w:val="21"/>
                <w:highlight w:val="none"/>
              </w:rPr>
            </w:pPr>
            <w:r>
              <w:rPr>
                <w:rFonts w:hint="eastAsia" w:hAnsi="宋体"/>
                <w:bCs/>
                <w:color w:val="auto"/>
                <w:sz w:val="21"/>
                <w:szCs w:val="21"/>
                <w:highlight w:val="none"/>
              </w:rPr>
              <w:t>（1）</w:t>
            </w:r>
            <w:r>
              <w:rPr>
                <w:rFonts w:hint="eastAsia" w:hAnsi="宋体"/>
                <w:color w:val="auto"/>
                <w:sz w:val="21"/>
                <w:highlight w:val="none"/>
              </w:rPr>
              <w:t>节能产品：</w:t>
            </w:r>
            <w:r>
              <w:rPr>
                <w:rFonts w:hint="eastAsia" w:hAnsi="宋体"/>
                <w:bCs/>
                <w:color w:val="auto"/>
                <w:sz w:val="21"/>
                <w:szCs w:val="21"/>
                <w:highlight w:val="none"/>
              </w:rPr>
              <w:t>每有一项</w:t>
            </w:r>
            <w:r>
              <w:rPr>
                <w:rFonts w:hint="eastAsia" w:hAnsi="宋体"/>
                <w:bCs/>
                <w:color w:val="auto"/>
                <w:kern w:val="2"/>
                <w:sz w:val="21"/>
                <w:szCs w:val="21"/>
                <w:highlight w:val="none"/>
              </w:rPr>
              <w:t>投标</w:t>
            </w:r>
            <w:r>
              <w:rPr>
                <w:rFonts w:hint="eastAsia" w:hAnsi="宋体"/>
                <w:bCs/>
                <w:color w:val="auto"/>
                <w:sz w:val="21"/>
                <w:szCs w:val="21"/>
                <w:highlight w:val="none"/>
              </w:rPr>
              <w:t>产品属于财政部《节能产品政府采购品目清单》内优先采购（清单内未标注“★”的品目）的产品的，提供有效的节能产品认证证书得</w:t>
            </w:r>
            <w:r>
              <w:rPr>
                <w:rFonts w:hint="eastAsia" w:hAnsi="宋体"/>
                <w:bCs/>
                <w:color w:val="auto"/>
                <w:sz w:val="21"/>
                <w:szCs w:val="21"/>
                <w:highlight w:val="none"/>
                <w:lang w:val="en-US" w:eastAsia="zh-CN"/>
              </w:rPr>
              <w:t>1</w:t>
            </w:r>
            <w:r>
              <w:rPr>
                <w:rFonts w:hint="eastAsia" w:hAnsi="宋体"/>
                <w:bCs/>
                <w:color w:val="auto"/>
                <w:sz w:val="21"/>
                <w:szCs w:val="21"/>
                <w:highlight w:val="none"/>
              </w:rPr>
              <w:t>分，满分</w:t>
            </w:r>
            <w:r>
              <w:rPr>
                <w:rFonts w:hint="eastAsia" w:hAnsi="宋体"/>
                <w:bCs/>
                <w:color w:val="auto"/>
                <w:sz w:val="21"/>
                <w:szCs w:val="21"/>
                <w:highlight w:val="none"/>
                <w:lang w:val="en-US" w:eastAsia="zh-CN"/>
              </w:rPr>
              <w:t>1</w:t>
            </w:r>
            <w:r>
              <w:rPr>
                <w:rFonts w:hint="eastAsia" w:hAnsi="宋体"/>
                <w:bCs/>
                <w:color w:val="auto"/>
                <w:sz w:val="21"/>
                <w:szCs w:val="21"/>
                <w:highlight w:val="none"/>
              </w:rPr>
              <w:t>分。（</w:t>
            </w:r>
            <w:r>
              <w:rPr>
                <w:rFonts w:hint="eastAsia" w:hAnsi="宋体"/>
                <w:b/>
                <w:bCs/>
                <w:color w:val="auto"/>
                <w:sz w:val="21"/>
                <w:szCs w:val="21"/>
                <w:highlight w:val="none"/>
              </w:rPr>
              <w:t>须提供清晰的证书并对投标型号做醒目标记，否则不予计分</w:t>
            </w:r>
            <w:r>
              <w:rPr>
                <w:rFonts w:hint="eastAsia" w:hAnsi="宋体"/>
                <w:bCs/>
                <w:color w:val="auto"/>
                <w:sz w:val="21"/>
                <w:szCs w:val="21"/>
                <w:highlight w:val="none"/>
              </w:rPr>
              <w:t>）</w:t>
            </w:r>
          </w:p>
          <w:p w14:paraId="46916509">
            <w:pPr>
              <w:pStyle w:val="12"/>
              <w:spacing w:line="400" w:lineRule="exact"/>
              <w:ind w:firstLine="420" w:firstLineChars="200"/>
              <w:jc w:val="both"/>
              <w:rPr>
                <w:rFonts w:hint="eastAsia" w:hAnsi="宋体"/>
                <w:bCs/>
                <w:color w:val="auto"/>
                <w:sz w:val="21"/>
                <w:highlight w:val="none"/>
              </w:rPr>
            </w:pPr>
            <w:r>
              <w:rPr>
                <w:rFonts w:hint="eastAsia" w:hAnsi="宋体"/>
                <w:bCs/>
                <w:color w:val="auto"/>
                <w:sz w:val="21"/>
                <w:szCs w:val="21"/>
                <w:highlight w:val="none"/>
              </w:rPr>
              <w:t>（2）</w:t>
            </w:r>
            <w:r>
              <w:rPr>
                <w:rFonts w:hint="eastAsia" w:hAnsi="宋体"/>
                <w:color w:val="auto"/>
                <w:sz w:val="21"/>
                <w:highlight w:val="none"/>
              </w:rPr>
              <w:t>环保产品：</w:t>
            </w:r>
            <w:r>
              <w:rPr>
                <w:rFonts w:hint="eastAsia" w:hAnsi="宋体"/>
                <w:bCs/>
                <w:color w:val="auto"/>
                <w:sz w:val="21"/>
                <w:szCs w:val="21"/>
                <w:highlight w:val="none"/>
              </w:rPr>
              <w:t>每有一项</w:t>
            </w:r>
            <w:r>
              <w:rPr>
                <w:rFonts w:hint="eastAsia" w:hAnsi="宋体"/>
                <w:bCs/>
                <w:color w:val="auto"/>
                <w:kern w:val="2"/>
                <w:sz w:val="21"/>
                <w:szCs w:val="21"/>
                <w:highlight w:val="none"/>
              </w:rPr>
              <w:t>投标</w:t>
            </w:r>
            <w:r>
              <w:rPr>
                <w:rFonts w:hint="eastAsia" w:hAnsi="宋体"/>
                <w:bCs/>
                <w:color w:val="auto"/>
                <w:sz w:val="21"/>
                <w:szCs w:val="21"/>
                <w:highlight w:val="none"/>
              </w:rPr>
              <w:t>产品属于财政部《环境标志产品政府采购品目清单》内的产品的，提供有效的环境标志产品认证证书得</w:t>
            </w:r>
            <w:r>
              <w:rPr>
                <w:rFonts w:hint="eastAsia" w:hAnsi="宋体"/>
                <w:bCs/>
                <w:color w:val="auto"/>
                <w:sz w:val="21"/>
                <w:szCs w:val="21"/>
                <w:highlight w:val="none"/>
                <w:lang w:val="en-US" w:eastAsia="zh-CN"/>
              </w:rPr>
              <w:t>1</w:t>
            </w:r>
            <w:r>
              <w:rPr>
                <w:rFonts w:hint="eastAsia" w:hAnsi="宋体"/>
                <w:bCs/>
                <w:color w:val="auto"/>
                <w:sz w:val="21"/>
                <w:szCs w:val="21"/>
                <w:highlight w:val="none"/>
              </w:rPr>
              <w:t>分，满分</w:t>
            </w:r>
            <w:r>
              <w:rPr>
                <w:rFonts w:hint="eastAsia" w:hAnsi="宋体"/>
                <w:bCs/>
                <w:color w:val="auto"/>
                <w:sz w:val="21"/>
                <w:szCs w:val="21"/>
                <w:highlight w:val="none"/>
                <w:lang w:val="en-US" w:eastAsia="zh-CN"/>
              </w:rPr>
              <w:t>1</w:t>
            </w:r>
            <w:r>
              <w:rPr>
                <w:rFonts w:hint="eastAsia" w:hAnsi="宋体"/>
                <w:bCs/>
                <w:color w:val="auto"/>
                <w:sz w:val="21"/>
                <w:szCs w:val="21"/>
                <w:highlight w:val="none"/>
              </w:rPr>
              <w:t>分。（</w:t>
            </w:r>
            <w:r>
              <w:rPr>
                <w:rFonts w:hint="eastAsia" w:hAnsi="宋体"/>
                <w:b/>
                <w:bCs/>
                <w:color w:val="auto"/>
                <w:sz w:val="21"/>
                <w:szCs w:val="21"/>
                <w:highlight w:val="none"/>
              </w:rPr>
              <w:t>须提供清晰的证书并对投标型号做醒目标记，否则不予计分</w:t>
            </w:r>
            <w:r>
              <w:rPr>
                <w:rFonts w:hint="eastAsia" w:hAnsi="宋体"/>
                <w:bCs/>
                <w:color w:val="auto"/>
                <w:sz w:val="21"/>
                <w:szCs w:val="21"/>
                <w:highlight w:val="none"/>
              </w:rPr>
              <w:t>）</w:t>
            </w:r>
          </w:p>
        </w:tc>
      </w:tr>
      <w:tr w14:paraId="3779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4"/>
            <w:noWrap w:val="0"/>
            <w:vAlign w:val="center"/>
          </w:tcPr>
          <w:p w14:paraId="33AE89DC">
            <w:pPr>
              <w:pStyle w:val="4"/>
              <w:spacing w:line="400" w:lineRule="exact"/>
              <w:jc w:val="both"/>
              <w:rPr>
                <w:rFonts w:hAnsi="宋体" w:cs="Courier New"/>
                <w:bCs/>
                <w:color w:val="auto"/>
                <w:sz w:val="21"/>
                <w:highlight w:val="none"/>
              </w:rPr>
            </w:pPr>
            <w:r>
              <w:rPr>
                <w:rFonts w:hint="eastAsia" w:hAnsi="宋体" w:cs="Courier New"/>
                <w:b/>
                <w:bCs/>
                <w:color w:val="auto"/>
                <w:sz w:val="21"/>
                <w:highlight w:val="none"/>
              </w:rPr>
              <w:t>总得分=1+2+3。</w:t>
            </w:r>
          </w:p>
        </w:tc>
      </w:tr>
    </w:tbl>
    <w:p w14:paraId="3EB1D7E8">
      <w:pPr>
        <w:pStyle w:val="4"/>
        <w:spacing w:line="360" w:lineRule="auto"/>
        <w:rPr>
          <w:rFonts w:hAnsi="宋体"/>
          <w:b/>
          <w:sz w:val="21"/>
        </w:rPr>
      </w:pPr>
    </w:p>
    <w:p w14:paraId="70998891">
      <w:pPr>
        <w:pStyle w:val="4"/>
        <w:spacing w:line="360" w:lineRule="auto"/>
        <w:rPr>
          <w:rFonts w:hint="eastAsia" w:hAnsi="宋体"/>
          <w:b/>
          <w:color w:val="auto"/>
          <w:sz w:val="21"/>
        </w:rPr>
      </w:pPr>
      <w:r>
        <w:rPr>
          <w:rFonts w:hAnsi="宋体"/>
          <w:b/>
          <w:sz w:val="21"/>
        </w:rPr>
        <w:br w:type="page"/>
      </w:r>
      <w:r>
        <w:rPr>
          <w:rFonts w:hint="eastAsia" w:hAnsi="宋体"/>
          <w:b/>
          <w:color w:val="auto"/>
          <w:sz w:val="21"/>
        </w:rPr>
        <w:t>附件：</w:t>
      </w:r>
    </w:p>
    <w:p w14:paraId="584F4FBD">
      <w:pPr>
        <w:pStyle w:val="4"/>
        <w:spacing w:line="360" w:lineRule="auto"/>
        <w:jc w:val="center"/>
        <w:rPr>
          <w:rFonts w:hint="eastAsia" w:hAnsi="宋体"/>
          <w:b/>
          <w:color w:val="auto"/>
          <w:sz w:val="21"/>
        </w:rPr>
      </w:pPr>
      <w:r>
        <w:rPr>
          <w:rFonts w:hint="eastAsia" w:hAnsi="宋体"/>
          <w:b/>
          <w:color w:val="auto"/>
          <w:sz w:val="21"/>
        </w:rPr>
        <w:t>偏离认定说明</w:t>
      </w:r>
    </w:p>
    <w:p w14:paraId="002EECD1">
      <w:pPr>
        <w:pStyle w:val="4"/>
        <w:spacing w:line="360" w:lineRule="auto"/>
        <w:ind w:firstLine="420"/>
        <w:rPr>
          <w:rFonts w:hint="eastAsia" w:hAnsi="宋体"/>
          <w:b/>
          <w:color w:val="auto"/>
          <w:sz w:val="21"/>
        </w:rPr>
      </w:pPr>
      <w:r>
        <w:rPr>
          <w:rFonts w:hint="eastAsia" w:hAnsi="宋体"/>
          <w:b/>
          <w:color w:val="auto"/>
          <w:sz w:val="21"/>
        </w:rPr>
        <w:t>投标人根据采购需求中技术参数为基准，填写技术偏离表，对于技术偏离表或佐证材料与技术参数不符的，按如下规定认定偏离：</w:t>
      </w:r>
    </w:p>
    <w:p w14:paraId="1E360183">
      <w:pPr>
        <w:pStyle w:val="4"/>
        <w:spacing w:line="360" w:lineRule="auto"/>
        <w:ind w:firstLine="420"/>
        <w:rPr>
          <w:rFonts w:hint="eastAsia" w:hAnsi="宋体"/>
          <w:b/>
          <w:color w:val="auto"/>
          <w:sz w:val="21"/>
        </w:rPr>
      </w:pPr>
      <w:r>
        <w:rPr>
          <w:rFonts w:hint="eastAsia" w:hAnsi="宋体"/>
          <w:b/>
          <w:color w:val="auto"/>
          <w:sz w:val="21"/>
        </w:rPr>
        <w:t>1.技术偏离表中响应的内容与佐证材料不一致的，以佐证材料为准作为评审依据。</w:t>
      </w:r>
    </w:p>
    <w:p w14:paraId="119607BD">
      <w:pPr>
        <w:pStyle w:val="4"/>
        <w:spacing w:line="360" w:lineRule="auto"/>
        <w:ind w:firstLine="420"/>
        <w:rPr>
          <w:rFonts w:hint="eastAsia" w:hAnsi="宋体"/>
          <w:b/>
          <w:color w:val="auto"/>
          <w:sz w:val="21"/>
        </w:rPr>
      </w:pPr>
      <w:r>
        <w:rPr>
          <w:rFonts w:hint="eastAsia" w:hAnsi="宋体"/>
          <w:b/>
          <w:color w:val="auto"/>
          <w:sz w:val="21"/>
        </w:rPr>
        <w:t>2.技术偏离表与采购需求中技术参数比较有漏项的，如为实质性参数（标注“▲”技术参数要求）漏项，视为未响应，投标无效；如为非实质性参数（未标注“▲”技术参数要求）漏项，视为负偏离。</w:t>
      </w:r>
    </w:p>
    <w:p w14:paraId="60D1E0C0">
      <w:pPr>
        <w:pStyle w:val="4"/>
        <w:spacing w:line="360" w:lineRule="auto"/>
        <w:ind w:firstLine="420"/>
        <w:rPr>
          <w:rFonts w:hint="eastAsia" w:hAnsi="宋体"/>
          <w:b/>
          <w:color w:val="auto"/>
          <w:sz w:val="21"/>
        </w:rPr>
      </w:pPr>
      <w:r>
        <w:rPr>
          <w:rFonts w:hint="eastAsia" w:hAnsi="宋体"/>
          <w:b/>
          <w:color w:val="auto"/>
          <w:sz w:val="21"/>
        </w:rPr>
        <w:t>3.一项技术参数有多条小项要求的，必须全部响应。如只响应部分参数，视为漏项，按照“2”判定。</w:t>
      </w:r>
    </w:p>
    <w:p w14:paraId="1A8936FC">
      <w:pPr>
        <w:pStyle w:val="4"/>
        <w:spacing w:line="360" w:lineRule="auto"/>
        <w:ind w:firstLine="420"/>
        <w:rPr>
          <w:rFonts w:hint="eastAsia" w:hAnsi="宋体"/>
          <w:b/>
          <w:color w:val="auto"/>
          <w:sz w:val="21"/>
        </w:rPr>
      </w:pPr>
      <w:r>
        <w:rPr>
          <w:rFonts w:hint="eastAsia" w:hAnsi="宋体"/>
          <w:b/>
          <w:color w:val="auto"/>
          <w:sz w:val="21"/>
        </w:rPr>
        <w:t>4.对于区间涵盖值类技术参数条款，例：“**范围A～B”指参数需包含“A～B”区段，同时满足下限值更低及上限值更高视为正偏离；满足区间视为无偏离；不满足区间视为负偏离（如有一端负偏离，不管另一端如何，均视为负偏离）。</w:t>
      </w:r>
    </w:p>
    <w:p w14:paraId="301A2EEB">
      <w:pPr>
        <w:pStyle w:val="4"/>
        <w:spacing w:line="360" w:lineRule="auto"/>
        <w:ind w:firstLine="420"/>
        <w:rPr>
          <w:rFonts w:hint="eastAsia" w:hAnsi="宋体"/>
          <w:b/>
          <w:color w:val="auto"/>
          <w:sz w:val="21"/>
        </w:rPr>
      </w:pPr>
      <w:r>
        <w:rPr>
          <w:rFonts w:hint="eastAsia" w:hAnsi="宋体"/>
          <w:b/>
          <w:color w:val="auto"/>
          <w:sz w:val="21"/>
        </w:rPr>
        <w:t>5.对于区间任意值参数，例“A≤**≤B”或“**C±D”，满足区间视为无偏离；不满足区间视为负偏离。此类参数不存在正偏离。</w:t>
      </w:r>
    </w:p>
    <w:p w14:paraId="79FA6FC4">
      <w:pPr>
        <w:pStyle w:val="4"/>
        <w:spacing w:line="360" w:lineRule="auto"/>
        <w:ind w:firstLine="420"/>
        <w:rPr>
          <w:rFonts w:hint="eastAsia" w:hAnsi="宋体"/>
          <w:b/>
          <w:color w:val="auto"/>
          <w:sz w:val="21"/>
        </w:rPr>
      </w:pPr>
      <w:r>
        <w:rPr>
          <w:rFonts w:hint="eastAsia" w:hAnsi="宋体"/>
          <w:b/>
          <w:color w:val="auto"/>
          <w:sz w:val="21"/>
        </w:rPr>
        <w:t>6.对于单边任意参数的要求，例“**≥A”“**A以上”，若响应为A，视为无偏离；若响应小于A，视为负偏离；若响应大于A，视为正偏离。例“**≤A”“**A以下”，若响应为A，视为无偏离；若响应大于A，视为负偏离；若响应小于A，视为正偏离。</w:t>
      </w:r>
    </w:p>
    <w:p w14:paraId="7A4D81F0">
      <w:pPr>
        <w:rPr>
          <w:b/>
          <w:bCs/>
          <w:color w:val="auto"/>
          <w:sz w:val="28"/>
          <w:szCs w:val="22"/>
          <w:highlight w:val="none"/>
        </w:rPr>
      </w:pPr>
      <w:r>
        <w:rPr>
          <w:rFonts w:hint="eastAsia" w:hAnsi="宋体"/>
          <w:b/>
          <w:color w:val="auto"/>
          <w:sz w:val="21"/>
        </w:rPr>
        <w:t>7.如采购需求中技术参数有特殊要求与上述说明不一致的，以特殊要求为准。</w:t>
      </w:r>
    </w:p>
    <w:sectPr>
      <w:pgSz w:w="11906" w:h="16838"/>
      <w:pgMar w:top="1134" w:right="85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63"/>
    <w:rsid w:val="00270F63"/>
    <w:rsid w:val="0037725A"/>
    <w:rsid w:val="006F12A4"/>
    <w:rsid w:val="00A12DF0"/>
    <w:rsid w:val="00BC6D59"/>
    <w:rsid w:val="00E80CAE"/>
    <w:rsid w:val="02B7624C"/>
    <w:rsid w:val="03A857EB"/>
    <w:rsid w:val="05111A52"/>
    <w:rsid w:val="082365B1"/>
    <w:rsid w:val="09A512F2"/>
    <w:rsid w:val="0BBF278E"/>
    <w:rsid w:val="0E8A4C8C"/>
    <w:rsid w:val="139D38DB"/>
    <w:rsid w:val="21E05641"/>
    <w:rsid w:val="24A869BF"/>
    <w:rsid w:val="26A57AC5"/>
    <w:rsid w:val="281C077C"/>
    <w:rsid w:val="2DF1624D"/>
    <w:rsid w:val="309C1E01"/>
    <w:rsid w:val="30BD1074"/>
    <w:rsid w:val="39B9719E"/>
    <w:rsid w:val="3BC82EF5"/>
    <w:rsid w:val="4CDD02A2"/>
    <w:rsid w:val="4CE15C9E"/>
    <w:rsid w:val="549507DD"/>
    <w:rsid w:val="57B7082C"/>
    <w:rsid w:val="6229523A"/>
    <w:rsid w:val="66F619F5"/>
    <w:rsid w:val="716D53CF"/>
    <w:rsid w:val="77BC5CE1"/>
    <w:rsid w:val="78CC7296"/>
    <w:rsid w:val="78F858AE"/>
    <w:rsid w:val="7B821570"/>
    <w:rsid w:val="7B92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widowControl w:val="0"/>
    </w:pPr>
    <w:rPr>
      <w:rFonts w:ascii="宋体"/>
      <w:kern w:val="2"/>
      <w:sz w:val="24"/>
      <w:szCs w:val="21"/>
      <w:lang w:val="en-US" w:eastAsia="zh-CN" w:bidi="ar-SA"/>
    </w:rPr>
  </w:style>
  <w:style w:type="paragraph" w:styleId="3">
    <w:name w:val="Body Text"/>
    <w:basedOn w:val="1"/>
    <w:qFormat/>
    <w:uiPriority w:val="99"/>
    <w:pPr>
      <w:spacing w:line="380" w:lineRule="exact"/>
    </w:pPr>
    <w:rPr>
      <w:kern w:val="0"/>
    </w:rPr>
  </w:style>
  <w:style w:type="paragraph" w:styleId="4">
    <w:name w:val="Plain Text"/>
    <w:basedOn w:val="1"/>
    <w:qFormat/>
    <w:uiPriority w:val="99"/>
    <w:rPr>
      <w:kern w:val="0"/>
      <w:sz w:val="20"/>
    </w:rPr>
  </w:style>
  <w:style w:type="paragraph" w:styleId="5">
    <w:name w:val="footer"/>
    <w:basedOn w:val="1"/>
    <w:qFormat/>
    <w:uiPriority w:val="99"/>
    <w:pPr>
      <w:tabs>
        <w:tab w:val="center" w:pos="4153"/>
        <w:tab w:val="right" w:pos="8306"/>
      </w:tabs>
      <w:snapToGrid w:val="0"/>
    </w:pPr>
    <w:rPr>
      <w:rFonts w:ascii="Calibri" w:hAnsi="Calibri"/>
      <w:kern w:val="0"/>
      <w:sz w:val="18"/>
      <w:szCs w:val="18"/>
    </w:rPr>
  </w:style>
  <w:style w:type="paragraph" w:styleId="6">
    <w:name w:val="header"/>
    <w:basedOn w:val="1"/>
    <w:qFormat/>
    <w:uiPriority w:val="0"/>
    <w:pPr>
      <w:pBdr>
        <w:bottom w:val="single" w:color="auto" w:sz="6" w:space="1"/>
      </w:pBdr>
      <w:tabs>
        <w:tab w:val="center" w:pos="0"/>
        <w:tab w:val="left" w:pos="8306"/>
      </w:tabs>
      <w:snapToGrid w:val="0"/>
      <w:jc w:val="center"/>
    </w:pPr>
    <w:rPr>
      <w:sz w:val="18"/>
      <w:szCs w:val="18"/>
    </w:rPr>
  </w:style>
  <w:style w:type="character" w:styleId="9">
    <w:name w:val="annotation reference"/>
    <w:qFormat/>
    <w:uiPriority w:val="99"/>
    <w:rPr>
      <w:sz w:val="21"/>
      <w:szCs w:val="21"/>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font21"/>
    <w:basedOn w:val="8"/>
    <w:qFormat/>
    <w:uiPriority w:val="0"/>
    <w:rPr>
      <w:rFonts w:hint="eastAsia" w:ascii="宋体" w:hAnsi="宋体" w:eastAsia="宋体" w:cs="宋体"/>
      <w:color w:val="000000"/>
      <w:sz w:val="21"/>
      <w:szCs w:val="21"/>
      <w:u w:val="non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9AFE8-6EF2-498D-A90B-B85EE61A4720}">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3420</Words>
  <Characters>3505</Characters>
  <Lines>50</Lines>
  <Paragraphs>14</Paragraphs>
  <TotalTime>0</TotalTime>
  <ScaleCrop>false</ScaleCrop>
  <LinksUpToDate>false</LinksUpToDate>
  <CharactersWithSpaces>3507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2025-02-13T05:18:00Z</dcterms:created>
  <dc:creator>Administrator</dc:creator>
  <cp:lastModifiedBy>ymh</cp:lastModifiedBy>
  <cp:lastPrinted>2025-11-04T08:54:00Z</cp:lastPrinted>
  <dcterms:modified xsi:type="dcterms:W3CDTF">2025-11-04T09:42:58Z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eyJoZGlkIjoiOTUxMWQxOTY1ZmFjNzMxYjk5M2RkZmUwNjAzMWZlY2EiLCJ1c2VySWQiOiI1MTE5NTY4MzUifQ==</vt:lpwstr>
  </property>
  <property fmtid="{D5CDD505-2E9C-101B-9397-08002B2CF9AE}" pid="4" name="ICV">
    <vt:lpwstr>C1225B12204E4392B3EE2961BBE37C0D_12</vt:lpwstr>
  </property>
</Properties>
</file>