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54D2B5">
      <w:pPr>
        <w:pStyle w:val="2"/>
        <w:bidi w:val="0"/>
        <w:spacing w:line="720" w:lineRule="auto"/>
        <w:rPr>
          <w:rFonts w:hint="eastAsia"/>
          <w:color w:val="auto"/>
        </w:rPr>
      </w:pPr>
      <w:r>
        <w:rPr>
          <w:rFonts w:hint="eastAsia"/>
          <w:color w:val="auto"/>
        </w:rPr>
        <w:t>关于</w:t>
      </w:r>
      <w:r>
        <w:rPr>
          <w:rFonts w:hint="eastAsia"/>
          <w:color w:val="auto"/>
          <w:lang w:val="en-US" w:eastAsia="zh-CN"/>
        </w:rPr>
        <w:t>南宁市秀厢大道幼儿园厨房设施设备采购</w:t>
      </w:r>
      <w:r>
        <w:rPr>
          <w:rFonts w:hint="eastAsia"/>
          <w:color w:val="auto"/>
        </w:rPr>
        <w:t>项目质疑答复函</w:t>
      </w:r>
    </w:p>
    <w:p w14:paraId="1926DBCD">
      <w:pPr>
        <w:keepNext w:val="0"/>
        <w:keepLines w:val="0"/>
        <w:pageBreakBefore w:val="0"/>
        <w:widowControl w:val="0"/>
        <w:kinsoku/>
        <w:wordWrap/>
        <w:overflowPunct/>
        <w:topLinePunct w:val="0"/>
        <w:autoSpaceDE/>
        <w:autoSpaceDN/>
        <w:bidi w:val="0"/>
        <w:adjustRightInd/>
        <w:snapToGrid/>
        <w:spacing w:before="240" w:line="560" w:lineRule="exact"/>
        <w:jc w:val="center"/>
        <w:textAlignment w:val="auto"/>
        <w:rPr>
          <w:rFonts w:hint="eastAsia" w:ascii="仿宋_GB2312" w:hAnsi="仿宋_GB2312" w:eastAsia="仿宋_GB2312" w:cs="仿宋_GB2312"/>
          <w:b/>
          <w:bCs/>
          <w:sz w:val="44"/>
          <w:szCs w:val="44"/>
        </w:rPr>
      </w:pPr>
    </w:p>
    <w:p w14:paraId="48798E11">
      <w:pPr>
        <w:spacing w:line="46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一、质疑供应商基本信息</w:t>
      </w:r>
    </w:p>
    <w:p w14:paraId="3B489BC3">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质疑人名称：沈阳金佰特盛世厨房设备有限公司</w:t>
      </w:r>
    </w:p>
    <w:p w14:paraId="71E94141">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地址：辽宁省沈阳市和平区十三纬路37号(4-13)</w:t>
      </w:r>
    </w:p>
    <w:p w14:paraId="5881AD92">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法定代表人：曹雯赫</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联系电话:15142008492</w:t>
      </w:r>
    </w:p>
    <w:p w14:paraId="71F0DB66">
      <w:pPr>
        <w:spacing w:line="4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委托代理人：陈兴国</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联系电话:15142008492</w:t>
      </w:r>
    </w:p>
    <w:p w14:paraId="4762946C">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邮编:110003:921667354@gg.com</w:t>
      </w:r>
    </w:p>
    <w:p w14:paraId="460DFCC8">
      <w:pPr>
        <w:spacing w:line="46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二、采购项目基本情况</w:t>
      </w:r>
    </w:p>
    <w:p w14:paraId="40EB110B">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质疑项目名称：南宁市秀厢大道幼儿园厨房设施设备采购项目</w:t>
      </w:r>
    </w:p>
    <w:p w14:paraId="1E883C11">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质疑项目编号：NNZC2025-J1-520008-NNGX</w:t>
      </w:r>
    </w:p>
    <w:p w14:paraId="686AB039">
      <w:pPr>
        <w:spacing w:line="460" w:lineRule="exact"/>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采购人名称：南宁高新技术产业开发区教育局</w:t>
      </w:r>
    </w:p>
    <w:p w14:paraId="410A7474">
      <w:pPr>
        <w:spacing w:line="460" w:lineRule="exact"/>
        <w:ind w:firstLine="560" w:firstLineChars="20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采购代理机构:南宁高新技术产业开发区公共资源交易中心</w:t>
      </w:r>
    </w:p>
    <w:p w14:paraId="74EAB9FF">
      <w:pPr>
        <w:spacing w:line="46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三、质疑答复：</w:t>
      </w:r>
    </w:p>
    <w:p w14:paraId="3A1359C8">
      <w:pPr>
        <w:spacing w:line="460" w:lineRule="exact"/>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贵公司关于南宁市秀厢大道幼儿园厨房设施设备采购项目的质疑函，我单位于2025年09月2日收悉，针对贵公司提出的问题，我单位进行了认真核实，现对质疑事项答复如下：</w:t>
      </w:r>
    </w:p>
    <w:p w14:paraId="1606AC09">
      <w:pPr>
        <w:spacing w:line="460" w:lineRule="exact"/>
        <w:ind w:firstLine="562" w:firstLineChars="200"/>
        <w:rPr>
          <w:rFonts w:hint="eastAsia" w:ascii="仿宋_GB2312" w:hAnsi="仿宋_GB2312" w:eastAsia="仿宋_GB2312" w:cs="仿宋_GB2312"/>
          <w:b w:val="0"/>
          <w:bCs/>
          <w:sz w:val="28"/>
          <w:szCs w:val="28"/>
          <w:lang w:val="en-US" w:eastAsia="zh-CN"/>
        </w:rPr>
      </w:pPr>
      <w:r>
        <w:rPr>
          <w:rFonts w:hint="eastAsia" w:ascii="仿宋_GB2312" w:hAnsi="仿宋_GB2312" w:eastAsia="仿宋_GB2312" w:cs="仿宋_GB2312"/>
          <w:b/>
          <w:sz w:val="28"/>
          <w:szCs w:val="28"/>
        </w:rPr>
        <w:t>质疑事项</w:t>
      </w:r>
      <w:r>
        <w:rPr>
          <w:rFonts w:hint="eastAsia" w:ascii="仿宋_GB2312" w:hAnsi="仿宋_GB2312" w:eastAsia="仿宋_GB2312" w:cs="仿宋_GB2312"/>
          <w:b/>
          <w:sz w:val="28"/>
          <w:szCs w:val="28"/>
          <w:lang w:val="en-US" w:eastAsia="zh-CN"/>
        </w:rPr>
        <w:t>1.</w:t>
      </w:r>
      <w:r>
        <w:rPr>
          <w:rFonts w:hint="eastAsia" w:ascii="仿宋_GB2312" w:hAnsi="仿宋_GB2312" w:eastAsia="仿宋_GB2312" w:cs="仿宋_GB2312"/>
          <w:bCs/>
          <w:color w:val="000000"/>
          <w:sz w:val="28"/>
          <w:szCs w:val="28"/>
          <w:lang w:val="en-US" w:eastAsia="zh-CN"/>
        </w:rPr>
        <w:t>中标人投标文件中标的四门高身雪柜,该标的的生产制造企业不具备国家相关行政许可规定及要求，属于涉嫌提供虚假材料，谋取中标，其投标文件应为无效投标文件，同时中标结果也无效，因为违背了政府采购法的公平、公正、公开以及诚实信用原则。</w:t>
      </w:r>
    </w:p>
    <w:p w14:paraId="4369AF9F">
      <w:pPr>
        <w:bidi w:val="0"/>
        <w:ind w:firstLine="562" w:firstLineChars="200"/>
        <w:rPr>
          <w:rFonts w:hint="eastAsia"/>
          <w:b/>
          <w:bCs/>
          <w:sz w:val="28"/>
          <w:szCs w:val="28"/>
        </w:rPr>
      </w:pPr>
      <w:r>
        <w:rPr>
          <w:rFonts w:hint="eastAsia"/>
          <w:b/>
          <w:bCs/>
          <w:sz w:val="28"/>
          <w:szCs w:val="28"/>
        </w:rPr>
        <w:t>质疑事项</w:t>
      </w:r>
      <w:r>
        <w:rPr>
          <w:rFonts w:hint="eastAsia"/>
          <w:b/>
          <w:bCs/>
          <w:sz w:val="28"/>
          <w:szCs w:val="28"/>
          <w:lang w:val="en-US" w:eastAsia="zh-CN"/>
        </w:rPr>
        <w:t>1</w:t>
      </w:r>
      <w:r>
        <w:rPr>
          <w:rFonts w:hint="eastAsia"/>
          <w:b/>
          <w:bCs/>
          <w:sz w:val="28"/>
          <w:szCs w:val="28"/>
        </w:rPr>
        <w:t>答复：</w:t>
      </w:r>
    </w:p>
    <w:p w14:paraId="1DA7E71F">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经核实，拉斯贝姆VZ0.4L2-CPL四门高身雪柜生产厂家为浙江拉斯贝姆餐饮设备有限公司，该型号已获得CCC认证证书，证书编号为：2020010701329124（附截图）。</w:t>
      </w:r>
    </w:p>
    <w:p w14:paraId="58097D98">
      <w:pPr>
        <w:spacing w:line="24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截图：</w:t>
      </w:r>
    </w:p>
    <w:p w14:paraId="16B7C6B6">
      <w:pPr>
        <w:spacing w:line="240" w:lineRule="auto"/>
        <w:ind w:firstLine="420" w:firstLineChars="200"/>
        <w:jc w:val="left"/>
        <w:rPr>
          <w:rFonts w:hint="default" w:ascii="仿宋_GB2312" w:hAnsi="仿宋_GB2312" w:eastAsia="仿宋_GB2312" w:cs="仿宋_GB2312"/>
          <w:sz w:val="28"/>
          <w:szCs w:val="28"/>
          <w:lang w:val="en-US" w:eastAsia="zh-CN"/>
        </w:rPr>
      </w:pPr>
      <w:r>
        <w:drawing>
          <wp:inline distT="0" distB="0" distL="114300" distR="114300">
            <wp:extent cx="5029200" cy="70675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
                    <a:stretch>
                      <a:fillRect/>
                    </a:stretch>
                  </pic:blipFill>
                  <pic:spPr>
                    <a:xfrm>
                      <a:off x="0" y="0"/>
                      <a:ext cx="5029200" cy="7067550"/>
                    </a:xfrm>
                    <a:prstGeom prst="rect">
                      <a:avLst/>
                    </a:prstGeom>
                    <a:noFill/>
                    <a:ln>
                      <a:noFill/>
                    </a:ln>
                  </pic:spPr>
                </pic:pic>
              </a:graphicData>
            </a:graphic>
          </wp:inline>
        </w:drawing>
      </w:r>
    </w:p>
    <w:p w14:paraId="24A63C4D">
      <w:pPr>
        <w:spacing w:line="460" w:lineRule="exact"/>
        <w:ind w:firstLine="562" w:firstLineChars="200"/>
        <w:rPr>
          <w:rFonts w:hint="eastAsia" w:ascii="仿宋_GB2312" w:hAnsi="仿宋_GB2312" w:eastAsia="仿宋_GB2312" w:cs="仿宋_GB2312"/>
          <w:b/>
          <w:sz w:val="28"/>
          <w:szCs w:val="28"/>
        </w:rPr>
      </w:pPr>
    </w:p>
    <w:p w14:paraId="0F74DA7A">
      <w:pPr>
        <w:spacing w:line="460" w:lineRule="exact"/>
        <w:ind w:firstLine="562" w:firstLineChars="200"/>
        <w:rPr>
          <w:rFonts w:hint="eastAsia" w:ascii="仿宋_GB2312" w:hAnsi="仿宋_GB2312" w:eastAsia="仿宋_GB2312" w:cs="仿宋_GB2312"/>
          <w:b/>
          <w:sz w:val="28"/>
          <w:szCs w:val="28"/>
        </w:rPr>
      </w:pPr>
    </w:p>
    <w:p w14:paraId="625DFA2D">
      <w:pPr>
        <w:spacing w:line="460" w:lineRule="exact"/>
        <w:ind w:firstLine="562" w:firstLineChars="200"/>
        <w:rPr>
          <w:rFonts w:hint="eastAsia" w:ascii="仿宋_GB2312" w:hAnsi="仿宋_GB2312" w:eastAsia="仿宋_GB2312" w:cs="仿宋_GB2312"/>
          <w:b/>
          <w:sz w:val="28"/>
          <w:szCs w:val="28"/>
        </w:rPr>
      </w:pPr>
    </w:p>
    <w:p w14:paraId="516ADECB">
      <w:pPr>
        <w:spacing w:line="460" w:lineRule="exact"/>
        <w:rPr>
          <w:rFonts w:hint="eastAsia" w:ascii="仿宋_GB2312" w:hAnsi="仿宋_GB2312" w:eastAsia="仿宋_GB2312" w:cs="仿宋_GB2312"/>
          <w:b/>
          <w:sz w:val="28"/>
          <w:szCs w:val="28"/>
        </w:rPr>
      </w:pPr>
    </w:p>
    <w:p w14:paraId="17516AB4">
      <w:pPr>
        <w:spacing w:line="460" w:lineRule="exact"/>
        <w:ind w:firstLine="562" w:firstLineChars="200"/>
        <w:rPr>
          <w:rFonts w:hint="default" w:ascii="仿宋_GB2312" w:hAnsi="仿宋_GB2312" w:eastAsia="仿宋_GB2312" w:cs="仿宋_GB2312"/>
          <w:b w:val="0"/>
          <w:bCs/>
          <w:sz w:val="28"/>
          <w:szCs w:val="28"/>
          <w:lang w:val="en-US" w:eastAsia="zh-CN"/>
        </w:rPr>
      </w:pPr>
      <w:r>
        <w:rPr>
          <w:rFonts w:hint="eastAsia" w:ascii="仿宋_GB2312" w:hAnsi="仿宋_GB2312" w:eastAsia="仿宋_GB2312" w:cs="仿宋_GB2312"/>
          <w:b/>
          <w:sz w:val="28"/>
          <w:szCs w:val="28"/>
        </w:rPr>
        <w:t>质疑事项</w:t>
      </w:r>
      <w:r>
        <w:rPr>
          <w:rFonts w:hint="eastAsia" w:ascii="仿宋_GB2312" w:hAnsi="仿宋_GB2312" w:eastAsia="仿宋_GB2312" w:cs="仿宋_GB2312"/>
          <w:b/>
          <w:sz w:val="28"/>
          <w:szCs w:val="28"/>
          <w:lang w:val="en-US" w:eastAsia="zh-CN"/>
        </w:rPr>
        <w:t>2.</w:t>
      </w:r>
      <w:r>
        <w:rPr>
          <w:rFonts w:hint="eastAsia" w:ascii="仿宋_GB2312" w:hAnsi="仿宋_GB2312" w:eastAsia="仿宋_GB2312" w:cs="仿宋_GB2312"/>
          <w:bCs/>
          <w:color w:val="000000"/>
          <w:sz w:val="28"/>
          <w:szCs w:val="28"/>
          <w:lang w:val="en-US" w:eastAsia="zh-CN"/>
        </w:rPr>
        <w:t>中标人投标文件中标的牛奶存放冰箱,该标的的生产制造企业不具备国家相关行政许可规定及要求，属于涉嫌提供虚假材料，谋取中标，其投标文件应为无效投标文件，同时中标结果也无效，因为违背了政府采购法的公平、公正、公开以及诚实信用原则。</w:t>
      </w:r>
    </w:p>
    <w:p w14:paraId="1C9050A0">
      <w:pPr>
        <w:spacing w:line="460" w:lineRule="exact"/>
        <w:ind w:firstLine="562" w:firstLineChars="200"/>
        <w:rPr>
          <w:rFonts w:hint="eastAsia"/>
          <w:b/>
          <w:bCs/>
          <w:sz w:val="28"/>
          <w:szCs w:val="28"/>
        </w:rPr>
      </w:pPr>
      <w:r>
        <w:rPr>
          <w:rFonts w:hint="eastAsia"/>
          <w:b/>
          <w:bCs/>
          <w:sz w:val="28"/>
          <w:szCs w:val="28"/>
        </w:rPr>
        <w:t>质疑事项</w:t>
      </w:r>
      <w:r>
        <w:rPr>
          <w:rFonts w:hint="eastAsia"/>
          <w:b/>
          <w:bCs/>
          <w:sz w:val="28"/>
          <w:szCs w:val="28"/>
          <w:lang w:val="en-US" w:eastAsia="zh-CN"/>
        </w:rPr>
        <w:t>2</w:t>
      </w:r>
      <w:r>
        <w:rPr>
          <w:rFonts w:hint="eastAsia"/>
          <w:b/>
          <w:bCs/>
          <w:sz w:val="28"/>
          <w:szCs w:val="28"/>
        </w:rPr>
        <w:t>答复：</w:t>
      </w:r>
    </w:p>
    <w:p w14:paraId="36B44DE8">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经核实，先科BCD-208S268牛奶存放冰箱生产厂家为宁波泓凌电器有限公司，该型号已获得CCC认证证书，证书编号为：2021010701427521（附截图）。</w:t>
      </w:r>
    </w:p>
    <w:p w14:paraId="75CDF0C1">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查询截图：</w:t>
      </w:r>
    </w:p>
    <w:p w14:paraId="0076D793">
      <w:pPr>
        <w:spacing w:line="240" w:lineRule="auto"/>
        <w:rPr>
          <w:rFonts w:hint="eastAsia" w:ascii="仿宋_GB2312" w:hAnsi="仿宋_GB2312" w:cs="仿宋_GB2312" w:eastAsiaTheme="minorEastAsia"/>
          <w:sz w:val="28"/>
          <w:szCs w:val="28"/>
          <w:lang w:val="en-US" w:eastAsia="zh-CN"/>
        </w:rPr>
      </w:pPr>
      <w:r>
        <w:drawing>
          <wp:inline distT="0" distB="0" distL="114300" distR="114300">
            <wp:extent cx="6187440" cy="372935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187440" cy="3729355"/>
                    </a:xfrm>
                    <a:prstGeom prst="rect">
                      <a:avLst/>
                    </a:prstGeom>
                    <a:noFill/>
                    <a:ln>
                      <a:noFill/>
                    </a:ln>
                  </pic:spPr>
                </pic:pic>
              </a:graphicData>
            </a:graphic>
          </wp:inline>
        </w:drawing>
      </w:r>
      <w:r>
        <w:rPr>
          <w:rFonts w:hint="eastAsia" w:ascii="仿宋_GB2312" w:hAnsi="仿宋_GB2312" w:cs="仿宋_GB2312" w:eastAsiaTheme="minorEastAsia"/>
          <w:sz w:val="28"/>
          <w:szCs w:val="28"/>
          <w:lang w:val="en-US" w:eastAsia="zh-CN"/>
        </w:rPr>
        <w:drawing>
          <wp:inline distT="0" distB="0" distL="114300" distR="114300">
            <wp:extent cx="6182360" cy="7038975"/>
            <wp:effectExtent l="0" t="0" r="8890" b="9525"/>
            <wp:docPr id="4" name="图片 4" descr="Annex(CN)_new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nnex(CN)_new_01"/>
                    <pic:cNvPicPr>
                      <a:picLocks noChangeAspect="1"/>
                    </pic:cNvPicPr>
                  </pic:nvPicPr>
                  <pic:blipFill>
                    <a:blip r:embed="rId6"/>
                    <a:srcRect t="6432" b="7090"/>
                    <a:stretch>
                      <a:fillRect/>
                    </a:stretch>
                  </pic:blipFill>
                  <pic:spPr>
                    <a:xfrm>
                      <a:off x="0" y="0"/>
                      <a:ext cx="6182360" cy="7038975"/>
                    </a:xfrm>
                    <a:prstGeom prst="rect">
                      <a:avLst/>
                    </a:prstGeom>
                  </pic:spPr>
                </pic:pic>
              </a:graphicData>
            </a:graphic>
          </wp:inline>
        </w:drawing>
      </w:r>
    </w:p>
    <w:p w14:paraId="3EA362D5">
      <w:pPr>
        <w:spacing w:line="460" w:lineRule="exact"/>
        <w:ind w:firstLine="562" w:firstLineChars="200"/>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
          <w:sz w:val="28"/>
          <w:szCs w:val="28"/>
        </w:rPr>
        <w:t>质疑事项</w:t>
      </w:r>
      <w:r>
        <w:rPr>
          <w:rFonts w:hint="eastAsia" w:ascii="仿宋_GB2312" w:hAnsi="仿宋_GB2312" w:eastAsia="仿宋_GB2312" w:cs="仿宋_GB2312"/>
          <w:b/>
          <w:sz w:val="28"/>
          <w:szCs w:val="28"/>
          <w:lang w:val="en-US" w:eastAsia="zh-CN"/>
        </w:rPr>
        <w:t>3.</w:t>
      </w:r>
      <w:r>
        <w:rPr>
          <w:rFonts w:hint="eastAsia" w:ascii="仿宋_GB2312" w:hAnsi="仿宋_GB2312" w:eastAsia="仿宋_GB2312" w:cs="仿宋_GB2312"/>
          <w:bCs/>
          <w:color w:val="000000"/>
          <w:sz w:val="28"/>
          <w:szCs w:val="28"/>
          <w:lang w:val="en-US" w:eastAsia="zh-CN"/>
        </w:rPr>
        <w:t>中标人投标文件中标的壁扇,该标的的生产制造企业不具备国家相关行政许可规定及要求，属于涉嫌提供虚假材料，谋取中标，其投标文件应为无效投标文件，同时中标结果也无效，因为违背了政府采购法的公平、公正、公开以及诚实信用原则。</w:t>
      </w:r>
    </w:p>
    <w:p w14:paraId="7453FCD3">
      <w:pPr>
        <w:spacing w:line="460" w:lineRule="exact"/>
        <w:ind w:firstLine="562" w:firstLineChars="200"/>
        <w:rPr>
          <w:rFonts w:hint="default" w:ascii="仿宋_GB2312" w:hAnsi="仿宋_GB2312" w:eastAsia="仿宋_GB2312" w:cs="仿宋_GB2312"/>
          <w:bCs/>
          <w:color w:val="000000"/>
          <w:sz w:val="28"/>
          <w:szCs w:val="28"/>
          <w:lang w:val="en-US" w:eastAsia="zh-CN"/>
        </w:rPr>
      </w:pPr>
      <w:r>
        <w:rPr>
          <w:rFonts w:hint="eastAsia"/>
          <w:b/>
          <w:bCs/>
          <w:sz w:val="28"/>
          <w:szCs w:val="28"/>
        </w:rPr>
        <w:t>质疑事项</w:t>
      </w:r>
      <w:r>
        <w:rPr>
          <w:rFonts w:hint="eastAsia"/>
          <w:b/>
          <w:bCs/>
          <w:sz w:val="28"/>
          <w:szCs w:val="28"/>
          <w:lang w:val="en-US" w:eastAsia="zh-CN"/>
        </w:rPr>
        <w:t>3</w:t>
      </w:r>
      <w:r>
        <w:rPr>
          <w:rFonts w:hint="eastAsia"/>
          <w:b/>
          <w:bCs/>
          <w:sz w:val="28"/>
          <w:szCs w:val="28"/>
        </w:rPr>
        <w:t>答复：</w:t>
      </w:r>
    </w:p>
    <w:p w14:paraId="22591600">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经核实，先科FB-16壁扇生产厂家为宁波川格电器有限公司，该型号已获得CCC认证证书，证书编号为：2019010702170237（附截图）。</w:t>
      </w:r>
    </w:p>
    <w:p w14:paraId="080B1E98">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查询截图：</w:t>
      </w:r>
    </w:p>
    <w:p w14:paraId="7D8771C7">
      <w:pPr>
        <w:spacing w:line="240" w:lineRule="auto"/>
        <w:rPr>
          <w:rFonts w:hint="eastAsia" w:ascii="仿宋_GB2312" w:hAnsi="仿宋_GB2312" w:eastAsia="仿宋_GB2312" w:cs="仿宋_GB2312"/>
          <w:sz w:val="28"/>
          <w:szCs w:val="28"/>
          <w:lang w:val="en-US" w:eastAsia="zh-CN"/>
        </w:rPr>
      </w:pPr>
      <w:r>
        <w:drawing>
          <wp:inline distT="0" distB="0" distL="114300" distR="114300">
            <wp:extent cx="6187440" cy="705167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rcRect b="24986"/>
                    <a:stretch>
                      <a:fillRect/>
                    </a:stretch>
                  </pic:blipFill>
                  <pic:spPr>
                    <a:xfrm>
                      <a:off x="0" y="0"/>
                      <a:ext cx="6187440" cy="7051675"/>
                    </a:xfrm>
                    <a:prstGeom prst="rect">
                      <a:avLst/>
                    </a:prstGeom>
                    <a:noFill/>
                    <a:ln>
                      <a:noFill/>
                    </a:ln>
                  </pic:spPr>
                </pic:pic>
              </a:graphicData>
            </a:graphic>
          </wp:inline>
        </w:drawing>
      </w:r>
    </w:p>
    <w:p w14:paraId="29B2188B">
      <w:pPr>
        <w:spacing w:line="460" w:lineRule="exact"/>
        <w:ind w:firstLine="562" w:firstLineChars="200"/>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
          <w:sz w:val="28"/>
          <w:szCs w:val="28"/>
        </w:rPr>
        <w:t>质疑事项</w:t>
      </w:r>
      <w:r>
        <w:rPr>
          <w:rFonts w:hint="eastAsia" w:ascii="仿宋_GB2312" w:hAnsi="仿宋_GB2312" w:eastAsia="仿宋_GB2312" w:cs="仿宋_GB2312"/>
          <w:b/>
          <w:sz w:val="28"/>
          <w:szCs w:val="28"/>
          <w:lang w:val="en-US" w:eastAsia="zh-CN"/>
        </w:rPr>
        <w:t>4.</w:t>
      </w:r>
      <w:r>
        <w:rPr>
          <w:rFonts w:hint="eastAsia" w:ascii="仿宋_GB2312" w:hAnsi="仿宋_GB2312" w:eastAsia="仿宋_GB2312" w:cs="仿宋_GB2312"/>
          <w:bCs/>
          <w:color w:val="000000"/>
          <w:sz w:val="28"/>
          <w:szCs w:val="28"/>
          <w:lang w:val="en-US" w:eastAsia="zh-CN"/>
        </w:rPr>
        <w:t>中标人投标文件中标的远红外线消毒柜、单门消毒柜,提供的该标的不具备国家相关行政许可规定及要求,属于涉嫌提供虚假材料，谋取中标，其投标文件应为无效投标文件，同时中标结果也无效。</w:t>
      </w:r>
    </w:p>
    <w:p w14:paraId="24CAEE67">
      <w:pPr>
        <w:spacing w:line="460" w:lineRule="exact"/>
        <w:ind w:firstLine="562" w:firstLineChars="200"/>
        <w:rPr>
          <w:rFonts w:hint="default" w:ascii="仿宋_GB2312" w:hAnsi="仿宋_GB2312" w:eastAsia="仿宋_GB2312" w:cs="仿宋_GB2312"/>
          <w:bCs/>
          <w:color w:val="000000"/>
          <w:sz w:val="28"/>
          <w:szCs w:val="28"/>
          <w:lang w:val="en-US" w:eastAsia="zh-CN"/>
        </w:rPr>
      </w:pPr>
      <w:r>
        <w:rPr>
          <w:rFonts w:hint="eastAsia"/>
          <w:b/>
          <w:bCs/>
          <w:sz w:val="28"/>
          <w:szCs w:val="28"/>
        </w:rPr>
        <w:t>质疑事项</w:t>
      </w:r>
      <w:r>
        <w:rPr>
          <w:rFonts w:hint="eastAsia"/>
          <w:b/>
          <w:bCs/>
          <w:sz w:val="28"/>
          <w:szCs w:val="28"/>
          <w:lang w:val="en-US" w:eastAsia="zh-CN"/>
        </w:rPr>
        <w:t>4</w:t>
      </w:r>
      <w:r>
        <w:rPr>
          <w:rFonts w:hint="eastAsia"/>
          <w:b/>
          <w:bCs/>
          <w:sz w:val="28"/>
          <w:szCs w:val="28"/>
        </w:rPr>
        <w:t>答复：</w:t>
      </w:r>
    </w:p>
    <w:p w14:paraId="3ABE2AB9">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经核实，远红外线消毒柜、单门消毒柜生产厂家为中山市海花电器有限公司，该公司已取得消毒产品生产企业卫生许可证（附证书图片）。</w:t>
      </w:r>
    </w:p>
    <w:p w14:paraId="31F9D361">
      <w:pPr>
        <w:spacing w:line="4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证书图片：</w:t>
      </w:r>
    </w:p>
    <w:p w14:paraId="22A8E66C">
      <w:pPr>
        <w:spacing w:line="240" w:lineRule="auto"/>
      </w:pPr>
      <w:r>
        <w:drawing>
          <wp:inline distT="0" distB="0" distL="114300" distR="114300">
            <wp:extent cx="6172200" cy="4302125"/>
            <wp:effectExtent l="0" t="0" r="0" b="31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6172200" cy="4302125"/>
                    </a:xfrm>
                    <a:prstGeom prst="rect">
                      <a:avLst/>
                    </a:prstGeom>
                    <a:noFill/>
                    <a:ln>
                      <a:noFill/>
                    </a:ln>
                  </pic:spPr>
                </pic:pic>
              </a:graphicData>
            </a:graphic>
          </wp:inline>
        </w:drawing>
      </w:r>
    </w:p>
    <w:p w14:paraId="0C756EB8">
      <w:pPr>
        <w:spacing w:line="240" w:lineRule="auto"/>
        <w:rPr>
          <w:rFonts w:hint="eastAsia"/>
        </w:rPr>
      </w:pPr>
    </w:p>
    <w:p w14:paraId="4824F249">
      <w:pPr>
        <w:spacing w:line="460" w:lineRule="exact"/>
        <w:ind w:firstLine="562" w:firstLineChars="200"/>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
          <w:sz w:val="28"/>
          <w:szCs w:val="28"/>
        </w:rPr>
        <w:t>质疑事项</w:t>
      </w:r>
      <w:r>
        <w:rPr>
          <w:rFonts w:hint="eastAsia" w:ascii="仿宋_GB2312" w:hAnsi="仿宋_GB2312" w:eastAsia="仿宋_GB2312" w:cs="仿宋_GB2312"/>
          <w:b/>
          <w:sz w:val="28"/>
          <w:szCs w:val="28"/>
          <w:lang w:val="en-US" w:eastAsia="zh-CN"/>
        </w:rPr>
        <w:t>5.</w:t>
      </w:r>
      <w:r>
        <w:rPr>
          <w:rFonts w:hint="eastAsia" w:ascii="仿宋_GB2312" w:hAnsi="仿宋_GB2312" w:eastAsia="仿宋_GB2312" w:cs="仿宋_GB2312"/>
          <w:bCs/>
          <w:color w:val="000000"/>
          <w:sz w:val="28"/>
          <w:szCs w:val="28"/>
          <w:lang w:val="en-US" w:eastAsia="zh-CN"/>
        </w:rPr>
        <w:t>中标人投标文件中干手机的型号是 BY804,经白云清洁官网查询规格是 240*243*215MM，采购文件采购需求中千手机的长×宽×高(尺寸可偏差士5mm):200×155×240mm，中标人投标文件中干手机的规格很明显不符合采购文件的需求，采购文件第78页规定如果采购需求为小于、小于等于、大于或大于等于某个数值标准时，响应文件承诺不得直接复制采购需求,响应文件承诺内容应当写明竞标货物具体参数或商务响应承诺的具体数值，否则按竞标无效处理。中标人并没有填写这个干手机的实际规格，而是直接复制了采购文件采购需要中的规格，采购文件中明确规定，要填写竞标货物的具体参数，否则按竞标无效处理，中标人的投标文件违反了采购文件规定，未对采购文件做出完全实质性响应，显然违背了政府采购法，失去了公平、公正、公开透明性原则，这样的投标文件根本通不过符合性审查。根本不能进入下一轮评审，应为无效投标文件，同时也是废标文件，同时中标结果也无效。</w:t>
      </w:r>
    </w:p>
    <w:p w14:paraId="4D57E0AE">
      <w:pPr>
        <w:spacing w:line="460" w:lineRule="exact"/>
        <w:ind w:firstLine="562" w:firstLineChars="200"/>
        <w:rPr>
          <w:rFonts w:hint="default" w:ascii="仿宋_GB2312" w:hAnsi="仿宋_GB2312" w:eastAsia="仿宋_GB2312" w:cs="仿宋_GB2312"/>
          <w:bCs/>
          <w:color w:val="000000"/>
          <w:sz w:val="28"/>
          <w:szCs w:val="28"/>
          <w:lang w:val="en-US" w:eastAsia="zh-CN"/>
        </w:rPr>
      </w:pPr>
      <w:r>
        <w:rPr>
          <w:rFonts w:hint="eastAsia"/>
          <w:b/>
          <w:bCs/>
          <w:sz w:val="28"/>
          <w:szCs w:val="28"/>
        </w:rPr>
        <w:t>质疑事项</w:t>
      </w:r>
      <w:r>
        <w:rPr>
          <w:rFonts w:hint="eastAsia"/>
          <w:b/>
          <w:bCs/>
          <w:sz w:val="28"/>
          <w:szCs w:val="28"/>
          <w:lang w:val="en-US" w:eastAsia="zh-CN"/>
        </w:rPr>
        <w:t>5</w:t>
      </w:r>
      <w:r>
        <w:rPr>
          <w:rFonts w:hint="eastAsia"/>
          <w:b/>
          <w:bCs/>
          <w:sz w:val="28"/>
          <w:szCs w:val="28"/>
        </w:rPr>
        <w:t>答复：</w:t>
      </w:r>
    </w:p>
    <w:p w14:paraId="592A2E8B">
      <w:pPr>
        <w:spacing w:line="46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lang w:val="en-US" w:eastAsia="zh-CN"/>
        </w:rPr>
        <w:t>经核实，白云清洁BY804长宽高规格实为240*215*243MM，</w:t>
      </w:r>
      <w:r>
        <w:rPr>
          <w:rFonts w:hint="eastAsia" w:ascii="仿宋_GB2312" w:hAnsi="仿宋_GB2312" w:eastAsia="仿宋_GB2312" w:cs="仿宋_GB2312"/>
          <w:sz w:val="28"/>
          <w:szCs w:val="28"/>
          <w:highlight w:val="none"/>
          <w:u w:val="none"/>
          <w:lang w:val="en-US" w:eastAsia="zh-CN"/>
        </w:rPr>
        <w:t>根据采购文件第78页第五章 七、货物需求偏离表：4.如果采购需求为小于、小于等于、大于或大于等于某个数值标准时，响应文件承诺不得直接复制采购需求，响应文件承诺内容应当写明竞标货物具体参数或商务响应承诺的具体数值，否则按竞标无效处理。中标供应商响应文件中干手机响应的参数与实际参数不符。</w:t>
      </w:r>
      <w:r>
        <w:rPr>
          <w:rFonts w:hint="eastAsia" w:ascii="仿宋_GB2312" w:hAnsi="仿宋_GB2312" w:eastAsia="仿宋_GB2312" w:cs="仿宋_GB2312"/>
          <w:kern w:val="0"/>
          <w:sz w:val="28"/>
          <w:szCs w:val="28"/>
        </w:rPr>
        <w:t>综上所述，</w:t>
      </w:r>
      <w:r>
        <w:rPr>
          <w:rFonts w:hint="eastAsia" w:ascii="仿宋_GB2312" w:hAnsi="仿宋_GB2312" w:eastAsia="仿宋_GB2312" w:cs="仿宋_GB2312"/>
          <w:kern w:val="0"/>
          <w:sz w:val="28"/>
          <w:szCs w:val="28"/>
          <w:lang w:val="en-US" w:eastAsia="zh-CN"/>
        </w:rPr>
        <w:t>该项</w:t>
      </w:r>
      <w:r>
        <w:rPr>
          <w:rFonts w:hint="eastAsia" w:ascii="仿宋_GB2312" w:hAnsi="仿宋_GB2312" w:eastAsia="仿宋_GB2312" w:cs="仿宋_GB2312"/>
          <w:kern w:val="0"/>
          <w:sz w:val="28"/>
          <w:szCs w:val="28"/>
        </w:rPr>
        <w:t>质疑事项成立。</w:t>
      </w:r>
    </w:p>
    <w:p w14:paraId="5A9A6DB5">
      <w:pPr>
        <w:spacing w:line="460" w:lineRule="exact"/>
        <w:ind w:firstLine="560" w:firstLine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经采购人及原评审小组复核确认，其余中标候选人的干手机响应参数均与实际参数不符，导致本项目符合竞争要求的供应商不足三家。根据《中华人民共和国政府采购法》第三十六条第一款及《采购文件》第四章第二节规定在采购过程中符合竞争要求的供应商不足3家，现依法终止本次采购程序，并重新组织采购活动。</w:t>
      </w:r>
    </w:p>
    <w:p w14:paraId="133D2BD1">
      <w:pPr>
        <w:spacing w:line="460" w:lineRule="exact"/>
        <w:ind w:firstLine="560" w:firstLineChars="200"/>
        <w:rPr>
          <w:rFonts w:hint="eastAsia" w:ascii="仿宋_GB2312" w:hAnsi="仿宋_GB2312" w:eastAsia="仿宋_GB2312" w:cs="仿宋_GB2312"/>
          <w:kern w:val="0"/>
          <w:sz w:val="28"/>
          <w:szCs w:val="28"/>
          <w:u w:val="single"/>
          <w:shd w:val="clear" w:color="auto" w:fill="FFFFFF"/>
        </w:rPr>
      </w:pPr>
      <w:r>
        <w:rPr>
          <w:rFonts w:hint="eastAsia" w:ascii="仿宋_GB2312" w:hAnsi="仿宋_GB2312" w:eastAsia="仿宋_GB2312" w:cs="仿宋_GB2312"/>
          <w:kern w:val="0"/>
          <w:sz w:val="28"/>
          <w:szCs w:val="28"/>
        </w:rPr>
        <w:t>如质疑人对本质疑答复不满意，根据《政府采购质疑和投诉办法》（财政部令第94号）的相关规定，有向同级政府采购监督管理部门投诉的权利。感谢贵公司对本项目采购活动的支持和监督。</w:t>
      </w:r>
    </w:p>
    <w:p w14:paraId="0202CFC1">
      <w:pPr>
        <w:widowControl/>
        <w:spacing w:line="460" w:lineRule="exact"/>
        <w:jc w:val="left"/>
        <w:rPr>
          <w:rFonts w:hint="eastAsia" w:ascii="仿宋_GB2312" w:hAnsi="仿宋_GB2312" w:eastAsia="仿宋_GB2312" w:cs="仿宋_GB2312"/>
          <w:kern w:val="0"/>
          <w:sz w:val="28"/>
          <w:szCs w:val="28"/>
          <w:u w:val="single"/>
          <w:shd w:val="clear" w:color="auto" w:fill="FFFFFF"/>
        </w:rPr>
      </w:pPr>
      <w:bookmarkStart w:id="0" w:name="_GoBack"/>
      <w:bookmarkEnd w:id="0"/>
    </w:p>
    <w:p w14:paraId="03A3CECD">
      <w:pPr>
        <w:widowControl/>
        <w:spacing w:line="460" w:lineRule="exact"/>
        <w:jc w:val="left"/>
        <w:rPr>
          <w:rFonts w:hint="eastAsia" w:ascii="仿宋_GB2312" w:hAnsi="仿宋_GB2312" w:eastAsia="仿宋_GB2312" w:cs="仿宋_GB2312"/>
          <w:kern w:val="0"/>
          <w:sz w:val="28"/>
          <w:szCs w:val="28"/>
          <w:u w:val="single"/>
          <w:shd w:val="clear" w:color="auto" w:fill="FFFFFF"/>
        </w:rPr>
      </w:pPr>
    </w:p>
    <w:p w14:paraId="14DCDEBF">
      <w:pPr>
        <w:spacing w:line="460" w:lineRule="exact"/>
        <w:ind w:firstLine="5600" w:firstLineChars="2000"/>
        <w:jc w:val="both"/>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南宁高新技术产业开发区</w:t>
      </w:r>
      <w:r>
        <w:rPr>
          <w:rFonts w:hint="eastAsia" w:ascii="仿宋_GB2312" w:hAnsi="仿宋_GB2312" w:eastAsia="仿宋_GB2312" w:cs="仿宋_GB2312"/>
          <w:sz w:val="28"/>
          <w:szCs w:val="28"/>
          <w:lang w:val="en-US" w:eastAsia="zh-CN"/>
        </w:rPr>
        <w:t xml:space="preserve">        </w:t>
      </w:r>
    </w:p>
    <w:p w14:paraId="39DD7AA3">
      <w:pPr>
        <w:spacing w:line="460" w:lineRule="exact"/>
        <w:jc w:val="center"/>
        <w:rPr>
          <w:rFonts w:hint="eastAsia" w:ascii="仿宋_GB2312" w:hAnsi="仿宋_GB2312" w:eastAsia="仿宋_GB2312" w:cs="仿宋_GB2312"/>
          <w:kern w:val="0"/>
          <w:sz w:val="28"/>
          <w:szCs w:val="28"/>
          <w:u w:val="single"/>
          <w:shd w:val="clear" w:color="auto" w:fill="FFFFFF"/>
          <w:lang w:val="en-US" w:eastAsia="zh-CN"/>
        </w:rPr>
      </w:pPr>
      <w:r>
        <w:rPr>
          <w:rFonts w:hint="eastAsia" w:ascii="仿宋_GB2312" w:hAnsi="仿宋_GB2312" w:eastAsia="仿宋_GB2312" w:cs="仿宋_GB2312"/>
          <w:kern w:val="0"/>
          <w:sz w:val="28"/>
          <w:szCs w:val="28"/>
          <w:u w:val="none"/>
          <w:shd w:val="clear" w:color="auto" w:fill="FFFFFF"/>
          <w:lang w:val="en-US" w:eastAsia="zh-CN"/>
        </w:rPr>
        <w:t xml:space="preserve">                                    教育局                     </w:t>
      </w:r>
    </w:p>
    <w:p w14:paraId="520E16A7">
      <w:pPr>
        <w:spacing w:line="460" w:lineRule="exact"/>
        <w:jc w:val="both"/>
        <w:rPr>
          <w:rFonts w:hint="eastAsia" w:ascii="仿宋_GB2312" w:hAnsi="仿宋_GB2312" w:eastAsia="仿宋_GB2312" w:cs="仿宋_GB2312"/>
          <w:sz w:val="28"/>
          <w:szCs w:val="28"/>
        </w:rPr>
      </w:pPr>
    </w:p>
    <w:p w14:paraId="17DCC462">
      <w:pPr>
        <w:spacing w:line="460" w:lineRule="exact"/>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日    期：20</w:t>
      </w:r>
      <w:r>
        <w:rPr>
          <w:rFonts w:hint="eastAsia" w:ascii="仿宋_GB2312" w:hAnsi="仿宋_GB2312" w:eastAsia="仿宋_GB2312" w:cs="仿宋_GB2312"/>
          <w:sz w:val="28"/>
          <w:szCs w:val="28"/>
          <w:lang w:val="en-US" w:eastAsia="zh-CN"/>
        </w:rPr>
        <w:t>25</w:t>
      </w:r>
      <w:r>
        <w:rPr>
          <w:rFonts w:hint="eastAsia" w:ascii="仿宋_GB2312" w:hAnsi="仿宋_GB2312" w:eastAsia="仿宋_GB2312" w:cs="仿宋_GB2312"/>
          <w:sz w:val="28"/>
          <w:szCs w:val="28"/>
        </w:rPr>
        <w:t xml:space="preserve">年 </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rPr>
        <w:t>日</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4ODRlYzc0YzJmNDM3MzU0MjFlNDUyZTk0ZGYxMDIifQ=="/>
  </w:docVars>
  <w:rsids>
    <w:rsidRoot w:val="001F6B8A"/>
    <w:rsid w:val="001E2AC5"/>
    <w:rsid w:val="001F6B8A"/>
    <w:rsid w:val="00256CA5"/>
    <w:rsid w:val="00294F2D"/>
    <w:rsid w:val="00327279"/>
    <w:rsid w:val="003640D3"/>
    <w:rsid w:val="003B082A"/>
    <w:rsid w:val="003F646B"/>
    <w:rsid w:val="004B6568"/>
    <w:rsid w:val="00613721"/>
    <w:rsid w:val="0063365D"/>
    <w:rsid w:val="00641C16"/>
    <w:rsid w:val="00655DFD"/>
    <w:rsid w:val="00715B56"/>
    <w:rsid w:val="00980F80"/>
    <w:rsid w:val="009E10A9"/>
    <w:rsid w:val="00A05BCD"/>
    <w:rsid w:val="00A27BB3"/>
    <w:rsid w:val="00A60B34"/>
    <w:rsid w:val="00C44D38"/>
    <w:rsid w:val="00D76D1F"/>
    <w:rsid w:val="00DC6C33"/>
    <w:rsid w:val="00DF7218"/>
    <w:rsid w:val="00E513F0"/>
    <w:rsid w:val="00EB3400"/>
    <w:rsid w:val="02433E45"/>
    <w:rsid w:val="11E27816"/>
    <w:rsid w:val="14350A9B"/>
    <w:rsid w:val="1BD75693"/>
    <w:rsid w:val="1C0B72B5"/>
    <w:rsid w:val="22E9024C"/>
    <w:rsid w:val="24EF2B51"/>
    <w:rsid w:val="257A0DE7"/>
    <w:rsid w:val="283430CF"/>
    <w:rsid w:val="2A773816"/>
    <w:rsid w:val="2A8B643C"/>
    <w:rsid w:val="2AD371BA"/>
    <w:rsid w:val="2FFD2B0D"/>
    <w:rsid w:val="3F0523A0"/>
    <w:rsid w:val="3F646C5B"/>
    <w:rsid w:val="41C12D22"/>
    <w:rsid w:val="482429A0"/>
    <w:rsid w:val="4AFE4014"/>
    <w:rsid w:val="4BE47092"/>
    <w:rsid w:val="4E0017A6"/>
    <w:rsid w:val="559E0172"/>
    <w:rsid w:val="5C0D5892"/>
    <w:rsid w:val="65F75DA9"/>
    <w:rsid w:val="774849C1"/>
    <w:rsid w:val="7A2E4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120" w:after="120"/>
      <w:jc w:val="center"/>
      <w:outlineLvl w:val="0"/>
    </w:pPr>
    <w:rPr>
      <w:rFonts w:ascii="Times New Roman" w:hAnsi="Times New Roman" w:eastAsia="宋体" w:cs="Times New Roman"/>
      <w:b/>
      <w:bCs/>
      <w:kern w:val="44"/>
      <w:sz w:val="44"/>
      <w:szCs w:val="44"/>
    </w:rPr>
  </w:style>
  <w:style w:type="paragraph" w:styleId="3">
    <w:name w:val="heading 2"/>
    <w:basedOn w:val="1"/>
    <w:next w:val="1"/>
    <w:link w:val="18"/>
    <w:unhideWhenUsed/>
    <w:qFormat/>
    <w:uiPriority w:val="9"/>
    <w:pPr>
      <w:keepNext/>
      <w:keepLines/>
      <w:spacing w:before="120" w:after="120"/>
      <w:jc w:val="center"/>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120" w:after="120"/>
      <w:outlineLvl w:val="2"/>
    </w:pPr>
    <w:rPr>
      <w:rFonts w:ascii="Times New Roman" w:hAnsi="Times New Roman" w:eastAsia="宋体" w:cs="Times New Roman"/>
      <w:b/>
      <w:bCs/>
      <w:sz w:val="28"/>
      <w:szCs w:val="32"/>
    </w:rPr>
  </w:style>
  <w:style w:type="paragraph" w:styleId="5">
    <w:name w:val="heading 4"/>
    <w:basedOn w:val="1"/>
    <w:next w:val="1"/>
    <w:link w:val="19"/>
    <w:unhideWhenUsed/>
    <w:qFormat/>
    <w:uiPriority w:val="9"/>
    <w:pPr>
      <w:keepNext/>
      <w:keepLines/>
      <w:spacing w:before="120" w:after="120"/>
      <w:outlineLvl w:val="3"/>
    </w:pPr>
    <w:rPr>
      <w:rFonts w:asciiTheme="majorHAnsi" w:hAnsiTheme="majorHAnsi" w:eastAsiaTheme="majorEastAsia" w:cstheme="majorBidi"/>
      <w:b/>
      <w:bCs/>
      <w:sz w:val="28"/>
      <w:szCs w:val="28"/>
    </w:rPr>
  </w:style>
  <w:style w:type="paragraph" w:styleId="6">
    <w:name w:val="heading 5"/>
    <w:basedOn w:val="1"/>
    <w:next w:val="1"/>
    <w:link w:val="20"/>
    <w:unhideWhenUsed/>
    <w:qFormat/>
    <w:uiPriority w:val="9"/>
    <w:pPr>
      <w:keepNext/>
      <w:keepLines/>
      <w:spacing w:before="120" w:after="120"/>
      <w:outlineLvl w:val="4"/>
    </w:pPr>
    <w:rPr>
      <w:rFonts w:ascii="Times New Roman" w:hAnsi="Times New Roman" w:eastAsia="宋体" w:cs="Times New Roman"/>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uiPriority w:val="99"/>
    <w:pPr>
      <w:jc w:val="left"/>
    </w:pPr>
  </w:style>
  <w:style w:type="paragraph" w:styleId="8">
    <w:name w:val="Balloon Text"/>
    <w:basedOn w:val="1"/>
    <w:link w:val="24"/>
    <w:semiHidden/>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rPr>
      <w:rFonts w:ascii="Times New Roman" w:hAnsi="Times New Roman" w:cs="Times New Roman"/>
      <w:sz w:val="24"/>
      <w:szCs w:val="24"/>
    </w:rPr>
  </w:style>
  <w:style w:type="character" w:styleId="14">
    <w:name w:val="Strong"/>
    <w:basedOn w:val="13"/>
    <w:qFormat/>
    <w:uiPriority w:val="22"/>
    <w:rPr>
      <w:b/>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character" w:customStyle="1" w:styleId="16">
    <w:name w:val="标题 3 Char"/>
    <w:basedOn w:val="13"/>
    <w:link w:val="4"/>
    <w:qFormat/>
    <w:uiPriority w:val="9"/>
    <w:rPr>
      <w:rFonts w:ascii="Times New Roman" w:hAnsi="Times New Roman" w:eastAsia="宋体" w:cs="Times New Roman"/>
      <w:b/>
      <w:bCs/>
      <w:sz w:val="28"/>
      <w:szCs w:val="32"/>
    </w:rPr>
  </w:style>
  <w:style w:type="character" w:customStyle="1" w:styleId="17">
    <w:name w:val="标题 1 Char"/>
    <w:basedOn w:val="13"/>
    <w:link w:val="2"/>
    <w:qFormat/>
    <w:uiPriority w:val="9"/>
    <w:rPr>
      <w:rFonts w:ascii="Times New Roman" w:hAnsi="Times New Roman" w:eastAsia="宋体" w:cs="Times New Roman"/>
      <w:b/>
      <w:bCs/>
      <w:kern w:val="44"/>
      <w:sz w:val="44"/>
      <w:szCs w:val="44"/>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character" w:customStyle="1" w:styleId="19">
    <w:name w:val="标题 4 Char"/>
    <w:basedOn w:val="13"/>
    <w:link w:val="5"/>
    <w:qFormat/>
    <w:uiPriority w:val="9"/>
    <w:rPr>
      <w:rFonts w:asciiTheme="majorHAnsi" w:hAnsiTheme="majorHAnsi" w:eastAsiaTheme="majorEastAsia" w:cstheme="majorBidi"/>
      <w:b/>
      <w:bCs/>
      <w:sz w:val="28"/>
      <w:szCs w:val="28"/>
    </w:rPr>
  </w:style>
  <w:style w:type="character" w:customStyle="1" w:styleId="20">
    <w:name w:val="标题 5 Char"/>
    <w:basedOn w:val="13"/>
    <w:link w:val="6"/>
    <w:qFormat/>
    <w:uiPriority w:val="9"/>
    <w:rPr>
      <w:rFonts w:ascii="Times New Roman" w:hAnsi="Times New Roman" w:eastAsia="宋体" w:cs="Times New Roman"/>
      <w:b/>
      <w:bCs/>
      <w:sz w:val="28"/>
      <w:szCs w:val="28"/>
    </w:rPr>
  </w:style>
  <w:style w:type="paragraph" w:styleId="21">
    <w:name w:val="List Paragraph"/>
    <w:basedOn w:val="1"/>
    <w:qFormat/>
    <w:uiPriority w:val="34"/>
    <w:pPr>
      <w:ind w:firstLine="420" w:firstLineChars="200"/>
    </w:pPr>
  </w:style>
  <w:style w:type="character" w:customStyle="1" w:styleId="22">
    <w:name w:val="页眉 Char"/>
    <w:basedOn w:val="13"/>
    <w:link w:val="10"/>
    <w:qFormat/>
    <w:uiPriority w:val="99"/>
    <w:rPr>
      <w:sz w:val="18"/>
      <w:szCs w:val="18"/>
    </w:rPr>
  </w:style>
  <w:style w:type="character" w:customStyle="1" w:styleId="23">
    <w:name w:val="页脚 Char"/>
    <w:basedOn w:val="13"/>
    <w:link w:val="9"/>
    <w:qFormat/>
    <w:uiPriority w:val="99"/>
    <w:rPr>
      <w:sz w:val="18"/>
      <w:szCs w:val="18"/>
    </w:rPr>
  </w:style>
  <w:style w:type="character" w:customStyle="1" w:styleId="24">
    <w:name w:val="批注框文本 Char"/>
    <w:basedOn w:val="13"/>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TYZWTY</Company>
  <Pages>7</Pages>
  <Words>1811</Words>
  <Characters>2023</Characters>
  <Lines>40</Lines>
  <Paragraphs>11</Paragraphs>
  <TotalTime>18</TotalTime>
  <ScaleCrop>false</ScaleCrop>
  <LinksUpToDate>false</LinksUpToDate>
  <CharactersWithSpaces>2146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2018-06-26T09:31:00Z</dcterms:created>
  <dc:creator>wty</dc:creator>
  <cp:lastModifiedBy>沧海一粟</cp:lastModifiedBy>
  <cp:lastPrinted>2025-09-11T03:15:19Z</cp:lastPrinted>
  <dcterms:modified xsi:type="dcterms:W3CDTF">2025-09-11T03:30:10Z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EE7F8F610CBA47E0AA07442C72758A45_13</vt:lpwstr>
  </property>
  <property fmtid="{D5CDD505-2E9C-101B-9397-08002B2CF9AE}" pid="4" name="KSOTemplateDocerSaveRecord">
    <vt:lpwstr>eyJoZGlkIjoiYmEyMTlhNTY5NGU1ZjRhNjgwOTNmYjg3MTU1ODY4OGQiLCJ1c2VySWQiOiI0NzYwMTE5NjgifQ==</vt:lpwstr>
  </property>
</Properties>
</file>